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90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w w:val="99"/>
              </w:rPr>
            </w:pPr>
            <w:hyperlink r:id="rId13">
              <w:r>
                <w:rPr>
                  <w:rFonts w:ascii="Arial" w:cs="Arial" w:eastAsia="Arial" w:hAnsi="Arial"/>
                  <w:sz w:val="21"/>
                  <w:szCs w:val="21"/>
                  <w:u w:val="single" w:color="auto"/>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90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SELECTA BIOSCIENCES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10/06/2020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bottom w:val="single" w:sz="8" w:color="2C2C2C"/>
            </w:tcBorders>
            <w:gridSpan w:val="3"/>
          </w:tcPr>
          <w:p>
            <w:pPr>
              <w:spacing w:after="0"/>
              <w:rPr>
                <w:sz w:val="12"/>
                <w:szCs w:val="12"/>
                <w:color w:val="auto"/>
              </w:rPr>
            </w:pPr>
          </w:p>
        </w:tc>
        <w:tc>
          <w:tcPr>
            <w:tcW w:w="2560" w:type="dxa"/>
            <w:vAlign w:val="bottom"/>
            <w:tcBorders>
              <w:bottom w:val="single" w:sz="8" w:color="2C2C2C"/>
            </w:tcBorders>
            <w:gridSpan w:val="5"/>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0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34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10/06/2020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9"/>
              </w:rPr>
              <w:t>2,000,000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1.6829</w:t>
            </w:r>
            <w:r>
              <w:rPr>
                <w:rFonts w:ascii="Arial" w:cs="Arial" w:eastAsia="Arial" w:hAnsi="Arial"/>
                <w:sz w:val="22"/>
                <w:szCs w:val="22"/>
                <w:color w:val="008000"/>
                <w:w w:val="95"/>
                <w:vertAlign w:val="superscript"/>
              </w:rPr>
              <w:t>(1)</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7,486,463</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10/07/2020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1"/>
              </w:rPr>
              <w:t>654,953</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1.6468</w:t>
            </w:r>
            <w:r>
              <w:rPr>
                <w:rFonts w:ascii="Arial" w:cs="Arial" w:eastAsia="Arial" w:hAnsi="Arial"/>
                <w:sz w:val="22"/>
                <w:szCs w:val="22"/>
                <w:color w:val="008000"/>
                <w:w w:val="95"/>
                <w:vertAlign w:val="superscript"/>
              </w:rPr>
              <w:t>(3)</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8,141,416</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10/08/2020</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Pr>
          <w:p>
            <w:pPr>
              <w:spacing w:after="0"/>
              <w:rPr>
                <w:sz w:val="22"/>
                <w:szCs w:val="22"/>
                <w:color w:val="auto"/>
              </w:rPr>
            </w:pP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91"/>
              </w:rPr>
              <w:t>530,441</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5"/>
            <w:vMerge w:val="restart"/>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1.8868</w:t>
            </w:r>
            <w:r>
              <w:rPr>
                <w:rFonts w:ascii="Arial" w:cs="Arial" w:eastAsia="Arial" w:hAnsi="Arial"/>
                <w:sz w:val="22"/>
                <w:szCs w:val="22"/>
                <w:color w:val="008000"/>
                <w:w w:val="9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8,671,857</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7,293,625</w:t>
            </w:r>
          </w:p>
        </w:tc>
        <w:tc>
          <w:tcPr>
            <w:tcW w:w="2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7"/>
                <w:szCs w:val="17"/>
                <w:color w:val="0000FF"/>
                <w:w w:val="92"/>
              </w:rPr>
              <w:t>86,418</w:t>
            </w:r>
          </w:p>
        </w:tc>
        <w:tc>
          <w:tcPr>
            <w:tcW w:w="240" w:type="dxa"/>
            <w:vAlign w:val="bottom"/>
          </w:tcPr>
          <w:p>
            <w:pPr>
              <w:spacing w:after="0"/>
              <w:rPr>
                <w:sz w:val="23"/>
                <w:szCs w:val="23"/>
                <w:color w:val="auto"/>
              </w:rPr>
            </w:pPr>
          </w:p>
        </w:tc>
        <w:tc>
          <w:tcPr>
            <w:tcW w:w="600" w:type="dxa"/>
            <w:vAlign w:val="bottom"/>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7"/>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-4244340</wp:posOffset>
            </wp:positionV>
            <wp:extent cx="7031355"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90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$1.605 to $1.70. The Reporting Person undertakes to provide upon request to the SEC staff, the Issuer, or any stockholder of the Issuer, full information regarding the number of shares purchased at each separate price within the range set forth in this footnote.</w:t>
      </w: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15" w:lineRule="exact"/>
        <w:rPr>
          <w:rFonts w:ascii="Arial" w:cs="Arial" w:eastAsia="Arial" w:hAnsi="Arial"/>
          <w:sz w:val="13"/>
          <w:szCs w:val="13"/>
          <w:color w:val="008000"/>
        </w:rPr>
      </w:pPr>
    </w:p>
    <w:p>
      <w:pPr>
        <w:ind w:left="40" w:right="3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$1.55 to $1.70. The Reporting Person undertakes to provide upon request to the SEC staff, the Issuer, or any stockholder of the Issuer, full information regarding the number of shares purchased at each separate price within the range set forth in this footnote.</w:t>
      </w:r>
    </w:p>
    <w:p>
      <w:pPr>
        <w:ind w:left="40" w:right="32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$1.799 to $1.90.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10/08/2020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2020-10-08T16:51:59Z</dcterms:created>
  <dcterms:modified xsi:type="dcterms:W3CDTF">2020-10-08T16:51:59Z</dcterms:modified>
</cp:coreProperties>
</file>