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25,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September 27, 2018, Selecta Biosciences, Inc. (the “Company”) announced that the Board of Directors (the “Board”) of the Company has appointed Carsten Brunn, Ph.D. as the Company’s President and Chief Executive Officer and as a member of the Board, in each case, effective upon the commencement of Dr. Brunn’s full-time employment with the Company, which is expected to be on or about December 1, 2018 (the “Effective Date”). Dr. Brunn will serve as a Class III director of the Company, with a term expiring at the Annual Meeting of Stockholders in 2019.</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As previously disclosed, Werner Cautreels, Ph.D. had notified the Company of his planned retirement as President and Chief Executive Officer, to be effective December 31, 2018. On September 25, 2018, in light of the appointment of Dr. Brunn, Dr. Cautreels notified the Company of his resignation as President and Chief Executive Officer, effective upon the commencement of Dr. Brunn’s full-time employment with the Company, and as a member of the Board, effective on December 31, 2018. Dr. Cautreels is expected to serve as an advisor to the Company following his retirement.</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Dr. Brunn, age 48, has served as the President of Pharmaceuticals for the Americas Region and a member of the Global Pharmaceutical Executive Committee at Bayer AG, a pharmaceutical company, since January 2017. Previously, he served as President of Bayer Pharmaceuticals in Japan, since March 2013. He has also served as the Chairman of the European Federation of Pharmaceutical Industries and Associations (EFPIA)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the London Business School. Dr. Brunn’s extensive experience as a senior pharmaceutical executive and knowledge of the pharmaceutical and biotechnology industries contributed to our Board of Directors’ conclusion that he should serve as a director of our company.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25, 2018, the Company entered into an employment agreement with Dr. Brunn for an unspecified term that will commence on the Effective Date. Under the terms of the employment agreement, Dr. Brunn will receive an annual base salary of $550,000 and, beginning in 2019, will be eligible for an annual performance bonus targeted at 50% of his annual base salary. For the portion of 2018 during which he is employed, Dr. Brunn will be eligible to receive a discretionary bonus in an amount determined by the Board. Dr. Brunn is also entitled to receive (i) a one-time signing bonus of $75,000, (ii) a stipend of $6,000 per month for up to seven months following the Effective Date to offset the costs of travel and commuting expenses incurred in performing his duties for the Company and (iii) direct payment of, or reimbursement for, up to $75,000 in moving expenses incurred in connection with his relocation to the greater Boston, Massachusetts area.</w:t>
      </w:r>
    </w:p>
    <w:p>
      <w:pPr>
        <w:spacing w:after="0" w:line="18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If Dr. Brunn’s employment is terminated without “cause” or he resigns for “good reason,” as the terms are defined in his employment agreement, Dr. Brunn will be entitled to receive, subject to his continued compliance with a separate restrictive covenant agreement and timely executing a separation and release agreement with the Company that includes non-competition covenants which apply if Dr. Brunn’s employment is terminated by us without cause, (i) continued base salary payments for a period of 12 months following his termination, (ii) a pro-rata portion of his annual bonus for the year of termination, based on actual performance for the full year or, if the termination occurs during the first quarter of the calendar year, based on his target bonus, and (iii) direct payment of, or reimbursement for, continued medical, dental and/or vision coverage pursuant to COBRA for up to 12 months. In addition, if the termination occurs within the 60 days preceding or 12 months following a change in control, Dr. Brunn is entitled to receive accelerated vesting of any of his unvested Company equity awards that vest solely based on the passage of time. The Company must provide Dr. Brunn 30 days’ notice, or pay in lieu of notice, in the event the Company terminates him for any reason other than cause.</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Dr. Brunn has also agreed to refrain from (i) engaging in competition with the Company while employed and following his termination of employment other than for cause for a period of 12 months or (ii) soliciting employees,</w:t>
      </w:r>
    </w:p>
    <w:p>
      <w:pPr>
        <w:sectPr>
          <w:pgSz w:w="11900" w:h="16838" w:orient="portrait"/>
          <w:cols w:equalWidth="0" w:num="1">
            <w:col w:w="11400"/>
          </w:cols>
          <w:pgMar w:left="240" w:top="661" w:right="25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t>consultants, contractors, clients or vendors of the Company while employed and for a period of 12 months following his termination of employment for any reason. During the period following his employment that Dr. Brunn is subject to the non-competition covenants, and subject to limited exceptions, the Company has agreed to provide Dr. Brunn with “garden leave” pay at a rate that equals 50% of his highest annual base salary within the two years prior to his termination.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employment agreement also provides for Dr. Brunn to receive, subject to Board approval, Company equity awards consisting of an option to purchase 1,000,000 shares of common stock and 175,000 restricted stock units. The option and restricted stock units will vest over a four-year period, with 25% vesting 12 months from the Effective Date and the remaining 75% vesting, with respect to the option, in 36 equal monthly installments thereafter or, with respect to the restricted stock units, in 12 equal installments occurring every three months thereafter.</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expects to issue Dr. Brunn’s equity awards under the Selecta Biosciences, Inc. 2018 Employment Inducement Incentive Award Plan (the “Inducement Award Plan”), which was adopted by the Board on September 25, 2018 without stockholder approval pursuant to Rule 5635(c)(4) of the Nasdaq Stock Market LLC listing rules (“Rule 5635(c)(4)”). The Inducement Award Plan provides for the grant of equity-based awards in the form of non-qualified stock options, stock appreciation rights, restricted stock awards, restricted stock unit awards and other stock or cash based awards.</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Board has reserved 1,175,000 shares of the Company’s common stock for issuance under the Inducement Award Plan. The Inducement Award Plan will generally be administered by the Compensation Committee of the Board. In accordance with Rule 5635(c)(4), awards under the Inducement Award Plan may only be made to a newly hired employee who has not previously been a member of the Board, or an employee who is being rehired following a bona fide period of non-employment by the Company or a subsidiary, as a material inducement to the employee’s entering into employment with the Company or its subsidiary. Except as described above or required to satisfy the requirements of Rule 5635(c)(4), the terms of the Inducement Award Plan are substantially similar in all material respects to the terms of the Company’s 2016 Incentive Award Plan.</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Complete copies of the Inducement Award Plan and the forms of stock option agreement, restricted stock agreement and the restricted stock unit agreement to be used thereunder are filed herewith as Exhibit 10.1 and incorporated herein by reference. A complete copy of Dr. Brunn’s employment agreement with the Company is filed herewith as Exhibit 10.2 and incorporated herein by reference. The above descriptions of the Inducement Award Plan and Dr. Brunn’s employment agreement with the Company do not purport to be complete and are qualified in their entirety by reference to such exhibits.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plans and expectations surrounding the transition, timing, compensation and roles of Drs. Carsten Brunn and Werner Cautreels.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w:t>
      </w:r>
    </w:p>
    <w:p>
      <w:pPr>
        <w:sectPr>
          <w:pgSz w:w="11900" w:h="16838" w:orient="portrait"/>
          <w:cols w:equalWidth="0" w:num="1">
            <w:col w:w="11420"/>
          </w:cols>
          <w:pgMar w:left="240" w:top="584" w:right="239" w:bottom="1440" w:gutter="0" w:footer="0" w:header="0"/>
        </w:sectPr>
      </w:pPr>
    </w:p>
    <w:bookmarkStart w:id="3" w:name="page4"/>
    <w:bookmarkEnd w:id="3"/>
    <w:p>
      <w:pPr>
        <w:ind w:right="40"/>
        <w:spacing w:after="0" w:line="276" w:lineRule="auto"/>
        <w:rPr>
          <w:sz w:val="20"/>
          <w:szCs w:val="20"/>
          <w:color w:val="auto"/>
        </w:rPr>
      </w:pPr>
      <w:r>
        <w:rPr>
          <w:rFonts w:ascii="Arial" w:cs="Arial" w:eastAsia="Arial" w:hAnsi="Arial"/>
          <w:sz w:val="17"/>
          <w:szCs w:val="17"/>
          <w:color w:val="auto"/>
        </w:rPr>
        <w:t>our Quarterly Report on Form 10-Q filed with the Securities and Exchange Commission, or SEC, on August 8, 2018,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0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Selecta Biosciences, Inc. 2018 Employment Inducement Incentive Award Plan, and forms of award agreements thereunder</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Employment Agreement, dated September 25, 2018, by and between Selecta Biosciences, Inc. and Carsten Brunn, Ph.D.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September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Eligible Individuals are eligible to be granted Awards under the Plan, subject to the limitations described herein.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AND DELEGATION</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7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AVAILABLE FOR AWARDS</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Number of Shares</w:t>
      </w:r>
      <w:r>
        <w:rPr>
          <w:rFonts w:ascii="Arial" w:cs="Arial" w:eastAsia="Arial" w:hAnsi="Arial"/>
          <w:sz w:val="20"/>
          <w:szCs w:val="20"/>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ectPr>
          <w:pgSz w:w="11900" w:h="16838" w:orient="portrait"/>
          <w:cols w:equalWidth="0" w:num="1">
            <w:col w:w="11420"/>
          </w:cols>
          <w:pgMar w:left="240" w:top="535" w:right="239" w:bottom="1440" w:gutter="0" w:footer="0" w:header="0"/>
        </w:sectPr>
      </w:pPr>
    </w:p>
    <w:bookmarkStart w:id="6" w:name="page7"/>
    <w:bookmarkEnd w:id="6"/>
    <w:p>
      <w:pPr>
        <w:jc w:val="both"/>
        <w:ind w:firstLine="648"/>
        <w:spacing w:after="0" w:line="27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Exercise Price</w:t>
      </w:r>
      <w:r>
        <w:rPr>
          <w:rFonts w:ascii="Arial" w:cs="Arial" w:eastAsia="Arial" w:hAnsi="Arial"/>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Duration</w:t>
      </w:r>
      <w:r>
        <w:rPr>
          <w:rFonts w:ascii="Arial" w:cs="Arial" w:eastAsia="Arial" w:hAnsi="Arial"/>
          <w:sz w:val="18"/>
          <w:szCs w:val="18"/>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9"/>
          <w:szCs w:val="19"/>
          <w:color w:val="auto"/>
        </w:rPr>
        <w:t>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8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w:t>
      </w:r>
    </w:p>
    <w:p>
      <w:pPr>
        <w:spacing w:after="0" w:line="1" w:lineRule="exact"/>
        <w:rPr>
          <w:sz w:val="20"/>
          <w:szCs w:val="20"/>
          <w:color w:val="auto"/>
        </w:rPr>
      </w:pPr>
    </w:p>
    <w:p>
      <w:pPr>
        <w:ind w:firstLine="8"/>
        <w:spacing w:after="0" w:line="244" w:lineRule="auto"/>
        <w:tabs>
          <w:tab w:leader="none" w:pos="297" w:val="left"/>
        </w:tabs>
        <w:numPr>
          <w:ilvl w:val="0"/>
          <w:numId w:val="2"/>
        </w:numPr>
        <w:rPr>
          <w:rFonts w:ascii="Arial" w:cs="Arial" w:eastAsia="Arial" w:hAnsi="Arial"/>
          <w:sz w:val="20"/>
          <w:szCs w:val="20"/>
          <w:color w:val="auto"/>
        </w:rPr>
      </w:pPr>
      <w:r>
        <w:rPr>
          <w:rFonts w:ascii="Arial" w:cs="Arial" w:eastAsia="Arial" w:hAnsi="Arial"/>
          <w:sz w:val="20"/>
          <w:szCs w:val="20"/>
          <w:color w:val="auto"/>
        </w:rPr>
        <w:t>as specified in Section 9.5 for any applicable taxes. Unless the Administrator otherwise determines, an Option or Stock Appreciation Right may not be exercised for a fraction of a Share.</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Payment Upon Exercise</w:t>
      </w:r>
      <w:r>
        <w:rPr>
          <w:rFonts w:ascii="Arial" w:cs="Arial" w:eastAsia="Arial" w:hAnsi="Arial"/>
          <w:sz w:val="19"/>
          <w:szCs w:val="19"/>
          <w:color w:val="auto"/>
        </w:rPr>
        <w:t>. Subject to Section 10.9, any Company insider trading policy (including blackout periods)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Applicable Laws, the exercise price of an Option must be paid by:</w:t>
      </w:r>
    </w:p>
    <w:p>
      <w:pPr>
        <w:spacing w:after="0" w:line="200" w:lineRule="exact"/>
        <w:rPr>
          <w:sz w:val="20"/>
          <w:szCs w:val="20"/>
          <w:color w:val="auto"/>
        </w:rPr>
      </w:pPr>
    </w:p>
    <w:p>
      <w:pPr>
        <w:ind w:firstLine="1305"/>
        <w:spacing w:after="0" w:line="287" w:lineRule="auto"/>
        <w:tabs>
          <w:tab w:leader="none" w:pos="1764" w:val="left"/>
        </w:tabs>
        <w:numPr>
          <w:ilvl w:val="0"/>
          <w:numId w:val="3"/>
        </w:numPr>
        <w:rPr>
          <w:rFonts w:ascii="Arial" w:cs="Arial" w:eastAsia="Arial" w:hAnsi="Arial"/>
          <w:sz w:val="19"/>
          <w:szCs w:val="19"/>
          <w:color w:val="auto"/>
        </w:rPr>
      </w:pPr>
      <w:r>
        <w:rPr>
          <w:rFonts w:ascii="Arial" w:cs="Arial" w:eastAsia="Arial" w:hAnsi="Arial"/>
          <w:sz w:val="19"/>
          <w:szCs w:val="19"/>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52" w:lineRule="exact"/>
        <w:rPr>
          <w:rFonts w:ascii="Arial" w:cs="Arial" w:eastAsia="Arial" w:hAnsi="Arial"/>
          <w:sz w:val="19"/>
          <w:szCs w:val="19"/>
          <w:color w:val="auto"/>
        </w:rPr>
      </w:pPr>
    </w:p>
    <w:p>
      <w:pPr>
        <w:jc w:val="both"/>
        <w:ind w:firstLine="1305"/>
        <w:spacing w:after="0" w:line="278" w:lineRule="auto"/>
        <w:tabs>
          <w:tab w:leader="none" w:pos="178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5" w:lineRule="exact"/>
        <w:rPr>
          <w:rFonts w:ascii="Arial" w:cs="Arial" w:eastAsia="Arial" w:hAnsi="Arial"/>
          <w:sz w:val="18"/>
          <w:szCs w:val="18"/>
          <w:color w:val="auto"/>
        </w:rPr>
      </w:pPr>
    </w:p>
    <w:p>
      <w:pPr>
        <w:ind w:firstLine="1305"/>
        <w:spacing w:after="0" w:line="260" w:lineRule="auto"/>
        <w:tabs>
          <w:tab w:leader="none" w:pos="1764"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w:t>
      </w:r>
    </w:p>
    <w:p>
      <w:pPr>
        <w:spacing w:after="0" w:line="176" w:lineRule="exact"/>
        <w:rPr>
          <w:rFonts w:ascii="Arial" w:cs="Arial" w:eastAsia="Arial" w:hAnsi="Arial"/>
          <w:sz w:val="20"/>
          <w:szCs w:val="20"/>
          <w:color w:val="auto"/>
        </w:rPr>
      </w:pPr>
    </w:p>
    <w:p>
      <w:pPr>
        <w:ind w:firstLine="1305"/>
        <w:spacing w:after="0" w:line="260" w:lineRule="auto"/>
        <w:tabs>
          <w:tab w:leader="none" w:pos="1721"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pacing w:after="0" w:line="176" w:lineRule="exact"/>
        <w:rPr>
          <w:rFonts w:ascii="Arial" w:cs="Arial" w:eastAsia="Arial" w:hAnsi="Arial"/>
          <w:sz w:val="20"/>
          <w:szCs w:val="20"/>
          <w:color w:val="auto"/>
        </w:rPr>
      </w:pPr>
    </w:p>
    <w:p>
      <w:pPr>
        <w:ind w:firstLine="1305"/>
        <w:spacing w:after="0" w:line="260" w:lineRule="auto"/>
        <w:tabs>
          <w:tab w:leader="none" w:pos="1737"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of a promissory note or any other property that the Administrator determines is good and valuable consideration; or</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RESTRICTED STOCK UNITS</w:t>
      </w:r>
    </w:p>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Restricted Stock, or the right to purchase Restricted Stock, to any Eligible Individual, subject to the Company’s right to repurchase all or part of such shares 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8" w:name="page9"/>
    <w:bookmarkEnd w:id="8"/>
    <w:p>
      <w:pPr>
        <w:jc w:val="both"/>
        <w:spacing w:after="0" w:line="243" w:lineRule="auto"/>
        <w:rPr>
          <w:sz w:val="20"/>
          <w:szCs w:val="20"/>
          <w:color w:val="auto"/>
        </w:rPr>
      </w:pPr>
      <w:r>
        <w:rPr>
          <w:rFonts w:ascii="Arial" w:cs="Arial" w:eastAsia="Arial" w:hAnsi="Arial"/>
          <w:sz w:val="20"/>
          <w:szCs w:val="20"/>
          <w:color w:val="auto"/>
        </w:rPr>
        <w:t>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4" w:lineRule="auto"/>
        <w:tabs>
          <w:tab w:leader="none" w:pos="171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94" w:lineRule="exact"/>
        <w:rPr>
          <w:rFonts w:ascii="Arial" w:cs="Arial" w:eastAsia="Arial" w:hAnsi="Arial"/>
          <w:sz w:val="20"/>
          <w:szCs w:val="20"/>
          <w:color w:val="auto"/>
        </w:rPr>
      </w:pPr>
    </w:p>
    <w:p>
      <w:pPr>
        <w:ind w:firstLine="1305"/>
        <w:spacing w:after="0" w:line="260" w:lineRule="auto"/>
        <w:tabs>
          <w:tab w:leader="none" w:pos="1748"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Stock Certificates</w:t>
      </w:r>
      <w:r>
        <w:rPr>
          <w:rFonts w:ascii="Arial" w:cs="Arial" w:eastAsia="Arial" w:hAnsi="Arial"/>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216" w:lineRule="exact"/>
        <w:rPr>
          <w:sz w:val="20"/>
          <w:szCs w:val="20"/>
          <w:color w:val="auto"/>
        </w:rPr>
      </w:pPr>
    </w:p>
    <w:p>
      <w:pPr>
        <w:jc w:val="both"/>
        <w:ind w:firstLine="1305"/>
        <w:spacing w:after="0" w:line="250" w:lineRule="auto"/>
        <w:tabs>
          <w:tab w:leader="none" w:pos="1818"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86" w:lineRule="exact"/>
        <w:rPr>
          <w:rFonts w:ascii="Arial" w:cs="Arial" w:eastAsia="Arial" w:hAnsi="Arial"/>
          <w:sz w:val="20"/>
          <w:szCs w:val="20"/>
          <w:color w:val="auto"/>
        </w:rPr>
      </w:pPr>
    </w:p>
    <w:p>
      <w:pPr>
        <w:ind w:firstLine="1305"/>
        <w:spacing w:after="0" w:line="260" w:lineRule="auto"/>
        <w:tabs>
          <w:tab w:leader="none" w:pos="1775" w:val="left"/>
        </w:tabs>
        <w:numPr>
          <w:ilvl w:val="0"/>
          <w:numId w:val="5"/>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76" w:lineRule="exact"/>
        <w:rPr>
          <w:rFonts w:ascii="Arial" w:cs="Arial" w:eastAsia="Arial" w:hAnsi="Arial"/>
          <w:sz w:val="20"/>
          <w:szCs w:val="20"/>
          <w:color w:val="auto"/>
        </w:rPr>
      </w:pPr>
    </w:p>
    <w:p>
      <w:pPr>
        <w:jc w:val="both"/>
        <w:ind w:firstLine="1305"/>
        <w:spacing w:after="0" w:line="263" w:lineRule="auto"/>
        <w:tabs>
          <w:tab w:leader="none" w:pos="171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STOCK OR CASH BASED AWARDS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9" w:name="page10"/>
    <w:bookmarkEnd w:id="9"/>
    <w:p>
      <w:pPr>
        <w:jc w:val="both"/>
        <w:spacing w:after="0" w:line="291" w:lineRule="auto"/>
        <w:rPr>
          <w:sz w:val="20"/>
          <w:szCs w:val="20"/>
          <w:color w:val="auto"/>
        </w:rPr>
      </w:pPr>
      <w:r>
        <w:rPr>
          <w:rFonts w:ascii="Arial" w:cs="Arial" w:eastAsia="Arial" w:hAnsi="Arial"/>
          <w:sz w:val="18"/>
          <w:szCs w:val="18"/>
          <w:color w:val="auto"/>
        </w:rPr>
        <w:t>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7" w:lineRule="exact"/>
        <w:rPr>
          <w:sz w:val="20"/>
          <w:szCs w:val="20"/>
          <w:color w:val="auto"/>
        </w:rPr>
      </w:pPr>
    </w:p>
    <w:p>
      <w:pPr>
        <w:jc w:val="both"/>
        <w:ind w:firstLine="1305"/>
        <w:spacing w:after="0" w:line="244" w:lineRule="auto"/>
        <w:tabs>
          <w:tab w:leader="none" w:pos="1696"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4" w:lineRule="exact"/>
        <w:rPr>
          <w:rFonts w:ascii="Arial" w:cs="Arial" w:eastAsia="Arial" w:hAnsi="Arial"/>
          <w:sz w:val="20"/>
          <w:szCs w:val="20"/>
          <w:color w:val="auto"/>
        </w:rPr>
      </w:pPr>
    </w:p>
    <w:p>
      <w:pPr>
        <w:ind w:right="20" w:firstLine="1305"/>
        <w:spacing w:after="0" w:line="260" w:lineRule="auto"/>
        <w:tabs>
          <w:tab w:leader="none" w:pos="1815"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6" w:lineRule="exact"/>
        <w:rPr>
          <w:rFonts w:ascii="Arial" w:cs="Arial" w:eastAsia="Arial" w:hAnsi="Arial"/>
          <w:sz w:val="20"/>
          <w:szCs w:val="20"/>
          <w:color w:val="auto"/>
        </w:rPr>
      </w:pPr>
    </w:p>
    <w:p>
      <w:pPr>
        <w:ind w:firstLine="1305"/>
        <w:spacing w:after="0" w:line="260" w:lineRule="auto"/>
        <w:tabs>
          <w:tab w:leader="none" w:pos="1696"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awards covering the stock of the successor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0" w:name="page11"/>
    <w:bookmarkEnd w:id="10"/>
    <w:p>
      <w:pPr>
        <w:ind w:right="20"/>
        <w:spacing w:after="0" w:line="260" w:lineRule="auto"/>
        <w:rPr>
          <w:sz w:val="20"/>
          <w:szCs w:val="20"/>
          <w:color w:val="auto"/>
        </w:rPr>
      </w:pPr>
      <w:r>
        <w:rPr>
          <w:rFonts w:ascii="Arial" w:cs="Arial" w:eastAsia="Arial" w:hAnsi="Arial"/>
          <w:sz w:val="20"/>
          <w:szCs w:val="20"/>
          <w:color w:val="auto"/>
        </w:rPr>
        <w:t>survivor corporation, or a parent or subsidiary thereof, with appropriate adjustments as to the number and kind of shares and/or applicable exercise or purchase price, in all cases, as determined by the Administrator;</w:t>
      </w:r>
    </w:p>
    <w:p>
      <w:pPr>
        <w:spacing w:after="0" w:line="177" w:lineRule="exact"/>
        <w:rPr>
          <w:sz w:val="20"/>
          <w:szCs w:val="20"/>
          <w:color w:val="auto"/>
        </w:rPr>
      </w:pPr>
    </w:p>
    <w:p>
      <w:pPr>
        <w:jc w:val="both"/>
        <w:ind w:firstLine="1305"/>
        <w:spacing w:after="0" w:line="246" w:lineRule="auto"/>
        <w:tabs>
          <w:tab w:leader="none" w:pos="1802"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91" w:lineRule="exact"/>
        <w:rPr>
          <w:rFonts w:ascii="Arial" w:cs="Arial" w:eastAsia="Arial" w:hAnsi="Arial"/>
          <w:sz w:val="20"/>
          <w:szCs w:val="20"/>
          <w:color w:val="auto"/>
        </w:rPr>
      </w:pPr>
    </w:p>
    <w:p>
      <w:pPr>
        <w:ind w:left="1700" w:hanging="395"/>
        <w:spacing w:after="0"/>
        <w:tabs>
          <w:tab w:leader="none" w:pos="1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and/or</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Non-Assumption</w:t>
      </w:r>
      <w:r>
        <w:rPr>
          <w:rFonts w:ascii="Arial" w:cs="Arial" w:eastAsia="Arial" w:hAnsi="Arial"/>
          <w:sz w:val="18"/>
          <w:szCs w:val="18"/>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Administrative Stand Still</w:t>
      </w:r>
      <w:r>
        <w:rPr>
          <w:rFonts w:ascii="Arial" w:cs="Arial" w:eastAsia="Arial" w:hAnsi="Arial"/>
          <w:sz w:val="20"/>
          <w:szCs w:val="20"/>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 APPLICABLE TO AWARDS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Transferability</w:t>
      </w:r>
      <w:r>
        <w:rPr>
          <w:rFonts w:ascii="Arial" w:cs="Arial" w:eastAsia="Arial" w:hAnsi="Arial"/>
          <w:sz w:val="20"/>
          <w:szCs w:val="20"/>
          <w:color w:val="auto"/>
        </w:rPr>
        <w:t>. Except as the Administrator may determine or provide in an Award Agreement or otherwise, Awards may not be sold, assigned, transferred, pledged or otherwise encumbered,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20"/>
          <w:szCs w:val="20"/>
          <w:color w:val="auto"/>
        </w:rPr>
        <w:t>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Documentation</w:t>
      </w:r>
      <w:r>
        <w:rPr>
          <w:rFonts w:ascii="Arial" w:cs="Arial" w:eastAsia="Arial" w:hAnsi="Arial"/>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Discretion</w:t>
      </w:r>
      <w:r>
        <w:rPr>
          <w:rFonts w:ascii="Arial" w:cs="Arial" w:eastAsia="Arial" w:hAnsi="Arial"/>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Termination of Status</w:t>
      </w:r>
      <w:r>
        <w:rPr>
          <w:rFonts w:ascii="Arial" w:cs="Arial" w:eastAsia="Arial" w:hAnsi="Arial"/>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Amendment of Award; Repricing</w:t>
      </w:r>
      <w:r>
        <w:rPr>
          <w:rFonts w:ascii="Arial" w:cs="Arial" w:eastAsia="Arial" w:hAnsi="Arial"/>
          <w:sz w:val="20"/>
          <w:szCs w:val="20"/>
          <w:color w:val="auto"/>
        </w:rPr>
        <w:t>. The Administrator may amend, modify or terminate any outstanding Award, including by substituting another Award of the same or a different type or changing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8"/>
          <w:szCs w:val="18"/>
          <w:color w:val="auto"/>
        </w:rPr>
        <w:t>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Acceleration</w:t>
      </w:r>
      <w:r>
        <w:rPr>
          <w:rFonts w:ascii="Arial" w:cs="Arial" w:eastAsia="Arial" w:hAnsi="Arial"/>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Action Required Upon Grant of Award</w:t>
      </w:r>
      <w:r>
        <w:rPr>
          <w:rFonts w:ascii="Arial" w:cs="Arial" w:eastAsia="Arial" w:hAnsi="Arial"/>
          <w:sz w:val="20"/>
          <w:szCs w:val="20"/>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 Right to Employment or Other Status</w:t>
      </w:r>
      <w:r>
        <w:rPr>
          <w:rFonts w:ascii="Arial" w:cs="Arial" w:eastAsia="Arial" w:hAnsi="Arial"/>
          <w:sz w:val="20"/>
          <w:szCs w:val="20"/>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3" w:name="page14"/>
    <w:bookmarkEnd w:id="13"/>
    <w:p>
      <w:pPr>
        <w:jc w:val="both"/>
        <w:ind w:right="20" w:firstLine="648"/>
        <w:spacing w:after="0" w:line="25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Effective Date and Term of Plan</w:t>
      </w:r>
      <w:r>
        <w:rPr>
          <w:rFonts w:ascii="Arial" w:cs="Arial" w:eastAsia="Arial" w:hAnsi="Arial"/>
          <w:sz w:val="20"/>
          <w:szCs w:val="20"/>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Stockholder Approval Not Required</w:t>
      </w:r>
      <w:r>
        <w:rPr>
          <w:rFonts w:ascii="Arial" w:cs="Arial" w:eastAsia="Arial" w:hAnsi="Arial"/>
          <w:sz w:val="18"/>
          <w:szCs w:val="18"/>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Amendment of Plan</w:t>
      </w:r>
      <w:r>
        <w:rPr>
          <w:rFonts w:ascii="Arial" w:cs="Arial" w:eastAsia="Arial" w:hAnsi="Arial"/>
          <w:sz w:val="20"/>
          <w:szCs w:val="20"/>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Provisions for Foreign Participants</w:t>
      </w:r>
      <w:r>
        <w:rPr>
          <w:rFonts w:ascii="Arial" w:cs="Arial" w:eastAsia="Arial" w:hAnsi="Arial"/>
          <w:sz w:val="19"/>
          <w:szCs w:val="19"/>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1" w:lineRule="auto"/>
        <w:tabs>
          <w:tab w:leader="none" w:pos="171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4" w:name="page15"/>
    <w:bookmarkEnd w:id="14"/>
    <w:p>
      <w:pPr>
        <w:jc w:val="both"/>
        <w:ind w:firstLine="1305"/>
        <w:spacing w:after="0" w:line="243" w:lineRule="auto"/>
        <w:tabs>
          <w:tab w:leader="none" w:pos="1707"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96" w:lineRule="exact"/>
        <w:rPr>
          <w:rFonts w:ascii="Arial" w:cs="Arial" w:eastAsia="Arial" w:hAnsi="Arial"/>
          <w:sz w:val="20"/>
          <w:szCs w:val="20"/>
          <w:color w:val="auto"/>
        </w:rPr>
      </w:pPr>
    </w:p>
    <w:p>
      <w:pPr>
        <w:jc w:val="both"/>
        <w:ind w:firstLine="1305"/>
        <w:spacing w:after="0" w:line="257" w:lineRule="auto"/>
        <w:tabs>
          <w:tab w:leader="none" w:pos="1777"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Payments to Specified Employees</w:t>
      </w:r>
      <w:r>
        <w:rPr>
          <w:rFonts w:ascii="Arial" w:cs="Arial" w:eastAsia="Arial" w:hAnsi="Arial"/>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Limitations on Liability</w:t>
      </w:r>
      <w:r>
        <w:rPr>
          <w:rFonts w:ascii="Arial" w:cs="Arial" w:eastAsia="Arial" w:hAnsi="Arial"/>
          <w:sz w:val="20"/>
          <w:szCs w:val="20"/>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Lock-Up Period</w:t>
      </w:r>
      <w:r>
        <w:rPr>
          <w:rFonts w:ascii="Arial" w:cs="Arial" w:eastAsia="Arial" w:hAnsi="Arial"/>
          <w:sz w:val="19"/>
          <w:szCs w:val="19"/>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Data Privacy</w:t>
      </w:r>
      <w:r>
        <w:rPr>
          <w:rFonts w:ascii="Arial" w:cs="Arial" w:eastAsia="Arial" w:hAnsi="Arial"/>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9"/>
          <w:szCs w:val="19"/>
          <w:color w:val="auto"/>
        </w:rPr>
        <w:t>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Governing Documents</w:t>
      </w:r>
      <w:r>
        <w:rPr>
          <w:rFonts w:ascii="Arial" w:cs="Arial" w:eastAsia="Arial" w:hAnsi="Arial"/>
          <w:sz w:val="19"/>
          <w:szCs w:val="19"/>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Claw-back Provisions</w:t>
      </w:r>
      <w:r>
        <w:rPr>
          <w:rFonts w:ascii="Arial" w:cs="Arial" w:eastAsia="Arial" w:hAnsi="Arial"/>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The titles and headings in the Plan are for convenience of reference only and, if any conflict, the Plan’s text, rather than such titles or headings, will control.</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Relationship to Other Benefits</w:t>
      </w:r>
      <w:r>
        <w:rPr>
          <w:rFonts w:ascii="Arial" w:cs="Arial" w:eastAsia="Arial" w:hAnsi="Arial"/>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words and phrases will have the following meanings: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Board or a Committee to the extent that the Board’s powers or authority under the Plan have been delegated to such Committee.</w:t>
      </w:r>
    </w:p>
    <w:p>
      <w:pPr>
        <w:spacing w:after="0" w:line="175" w:lineRule="exact"/>
        <w:rPr>
          <w:sz w:val="20"/>
          <w:szCs w:val="20"/>
          <w:color w:val="auto"/>
        </w:rPr>
      </w:pPr>
    </w:p>
    <w:p>
      <w:pPr>
        <w:jc w:val="both"/>
        <w:ind w:right="20" w:firstLine="648"/>
        <w:spacing w:after="0" w:line="32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or Other Stock or Cash Based Awards.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20"/>
          <w:szCs w:val="20"/>
          <w:b w:val="1"/>
          <w:bCs w:val="1"/>
          <w:i w:val="1"/>
          <w:iCs w:val="1"/>
          <w:color w:val="auto"/>
        </w:rPr>
        <w:t>Relevant Agreement</w:t>
      </w:r>
      <w:r>
        <w:rPr>
          <w:rFonts w:ascii="Arial" w:cs="Arial" w:eastAsia="Arial" w:hAnsi="Arial"/>
          <w:sz w:val="20"/>
          <w:szCs w:val="20"/>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17" w:name="page18"/>
    <w:bookmarkEnd w:id="17"/>
    <w:p>
      <w:pPr>
        <w:spacing w:after="0" w:line="289" w:lineRule="auto"/>
        <w:rPr>
          <w:sz w:val="20"/>
          <w:szCs w:val="20"/>
          <w:color w:val="auto"/>
        </w:rPr>
      </w:pPr>
      <w:r>
        <w:rPr>
          <w:rFonts w:ascii="Arial" w:cs="Arial" w:eastAsia="Arial" w:hAnsi="Arial"/>
          <w:sz w:val="20"/>
          <w:szCs w:val="20"/>
          <w:color w:val="auto"/>
        </w:rPr>
        <w:t>or (E) the Participant’s commission of an act of fraud, embezzlement, misappropriation, misconduct, or breach of fiduciary duty against the Company or any of its Subsidiaries.</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9" w:lineRule="exact"/>
        <w:rPr>
          <w:sz w:val="20"/>
          <w:szCs w:val="20"/>
          <w:color w:val="auto"/>
        </w:rPr>
      </w:pPr>
    </w:p>
    <w:p>
      <w:pPr>
        <w:jc w:val="both"/>
        <w:ind w:firstLine="1305"/>
        <w:spacing w:after="0" w:line="242" w:lineRule="auto"/>
        <w:tabs>
          <w:tab w:leader="none" w:pos="1858"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7" w:lineRule="exact"/>
        <w:rPr>
          <w:rFonts w:ascii="Arial" w:cs="Arial" w:eastAsia="Arial" w:hAnsi="Arial"/>
          <w:sz w:val="20"/>
          <w:szCs w:val="20"/>
          <w:color w:val="auto"/>
        </w:rPr>
      </w:pPr>
    </w:p>
    <w:p>
      <w:pPr>
        <w:jc w:val="both"/>
        <w:ind w:firstLine="1305"/>
        <w:spacing w:after="0" w:line="278" w:lineRule="auto"/>
        <w:tabs>
          <w:tab w:leader="none" w:pos="1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5" w:lineRule="exact"/>
        <w:rPr>
          <w:rFonts w:ascii="Arial" w:cs="Arial" w:eastAsia="Arial" w:hAnsi="Arial"/>
          <w:sz w:val="18"/>
          <w:szCs w:val="18"/>
          <w:color w:val="auto"/>
        </w:rPr>
      </w:pPr>
    </w:p>
    <w:p>
      <w:pPr>
        <w:jc w:val="both"/>
        <w:ind w:firstLine="1305"/>
        <w:spacing w:after="0" w:line="246" w:lineRule="auto"/>
        <w:tabs>
          <w:tab w:leader="none" w:pos="181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91" w:lineRule="exact"/>
        <w:rPr>
          <w:rFonts w:ascii="Arial" w:cs="Arial" w:eastAsia="Arial" w:hAnsi="Arial"/>
          <w:sz w:val="20"/>
          <w:szCs w:val="20"/>
          <w:color w:val="auto"/>
        </w:rPr>
      </w:pPr>
    </w:p>
    <w:p>
      <w:pPr>
        <w:jc w:val="both"/>
        <w:ind w:firstLine="1953"/>
        <w:spacing w:after="0" w:line="278" w:lineRule="auto"/>
        <w:tabs>
          <w:tab w:leader="none" w:pos="23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65" w:lineRule="exact"/>
        <w:rPr>
          <w:rFonts w:ascii="Arial" w:cs="Arial" w:eastAsia="Arial" w:hAnsi="Arial"/>
          <w:sz w:val="18"/>
          <w:szCs w:val="18"/>
          <w:color w:val="auto"/>
        </w:rPr>
      </w:pPr>
    </w:p>
    <w:p>
      <w:pPr>
        <w:jc w:val="both"/>
        <w:ind w:firstLine="1953"/>
        <w:spacing w:after="0" w:line="246" w:lineRule="auto"/>
        <w:tabs>
          <w:tab w:leader="none" w:pos="2434" w:val="left"/>
        </w:tabs>
        <w:numPr>
          <w:ilvl w:val="1"/>
          <w:numId w:val="10"/>
        </w:numPr>
        <w:rPr>
          <w:rFonts w:ascii="Arial" w:cs="Arial" w:eastAsia="Arial" w:hAnsi="Arial"/>
          <w:sz w:val="20"/>
          <w:szCs w:val="20"/>
          <w:color w:val="auto"/>
        </w:rPr>
      </w:pPr>
      <w:r>
        <w:rPr>
          <w:rFonts w:ascii="Arial" w:cs="Arial" w:eastAsia="Arial" w:hAnsi="Arial"/>
          <w:sz w:val="20"/>
          <w:szCs w:val="20"/>
          <w:color w:val="auto"/>
        </w:rPr>
        <w:t xml:space="preserve">after which no person or group beneficially owns voting securities representing 50% or more of the combined voting power of the Successor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9" w:right="239" w:bottom="1440" w:gutter="0" w:footer="0" w:header="0"/>
        </w:sectPr>
      </w:pPr>
    </w:p>
    <w:bookmarkStart w:id="18" w:name="page19"/>
    <w:bookmarkEnd w:id="18"/>
    <w:p>
      <w:pPr>
        <w:jc w:val="both"/>
        <w:ind w:firstLine="648"/>
        <w:spacing w:after="0" w:line="263" w:lineRule="auto"/>
        <w:rPr>
          <w:sz w:val="20"/>
          <w:szCs w:val="20"/>
          <w:color w:val="auto"/>
        </w:rPr>
      </w:pPr>
      <w:r>
        <w:rPr>
          <w:rFonts w:ascii="Arial" w:cs="Arial" w:eastAsia="Arial" w:hAnsi="Arial"/>
          <w:sz w:val="19"/>
          <w:szCs w:val="19"/>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Selecta Biosciences, Inc., a Delaware corporation, or any successor.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11.12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11.13 “</w:t>
      </w:r>
      <w:r>
        <w:rPr>
          <w:rFonts w:ascii="Arial" w:cs="Arial" w:eastAsia="Arial" w:hAnsi="Arial"/>
          <w:sz w:val="20"/>
          <w:szCs w:val="20"/>
          <w:b w:val="1"/>
          <w:bCs w:val="1"/>
          <w:i w:val="1"/>
          <w:iCs w:val="1"/>
          <w:color w:val="auto"/>
        </w:rPr>
        <w:t>Designated Beneficiary</w:t>
      </w:r>
      <w:r>
        <w:rPr>
          <w:rFonts w:ascii="Arial" w:cs="Arial" w:eastAsia="Arial" w:hAnsi="Arial"/>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11.16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means a right granted to a Participant under the Plan to receive the equivalent value (in cash or Shares) of dividends paid on Shares.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1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11.19 “</w:t>
      </w:r>
      <w:r>
        <w:rPr>
          <w:rFonts w:ascii="Arial" w:cs="Arial" w:eastAsia="Arial" w:hAnsi="Arial"/>
          <w:sz w:val="20"/>
          <w:szCs w:val="20"/>
          <w:b w:val="1"/>
          <w:bCs w:val="1"/>
          <w:i w:val="1"/>
          <w:iCs w:val="1"/>
          <w:color w:val="auto"/>
        </w:rPr>
        <w:t>Equity Restructuring</w:t>
      </w:r>
      <w:r>
        <w:rPr>
          <w:rFonts w:ascii="Arial" w:cs="Arial" w:eastAsia="Arial" w:hAnsi="Arial"/>
          <w:sz w:val="20"/>
          <w:szCs w:val="20"/>
          <w:color w:val="auto"/>
        </w:rPr>
        <w:t>” means a nonreciprocal transaction between the Company and its stockholders, such as a stock dividend, stock split, spin-off or recapitalization through a large, nonrecurring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20"/>
          <w:szCs w:val="20"/>
          <w:color w:val="auto"/>
        </w:rPr>
        <w:t>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11.23 “</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means a Director who qualifies as “independent” within the meaning of NASDAQ Rule 5635(c)(4), or any successor rule, as such rule may be amended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11.24 “</w:t>
      </w:r>
      <w:r>
        <w:rPr>
          <w:rFonts w:ascii="Arial" w:cs="Arial" w:eastAsia="Arial" w:hAnsi="Arial"/>
          <w:sz w:val="20"/>
          <w:szCs w:val="20"/>
          <w:b w:val="1"/>
          <w:bCs w:val="1"/>
          <w:i w:val="1"/>
          <w:iCs w:val="1"/>
          <w:color w:val="auto"/>
        </w:rPr>
        <w:t>NASDAQ Rule 5635(c)(4)</w:t>
      </w:r>
      <w:r>
        <w:rPr>
          <w:rFonts w:ascii="Arial" w:cs="Arial" w:eastAsia="Arial" w:hAnsi="Arial"/>
          <w:sz w:val="20"/>
          <w:szCs w:val="20"/>
          <w:color w:val="auto"/>
        </w:rPr>
        <w:t>” means NASDAQ Rule 5635(c)(4), or any successor rule, and all guidance and other interpretative authority thereunder, as such rule, guidance and other authority may be amended from time to time.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11.27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Overall Share Limit</w:t>
      </w:r>
      <w:r>
        <w:rPr>
          <w:rFonts w:ascii="Arial" w:cs="Arial" w:eastAsia="Arial" w:hAnsi="Arial"/>
          <w:sz w:val="16"/>
          <w:szCs w:val="16"/>
          <w:color w:val="auto"/>
        </w:rPr>
        <w:t>” means 1,175,000.</w:t>
      </w:r>
    </w:p>
    <w:p>
      <w:pPr>
        <w:spacing w:after="0" w:line="2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11.30 “</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8"/>
          <w:szCs w:val="18"/>
          <w:color w:val="auto"/>
        </w:rPr>
        <w:t>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2018 Employment Inducement Incentive Award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11.32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 subject to certain vesting conditions and other restrictions.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11.33 “</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11.35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all regulations, guidance, compliance programs and other interpretative authority thereunder.</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1" w:name="page22"/>
    <w:bookmarkEnd w:id="21"/>
    <w:p>
      <w:pPr>
        <w:jc w:val="both"/>
        <w:ind w:firstLine="648"/>
        <w:spacing w:after="0" w:line="246" w:lineRule="auto"/>
        <w:rPr>
          <w:sz w:val="20"/>
          <w:szCs w:val="20"/>
          <w:color w:val="auto"/>
        </w:rPr>
      </w:pPr>
      <w:r>
        <w:rPr>
          <w:rFonts w:ascii="Arial" w:cs="Arial" w:eastAsia="Arial" w:hAnsi="Arial"/>
          <w:sz w:val="20"/>
          <w:szCs w:val="20"/>
          <w:color w:val="auto"/>
        </w:rPr>
        <w:t>11.40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date the Participant ceases to be a Service Provider.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Restricted Stock Units described in this Grant Notice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subject to the terms and conditions of the Plan and the Restricted Stock Unit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Number of RSUs: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pacing w:after="0" w:line="162" w:lineRule="exact"/>
        <w:rPr>
          <w:sz w:val="20"/>
          <w:szCs w:val="20"/>
          <w:color w:val="auto"/>
        </w:rPr>
      </w:pPr>
    </w:p>
    <w:p>
      <w:pPr>
        <w:ind w:left="220"/>
        <w:spacing w:after="0"/>
        <w:tabs>
          <w:tab w:leader="none" w:pos="468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[To be specified in individual award agreements]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6" w:lineRule="auto"/>
        <w:tabs>
          <w:tab w:leader="none" w:pos="1723"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Each RSU represents the right to receive one Share or, at the option of the Company, an amount of cash, in either case, as set forth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Participant will have no right to the distribution of any Shares or payment of any cash until the time (if ever) the RSUs have vested.</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21"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20"/>
          <w:szCs w:val="20"/>
          <w:b w:val="1"/>
          <w:bCs w:val="1"/>
          <w:i w:val="1"/>
          <w:iCs w:val="1"/>
          <w:color w:val="auto"/>
        </w:rPr>
        <w:t>Dividend Equivalent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for each Dividend Equivalent and credit the Dividend Equivalent Account (without interest) on the applicable dividend payment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with the amount of any such cash paid.</w:t>
      </w:r>
    </w:p>
    <w:p>
      <w:pPr>
        <w:spacing w:after="0" w:line="19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and Dividend Equivalents will at all times prior to settlement represent an unsecured Company obligation payable only from the Company’s general assets.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ectPr>
          <w:pgSz w:w="11900" w:h="16838" w:orient="portrait"/>
          <w:cols w:equalWidth="0" w:num="1">
            <w:col w:w="11420"/>
          </w:cols>
          <w:pgMar w:left="240" w:top="337" w:right="239" w:bottom="1440" w:gutter="0" w:footer="0" w:header="0"/>
        </w:sectPr>
      </w:pPr>
    </w:p>
    <w:bookmarkStart w:id="24" w:name="page25"/>
    <w:bookmarkEnd w:id="24"/>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9" w:lineRule="auto"/>
        <w:tabs>
          <w:tab w:leader="none" w:pos="1737" w:val="left"/>
        </w:tabs>
        <w:numPr>
          <w:ilvl w:val="0"/>
          <w:numId w:val="12"/>
        </w:numPr>
        <w:rPr>
          <w:rFonts w:ascii="Arial" w:cs="Arial" w:eastAsia="Arial" w:hAnsi="Arial"/>
          <w:sz w:val="19"/>
          <w:szCs w:val="19"/>
          <w:color w:val="auto"/>
        </w:rPr>
      </w:pPr>
      <w:r>
        <w:rPr>
          <w:rFonts w:ascii="Arial" w:cs="Arial" w:eastAsia="Arial" w:hAnsi="Arial"/>
          <w:sz w:val="19"/>
          <w:szCs w:val="19"/>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8" w:lineRule="exact"/>
        <w:rPr>
          <w:rFonts w:ascii="Arial" w:cs="Arial" w:eastAsia="Arial" w:hAnsi="Arial"/>
          <w:sz w:val="19"/>
          <w:szCs w:val="19"/>
          <w:color w:val="auto"/>
        </w:rPr>
      </w:pPr>
    </w:p>
    <w:p>
      <w:pPr>
        <w:jc w:val="both"/>
        <w:ind w:firstLine="1305"/>
        <w:spacing w:after="0" w:line="246" w:lineRule="auto"/>
        <w:tabs>
          <w:tab w:leader="none" w:pos="1707"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0" w:lineRule="exact"/>
        <w:rPr>
          <w:rFonts w:ascii="Arial" w:cs="Arial" w:eastAsia="Arial" w:hAnsi="Arial"/>
          <w:sz w:val="19"/>
          <w:szCs w:val="19"/>
          <w:color w:val="auto"/>
        </w:rPr>
      </w:pPr>
    </w:p>
    <w:p>
      <w:pPr>
        <w:jc w:val="both"/>
        <w:ind w:firstLine="1305"/>
        <w:spacing w:after="0" w:line="259" w:lineRule="auto"/>
        <w:tabs>
          <w:tab w:leader="none" w:pos="1775" w:val="left"/>
        </w:tabs>
        <w:numPr>
          <w:ilvl w:val="0"/>
          <w:numId w:val="13"/>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and the Dividend Equivalents are subject to adjustment, modification and termination in certain events as provided in this Agreement and the Plan.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8"/>
          <w:szCs w:val="18"/>
          <w:color w:val="auto"/>
        </w:rPr>
        <w:t>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26" w:name="page27"/>
    <w:bookmarkEnd w:id="26"/>
    <w:p>
      <w:pPr>
        <w:spacing w:after="0" w:line="260" w:lineRule="auto"/>
        <w:rPr>
          <w:sz w:val="20"/>
          <w:szCs w:val="20"/>
          <w:color w:val="auto"/>
        </w:rPr>
      </w:pPr>
      <w:r>
        <w:rPr>
          <w:rFonts w:ascii="Arial" w:cs="Arial" w:eastAsia="Arial" w:hAnsi="Arial"/>
          <w:sz w:val="20"/>
          <w:szCs w:val="20"/>
          <w:color w:val="auto"/>
        </w:rPr>
        <w:t>whatsoever, with or without Cause, except to the extent expressly provided otherwise in a written agreement between the Company or a Subsidiary and Participant.</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366" w:right="2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Stock Option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stock option described in this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xml:space="preserve">”), subject to the terms and conditions of the Plan and the Stock Option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Exercise Price per Share: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Shares Subject to the Option: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Final Expiration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ectPr>
          <w:pgSz w:w="11900" w:h="16838" w:orient="portrait"/>
          <w:cols w:equalWidth="0" w:num="1">
            <w:col w:w="11420"/>
          </w:cols>
          <w:pgMar w:left="240" w:top="535" w:right="239" w:bottom="1440" w:gutter="0" w:footer="0" w:header="0"/>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900"/>
        <w:spacing w:after="0"/>
        <w:rPr>
          <w:sz w:val="20"/>
          <w:szCs w:val="20"/>
          <w:color w:val="auto"/>
        </w:rPr>
      </w:pPr>
      <w:r>
        <w:rPr>
          <w:rFonts w:ascii="Arial" w:cs="Arial" w:eastAsia="Arial" w:hAnsi="Arial"/>
          <w:sz w:val="18"/>
          <w:szCs w:val="18"/>
          <w:color w:val="auto"/>
        </w:rPr>
        <w:t>[To be specified in individual award agreements]</w:t>
      </w:r>
    </w:p>
    <w:p>
      <w:pPr>
        <w:spacing w:after="0" w:line="179"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Commencement of Exercisability</w:t>
      </w:r>
      <w:r>
        <w:rPr>
          <w:rFonts w:ascii="Arial" w:cs="Arial" w:eastAsia="Arial" w:hAnsi="Arial"/>
          <w:sz w:val="19"/>
          <w:szCs w:val="19"/>
          <w:color w:val="auto"/>
        </w:rPr>
        <w:t>. The Option will vest and become exercisable according to the vesting schedule in the Grant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9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ind w:left="1700" w:hanging="395"/>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final expiration date in the Grant Notice;</w:t>
      </w:r>
    </w:p>
    <w:p>
      <w:pPr>
        <w:spacing w:after="0" w:line="215" w:lineRule="exact"/>
        <w:rPr>
          <w:rFonts w:ascii="Arial" w:cs="Arial" w:eastAsia="Arial" w:hAnsi="Arial"/>
          <w:sz w:val="20"/>
          <w:szCs w:val="20"/>
          <w:color w:val="auto"/>
        </w:rPr>
      </w:pPr>
    </w:p>
    <w:p>
      <w:pPr>
        <w:ind w:right="20" w:firstLine="1305"/>
        <w:spacing w:after="0" w:line="316" w:lineRule="auto"/>
        <w:tabs>
          <w:tab w:leader="none" w:pos="17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30" w:lineRule="exact"/>
        <w:rPr>
          <w:rFonts w:ascii="Arial" w:cs="Arial" w:eastAsia="Arial" w:hAnsi="Arial"/>
          <w:sz w:val="18"/>
          <w:szCs w:val="18"/>
          <w:color w:val="auto"/>
        </w:rPr>
      </w:pPr>
    </w:p>
    <w:p>
      <w:pPr>
        <w:ind w:firstLine="1305"/>
        <w:spacing w:after="0" w:line="260" w:lineRule="auto"/>
        <w:tabs>
          <w:tab w:leader="none" w:pos="1845"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(1) year from the date of Participant’s Termination of Service by reason of Participant’s death or Disability;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Participant’s Termination of Service for Cause.</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50" w:lineRule="auto"/>
        <w:tabs>
          <w:tab w:leader="none" w:pos="1737"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1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589" w:right="239" w:bottom="1440" w:gutter="0" w:footer="0" w:header="0"/>
        </w:sectPr>
      </w:pPr>
    </w:p>
    <w:bookmarkStart w:id="30" w:name="page31"/>
    <w:bookmarkEnd w:id="30"/>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Arial" w:cs="Arial" w:eastAsia="Arial" w:hAnsi="Arial"/>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shares of Restricted Stock described in this Grant Notice (the “</w:t>
      </w:r>
      <w:r>
        <w:rPr>
          <w:rFonts w:ascii="Arial" w:cs="Arial" w:eastAsia="Arial" w:hAnsi="Arial"/>
          <w:sz w:val="20"/>
          <w:szCs w:val="20"/>
          <w:b w:val="1"/>
          <w:bCs w:val="1"/>
          <w:i w:val="1"/>
          <w:iCs w:val="1"/>
          <w:color w:val="auto"/>
        </w:rPr>
        <w:t>Restricted Shares</w:t>
      </w:r>
      <w:r>
        <w:rPr>
          <w:rFonts w:ascii="Arial" w:cs="Arial" w:eastAsia="Arial" w:hAnsi="Arial"/>
          <w:sz w:val="20"/>
          <w:szCs w:val="20"/>
          <w:color w:val="auto"/>
        </w:rPr>
        <w:t xml:space="preserve">”), subject to the terms and conditions of the Plan and the Restricted Stock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ectPr>
          <w:pgSz w:w="11900" w:h="16838" w:orient="portrait"/>
          <w:cols w:equalWidth="0" w:num="1">
            <w:col w:w="11420"/>
          </w:cols>
          <w:pgMar w:left="240" w:top="535" w:right="239" w:bottom="1440" w:gutter="0" w:footer="0" w:header="0"/>
        </w:sect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Number of Restricted Shares: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Commencement Date: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be specified in individual award agreements]</w:t>
      </w:r>
    </w:p>
    <w:p>
      <w:pPr>
        <w:spacing w:after="0" w:line="216"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Issuance of Restricted Shares</w:t>
      </w:r>
      <w:r>
        <w:rPr>
          <w:rFonts w:ascii="Arial" w:cs="Arial" w:eastAsia="Arial" w:hAnsi="Arial"/>
          <w:sz w:val="20"/>
          <w:szCs w:val="20"/>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Employment Inducement Award</w:t>
      </w:r>
      <w:r>
        <w:rPr>
          <w:rFonts w:ascii="Arial" w:cs="Arial" w:eastAsia="Arial" w:hAnsi="Arial"/>
          <w:sz w:val="18"/>
          <w:szCs w:val="18"/>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ESCROW</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Vesting</w:t>
      </w:r>
      <w:r>
        <w:rPr>
          <w:rFonts w:ascii="Arial" w:cs="Arial" w:eastAsia="Arial" w:hAnsi="Arial"/>
          <w:sz w:val="20"/>
          <w:szCs w:val="20"/>
          <w:color w:val="auto"/>
        </w:rPr>
        <w:t>. The Restricted Shares will become vested Shares (the “</w:t>
      </w:r>
      <w:r>
        <w:rPr>
          <w:rFonts w:ascii="Arial" w:cs="Arial" w:eastAsia="Arial" w:hAnsi="Arial"/>
          <w:sz w:val="20"/>
          <w:szCs w:val="20"/>
          <w:b w:val="1"/>
          <w:bCs w:val="1"/>
          <w:i w:val="1"/>
          <w:iCs w:val="1"/>
          <w:color w:val="auto"/>
        </w:rPr>
        <w:t>Vested Shares</w:t>
      </w:r>
      <w:r>
        <w:rPr>
          <w:rFonts w:ascii="Arial" w:cs="Arial" w:eastAsia="Arial" w:hAnsi="Arial"/>
          <w:sz w:val="20"/>
          <w:szCs w:val="20"/>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Forfeiture</w:t>
      </w:r>
      <w:r>
        <w:rPr>
          <w:rFonts w:ascii="Arial" w:cs="Arial" w:eastAsia="Arial" w:hAnsi="Arial"/>
          <w:sz w:val="20"/>
          <w:szCs w:val="20"/>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696" w:val="left"/>
        </w:tabs>
        <w:numPr>
          <w:ilvl w:val="0"/>
          <w:numId w:val="16"/>
        </w:numPr>
        <w:rPr>
          <w:rFonts w:ascii="Arial" w:cs="Arial" w:eastAsia="Arial" w:hAnsi="Arial"/>
          <w:sz w:val="20"/>
          <w:szCs w:val="20"/>
          <w:color w:val="auto"/>
        </w:rPr>
      </w:pPr>
      <w:r>
        <w:rPr>
          <w:rFonts w:ascii="Arial" w:cs="Arial" w:eastAsia="Arial" w:hAnsi="Arial"/>
          <w:sz w:val="20"/>
          <w:szCs w:val="20"/>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w:t>
      </w:r>
    </w:p>
    <w:p>
      <w:pPr>
        <w:sectPr>
          <w:pgSz w:w="11900" w:h="16838" w:orient="portrait"/>
          <w:cols w:equalWidth="0" w:num="1">
            <w:col w:w="11420"/>
          </w:cols>
          <w:pgMar w:left="240" w:top="337" w:right="239" w:bottom="1440" w:gutter="0" w:footer="0" w:header="0"/>
        </w:sectPr>
      </w:pPr>
    </w:p>
    <w:bookmarkStart w:id="33" w:name="page34"/>
    <w:bookmarkEnd w:id="33"/>
    <w:p>
      <w:pPr>
        <w:spacing w:after="0" w:line="260" w:lineRule="auto"/>
        <w:rPr>
          <w:sz w:val="20"/>
          <w:szCs w:val="20"/>
          <w:color w:val="auto"/>
        </w:rPr>
      </w:pPr>
      <w:r>
        <w:rPr>
          <w:rFonts w:ascii="Arial" w:cs="Arial" w:eastAsia="Arial" w:hAnsi="Arial"/>
          <w:sz w:val="20"/>
          <w:szCs w:val="20"/>
          <w:color w:val="auto"/>
        </w:rPr>
        <w:t>transfer. The Company, or its authorized representative, will not be liable for any good faith act or omission with respect to the holding in escrow or transfer of the Restricted Shares.</w:t>
      </w:r>
    </w:p>
    <w:p>
      <w:pPr>
        <w:spacing w:after="0" w:line="177" w:lineRule="exact"/>
        <w:rPr>
          <w:sz w:val="20"/>
          <w:szCs w:val="20"/>
          <w:color w:val="auto"/>
        </w:rPr>
      </w:pPr>
    </w:p>
    <w:p>
      <w:pPr>
        <w:jc w:val="both"/>
        <w:ind w:firstLine="1305"/>
        <w:spacing w:after="0" w:line="258" w:lineRule="auto"/>
        <w:tabs>
          <w:tab w:leader="none" w:pos="17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cash dividends and other distributions made or declared with respect to Unvested Shares (“</w:t>
      </w:r>
      <w:r>
        <w:rPr>
          <w:rFonts w:ascii="Arial" w:cs="Arial" w:eastAsia="Arial" w:hAnsi="Arial"/>
          <w:sz w:val="19"/>
          <w:szCs w:val="19"/>
          <w:b w:val="1"/>
          <w:bCs w:val="1"/>
          <w:i w:val="1"/>
          <w:iCs w:val="1"/>
          <w:color w:val="auto"/>
        </w:rPr>
        <w:t>Retained Distributions</w:t>
      </w:r>
      <w:r>
        <w:rPr>
          <w:rFonts w:ascii="Arial" w:cs="Arial" w:eastAsia="Arial" w:hAnsi="Arial"/>
          <w:sz w:val="19"/>
          <w:szCs w:val="19"/>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9"/>
          <w:szCs w:val="19"/>
          <w:b w:val="1"/>
          <w:bCs w:val="1"/>
          <w:i w:val="1"/>
          <w:iCs w:val="1"/>
          <w:color w:val="auto"/>
        </w:rPr>
        <w:t>Retained Distribution Account</w:t>
      </w:r>
      <w:r>
        <w:rPr>
          <w:rFonts w:ascii="Arial" w:cs="Arial" w:eastAsia="Arial" w:hAnsi="Arial"/>
          <w:sz w:val="19"/>
          <w:szCs w:val="19"/>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79" w:lineRule="exact"/>
        <w:rPr>
          <w:rFonts w:ascii="Arial" w:cs="Arial" w:eastAsia="Arial" w:hAnsi="Arial"/>
          <w:sz w:val="19"/>
          <w:szCs w:val="19"/>
          <w:color w:val="auto"/>
        </w:rPr>
      </w:pPr>
    </w:p>
    <w:p>
      <w:pPr>
        <w:jc w:val="both"/>
        <w:ind w:firstLine="1305"/>
        <w:spacing w:after="0" w:line="263" w:lineRule="auto"/>
        <w:tabs>
          <w:tab w:leader="none" w:pos="171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Section 83(b) Election</w:t>
      </w:r>
      <w:r>
        <w:rPr>
          <w:rFonts w:ascii="Arial" w:cs="Arial" w:eastAsia="Arial" w:hAnsi="Arial"/>
          <w:sz w:val="19"/>
          <w:szCs w:val="19"/>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70" w:lineRule="exact"/>
        <w:rPr>
          <w:rFonts w:ascii="Arial" w:cs="Arial" w:eastAsia="Arial" w:hAnsi="Arial"/>
          <w:sz w:val="19"/>
          <w:szCs w:val="19"/>
          <w:color w:val="auto"/>
        </w:rPr>
      </w:pPr>
    </w:p>
    <w:p>
      <w:pPr>
        <w:jc w:val="both"/>
        <w:ind w:firstLine="1305"/>
        <w:spacing w:after="0" w:line="243" w:lineRule="auto"/>
        <w:tabs>
          <w:tab w:leader="none" w:pos="1775"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TRANSFERABILITY</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Any certificate representing a Restricted Share will bear the following legend until the Restricted Share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Vested Share:</w:t>
      </w:r>
    </w:p>
    <w:p>
      <w:pPr>
        <w:spacing w:after="0" w:line="200"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Restricted Shares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589" w:right="239" w:bottom="1440" w:gutter="0" w:footer="0" w:header="0"/>
        </w:sectPr>
      </w:pPr>
    </w:p>
    <w:bookmarkStart w:id="35" w:name="page36"/>
    <w:bookmarkEnd w:id="35"/>
    <w:p>
      <w:pPr>
        <w:jc w:val="both"/>
        <w:ind w:firstLine="648"/>
        <w:spacing w:after="0" w:line="24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w:t>
      </w:r>
    </w:p>
    <w:p>
      <w:pPr>
        <w:spacing w:after="0" w:line="1" w:lineRule="exact"/>
        <w:rPr>
          <w:sz w:val="20"/>
          <w:szCs w:val="20"/>
          <w:color w:val="auto"/>
        </w:rPr>
      </w:pPr>
    </w:p>
    <w:p>
      <w:pPr>
        <w:ind w:firstLine="8"/>
        <w:spacing w:after="0" w:line="244" w:lineRule="auto"/>
        <w:tabs>
          <w:tab w:leader="none" w:pos="23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that are requirements for the application of such exemptive rule. To the extent Applicable Laws permit, this Agreement will be deemed amended as necessary to conform to such applicable exemptive rule.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366"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This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September 25, 2018, is made by and between Selecta Biosciences, Inc., a Delaware corporation (together with any successor thereto, the “</w:t>
      </w:r>
      <w:r>
        <w:rPr>
          <w:rFonts w:ascii="Arial" w:cs="Arial" w:eastAsia="Arial" w:hAnsi="Arial"/>
          <w:sz w:val="20"/>
          <w:szCs w:val="20"/>
          <w:u w:val="single" w:color="auto"/>
          <w:color w:val="auto"/>
        </w:rPr>
        <w:t>Company</w:t>
      </w:r>
      <w:r>
        <w:rPr>
          <w:rFonts w:ascii="Arial" w:cs="Arial" w:eastAsia="Arial" w:hAnsi="Arial"/>
          <w:sz w:val="20"/>
          <w:szCs w:val="20"/>
          <w:color w:val="auto"/>
        </w:rPr>
        <w:t>”), and Carsten Brunn, Ph.D. (“</w:t>
      </w:r>
      <w:r>
        <w:rPr>
          <w:rFonts w:ascii="Arial" w:cs="Arial" w:eastAsia="Arial" w:hAnsi="Arial"/>
          <w:sz w:val="20"/>
          <w:szCs w:val="20"/>
          <w:u w:val="single" w:color="auto"/>
          <w:color w:val="auto"/>
        </w:rPr>
        <w:t>Executive</w:t>
      </w:r>
      <w:r>
        <w:rPr>
          <w:rFonts w:ascii="Arial" w:cs="Arial" w:eastAsia="Arial" w:hAnsi="Arial"/>
          <w:sz w:val="20"/>
          <w:szCs w:val="20"/>
          <w:color w:val="auto"/>
        </w:rPr>
        <w:t>”) (collectively referred to as the “</w:t>
      </w:r>
      <w:r>
        <w:rPr>
          <w:rFonts w:ascii="Arial" w:cs="Arial" w:eastAsia="Arial" w:hAnsi="Arial"/>
          <w:sz w:val="20"/>
          <w:szCs w:val="20"/>
          <w:u w:val="single" w:color="auto"/>
          <w:color w:val="auto"/>
        </w:rPr>
        <w:t>Parties</w:t>
      </w:r>
      <w:r>
        <w:rPr>
          <w:rFonts w:ascii="Arial" w:cs="Arial" w:eastAsia="Arial" w:hAnsi="Arial"/>
          <w:sz w:val="20"/>
          <w:szCs w:val="20"/>
          <w:color w:val="auto"/>
        </w:rPr>
        <w:t>” or individually referred to as a “</w:t>
      </w:r>
      <w:r>
        <w:rPr>
          <w:rFonts w:ascii="Arial" w:cs="Arial" w:eastAsia="Arial" w:hAnsi="Arial"/>
          <w:sz w:val="20"/>
          <w:szCs w:val="20"/>
          <w:u w:val="single" w:color="auto"/>
          <w:color w:val="auto"/>
        </w:rPr>
        <w:t>Party</w:t>
      </w:r>
      <w:r>
        <w:rPr>
          <w:rFonts w:ascii="Arial" w:cs="Arial" w:eastAsia="Arial" w:hAnsi="Arial"/>
          <w:sz w:val="20"/>
          <w:szCs w:val="20"/>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ind w:left="660" w:right="600" w:hanging="652"/>
        <w:spacing w:after="0" w:line="287" w:lineRule="auto"/>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It is the desire of the Company to avail itself of the services of Executive commencing on or about December 1, 2018 (the “</w:t>
      </w:r>
      <w:r>
        <w:rPr>
          <w:rFonts w:ascii="Arial" w:cs="Arial" w:eastAsia="Arial" w:hAnsi="Arial"/>
          <w:sz w:val="19"/>
          <w:szCs w:val="19"/>
          <w:u w:val="single" w:color="auto"/>
          <w:color w:val="auto"/>
        </w:rPr>
        <w:t>Start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subject to the issuance to Executive of all required work permits, by entering into this Agreement.</w:t>
      </w:r>
    </w:p>
    <w:p>
      <w:pPr>
        <w:spacing w:after="0" w:line="152" w:lineRule="exact"/>
        <w:rPr>
          <w:rFonts w:ascii="Arial" w:cs="Arial" w:eastAsia="Arial" w:hAnsi="Arial"/>
          <w:sz w:val="19"/>
          <w:szCs w:val="19"/>
          <w:color w:val="auto"/>
        </w:rPr>
      </w:pPr>
    </w:p>
    <w:p>
      <w:pPr>
        <w:ind w:left="660" w:hanging="652"/>
        <w:spacing w:after="0"/>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Executive and the Company mutually desire that Executive provide services to the Company on the terms herein provided.</w:t>
      </w:r>
    </w:p>
    <w:p>
      <w:pPr>
        <w:spacing w:after="0" w:line="221" w:lineRule="exact"/>
        <w:rPr>
          <w:rFonts w:ascii="Arial" w:cs="Arial" w:eastAsia="Arial" w:hAnsi="Arial"/>
          <w:sz w:val="19"/>
          <w:szCs w:val="19"/>
          <w:color w:val="auto"/>
        </w:rPr>
      </w:pPr>
    </w:p>
    <w:p>
      <w:pPr>
        <w:ind w:left="5060"/>
        <w:spacing w:after="0"/>
        <w:rPr>
          <w:rFonts w:ascii="Arial" w:cs="Arial" w:eastAsia="Arial" w:hAnsi="Arial"/>
          <w:sz w:val="19"/>
          <w:szCs w:val="19"/>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NOW, THEREFORE, in consideration of the foregoing and of the respective covenants and agreements set forth below, the Parties hereto agree as follows:</w:t>
      </w:r>
    </w:p>
    <w:p>
      <w:pPr>
        <w:spacing w:after="0" w:line="184" w:lineRule="exact"/>
        <w:rPr>
          <w:sz w:val="20"/>
          <w:szCs w:val="20"/>
          <w:color w:val="auto"/>
        </w:rPr>
      </w:pPr>
    </w:p>
    <w:p>
      <w:pPr>
        <w:ind w:left="800" w:hanging="792"/>
        <w:spacing w:after="0"/>
        <w:tabs>
          <w:tab w:leader="none" w:pos="8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b w:val="1"/>
          <w:bCs w:val="1"/>
          <w:color w:val="auto"/>
        </w:rPr>
      </w:pPr>
    </w:p>
    <w:p>
      <w:pPr>
        <w:ind w:firstLine="656"/>
        <w:spacing w:after="0" w:line="278" w:lineRule="auto"/>
        <w:tabs>
          <w:tab w:leader="none" w:pos="1516" w:val="left"/>
        </w:tabs>
        <w:numPr>
          <w:ilvl w:val="1"/>
          <w:numId w:val="21"/>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xml:space="preserve">. Effective on the Start Date and subject to the issuance to Executive of all required work permits, the Company shall employ Executive and Executive shall be employed by the Company, for the period and in the positions set forth in this </w:t>
      </w:r>
      <w:r>
        <w:rPr>
          <w:rFonts w:ascii="Arial" w:cs="Arial" w:eastAsia="Arial" w:hAnsi="Arial"/>
          <w:sz w:val="20"/>
          <w:szCs w:val="20"/>
          <w:u w:val="single" w:color="auto"/>
          <w:color w:val="auto"/>
        </w:rPr>
        <w:t>Section 1</w:t>
      </w:r>
      <w:r>
        <w:rPr>
          <w:rFonts w:ascii="Arial" w:cs="Arial" w:eastAsia="Arial" w:hAnsi="Arial"/>
          <w:sz w:val="20"/>
          <w:szCs w:val="20"/>
          <w:color w:val="auto"/>
        </w:rPr>
        <w:t>, and subject to the other terms and conditions herein provided.</w:t>
      </w:r>
    </w:p>
    <w:p>
      <w:pPr>
        <w:spacing w:after="0" w:line="186" w:lineRule="exact"/>
        <w:rPr>
          <w:rFonts w:ascii="Arial" w:cs="Arial" w:eastAsia="Arial" w:hAnsi="Arial"/>
          <w:sz w:val="20"/>
          <w:szCs w:val="20"/>
          <w:color w:val="auto"/>
        </w:rPr>
      </w:pPr>
    </w:p>
    <w:p>
      <w:pPr>
        <w:ind w:left="1540" w:hanging="884"/>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shall continue to be</w:t>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 xml:space="preserve">at-will, as defined under applicable law, and that Executive’s employment with the Company may be terminated by either Party at any time for any or no reason (subject to the notice requirements of </w:t>
      </w:r>
      <w:r>
        <w:rPr>
          <w:rFonts w:ascii="Arial" w:cs="Arial" w:eastAsia="Arial" w:hAnsi="Arial"/>
          <w:sz w:val="20"/>
          <w:szCs w:val="20"/>
          <w:u w:val="single" w:color="auto"/>
          <w:color w:val="auto"/>
        </w:rPr>
        <w:t>Section 3(b)</w:t>
      </w:r>
      <w:r>
        <w:rPr>
          <w:rFonts w:ascii="Arial" w:cs="Arial" w:eastAsia="Arial" w:hAnsi="Arial"/>
          <w:sz w:val="20"/>
          <w:szCs w:val="20"/>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shall commence on the Start Date and end on the date this Agreement is terminated under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194" w:lineRule="exact"/>
        <w:rPr>
          <w:sz w:val="20"/>
          <w:szCs w:val="20"/>
          <w:color w:val="auto"/>
        </w:rPr>
      </w:pPr>
    </w:p>
    <w:p>
      <w:pPr>
        <w:ind w:right="20" w:firstLine="656"/>
        <w:spacing w:after="0" w:line="304" w:lineRule="auto"/>
        <w:tabs>
          <w:tab w:leader="none" w:pos="151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 shall serve as the President and Chief Executive Officer of the Company with such responsibilities, duties and authority normally associated with such positions and as may from time to time be reasonably assigned to Executive by the Board of Directors of the Company or an authorized committee thereof (in either case, the “</w:t>
      </w:r>
      <w:r>
        <w:rPr>
          <w:rFonts w:ascii="Arial" w:cs="Arial" w:eastAsia="Arial" w:hAnsi="Arial"/>
          <w:sz w:val="18"/>
          <w:szCs w:val="18"/>
          <w:u w:val="single" w:color="auto"/>
          <w:color w:val="auto"/>
        </w:rPr>
        <w:t>Board</w:t>
      </w:r>
      <w:r>
        <w:rPr>
          <w:rFonts w:ascii="Arial" w:cs="Arial" w:eastAsia="Arial" w:hAnsi="Arial"/>
          <w:sz w:val="18"/>
          <w:szCs w:val="18"/>
          <w:color w:val="auto"/>
        </w:rPr>
        <w:t>”).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to the extent such activities do not materially interfere with the performance of Executive’s duties and responsibilities under this Agreement or violate the terms of the Employee Nondisclosure, Noncompetition and Assignment of Intellectual Property Agreement attached as Exhibit B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Executive agrees to observe and comply with the rules and policies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1</w:t>
      </w:r>
    </w:p>
    <w:p>
      <w:pPr>
        <w:sectPr>
          <w:pgSz w:w="11900" w:h="16838" w:orient="portrait"/>
          <w:cols w:equalWidth="0" w:num="1">
            <w:col w:w="11420"/>
          </w:cols>
          <w:pgMar w:left="240" w:top="576" w:right="239" w:bottom="1440" w:gutter="0" w:footer="0" w:header="0"/>
        </w:sectPr>
      </w:pPr>
    </w:p>
    <w:bookmarkStart w:id="37" w:name="page38"/>
    <w:bookmarkEnd w:id="37"/>
    <w:p>
      <w:pPr>
        <w:ind w:right="560"/>
        <w:spacing w:after="0" w:line="289" w:lineRule="auto"/>
        <w:rPr>
          <w:sz w:val="20"/>
          <w:szCs w:val="20"/>
          <w:color w:val="auto"/>
        </w:rPr>
      </w:pPr>
      <w:r>
        <w:rPr>
          <w:rFonts w:ascii="Arial" w:cs="Arial" w:eastAsia="Arial" w:hAnsi="Arial"/>
          <w:sz w:val="20"/>
          <w:szCs w:val="20"/>
          <w:color w:val="auto"/>
        </w:rPr>
        <w:t>of the Company as adopted by the Company from time to time, in each case as amended from time to time, as set forth in writing, and as delivered or made available to Executive (each, a “</w:t>
      </w:r>
      <w:r>
        <w:rPr>
          <w:rFonts w:ascii="Arial" w:cs="Arial" w:eastAsia="Arial" w:hAnsi="Arial"/>
          <w:sz w:val="20"/>
          <w:szCs w:val="20"/>
          <w:u w:val="single" w:color="auto"/>
          <w:color w:val="auto"/>
        </w:rPr>
        <w:t>Policy</w:t>
      </w:r>
      <w:r>
        <w:rPr>
          <w:rFonts w:ascii="Arial" w:cs="Arial" w:eastAsia="Arial" w:hAnsi="Arial"/>
          <w:sz w:val="20"/>
          <w:szCs w:val="20"/>
          <w:color w:val="auto"/>
        </w:rPr>
        <w:t>”).</w:t>
      </w:r>
    </w:p>
    <w:p>
      <w:pPr>
        <w:spacing w:after="0" w:line="169" w:lineRule="exact"/>
        <w:rPr>
          <w:sz w:val="20"/>
          <w:szCs w:val="20"/>
          <w:color w:val="auto"/>
        </w:rPr>
      </w:pPr>
    </w:p>
    <w:p>
      <w:pPr>
        <w:ind w:left="800" w:hanging="792"/>
        <w:spacing w:after="0"/>
        <w:tabs>
          <w:tab w:leader="none" w:pos="8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Related Matters</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b w:val="1"/>
          <w:bCs w:val="1"/>
          <w:color w:val="auto"/>
        </w:rPr>
      </w:pPr>
    </w:p>
    <w:p>
      <w:pPr>
        <w:ind w:right="40" w:firstLine="656"/>
        <w:spacing w:after="0" w:line="274" w:lineRule="auto"/>
        <w:tabs>
          <w:tab w:leader="none" w:pos="151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Annual Base Salary</w:t>
      </w:r>
      <w:r>
        <w:rPr>
          <w:rFonts w:ascii="Arial" w:cs="Arial" w:eastAsia="Arial" w:hAnsi="Arial"/>
          <w:sz w:val="20"/>
          <w:szCs w:val="20"/>
          <w:color w:val="auto"/>
        </w:rPr>
        <w:t>. During the Term, Executive shall receive a base salary at a rate of$550,000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Arial" w:cs="Arial" w:eastAsia="Arial" w:hAnsi="Arial"/>
          <w:sz w:val="20"/>
          <w:szCs w:val="20"/>
          <w:u w:val="single" w:color="auto"/>
          <w:color w:val="auto"/>
        </w:rPr>
        <w:t>Annual Base Salary</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right="40" w:firstLine="656"/>
        <w:spacing w:after="0" w:line="307" w:lineRule="auto"/>
        <w:tabs>
          <w:tab w:leader="none" w:pos="1527"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Beginning with 2019 and otherwise during the Term, Executive will be eligible to participate in an annual incentive program established by the Board. Executive’s annual incentive compensation under such incentive program (the “</w:t>
      </w:r>
      <w:r>
        <w:rPr>
          <w:rFonts w:ascii="Arial" w:cs="Arial" w:eastAsia="Arial" w:hAnsi="Arial"/>
          <w:sz w:val="18"/>
          <w:szCs w:val="18"/>
          <w:u w:val="single" w:color="auto"/>
          <w:color w:val="auto"/>
        </w:rPr>
        <w:t>Annual Bonus</w:t>
      </w:r>
      <w:r>
        <w:rPr>
          <w:rFonts w:ascii="Arial" w:cs="Arial" w:eastAsia="Arial" w:hAnsi="Arial"/>
          <w:sz w:val="18"/>
          <w:szCs w:val="18"/>
          <w:color w:val="auto"/>
        </w:rPr>
        <w:t>”) shall be targeted at 50% of Executive’s Annual Base Salary (the “</w:t>
      </w:r>
      <w:r>
        <w:rPr>
          <w:rFonts w:ascii="Arial" w:cs="Arial" w:eastAsia="Arial" w:hAnsi="Arial"/>
          <w:sz w:val="18"/>
          <w:szCs w:val="18"/>
          <w:u w:val="single" w:color="auto"/>
          <w:color w:val="auto"/>
        </w:rPr>
        <w:t>Target Bonus</w:t>
      </w:r>
      <w:r>
        <w:rPr>
          <w:rFonts w:ascii="Arial" w:cs="Arial" w:eastAsia="Arial" w:hAnsi="Arial"/>
          <w:sz w:val="18"/>
          <w:szCs w:val="18"/>
          <w:color w:val="auto"/>
        </w:rPr>
        <w:t>”). The Annual Bonus payable under the incentive program shall be based on the achievement of performance goals to be determined by the Board. For the portion of 2018 during which Executive is employed, Executive will be eligible to receive a discretionary bonus in an amount to be determined by the Board. The payment of any Annual Bonus will be made on or before March 15 of the year following the calendar year in which such Annual Bonus is earned.</w:t>
      </w:r>
    </w:p>
    <w:p>
      <w:pPr>
        <w:spacing w:after="0" w:line="180" w:lineRule="exact"/>
        <w:rPr>
          <w:rFonts w:ascii="Arial" w:cs="Arial" w:eastAsia="Arial" w:hAnsi="Arial"/>
          <w:sz w:val="18"/>
          <w:szCs w:val="18"/>
          <w:color w:val="auto"/>
        </w:rPr>
      </w:pPr>
    </w:p>
    <w:p>
      <w:pPr>
        <w:jc w:val="both"/>
        <w:ind w:right="140" w:firstLine="656"/>
        <w:spacing w:after="0" w:line="274" w:lineRule="auto"/>
        <w:tabs>
          <w:tab w:leader="none" w:pos="151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of this Agreement.</w:t>
      </w:r>
    </w:p>
    <w:p>
      <w:pPr>
        <w:spacing w:after="0" w:line="205" w:lineRule="exact"/>
        <w:rPr>
          <w:rFonts w:ascii="Arial" w:cs="Arial" w:eastAsia="Arial" w:hAnsi="Arial"/>
          <w:sz w:val="20"/>
          <w:szCs w:val="20"/>
          <w:color w:val="auto"/>
        </w:rPr>
      </w:pPr>
    </w:p>
    <w:p>
      <w:pPr>
        <w:jc w:val="both"/>
        <w:ind w:firstLine="656"/>
        <w:spacing w:after="0" w:line="274" w:lineRule="auto"/>
        <w:tabs>
          <w:tab w:leader="none" w:pos="1527"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Term, Executive shall be entitled to accrue four weeks of paid vacation per year in accordance with the Company’s Policies. Vacation days accrued, but not used by the end of the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205" w:lineRule="exact"/>
        <w:rPr>
          <w:rFonts w:ascii="Arial" w:cs="Arial" w:eastAsia="Arial" w:hAnsi="Arial"/>
          <w:sz w:val="20"/>
          <w:szCs w:val="20"/>
          <w:color w:val="auto"/>
        </w:rPr>
      </w:pPr>
    </w:p>
    <w:p>
      <w:pPr>
        <w:ind w:right="260" w:firstLine="656"/>
        <w:spacing w:after="0" w:line="278" w:lineRule="auto"/>
        <w:tabs>
          <w:tab w:leader="none" w:pos="1516"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200" w:lineRule="exact"/>
        <w:rPr>
          <w:rFonts w:ascii="Arial" w:cs="Arial" w:eastAsia="Arial" w:hAnsi="Arial"/>
          <w:sz w:val="20"/>
          <w:szCs w:val="20"/>
          <w:color w:val="auto"/>
        </w:rPr>
      </w:pPr>
    </w:p>
    <w:p>
      <w:pPr>
        <w:ind w:right="80" w:firstLine="656"/>
        <w:spacing w:after="0" w:line="352" w:lineRule="auto"/>
        <w:tabs>
          <w:tab w:leader="none" w:pos="1494"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Key Person Insurance</w:t>
      </w:r>
      <w:r>
        <w:rPr>
          <w:rFonts w:ascii="Arial" w:cs="Arial" w:eastAsia="Arial" w:hAnsi="Arial"/>
          <w:sz w:val="16"/>
          <w:szCs w:val="16"/>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36" w:lineRule="exact"/>
        <w:rPr>
          <w:rFonts w:ascii="Arial" w:cs="Arial" w:eastAsia="Arial" w:hAnsi="Arial"/>
          <w:sz w:val="16"/>
          <w:szCs w:val="16"/>
          <w:color w:val="auto"/>
        </w:rPr>
      </w:pPr>
    </w:p>
    <w:p>
      <w:pPr>
        <w:ind w:right="80" w:firstLine="656"/>
        <w:spacing w:after="0" w:line="250" w:lineRule="auto"/>
        <w:tabs>
          <w:tab w:leader="none" w:pos="1077" w:val="left"/>
        </w:tabs>
        <w:numPr>
          <w:ilvl w:val="1"/>
          <w:numId w:val="23"/>
        </w:numPr>
        <w:rPr>
          <w:rFonts w:ascii="Arial" w:cs="Arial" w:eastAsia="Arial" w:hAnsi="Arial"/>
          <w:sz w:val="20"/>
          <w:szCs w:val="20"/>
          <w:color w:val="auto"/>
        </w:rPr>
      </w:pPr>
      <w:r>
        <w:rPr>
          <w:rFonts w:ascii="Arial" w:cs="Arial" w:eastAsia="Arial" w:hAnsi="Arial"/>
          <w:sz w:val="20"/>
          <w:szCs w:val="20"/>
          <w:u w:val="single" w:color="auto"/>
          <w:color w:val="auto"/>
        </w:rPr>
        <w:t>Equity Awards</w:t>
      </w:r>
      <w:r>
        <w:rPr>
          <w:rFonts w:ascii="Arial" w:cs="Arial" w:eastAsia="Arial" w:hAnsi="Arial"/>
          <w:sz w:val="20"/>
          <w:szCs w:val="20"/>
          <w:color w:val="auto"/>
        </w:rPr>
        <w:t>. No later than the first regularly scheduled meeting of the Board following the Start Date and subject to the approval of the Board, Executive will be granted (i) an option to purchase 1,000,000 shares of common stock of the Company with an exercise price per share equal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828282"/>
        </w:rPr>
        <w:t>2</w:t>
      </w:r>
    </w:p>
    <w:p>
      <w:pPr>
        <w:sectPr>
          <w:pgSz w:w="11900" w:h="16838" w:orient="portrait"/>
          <w:cols w:equalWidth="0" w:num="1">
            <w:col w:w="11400"/>
          </w:cols>
          <w:pgMar w:left="240" w:top="595" w:right="259" w:bottom="1440" w:gutter="0" w:footer="0" w:header="0"/>
        </w:sectPr>
      </w:pPr>
    </w:p>
    <w:bookmarkStart w:id="38" w:name="page39"/>
    <w:bookmarkEnd w:id="38"/>
    <w:p>
      <w:pPr>
        <w:spacing w:after="0" w:line="258" w:lineRule="auto"/>
        <w:rPr>
          <w:sz w:val="20"/>
          <w:szCs w:val="20"/>
          <w:color w:val="auto"/>
        </w:rPr>
      </w:pPr>
      <w:r>
        <w:rPr>
          <w:rFonts w:ascii="Arial" w:cs="Arial" w:eastAsia="Arial" w:hAnsi="Arial"/>
          <w:sz w:val="19"/>
          <w:szCs w:val="19"/>
          <w:color w:val="auto"/>
        </w:rPr>
        <w:t>the closing price per share of the Company’s common stock on the date of grant or the last trading day preceding the date of grant if the date of grant is not a trading day (the “</w:t>
      </w:r>
      <w:r>
        <w:rPr>
          <w:rFonts w:ascii="Arial" w:cs="Arial" w:eastAsia="Arial" w:hAnsi="Arial"/>
          <w:sz w:val="19"/>
          <w:szCs w:val="19"/>
          <w:u w:val="single" w:color="auto"/>
          <w:color w:val="auto"/>
        </w:rPr>
        <w:t>Option</w:t>
      </w:r>
      <w:r>
        <w:rPr>
          <w:rFonts w:ascii="Arial" w:cs="Arial" w:eastAsia="Arial" w:hAnsi="Arial"/>
          <w:sz w:val="19"/>
          <w:szCs w:val="19"/>
          <w:color w:val="auto"/>
        </w:rPr>
        <w:t>”) and (ii) 175,000 restricted stock units covering shares of the Company’s common stock (the “</w:t>
      </w:r>
      <w:r>
        <w:rPr>
          <w:rFonts w:ascii="Arial" w:cs="Arial" w:eastAsia="Arial" w:hAnsi="Arial"/>
          <w:sz w:val="19"/>
          <w:szCs w:val="19"/>
          <w:u w:val="single" w:color="auto"/>
          <w:color w:val="auto"/>
        </w:rPr>
        <w:t>RSUs</w:t>
      </w:r>
      <w:r>
        <w:rPr>
          <w:rFonts w:ascii="Arial" w:cs="Arial" w:eastAsia="Arial" w:hAnsi="Arial"/>
          <w:sz w:val="19"/>
          <w:szCs w:val="19"/>
          <w:color w:val="auto"/>
        </w:rPr>
        <w:t>”). Subject to Executive’s continued employment by the Company, the Option and RSUs shall vest over a four-year period, with 25% vesting on the first anniversary of the Start Date and the remaining 75% vesting, with respect to the Option, in 36 equal monthly installments following the first anniversary of the Start Date or, with respect to the RSUs, in 12 equal installments occurring every three months following the first anniversary of the Start Date. The Option and the RSUs will be subject to the terms of the Company’s incentive award plan under which they are granted and the award agreements evidencing the awards.</w:t>
      </w:r>
    </w:p>
    <w:p>
      <w:pPr>
        <w:spacing w:after="0" w:line="17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Signing Bonus and Relocation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60" w:right="80" w:firstLine="645"/>
        <w:spacing w:after="0" w:line="278" w:lineRule="auto"/>
        <w:tabs>
          <w:tab w:leader="none" w:pos="2143" w:val="left"/>
        </w:tabs>
        <w:numPr>
          <w:ilvl w:val="1"/>
          <w:numId w:val="24"/>
        </w:numPr>
        <w:rPr>
          <w:rFonts w:ascii="Arial" w:cs="Arial" w:eastAsia="Arial" w:hAnsi="Arial"/>
          <w:sz w:val="20"/>
          <w:szCs w:val="20"/>
          <w:color w:val="auto"/>
        </w:rPr>
      </w:pPr>
      <w:r>
        <w:rPr>
          <w:rFonts w:ascii="Arial" w:cs="Arial" w:eastAsia="Arial" w:hAnsi="Arial"/>
          <w:sz w:val="20"/>
          <w:szCs w:val="20"/>
          <w:color w:val="auto"/>
        </w:rPr>
        <w:t>Executive shall receive a single lump-sum cash payment in an amount equal to $75,000, payable at the same time as Executive’s first regularly scheduled Company paycheck, subject to and conditioned upon Executive’s continued employment through the payment date (the “</w:t>
      </w:r>
      <w:r>
        <w:rPr>
          <w:rFonts w:ascii="Arial" w:cs="Arial" w:eastAsia="Arial" w:hAnsi="Arial"/>
          <w:sz w:val="20"/>
          <w:szCs w:val="20"/>
          <w:u w:val="single" w:color="auto"/>
          <w:color w:val="auto"/>
        </w:rPr>
        <w:t>Signing Bonus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ind w:left="660" w:right="40" w:firstLine="645"/>
        <w:spacing w:after="0" w:line="299" w:lineRule="auto"/>
        <w:tabs>
          <w:tab w:leader="none" w:pos="21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parties acknowledge that the Company’s principal place of business is currently in Watertown, Massachusetts and Executive’s primary residence is currently outside the greater Boston, Massachusetts area. Executive agrees to relocate his primary residence to the greater Boston, Massachusetts area within seven months after the Start Date. For the avoidance of doubt, Executive’s failure to relocate his primary residence to the greater Boston, Massachusetts area within seven months after the Start Date will constitute a breach of a material provision of this Agreement that entitles the Company to terminate Executive’s employment for Cause (as defined below) without the requirement that Executive be provided written notice of, or an opportunity to cure, such breach. Until Executive relocates to the greater Boston, Massachusetts area, Executive will be permitted from time to time to perform his obligations under this Agreement remotely, provided that Executive will spend such time at the Company’s principal place of business in Watertown, Massachusetts as the Board determines is reasonably necessary or appropriate for Executive to perform his duties and responsibilities under this Agreement. During the first seven months of the Term or until Executive’s earlier relocation to the greater Boston, Massachusetts area, in addition to the Annual Base Salary, the Company will pay Executive a stipend of $6,000 per month (the “</w:t>
      </w:r>
      <w:r>
        <w:rPr>
          <w:rFonts w:ascii="Arial" w:cs="Arial" w:eastAsia="Arial" w:hAnsi="Arial"/>
          <w:sz w:val="18"/>
          <w:szCs w:val="18"/>
          <w:u w:val="single" w:color="auto"/>
          <w:color w:val="auto"/>
        </w:rPr>
        <w:t>Stipend</w:t>
      </w:r>
      <w:r>
        <w:rPr>
          <w:rFonts w:ascii="Arial" w:cs="Arial" w:eastAsia="Arial" w:hAnsi="Arial"/>
          <w:sz w:val="18"/>
          <w:szCs w:val="18"/>
          <w:color w:val="auto"/>
        </w:rPr>
        <w:t>”) to offset the costs of Executive’s travel and commuting expenses incurred in performing his duties for the Company. The Stipend will be prorated for any partial month of service and will not constitute Annual Base Salary under this Agreement. Further, the Company will reimburse Executive for (or pay directly on Executive’s behalf) Executive’s reasonable moving expenses incurred in connection with Executive’s relocation to the greater Boston, Massachusetts area in an amount not to exceed $75,000 (the “</w:t>
      </w:r>
      <w:r>
        <w:rPr>
          <w:rFonts w:ascii="Arial" w:cs="Arial" w:eastAsia="Arial" w:hAnsi="Arial"/>
          <w:sz w:val="18"/>
          <w:szCs w:val="18"/>
          <w:u w:val="single" w:color="auto"/>
          <w:color w:val="auto"/>
        </w:rPr>
        <w:t>Relocation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Allowance</w:t>
      </w:r>
      <w:r>
        <w:rPr>
          <w:rFonts w:ascii="Arial" w:cs="Arial" w:eastAsia="Arial" w:hAnsi="Arial"/>
          <w:sz w:val="18"/>
          <w:szCs w:val="18"/>
          <w:color w:val="auto"/>
        </w:rPr>
        <w:t>”), provided that such relocation occurs prior to the date that is seven months following the Start Date. Documentation reasonably acceptable to the Company of all reimbursable moving expenses must be submitted to the Company promptly following the date such expenses are incurred. All payments of the Relocation Allowance will be provided within 60 days following Executive’s submission to the Company of such documentation, except that in no event will any payments of Relocation Allowance be made other than in calendar year 2019. Executive will be liable and responsible for the employee portion of all taxes owed in connection with the Relocation Allowance (to the extent the Company reasonably determines all or a portion of the Relocation Allowance constitutes taxable income to Executive) and the Stipend, and the Company may (but will not be required to) deduct or withhold such taxes from any compensation payable to Executive by the Company or its affiliates.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3</w:t>
      </w:r>
    </w:p>
    <w:p>
      <w:pPr>
        <w:sectPr>
          <w:pgSz w:w="11900" w:h="16838" w:orient="portrait"/>
          <w:cols w:equalWidth="0" w:num="1">
            <w:col w:w="11420"/>
          </w:cols>
          <w:pgMar w:left="240" w:top="582" w:right="239" w:bottom="1440" w:gutter="0" w:footer="0" w:header="0"/>
        </w:sectPr>
      </w:pPr>
    </w:p>
    <w:bookmarkStart w:id="39" w:name="page40"/>
    <w:bookmarkEnd w:id="39"/>
    <w:p>
      <w:pPr>
        <w:ind w:left="660" w:right="20" w:firstLine="645"/>
        <w:spacing w:after="0" w:line="273" w:lineRule="auto"/>
        <w:tabs>
          <w:tab w:leader="none" w:pos="2253" w:val="left"/>
        </w:tabs>
        <w:numPr>
          <w:ilvl w:val="1"/>
          <w:numId w:val="25"/>
        </w:numPr>
        <w:rPr>
          <w:rFonts w:ascii="Arial" w:cs="Arial" w:eastAsia="Arial" w:hAnsi="Arial"/>
          <w:sz w:val="20"/>
          <w:szCs w:val="20"/>
          <w:color w:val="auto"/>
        </w:rPr>
      </w:pPr>
      <w:r>
        <w:rPr>
          <w:rFonts w:ascii="Arial" w:cs="Arial" w:eastAsia="Arial" w:hAnsi="Arial"/>
          <w:sz w:val="20"/>
          <w:szCs w:val="20"/>
          <w:color w:val="auto"/>
        </w:rPr>
        <w:t>Notwithstanding the foregoing, if Executive’s employment is terminated by the Company for Cause or by Executive other than for Good Reason (as defined below), in either case within 12 months of the Start Date, Executive will repay the Company the full amount of the Signing Bonus and any Stipend or Relocation Allowance paid to Executive (or paid on Executive’s behalf), and the Company will be entitled (but not required) to deduct the amount of any such repayment obligations from any amounts otherwise payable to Executive by the Company or any of its affiliates.</w:t>
      </w:r>
    </w:p>
    <w:p>
      <w:pPr>
        <w:spacing w:after="0" w:line="200" w:lineRule="exact"/>
        <w:rPr>
          <w:rFonts w:ascii="Arial" w:cs="Arial" w:eastAsia="Arial" w:hAnsi="Arial"/>
          <w:sz w:val="20"/>
          <w:szCs w:val="20"/>
          <w:color w:val="auto"/>
        </w:rPr>
      </w:pPr>
    </w:p>
    <w:p>
      <w:pPr>
        <w:spacing w:after="0" w:line="201" w:lineRule="exact"/>
        <w:rPr>
          <w:rFonts w:ascii="Arial" w:cs="Arial" w:eastAsia="Arial" w:hAnsi="Arial"/>
          <w:sz w:val="20"/>
          <w:szCs w:val="20"/>
          <w:color w:val="auto"/>
        </w:rPr>
      </w:pPr>
    </w:p>
    <w:p>
      <w:pPr>
        <w:ind w:left="360" w:hanging="352"/>
        <w:spacing w:after="0"/>
        <w:tabs>
          <w:tab w:leader="none" w:pos="3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Executive’s employment hereunder may be terminated by the Company or Executive, as applicable, without any breach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under the following circumstances:</w:t>
      </w:r>
    </w:p>
    <w:p>
      <w:pPr>
        <w:spacing w:after="0" w:line="200"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Circumstances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500" w:hanging="520"/>
        <w:spacing w:after="0"/>
        <w:tabs>
          <w:tab w:leader="none" w:pos="150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Death</w:t>
      </w:r>
      <w:r>
        <w:rPr>
          <w:rFonts w:ascii="Arial" w:cs="Arial" w:eastAsia="Arial" w:hAnsi="Arial"/>
          <w:sz w:val="20"/>
          <w:szCs w:val="20"/>
          <w:color w:val="auto"/>
        </w:rPr>
        <w:t>. Executive’s employment hereunder shall terminate upon Executive’s death.</w:t>
      </w:r>
    </w:p>
    <w:p>
      <w:pPr>
        <w:spacing w:after="0" w:line="242" w:lineRule="exact"/>
        <w:rPr>
          <w:rFonts w:ascii="Arial" w:cs="Arial" w:eastAsia="Arial" w:hAnsi="Arial"/>
          <w:sz w:val="20"/>
          <w:szCs w:val="20"/>
          <w:color w:val="auto"/>
        </w:rPr>
      </w:pPr>
    </w:p>
    <w:p>
      <w:pPr>
        <w:ind w:left="1540" w:hanging="560"/>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Executive has incurred a Disability, as defined below, the Company may terminate Executive’s employment.</w:t>
      </w:r>
    </w:p>
    <w:p>
      <w:pPr>
        <w:spacing w:after="0" w:line="265" w:lineRule="exact"/>
        <w:rPr>
          <w:rFonts w:ascii="Arial" w:cs="Arial" w:eastAsia="Arial" w:hAnsi="Arial"/>
          <w:sz w:val="18"/>
          <w:szCs w:val="18"/>
          <w:color w:val="auto"/>
        </w:rPr>
      </w:pPr>
    </w:p>
    <w:p>
      <w:pPr>
        <w:ind w:left="1600" w:hanging="620"/>
        <w:spacing w:after="0"/>
        <w:tabs>
          <w:tab w:leader="none" w:pos="160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Termination for Cause</w:t>
      </w:r>
      <w:r>
        <w:rPr>
          <w:rFonts w:ascii="Arial" w:cs="Arial" w:eastAsia="Arial" w:hAnsi="Arial"/>
          <w:sz w:val="20"/>
          <w:szCs w:val="20"/>
          <w:color w:val="auto"/>
        </w:rPr>
        <w:t>. The Company may terminate Executive’s employment for Cause, as defined below.</w:t>
      </w:r>
    </w:p>
    <w:p>
      <w:pPr>
        <w:spacing w:after="0" w:line="242" w:lineRule="exact"/>
        <w:rPr>
          <w:rFonts w:ascii="Arial" w:cs="Arial" w:eastAsia="Arial" w:hAnsi="Arial"/>
          <w:sz w:val="20"/>
          <w:szCs w:val="20"/>
          <w:color w:val="auto"/>
        </w:rPr>
      </w:pPr>
    </w:p>
    <w:p>
      <w:pPr>
        <w:ind w:left="1600" w:hanging="620"/>
        <w:spacing w:after="0"/>
        <w:tabs>
          <w:tab w:leader="none" w:pos="1600"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Termination without Cause</w:t>
      </w:r>
      <w:r>
        <w:rPr>
          <w:rFonts w:ascii="Arial" w:cs="Arial" w:eastAsia="Arial" w:hAnsi="Arial"/>
          <w:sz w:val="20"/>
          <w:szCs w:val="20"/>
          <w:color w:val="auto"/>
        </w:rPr>
        <w:t>. The Company may terminate Executive’s employment without Cause.</w:t>
      </w:r>
    </w:p>
    <w:p>
      <w:pPr>
        <w:spacing w:after="0" w:line="242" w:lineRule="exact"/>
        <w:rPr>
          <w:rFonts w:ascii="Arial" w:cs="Arial" w:eastAsia="Arial" w:hAnsi="Arial"/>
          <w:sz w:val="20"/>
          <w:szCs w:val="20"/>
          <w:color w:val="auto"/>
        </w:rPr>
      </w:pPr>
    </w:p>
    <w:p>
      <w:pPr>
        <w:ind w:left="340" w:right="160" w:firstLine="640"/>
        <w:spacing w:after="0" w:line="289" w:lineRule="auto"/>
        <w:tabs>
          <w:tab w:leader="none" w:pos="1543"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 xml:space="preserve">Resignation from the Company with Good Reason. </w:t>
      </w:r>
      <w:r>
        <w:rPr>
          <w:rFonts w:ascii="Arial" w:cs="Arial" w:eastAsia="Arial" w:hAnsi="Arial"/>
          <w:sz w:val="20"/>
          <w:szCs w:val="20"/>
          <w:color w:val="auto"/>
        </w:rPr>
        <w:t>Executive may resign Executive’s employment with the Company with</w:t>
      </w:r>
      <w:r>
        <w:rPr>
          <w:rFonts w:ascii="Arial" w:cs="Arial" w:eastAsia="Arial" w:hAnsi="Arial"/>
          <w:sz w:val="20"/>
          <w:szCs w:val="20"/>
          <w:i w:val="1"/>
          <w:iCs w:val="1"/>
          <w:color w:val="auto"/>
        </w:rPr>
        <w:t xml:space="preserve"> </w:t>
      </w:r>
      <w:r>
        <w:rPr>
          <w:rFonts w:ascii="Arial" w:cs="Arial" w:eastAsia="Arial" w:hAnsi="Arial"/>
          <w:sz w:val="20"/>
          <w:szCs w:val="20"/>
          <w:color w:val="auto"/>
        </w:rPr>
        <w:t>Good Reason, as defined below.</w:t>
      </w:r>
    </w:p>
    <w:p>
      <w:pPr>
        <w:spacing w:after="0" w:line="175" w:lineRule="exact"/>
        <w:rPr>
          <w:rFonts w:ascii="Arial" w:cs="Arial" w:eastAsia="Arial" w:hAnsi="Arial"/>
          <w:sz w:val="20"/>
          <w:szCs w:val="20"/>
          <w:color w:val="auto"/>
        </w:rPr>
      </w:pPr>
    </w:p>
    <w:p>
      <w:pPr>
        <w:ind w:left="340" w:right="240" w:firstLine="640"/>
        <w:spacing w:after="0" w:line="289" w:lineRule="auto"/>
        <w:tabs>
          <w:tab w:leader="none" w:pos="1598" w:val="left"/>
        </w:tabs>
        <w:numPr>
          <w:ilvl w:val="1"/>
          <w:numId w:val="27"/>
        </w:numPr>
        <w:rPr>
          <w:rFonts w:ascii="Arial" w:cs="Arial" w:eastAsia="Arial" w:hAnsi="Arial"/>
          <w:sz w:val="20"/>
          <w:szCs w:val="20"/>
          <w:color w:val="auto"/>
        </w:rPr>
      </w:pPr>
      <w:r>
        <w:rPr>
          <w:rFonts w:ascii="Arial" w:cs="Arial" w:eastAsia="Arial" w:hAnsi="Arial"/>
          <w:sz w:val="20"/>
          <w:szCs w:val="20"/>
          <w:i w:val="1"/>
          <w:iCs w:val="1"/>
          <w:color w:val="auto"/>
        </w:rPr>
        <w:t>Resignation from the Company without Good Reason</w:t>
      </w:r>
      <w:r>
        <w:rPr>
          <w:rFonts w:ascii="Arial" w:cs="Arial" w:eastAsia="Arial" w:hAnsi="Arial"/>
          <w:sz w:val="20"/>
          <w:szCs w:val="20"/>
          <w:color w:val="auto"/>
        </w:rPr>
        <w:t>. Executive may resign Executive’s employment with the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for any reason other than Good Reason or for no reason.</w:t>
      </w:r>
    </w:p>
    <w:p>
      <w:pPr>
        <w:spacing w:after="0" w:line="161" w:lineRule="exact"/>
        <w:rPr>
          <w:rFonts w:ascii="Arial" w:cs="Arial" w:eastAsia="Arial" w:hAnsi="Arial"/>
          <w:sz w:val="20"/>
          <w:szCs w:val="20"/>
          <w:color w:val="auto"/>
        </w:rPr>
      </w:pPr>
    </w:p>
    <w:p>
      <w:pPr>
        <w:ind w:firstLine="656"/>
        <w:spacing w:after="0" w:line="255" w:lineRule="auto"/>
        <w:tabs>
          <w:tab w:leader="none" w:pos="1077"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provided, however,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provided,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4</w:t>
      </w:r>
    </w:p>
    <w:p>
      <w:pPr>
        <w:sectPr>
          <w:pgSz w:w="11900" w:h="16838" w:orient="portrait"/>
          <w:cols w:equalWidth="0" w:num="1">
            <w:col w:w="11400"/>
          </w:cols>
          <w:pgMar w:left="240" w:top="595" w:right="259" w:bottom="1440" w:gutter="0" w:footer="0" w:header="0"/>
        </w:sectPr>
      </w:pPr>
    </w:p>
    <w:bookmarkStart w:id="40" w:name="page41"/>
    <w:bookmarkEnd w:id="40"/>
    <w:p>
      <w:pPr>
        <w:ind w:right="460"/>
        <w:spacing w:after="0" w:line="260" w:lineRule="auto"/>
        <w:rPr>
          <w:sz w:val="20"/>
          <w:szCs w:val="20"/>
          <w:color w:val="auto"/>
        </w:rPr>
      </w:pPr>
      <w:r>
        <w:rPr>
          <w:rFonts w:ascii="Arial" w:cs="Arial" w:eastAsia="Arial" w:hAnsi="Arial"/>
          <w:sz w:val="20"/>
          <w:szCs w:val="20"/>
          <w:color w:val="auto"/>
        </w:rPr>
        <w:t>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77" w:lineRule="exact"/>
        <w:rPr>
          <w:sz w:val="20"/>
          <w:szCs w:val="20"/>
          <w:color w:val="auto"/>
        </w:rPr>
      </w:pPr>
    </w:p>
    <w:p>
      <w:pPr>
        <w:ind w:right="20" w:firstLine="656"/>
        <w:spacing w:after="0" w:line="271" w:lineRule="auto"/>
        <w:tabs>
          <w:tab w:leader="none" w:pos="106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w:t>
      </w:r>
      <w:r>
        <w:rPr>
          <w:rFonts w:ascii="Arial" w:cs="Arial" w:eastAsia="Arial" w:hAnsi="Arial"/>
          <w:sz w:val="18"/>
          <w:szCs w:val="18"/>
          <w:color w:val="auto"/>
        </w:rPr>
        <w:t xml:space="preserve">. Upon termination of Executive’s employment pursuant to any of the circumstances listed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8"/>
          <w:szCs w:val="18"/>
          <w:u w:val="single" w:color="auto"/>
          <w:color w:val="auto"/>
        </w:rPr>
        <w:t>Section 2(e)</w:t>
      </w:r>
      <w:r>
        <w:rPr>
          <w:rFonts w:ascii="Arial" w:cs="Arial" w:eastAsia="Arial" w:hAnsi="Arial"/>
          <w:sz w:val="18"/>
          <w:szCs w:val="18"/>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8"/>
          <w:szCs w:val="18"/>
          <w:u w:val="single" w:color="auto"/>
          <w:color w:val="auto"/>
        </w:rPr>
        <w:t>Company Arrangements</w:t>
      </w:r>
      <w:r>
        <w:rPr>
          <w:rFonts w:ascii="Arial" w:cs="Arial" w:eastAsia="Arial" w:hAnsi="Arial"/>
          <w:sz w:val="18"/>
          <w:szCs w:val="18"/>
          <w:color w:val="auto"/>
        </w:rPr>
        <w:t>”). Except as otherwise expressly required by law (</w:t>
      </w:r>
      <w:r>
        <w:rPr>
          <w:rFonts w:ascii="Arial" w:cs="Arial" w:eastAsia="Arial" w:hAnsi="Arial"/>
          <w:sz w:val="18"/>
          <w:szCs w:val="18"/>
          <w:u w:val="single" w:color="auto"/>
          <w:color w:val="auto"/>
        </w:rPr>
        <w:t>e.g.</w:t>
      </w:r>
      <w:r>
        <w:rPr>
          <w:rFonts w:ascii="Arial" w:cs="Arial" w:eastAsia="Arial" w:hAnsi="Arial"/>
          <w:sz w:val="18"/>
          <w:szCs w:val="18"/>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84" w:lineRule="exact"/>
        <w:rPr>
          <w:rFonts w:ascii="Arial" w:cs="Arial" w:eastAsia="Arial" w:hAnsi="Arial"/>
          <w:sz w:val="18"/>
          <w:szCs w:val="18"/>
          <w:color w:val="auto"/>
        </w:rPr>
      </w:pPr>
    </w:p>
    <w:p>
      <w:pPr>
        <w:ind w:right="200" w:firstLine="656"/>
        <w:spacing w:after="0" w:line="260" w:lineRule="auto"/>
        <w:tabs>
          <w:tab w:leader="none" w:pos="1077"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Deemed Resignation</w:t>
      </w:r>
      <w:r>
        <w:rPr>
          <w:rFonts w:ascii="Arial" w:cs="Arial" w:eastAsia="Arial" w:hAnsi="Arial"/>
          <w:sz w:val="20"/>
          <w:szCs w:val="20"/>
          <w:color w:val="auto"/>
        </w:rPr>
        <w:t>. Upon termination of Executive’s employment for any reason, Executive shall be deemed to have resigned from all offices and directorships, if any, then held with the Company or any of its subsidiaries.</w:t>
      </w:r>
    </w:p>
    <w:p>
      <w:pPr>
        <w:spacing w:after="0" w:line="184" w:lineRule="exact"/>
        <w:rPr>
          <w:rFonts w:ascii="Arial" w:cs="Arial" w:eastAsia="Arial" w:hAnsi="Arial"/>
          <w:sz w:val="20"/>
          <w:szCs w:val="20"/>
          <w:color w:val="auto"/>
        </w:rPr>
      </w:pPr>
    </w:p>
    <w:p>
      <w:pPr>
        <w:ind w:left="360" w:hanging="352"/>
        <w:spacing w:after="0"/>
        <w:tabs>
          <w:tab w:leader="none" w:pos="3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Severance Payments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right="140" w:firstLine="656"/>
        <w:spacing w:after="0" w:line="293" w:lineRule="auto"/>
        <w:tabs>
          <w:tab w:leader="none" w:pos="1516"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for Cause, or Termination Upon Death, Disability or Resignation from the Company Without Good Reason</w:t>
      </w:r>
      <w:r>
        <w:rPr>
          <w:rFonts w:ascii="Arial" w:cs="Arial" w:eastAsia="Arial" w:hAnsi="Arial"/>
          <w:sz w:val="19"/>
          <w:szCs w:val="19"/>
          <w:color w:val="auto"/>
        </w:rPr>
        <w:t xml:space="preserve">. If Executive’s employment shall terminate as a result of Executive’s death pursuant to </w:t>
      </w:r>
      <w:r>
        <w:rPr>
          <w:rFonts w:ascii="Arial" w:cs="Arial" w:eastAsia="Arial" w:hAnsi="Arial"/>
          <w:sz w:val="19"/>
          <w:szCs w:val="19"/>
          <w:u w:val="single" w:color="auto"/>
          <w:color w:val="auto"/>
        </w:rPr>
        <w:t>Section 3(a)(i)</w:t>
      </w:r>
      <w:r>
        <w:rPr>
          <w:rFonts w:ascii="Arial" w:cs="Arial" w:eastAsia="Arial" w:hAnsi="Arial"/>
          <w:sz w:val="19"/>
          <w:szCs w:val="19"/>
          <w:color w:val="auto"/>
        </w:rPr>
        <w:t xml:space="preserve"> or Disability pursuant to </w:t>
      </w:r>
      <w:r>
        <w:rPr>
          <w:rFonts w:ascii="Arial" w:cs="Arial" w:eastAsia="Arial" w:hAnsi="Arial"/>
          <w:sz w:val="19"/>
          <w:szCs w:val="19"/>
          <w:u w:val="single" w:color="auto"/>
          <w:color w:val="auto"/>
        </w:rPr>
        <w:t>Section 3(a)(ii)</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 3(a)(iii)</w:t>
      </w:r>
      <w:r>
        <w:rPr>
          <w:rFonts w:ascii="Arial" w:cs="Arial" w:eastAsia="Arial" w:hAnsi="Arial"/>
          <w:sz w:val="19"/>
          <w:szCs w:val="19"/>
          <w:color w:val="auto"/>
        </w:rPr>
        <w:t xml:space="preserve"> for Cause, or pursuant to </w:t>
      </w:r>
      <w:r>
        <w:rPr>
          <w:rFonts w:ascii="Arial" w:cs="Arial" w:eastAsia="Arial" w:hAnsi="Arial"/>
          <w:sz w:val="19"/>
          <w:szCs w:val="19"/>
          <w:u w:val="single" w:color="auto"/>
          <w:color w:val="auto"/>
        </w:rPr>
        <w:t>Section 3(a)(vi)</w:t>
      </w:r>
      <w:r>
        <w:rPr>
          <w:rFonts w:ascii="Arial" w:cs="Arial" w:eastAsia="Arial" w:hAnsi="Arial"/>
          <w:sz w:val="19"/>
          <w:szCs w:val="19"/>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9"/>
          <w:szCs w:val="19"/>
          <w:u w:val="single" w:color="auto"/>
          <w:color w:val="auto"/>
        </w:rPr>
        <w:t>Section 3(c)</w:t>
      </w:r>
      <w:r>
        <w:rPr>
          <w:rFonts w:ascii="Arial" w:cs="Arial" w:eastAsia="Arial" w:hAnsi="Arial"/>
          <w:sz w:val="19"/>
          <w:szCs w:val="19"/>
          <w:color w:val="auto"/>
        </w:rPr>
        <w:t>.</w:t>
      </w:r>
    </w:p>
    <w:p>
      <w:pPr>
        <w:spacing w:after="0" w:line="189" w:lineRule="exact"/>
        <w:rPr>
          <w:rFonts w:ascii="Arial" w:cs="Arial" w:eastAsia="Arial" w:hAnsi="Arial"/>
          <w:sz w:val="19"/>
          <w:szCs w:val="19"/>
          <w:color w:val="auto"/>
        </w:rPr>
      </w:pPr>
    </w:p>
    <w:p>
      <w:pPr>
        <w:ind w:firstLine="656"/>
        <w:spacing w:after="0" w:line="288" w:lineRule="auto"/>
        <w:tabs>
          <w:tab w:leader="none" w:pos="1527"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from the Company with Good Reason</w:t>
      </w:r>
      <w:r>
        <w:rPr>
          <w:rFonts w:ascii="Arial" w:cs="Arial" w:eastAsia="Arial" w:hAnsi="Arial"/>
          <w:sz w:val="19"/>
          <w:szCs w:val="19"/>
          <w:color w:val="auto"/>
        </w:rPr>
        <w:t xml:space="preserve">. If Executive’s employment terminates without Cause pursuant to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or pursuant to </w:t>
      </w:r>
      <w:r>
        <w:rPr>
          <w:rFonts w:ascii="Arial" w:cs="Arial" w:eastAsia="Arial" w:hAnsi="Arial"/>
          <w:sz w:val="19"/>
          <w:szCs w:val="19"/>
          <w:u w:val="single" w:color="auto"/>
          <w:color w:val="auto"/>
        </w:rPr>
        <w:t>Section 3(a)(v)</w:t>
      </w:r>
      <w:r>
        <w:rPr>
          <w:rFonts w:ascii="Arial" w:cs="Arial" w:eastAsia="Arial" w:hAnsi="Arial"/>
          <w:sz w:val="19"/>
          <w:szCs w:val="19"/>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and Executive’s continued compliance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Executive shall receive, in addition to payments and benefits set forth in </w:t>
      </w:r>
      <w:r>
        <w:rPr>
          <w:rFonts w:ascii="Arial" w:cs="Arial" w:eastAsia="Arial" w:hAnsi="Arial"/>
          <w:sz w:val="19"/>
          <w:szCs w:val="19"/>
          <w:u w:val="single" w:color="auto"/>
          <w:color w:val="auto"/>
        </w:rPr>
        <w:t>Section 3(c)</w:t>
      </w:r>
      <w:r>
        <w:rPr>
          <w:rFonts w:ascii="Arial" w:cs="Arial" w:eastAsia="Arial" w:hAnsi="Arial"/>
          <w:sz w:val="19"/>
          <w:szCs w:val="19"/>
          <w:color w:val="auto"/>
        </w:rPr>
        <w:t>, the following:</w:t>
      </w:r>
    </w:p>
    <w:p>
      <w:pPr>
        <w:spacing w:after="0" w:line="196" w:lineRule="exact"/>
        <w:rPr>
          <w:rFonts w:ascii="Arial" w:cs="Arial" w:eastAsia="Arial" w:hAnsi="Arial"/>
          <w:sz w:val="19"/>
          <w:szCs w:val="19"/>
          <w:color w:val="auto"/>
        </w:rPr>
      </w:pPr>
    </w:p>
    <w:p>
      <w:pPr>
        <w:ind w:left="660" w:firstLine="645"/>
        <w:spacing w:after="0" w:line="314" w:lineRule="auto"/>
        <w:tabs>
          <w:tab w:leader="none" w:pos="2143"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in accordance with the Company’s normal payroll practices, commencing on the Company’s next regular payday that is at least five days following the effective date of the Release (with the first payment including all amounts accrued to that date) (the “</w:t>
      </w:r>
      <w:r>
        <w:rPr>
          <w:rFonts w:ascii="Arial" w:cs="Arial" w:eastAsia="Arial" w:hAnsi="Arial"/>
          <w:sz w:val="18"/>
          <w:szCs w:val="18"/>
          <w:u w:val="single" w:color="auto"/>
          <w:color w:val="auto"/>
        </w:rPr>
        <w:t>Payment Date</w:t>
      </w:r>
      <w:r>
        <w:rPr>
          <w:rFonts w:ascii="Arial" w:cs="Arial" w:eastAsia="Arial" w:hAnsi="Arial"/>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5</w:t>
      </w:r>
    </w:p>
    <w:p>
      <w:pPr>
        <w:sectPr>
          <w:pgSz w:w="11900" w:h="16838" w:orient="portrait"/>
          <w:cols w:equalWidth="0" w:num="1">
            <w:col w:w="11400"/>
          </w:cols>
          <w:pgMar w:left="240" w:top="582" w:right="259" w:bottom="1440" w:gutter="0" w:footer="0" w:header="0"/>
        </w:sectPr>
      </w:pPr>
    </w:p>
    <w:bookmarkStart w:id="41" w:name="page42"/>
    <w:bookmarkEnd w:id="41"/>
    <w:p>
      <w:pPr>
        <w:jc w:val="both"/>
        <w:ind w:left="652" w:right="140" w:firstLine="645"/>
        <w:spacing w:after="0" w:line="288" w:lineRule="auto"/>
        <w:tabs>
          <w:tab w:leader="none" w:pos="2190" w:val="left"/>
        </w:tabs>
        <w:numPr>
          <w:ilvl w:val="2"/>
          <w:numId w:val="30"/>
        </w:numPr>
        <w:rPr>
          <w:rFonts w:ascii="Arial" w:cs="Arial" w:eastAsia="Arial" w:hAnsi="Arial"/>
          <w:sz w:val="19"/>
          <w:szCs w:val="19"/>
          <w:color w:val="auto"/>
        </w:rPr>
      </w:pPr>
      <w:r>
        <w:rPr>
          <w:rFonts w:ascii="Arial" w:cs="Arial" w:eastAsia="Arial" w:hAnsi="Arial"/>
          <w:sz w:val="19"/>
          <w:szCs w:val="19"/>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96" w:lineRule="exact"/>
        <w:rPr>
          <w:rFonts w:ascii="Arial" w:cs="Arial" w:eastAsia="Arial" w:hAnsi="Arial"/>
          <w:sz w:val="19"/>
          <w:szCs w:val="19"/>
          <w:color w:val="auto"/>
        </w:rPr>
      </w:pPr>
    </w:p>
    <w:p>
      <w:pPr>
        <w:ind w:left="652" w:firstLine="645"/>
        <w:spacing w:after="0" w:line="285" w:lineRule="auto"/>
        <w:tabs>
          <w:tab w:leader="none" w:pos="2245" w:val="left"/>
        </w:tabs>
        <w:numPr>
          <w:ilvl w:val="2"/>
          <w:numId w:val="30"/>
        </w:numPr>
        <w:rPr>
          <w:rFonts w:ascii="Arial" w:cs="Arial" w:eastAsia="Arial" w:hAnsi="Arial"/>
          <w:sz w:val="19"/>
          <w:szCs w:val="19"/>
          <w:color w:val="auto"/>
        </w:rPr>
      </w:pPr>
      <w:r>
        <w:rPr>
          <w:rFonts w:ascii="Arial" w:cs="Arial" w:eastAsia="Arial" w:hAnsi="Arial"/>
          <w:sz w:val="19"/>
          <w:szCs w:val="19"/>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98" w:lineRule="exact"/>
        <w:rPr>
          <w:rFonts w:ascii="Arial" w:cs="Arial" w:eastAsia="Arial" w:hAnsi="Arial"/>
          <w:sz w:val="19"/>
          <w:szCs w:val="19"/>
          <w:color w:val="auto"/>
        </w:rPr>
      </w:pPr>
    </w:p>
    <w:p>
      <w:pPr>
        <w:ind w:left="-8" w:firstLine="656"/>
        <w:spacing w:after="0" w:line="293" w:lineRule="auto"/>
        <w:tabs>
          <w:tab w:leader="none" w:pos="150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8"/>
          <w:szCs w:val="18"/>
          <w:u w:val="single" w:color="auto"/>
          <w:color w:val="auto"/>
        </w:rPr>
        <w:t>Section 3(a)(iv)</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3(a)(v)</w:t>
      </w:r>
      <w:r>
        <w:rPr>
          <w:rFonts w:ascii="Arial" w:cs="Arial" w:eastAsia="Arial" w:hAnsi="Arial"/>
          <w:sz w:val="18"/>
          <w:szCs w:val="18"/>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Executive shall receive, in addition to the payments and benefits set forth in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94" w:lineRule="exact"/>
        <w:rPr>
          <w:rFonts w:ascii="Arial" w:cs="Arial" w:eastAsia="Arial" w:hAnsi="Arial"/>
          <w:sz w:val="18"/>
          <w:szCs w:val="18"/>
          <w:color w:val="auto"/>
        </w:rPr>
      </w:pPr>
    </w:p>
    <w:p>
      <w:pPr>
        <w:ind w:left="-8" w:right="260" w:firstLine="656"/>
        <w:spacing w:after="0" w:line="289" w:lineRule="auto"/>
        <w:tabs>
          <w:tab w:leader="none" w:pos="1519"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Notwithstanding anything to the contrary in this Agreement, the provisions of </w:t>
      </w:r>
      <w:r>
        <w:rPr>
          <w:rFonts w:ascii="Arial" w:cs="Arial" w:eastAsia="Arial" w:hAnsi="Arial"/>
          <w:sz w:val="20"/>
          <w:szCs w:val="20"/>
          <w:u w:val="single" w:color="auto"/>
          <w:color w:val="auto"/>
        </w:rPr>
        <w:t>Sections 5</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will survive the termination of Executive’s employment and the termination of the Term.</w:t>
      </w:r>
    </w:p>
    <w:p>
      <w:pPr>
        <w:spacing w:after="0" w:line="169" w:lineRule="exact"/>
        <w:rPr>
          <w:rFonts w:ascii="Arial" w:cs="Arial" w:eastAsia="Arial" w:hAnsi="Arial"/>
          <w:sz w:val="20"/>
          <w:szCs w:val="20"/>
          <w:color w:val="auto"/>
        </w:rPr>
      </w:pPr>
    </w:p>
    <w:p>
      <w:pPr>
        <w:ind w:left="-8" w:right="280" w:firstLine="8"/>
        <w:spacing w:after="0" w:line="246" w:lineRule="auto"/>
        <w:tabs>
          <w:tab w:leader="none" w:pos="338"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to the effectiveness of this Agreement, Executive will execute and deliver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contemporaneously herewith the Restrictive Covenant Agreement.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828282"/>
        </w:rPr>
        <w:t>6</w:t>
      </w:r>
    </w:p>
    <w:p>
      <w:pPr>
        <w:sectPr>
          <w:pgSz w:w="11900" w:h="16838" w:orient="portrait"/>
          <w:cols w:equalWidth="0" w:num="1">
            <w:col w:w="11392"/>
          </w:cols>
          <w:pgMar w:left="248" w:top="595" w:right="259" w:bottom="1440" w:gutter="0" w:footer="0" w:header="0"/>
        </w:sectPr>
      </w:pPr>
    </w:p>
    <w:bookmarkStart w:id="42" w:name="page43"/>
    <w:bookmarkEnd w:id="42"/>
    <w:p>
      <w:pPr>
        <w:ind w:left="360" w:hanging="352"/>
        <w:spacing w:after="0"/>
        <w:tabs>
          <w:tab w:leader="none" w:pos="3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Assignment and Successors</w:t>
      </w:r>
      <w:r>
        <w:rPr>
          <w:rFonts w:ascii="Arial" w:cs="Arial" w:eastAsia="Arial" w:hAnsi="Arial"/>
          <w:sz w:val="20"/>
          <w:szCs w:val="20"/>
          <w:b w:val="1"/>
          <w:bCs w:val="1"/>
          <w:color w:val="auto"/>
        </w:rPr>
        <w:t>.</w:t>
      </w:r>
    </w:p>
    <w:p>
      <w:pPr>
        <w:spacing w:after="0" w:line="222" w:lineRule="exact"/>
        <w:rPr>
          <w:sz w:val="20"/>
          <w:szCs w:val="20"/>
          <w:color w:val="auto"/>
        </w:rPr>
      </w:pPr>
    </w:p>
    <w:p>
      <w:pPr>
        <w:ind w:firstLine="648"/>
        <w:spacing w:after="0" w:line="313" w:lineRule="auto"/>
        <w:rPr>
          <w:sz w:val="20"/>
          <w:szCs w:val="20"/>
          <w:color w:val="auto"/>
        </w:rPr>
      </w:pPr>
      <w:r>
        <w:rPr>
          <w:rFonts w:ascii="Arial" w:cs="Arial" w:eastAsia="Arial" w:hAnsi="Arial"/>
          <w:sz w:val="16"/>
          <w:szCs w:val="16"/>
          <w:color w:val="auto"/>
        </w:rPr>
        <w:t>The Company may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38"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Certain Definitions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1520" w:hanging="864"/>
        <w:spacing w:after="0"/>
        <w:tabs>
          <w:tab w:leader="none" w:pos="1520"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Company shall have “Cause” to terminate Executive’s employment hereunder upon:</w:t>
      </w:r>
    </w:p>
    <w:p>
      <w:pPr>
        <w:spacing w:after="0" w:line="256" w:lineRule="exact"/>
        <w:rPr>
          <w:rFonts w:ascii="Arial" w:cs="Arial" w:eastAsia="Arial" w:hAnsi="Arial"/>
          <w:sz w:val="20"/>
          <w:szCs w:val="20"/>
          <w:color w:val="auto"/>
        </w:rPr>
      </w:pPr>
    </w:p>
    <w:p>
      <w:pPr>
        <w:ind w:left="2140" w:hanging="835"/>
        <w:spacing w:after="0"/>
        <w:tabs>
          <w:tab w:leader="none" w:pos="2140" w:val="left"/>
        </w:tabs>
        <w:numPr>
          <w:ilvl w:val="2"/>
          <w:numId w:val="34"/>
        </w:numPr>
        <w:rPr>
          <w:rFonts w:ascii="Arial" w:cs="Arial" w:eastAsia="Arial" w:hAnsi="Arial"/>
          <w:sz w:val="19"/>
          <w:szCs w:val="19"/>
          <w:color w:val="auto"/>
        </w:rPr>
      </w:pPr>
      <w:r>
        <w:rPr>
          <w:rFonts w:ascii="Arial" w:cs="Arial" w:eastAsia="Arial" w:hAnsi="Arial"/>
          <w:sz w:val="19"/>
          <w:szCs w:val="19"/>
          <w:color w:val="auto"/>
        </w:rPr>
        <w:t>Executive’s commission of, or indictment or conviction for, any felony or any crime involving dishonesty by</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Executive;</w:t>
      </w:r>
    </w:p>
    <w:p>
      <w:pPr>
        <w:spacing w:after="0" w:line="256" w:lineRule="exact"/>
        <w:rPr>
          <w:rFonts w:ascii="Arial" w:cs="Arial" w:eastAsia="Arial" w:hAnsi="Arial"/>
          <w:sz w:val="19"/>
          <w:szCs w:val="19"/>
          <w:color w:val="auto"/>
        </w:rPr>
      </w:pPr>
    </w:p>
    <w:p>
      <w:pPr>
        <w:ind w:left="2200" w:hanging="895"/>
        <w:spacing w:after="0"/>
        <w:tabs>
          <w:tab w:leader="none" w:pos="2200" w:val="left"/>
        </w:tabs>
        <w:numPr>
          <w:ilvl w:val="2"/>
          <w:numId w:val="34"/>
        </w:numPr>
        <w:rPr>
          <w:rFonts w:ascii="Arial" w:cs="Arial" w:eastAsia="Arial" w:hAnsi="Arial"/>
          <w:sz w:val="20"/>
          <w:szCs w:val="20"/>
          <w:color w:val="auto"/>
        </w:rPr>
      </w:pPr>
      <w:r>
        <w:rPr>
          <w:rFonts w:ascii="Arial" w:cs="Arial" w:eastAsia="Arial" w:hAnsi="Arial"/>
          <w:sz w:val="20"/>
          <w:szCs w:val="20"/>
          <w:color w:val="auto"/>
        </w:rPr>
        <w:t>Executive’s participation in any fraud against the Company or any of its affiliates;</w:t>
      </w:r>
    </w:p>
    <w:p>
      <w:pPr>
        <w:spacing w:after="0" w:line="256" w:lineRule="exact"/>
        <w:rPr>
          <w:rFonts w:ascii="Arial" w:cs="Arial" w:eastAsia="Arial" w:hAnsi="Arial"/>
          <w:sz w:val="20"/>
          <w:szCs w:val="20"/>
          <w:color w:val="auto"/>
        </w:rPr>
      </w:pPr>
    </w:p>
    <w:p>
      <w:pPr>
        <w:ind w:left="2240" w:hanging="935"/>
        <w:spacing w:after="0"/>
        <w:tabs>
          <w:tab w:leader="none" w:pos="2240" w:val="left"/>
        </w:tabs>
        <w:numPr>
          <w:ilvl w:val="2"/>
          <w:numId w:val="34"/>
        </w:numPr>
        <w:rPr>
          <w:rFonts w:ascii="Arial" w:cs="Arial" w:eastAsia="Arial" w:hAnsi="Arial"/>
          <w:sz w:val="20"/>
          <w:szCs w:val="20"/>
          <w:color w:val="auto"/>
        </w:rPr>
      </w:pPr>
      <w:r>
        <w:rPr>
          <w:rFonts w:ascii="Arial" w:cs="Arial" w:eastAsia="Arial" w:hAnsi="Arial"/>
          <w:sz w:val="20"/>
          <w:szCs w:val="20"/>
          <w:color w:val="auto"/>
        </w:rPr>
        <w:t>Any intentional material damage to any property of the Company or any of its affiliates by Executive;</w:t>
      </w:r>
    </w:p>
    <w:p>
      <w:pPr>
        <w:spacing w:after="0" w:line="256" w:lineRule="exact"/>
        <w:rPr>
          <w:rFonts w:ascii="Arial" w:cs="Arial" w:eastAsia="Arial" w:hAnsi="Arial"/>
          <w:sz w:val="20"/>
          <w:szCs w:val="20"/>
          <w:color w:val="auto"/>
        </w:rPr>
      </w:pPr>
    </w:p>
    <w:p>
      <w:pPr>
        <w:ind w:left="660" w:right="100" w:firstLine="645"/>
        <w:spacing w:after="0" w:line="278" w:lineRule="auto"/>
        <w:tabs>
          <w:tab w:leader="none" w:pos="2242" w:val="left"/>
        </w:tabs>
        <w:numPr>
          <w:ilvl w:val="2"/>
          <w:numId w:val="34"/>
        </w:numPr>
        <w:rPr>
          <w:rFonts w:ascii="Arial" w:cs="Arial" w:eastAsia="Arial" w:hAnsi="Arial"/>
          <w:sz w:val="20"/>
          <w:szCs w:val="20"/>
          <w:color w:val="auto"/>
        </w:rPr>
      </w:pPr>
      <w:r>
        <w:rPr>
          <w:rFonts w:ascii="Arial" w:cs="Arial" w:eastAsia="Arial" w:hAnsi="Arial"/>
          <w:sz w:val="20"/>
          <w:szCs w:val="20"/>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200" w:lineRule="exact"/>
        <w:rPr>
          <w:rFonts w:ascii="Arial" w:cs="Arial" w:eastAsia="Arial" w:hAnsi="Arial"/>
          <w:sz w:val="20"/>
          <w:szCs w:val="20"/>
          <w:color w:val="auto"/>
        </w:rPr>
      </w:pPr>
    </w:p>
    <w:p>
      <w:pPr>
        <w:jc w:val="both"/>
        <w:ind w:left="660" w:right="140" w:firstLine="645"/>
        <w:spacing w:after="0" w:line="278" w:lineRule="auto"/>
        <w:tabs>
          <w:tab w:leader="none" w:pos="2187" w:val="left"/>
        </w:tabs>
        <w:numPr>
          <w:ilvl w:val="2"/>
          <w:numId w:val="34"/>
        </w:numPr>
        <w:rPr>
          <w:rFonts w:ascii="Arial" w:cs="Arial" w:eastAsia="Arial" w:hAnsi="Arial"/>
          <w:sz w:val="20"/>
          <w:szCs w:val="20"/>
          <w:color w:val="auto"/>
        </w:rPr>
      </w:pPr>
      <w:r>
        <w:rPr>
          <w:rFonts w:ascii="Arial" w:cs="Arial" w:eastAsia="Arial" w:hAnsi="Arial"/>
          <w:sz w:val="20"/>
          <w:szCs w:val="20"/>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200" w:lineRule="exact"/>
        <w:rPr>
          <w:rFonts w:ascii="Arial" w:cs="Arial" w:eastAsia="Arial" w:hAnsi="Arial"/>
          <w:sz w:val="20"/>
          <w:szCs w:val="20"/>
          <w:color w:val="auto"/>
        </w:rPr>
      </w:pPr>
    </w:p>
    <w:p>
      <w:pPr>
        <w:ind w:right="20" w:firstLine="656"/>
        <w:spacing w:after="0" w:line="289" w:lineRule="auto"/>
        <w:tabs>
          <w:tab w:leader="none" w:pos="1527"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“Change in Control” shall have the meaning set forth in the version of the Selecta Biosciences, Inc. 2016 Incentive Award Plan in effect on the Start Date.</w:t>
      </w:r>
    </w:p>
    <w:p>
      <w:pPr>
        <w:spacing w:after="0" w:line="188" w:lineRule="exact"/>
        <w:rPr>
          <w:rFonts w:ascii="Arial" w:cs="Arial" w:eastAsia="Arial" w:hAnsi="Arial"/>
          <w:sz w:val="20"/>
          <w:szCs w:val="20"/>
          <w:color w:val="auto"/>
        </w:rPr>
      </w:pPr>
    </w:p>
    <w:p>
      <w:pPr>
        <w:ind w:left="1520" w:hanging="864"/>
        <w:spacing w:after="0"/>
        <w:tabs>
          <w:tab w:leader="none" w:pos="152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“Code” shall mean the Internal Revenue Code of 1986, as amended, and the regulations and guidance promulgated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thereunder.</w:t>
      </w:r>
    </w:p>
    <w:p>
      <w:pPr>
        <w:spacing w:after="0" w:line="256" w:lineRule="exact"/>
        <w:rPr>
          <w:rFonts w:ascii="Arial" w:cs="Arial" w:eastAsia="Arial" w:hAnsi="Arial"/>
          <w:sz w:val="18"/>
          <w:szCs w:val="18"/>
          <w:color w:val="auto"/>
        </w:rPr>
      </w:pPr>
    </w:p>
    <w:p>
      <w:pPr>
        <w:jc w:val="both"/>
        <w:ind w:right="220" w:firstLine="656"/>
        <w:spacing w:after="0" w:line="299" w:lineRule="auto"/>
        <w:tabs>
          <w:tab w:leader="none" w:pos="1527"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9"/>
          <w:szCs w:val="19"/>
          <w:u w:val="single" w:color="auto"/>
          <w:color w:val="auto"/>
        </w:rPr>
        <w:t>Section 3(a)(ii) - (vi)</w:t>
      </w:r>
      <w:r>
        <w:rPr>
          <w:rFonts w:ascii="Arial" w:cs="Arial" w:eastAsia="Arial" w:hAnsi="Arial"/>
          <w:sz w:val="19"/>
          <w:szCs w:val="19"/>
          <w:color w:val="auto"/>
        </w:rPr>
        <w:t xml:space="preserve"> either the date indicated in the Notice of Termination or the date specified by the Company pursuant to </w:t>
      </w:r>
      <w:r>
        <w:rPr>
          <w:rFonts w:ascii="Arial" w:cs="Arial" w:eastAsia="Arial" w:hAnsi="Arial"/>
          <w:sz w:val="19"/>
          <w:szCs w:val="19"/>
          <w:u w:val="single" w:color="auto"/>
          <w:color w:val="auto"/>
        </w:rPr>
        <w:t>Section 3(b)</w:t>
      </w:r>
      <w:r>
        <w:rPr>
          <w:rFonts w:ascii="Arial" w:cs="Arial" w:eastAsia="Arial" w:hAnsi="Arial"/>
          <w:sz w:val="19"/>
          <w:szCs w:val="19"/>
          <w:color w:val="auto"/>
        </w:rPr>
        <w:t>, whichever is earlier.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7</w:t>
      </w:r>
    </w:p>
    <w:p>
      <w:pPr>
        <w:sectPr>
          <w:pgSz w:w="11900" w:h="16838" w:orient="portrait"/>
          <w:cols w:equalWidth="0" w:num="1">
            <w:col w:w="11420"/>
          </w:cols>
          <w:pgMar w:left="240" w:top="576" w:right="239" w:bottom="1440" w:gutter="0" w:footer="0" w:header="0"/>
        </w:sectPr>
      </w:pPr>
    </w:p>
    <w:bookmarkStart w:id="43" w:name="page44"/>
    <w:bookmarkEnd w:id="43"/>
    <w:p>
      <w:pPr>
        <w:ind w:left="-8" w:firstLine="656"/>
        <w:spacing w:after="0" w:line="302" w:lineRule="auto"/>
        <w:tabs>
          <w:tab w:leader="none" w:pos="150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8"/>
          <w:szCs w:val="18"/>
          <w:i w:val="1"/>
          <w:iCs w:val="1"/>
          <w:color w:val="auto"/>
        </w:rPr>
        <w:t>provided, however</w:t>
      </w:r>
      <w:r>
        <w:rPr>
          <w:rFonts w:ascii="Arial" w:cs="Arial" w:eastAsia="Arial" w:hAnsi="Arial"/>
          <w:sz w:val="18"/>
          <w:szCs w:val="18"/>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87" w:lineRule="exact"/>
        <w:rPr>
          <w:rFonts w:ascii="Arial" w:cs="Arial" w:eastAsia="Arial" w:hAnsi="Arial"/>
          <w:sz w:val="18"/>
          <w:szCs w:val="18"/>
          <w:color w:val="auto"/>
        </w:rPr>
      </w:pPr>
    </w:p>
    <w:p>
      <w:pPr>
        <w:ind w:left="-8" w:right="60" w:firstLine="656"/>
        <w:spacing w:after="0" w:line="303" w:lineRule="auto"/>
        <w:tabs>
          <w:tab w:leader="none" w:pos="148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the sole purpose of determining Executive’s right to severance payments and benefits as described above, Executive’s resignation will be for “Good Reason” if Executive resigns within one year after any of the following events, unless Executive consents to the applicable event in writing: (i) a material reduction in Executive’s Annual Base Salary or Target Bonus, (ii) a material diminution in Executive’s authority, title or duties or areas of responsibility, (iii) the requirement that Executive report to someone other than the Board, (iv) the relocation of Executive’s primary office to a location more than 40 miles from the Boston metropolitan area, (v) a material breach by the Company of this Agreement or any other written agreement with Executive, or (vi) failure of the Board to approve the Option or RSUs described in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of this Agreement.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162" w:lineRule="exact"/>
        <w:rPr>
          <w:rFonts w:ascii="Arial" w:cs="Arial" w:eastAsia="Arial" w:hAnsi="Arial"/>
          <w:sz w:val="18"/>
          <w:szCs w:val="18"/>
          <w:color w:val="auto"/>
        </w:rPr>
      </w:pPr>
    </w:p>
    <w:p>
      <w:pPr>
        <w:ind w:left="352" w:hanging="352"/>
        <w:spacing w:after="0"/>
        <w:tabs>
          <w:tab w:leader="none" w:pos="352"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Parachute Payments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8" w:right="20" w:firstLine="656"/>
        <w:spacing w:after="0" w:line="285" w:lineRule="auto"/>
        <w:tabs>
          <w:tab w:leader="none" w:pos="1508"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200" w:lineRule="exact"/>
        <w:rPr>
          <w:sz w:val="20"/>
          <w:szCs w:val="20"/>
          <w:color w:val="auto"/>
        </w:rPr>
      </w:pPr>
    </w:p>
    <w:p>
      <w:pPr>
        <w:spacing w:after="0" w:line="2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828282"/>
        </w:rPr>
        <w:t>8</w:t>
      </w:r>
    </w:p>
    <w:p>
      <w:pPr>
        <w:sectPr>
          <w:pgSz w:w="11900" w:h="16838" w:orient="portrait"/>
          <w:cols w:equalWidth="0" w:num="1">
            <w:col w:w="11392"/>
          </w:cols>
          <w:pgMar w:left="248" w:top="595" w:right="259" w:bottom="1440" w:gutter="0" w:footer="0" w:header="0"/>
        </w:sectPr>
      </w:pPr>
    </w:p>
    <w:bookmarkStart w:id="44" w:name="page45"/>
    <w:bookmarkEnd w:id="44"/>
    <w:p>
      <w:pPr>
        <w:ind w:firstLine="656"/>
        <w:spacing w:after="0" w:line="307" w:lineRule="auto"/>
        <w:tabs>
          <w:tab w:leader="none" w:pos="15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Total Payments shall be reduced in the following order: (i) reduction on a pro-rata basis of any cash severance payments that are exempt from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0" w:lineRule="exact"/>
        <w:rPr>
          <w:rFonts w:ascii="Arial" w:cs="Arial" w:eastAsia="Arial" w:hAnsi="Arial"/>
          <w:sz w:val="18"/>
          <w:szCs w:val="18"/>
          <w:color w:val="auto"/>
        </w:rPr>
      </w:pPr>
    </w:p>
    <w:p>
      <w:pPr>
        <w:ind w:right="20" w:firstLine="656"/>
        <w:spacing w:after="0" w:line="286" w:lineRule="auto"/>
        <w:tabs>
          <w:tab w:leader="none" w:pos="151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xml:space="preserve">”) to make determinations regarding the application of this </w:t>
      </w:r>
      <w:r>
        <w:rPr>
          <w:rFonts w:ascii="Arial" w:cs="Arial" w:eastAsia="Arial" w:hAnsi="Arial"/>
          <w:sz w:val="19"/>
          <w:szCs w:val="19"/>
          <w:u w:val="single" w:color="auto"/>
          <w:color w:val="auto"/>
        </w:rPr>
        <w:t>Section 8</w:t>
      </w:r>
      <w:r>
        <w:rPr>
          <w:rFonts w:ascii="Arial" w:cs="Arial" w:eastAsia="Arial" w:hAnsi="Arial"/>
          <w:sz w:val="19"/>
          <w:szCs w:val="19"/>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99" w:lineRule="exact"/>
        <w:rPr>
          <w:rFonts w:ascii="Arial" w:cs="Arial" w:eastAsia="Arial" w:hAnsi="Arial"/>
          <w:sz w:val="19"/>
          <w:szCs w:val="19"/>
          <w:color w:val="auto"/>
        </w:rPr>
      </w:pPr>
    </w:p>
    <w:p>
      <w:pPr>
        <w:jc w:val="both"/>
        <w:ind w:right="140" w:firstLine="656"/>
        <w:spacing w:after="0" w:line="334" w:lineRule="auto"/>
        <w:tabs>
          <w:tab w:leader="none" w:pos="1527"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Executive incurs legal fees or other expenses (including expert witness and accounting fees) in an effort to determine the applicability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establish entitlement to or obtain any portion of the Total Payments that have been reduced under this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20"/>
        <w:spacing w:after="0" w:line="305" w:lineRule="auto"/>
        <w:rPr>
          <w:rFonts w:ascii="Arial" w:cs="Arial" w:eastAsia="Arial" w:hAnsi="Arial"/>
          <w:sz w:val="16"/>
          <w:szCs w:val="16"/>
          <w:color w:val="auto"/>
        </w:rPr>
      </w:pPr>
      <w:r>
        <w:rPr>
          <w:rFonts w:ascii="Arial" w:cs="Arial" w:eastAsia="Arial" w:hAnsi="Arial"/>
          <w:sz w:val="18"/>
          <w:szCs w:val="18"/>
          <w:u w:val="single" w:color="auto"/>
          <w:color w:val="auto"/>
        </w:rPr>
        <w:t>8</w:t>
      </w:r>
      <w:r>
        <w:rPr>
          <w:rFonts w:ascii="Arial" w:cs="Arial" w:eastAsia="Arial" w:hAnsi="Arial"/>
          <w:sz w:val="18"/>
          <w:szCs w:val="18"/>
          <w:color w:val="auto"/>
        </w:rPr>
        <w:t xml:space="preserve"> (collectively, “Legal and Other Expenses”), Executive shall be entitled to payment of or reimbursement for such Legal and Other Expenses in accordance with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Subject to Sections </w:t>
      </w:r>
      <w:r>
        <w:rPr>
          <w:rFonts w:ascii="Arial" w:cs="Arial" w:eastAsia="Arial" w:hAnsi="Arial"/>
          <w:sz w:val="18"/>
          <w:szCs w:val="18"/>
          <w:u w:val="single" w:color="auto"/>
          <w:color w:val="auto"/>
        </w:rPr>
        <w:t>9(l)(iv)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9(m)</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84" w:lineRule="exact"/>
        <w:rPr>
          <w:rFonts w:ascii="Arial" w:cs="Arial" w:eastAsia="Arial" w:hAnsi="Arial"/>
          <w:sz w:val="16"/>
          <w:szCs w:val="16"/>
          <w:color w:val="auto"/>
        </w:rPr>
      </w:pPr>
    </w:p>
    <w:p>
      <w:pPr>
        <w:ind w:right="40" w:firstLine="656"/>
        <w:spacing w:after="0" w:line="293" w:lineRule="auto"/>
        <w:tabs>
          <w:tab w:leader="none" w:pos="1516"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In the event it is later determined that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89" w:lineRule="exact"/>
        <w:rPr>
          <w:rFonts w:ascii="Arial" w:cs="Arial" w:eastAsia="Arial" w:hAnsi="Arial"/>
          <w:sz w:val="19"/>
          <w:szCs w:val="19"/>
          <w:color w:val="auto"/>
        </w:rPr>
      </w:pPr>
    </w:p>
    <w:p>
      <w:pPr>
        <w:ind w:right="180" w:firstLine="656"/>
        <w:spacing w:after="0" w:line="314" w:lineRule="auto"/>
        <w:tabs>
          <w:tab w:leader="none" w:pos="14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hereby agrees that, for purposes of determining whether any portion of the Total Payments would be subject to the Excise Tax, no portion of the Total Payments shall be taken into account which, in the opinion of the Independent Advisors and to the extent permitted under applicable law, does not constitute a “parachute payment” within the meaning of Section 280G(b)(2) of the Code (including by reason of Section 280G(b)(4)(A) of the Code as an agreement for the performance of personal services).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828282"/>
        </w:rPr>
        <w:t>9</w:t>
      </w:r>
    </w:p>
    <w:p>
      <w:pPr>
        <w:sectPr>
          <w:pgSz w:w="11900" w:h="16838" w:orient="portrait"/>
          <w:cols w:equalWidth="0" w:num="1">
            <w:col w:w="11420"/>
          </w:cols>
          <w:pgMar w:left="240" w:top="595" w:right="239" w:bottom="1440" w:gutter="0" w:footer="0" w:header="0"/>
        </w:sectPr>
      </w:pPr>
    </w:p>
    <w:bookmarkStart w:id="45" w:name="page46"/>
    <w:bookmarkEnd w:id="45"/>
    <w:p>
      <w:pPr>
        <w:ind w:left="352" w:hanging="352"/>
        <w:spacing w:after="0"/>
        <w:tabs>
          <w:tab w:leader="none" w:pos="3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 Provisions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8" w:right="260" w:firstLine="656"/>
        <w:spacing w:after="0" w:line="293" w:lineRule="auto"/>
        <w:tabs>
          <w:tab w:leader="none" w:pos="150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89" w:lineRule="exact"/>
        <w:rPr>
          <w:rFonts w:ascii="Arial" w:cs="Arial" w:eastAsia="Arial" w:hAnsi="Arial"/>
          <w:sz w:val="19"/>
          <w:szCs w:val="19"/>
          <w:color w:val="auto"/>
        </w:rPr>
      </w:pPr>
    </w:p>
    <w:p>
      <w:pPr>
        <w:ind w:left="-8" w:right="180" w:firstLine="656"/>
        <w:spacing w:after="0" w:line="289" w:lineRule="auto"/>
        <w:tabs>
          <w:tab w:leader="none" w:pos="1519"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Validity</w:t>
      </w:r>
      <w:r>
        <w:rPr>
          <w:rFonts w:ascii="Arial" w:cs="Arial" w:eastAsia="Arial" w:hAnsi="Arial"/>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88" w:lineRule="exact"/>
        <w:rPr>
          <w:rFonts w:ascii="Arial" w:cs="Arial" w:eastAsia="Arial" w:hAnsi="Arial"/>
          <w:sz w:val="20"/>
          <w:szCs w:val="20"/>
          <w:color w:val="auto"/>
        </w:rPr>
      </w:pPr>
    </w:p>
    <w:p>
      <w:pPr>
        <w:jc w:val="both"/>
        <w:ind w:left="-8" w:right="180" w:firstLine="656"/>
        <w:spacing w:after="0" w:line="278" w:lineRule="auto"/>
        <w:tabs>
          <w:tab w:leader="none" w:pos="1508"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200" w:lineRule="exact"/>
        <w:rPr>
          <w:rFonts w:ascii="Arial" w:cs="Arial" w:eastAsia="Arial" w:hAnsi="Arial"/>
          <w:sz w:val="20"/>
          <w:szCs w:val="20"/>
          <w:color w:val="auto"/>
        </w:rPr>
      </w:pPr>
    </w:p>
    <w:p>
      <w:pPr>
        <w:ind w:left="2132" w:hanging="835"/>
        <w:spacing w:after="0"/>
        <w:tabs>
          <w:tab w:leader="none" w:pos="2132" w:val="left"/>
        </w:tabs>
        <w:numPr>
          <w:ilvl w:val="2"/>
          <w:numId w:val="38"/>
        </w:numPr>
        <w:rPr>
          <w:rFonts w:ascii="Arial" w:cs="Arial" w:eastAsia="Arial" w:hAnsi="Arial"/>
          <w:sz w:val="20"/>
          <w:szCs w:val="20"/>
          <w:color w:val="auto"/>
        </w:rPr>
      </w:pPr>
      <w:r>
        <w:rPr>
          <w:rFonts w:ascii="Arial" w:cs="Arial" w:eastAsia="Arial" w:hAnsi="Arial"/>
          <w:sz w:val="20"/>
          <w:szCs w:val="20"/>
          <w:color w:val="auto"/>
        </w:rPr>
        <w:t>If to the Company, to the General Counsel of the Company at the Company’s headquarters,</w:t>
      </w:r>
    </w:p>
    <w:p>
      <w:pPr>
        <w:spacing w:after="0" w:line="256" w:lineRule="exact"/>
        <w:rPr>
          <w:rFonts w:ascii="Arial" w:cs="Arial" w:eastAsia="Arial" w:hAnsi="Arial"/>
          <w:sz w:val="20"/>
          <w:szCs w:val="20"/>
          <w:color w:val="auto"/>
        </w:rPr>
      </w:pPr>
    </w:p>
    <w:p>
      <w:pPr>
        <w:ind w:left="2192" w:hanging="895"/>
        <w:spacing w:after="0"/>
        <w:tabs>
          <w:tab w:leader="none" w:pos="2192" w:val="left"/>
        </w:tabs>
        <w:numPr>
          <w:ilvl w:val="2"/>
          <w:numId w:val="38"/>
        </w:numPr>
        <w:rPr>
          <w:rFonts w:ascii="Arial" w:cs="Arial" w:eastAsia="Arial" w:hAnsi="Arial"/>
          <w:sz w:val="20"/>
          <w:szCs w:val="20"/>
          <w:color w:val="auto"/>
        </w:rPr>
      </w:pPr>
      <w:r>
        <w:rPr>
          <w:rFonts w:ascii="Arial" w:cs="Arial" w:eastAsia="Arial" w:hAnsi="Arial"/>
          <w:sz w:val="20"/>
          <w:szCs w:val="20"/>
          <w:color w:val="auto"/>
        </w:rPr>
        <w:t>If to Executive, to the last address that the Company has in its personnel records for Executive, or</w:t>
      </w:r>
    </w:p>
    <w:p>
      <w:pPr>
        <w:spacing w:after="0" w:line="256" w:lineRule="exact"/>
        <w:rPr>
          <w:rFonts w:ascii="Arial" w:cs="Arial" w:eastAsia="Arial" w:hAnsi="Arial"/>
          <w:sz w:val="20"/>
          <w:szCs w:val="20"/>
          <w:color w:val="auto"/>
        </w:rPr>
      </w:pPr>
    </w:p>
    <w:p>
      <w:pPr>
        <w:ind w:left="2232" w:hanging="935"/>
        <w:spacing w:after="0"/>
        <w:tabs>
          <w:tab w:leader="none" w:pos="2232" w:val="left"/>
        </w:tabs>
        <w:numPr>
          <w:ilvl w:val="2"/>
          <w:numId w:val="38"/>
        </w:numPr>
        <w:rPr>
          <w:rFonts w:ascii="Arial" w:cs="Arial" w:eastAsia="Arial" w:hAnsi="Arial"/>
          <w:sz w:val="20"/>
          <w:szCs w:val="20"/>
          <w:color w:val="auto"/>
        </w:rPr>
      </w:pPr>
      <w:r>
        <w:rPr>
          <w:rFonts w:ascii="Arial" w:cs="Arial" w:eastAsia="Arial" w:hAnsi="Arial"/>
          <w:sz w:val="20"/>
          <w:szCs w:val="20"/>
          <w:color w:val="auto"/>
        </w:rPr>
        <w:t>At any other address as any Party shall have specified by notice in writing to the other Party.</w:t>
      </w:r>
    </w:p>
    <w:p>
      <w:pPr>
        <w:spacing w:after="0" w:line="256" w:lineRule="exact"/>
        <w:rPr>
          <w:rFonts w:ascii="Arial" w:cs="Arial" w:eastAsia="Arial" w:hAnsi="Arial"/>
          <w:sz w:val="20"/>
          <w:szCs w:val="20"/>
          <w:color w:val="auto"/>
        </w:rPr>
      </w:pPr>
    </w:p>
    <w:p>
      <w:pPr>
        <w:ind w:left="-8" w:right="40" w:firstLine="656"/>
        <w:spacing w:after="0" w:line="278" w:lineRule="auto"/>
        <w:tabs>
          <w:tab w:leader="none" w:pos="1519"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00" w:lineRule="exact"/>
        <w:rPr>
          <w:rFonts w:ascii="Arial" w:cs="Arial" w:eastAsia="Arial" w:hAnsi="Arial"/>
          <w:sz w:val="20"/>
          <w:szCs w:val="20"/>
          <w:color w:val="auto"/>
        </w:rPr>
      </w:pPr>
    </w:p>
    <w:p>
      <w:pPr>
        <w:ind w:left="-8" w:right="20" w:firstLine="656"/>
        <w:spacing w:after="0" w:line="307" w:lineRule="auto"/>
        <w:tabs>
          <w:tab w:leader="none" w:pos="150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The terms of this Agreement, the Restrictive Covenant Agreement incorporated herein by reference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0" w:lineRule="exact"/>
        <w:rPr>
          <w:rFonts w:ascii="Arial" w:cs="Arial" w:eastAsia="Arial" w:hAnsi="Arial"/>
          <w:sz w:val="18"/>
          <w:szCs w:val="18"/>
          <w:color w:val="auto"/>
        </w:rPr>
      </w:pPr>
    </w:p>
    <w:p>
      <w:pPr>
        <w:ind w:left="-8" w:firstLine="656"/>
        <w:spacing w:after="0" w:line="289" w:lineRule="auto"/>
        <w:tabs>
          <w:tab w:leader="none" w:pos="1486"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The Parties acknowledge that they have or will enter into an Indemnification Agreement in substantially the form attached as Exhibit C hereto.</w:t>
      </w:r>
    </w:p>
    <w:p>
      <w:pPr>
        <w:spacing w:after="0" w:line="188" w:lineRule="exact"/>
        <w:rPr>
          <w:rFonts w:ascii="Arial" w:cs="Arial" w:eastAsia="Arial" w:hAnsi="Arial"/>
          <w:sz w:val="20"/>
          <w:szCs w:val="20"/>
          <w:color w:val="auto"/>
        </w:rPr>
      </w:pPr>
    </w:p>
    <w:p>
      <w:pPr>
        <w:ind w:left="-8" w:right="140" w:firstLine="656"/>
        <w:spacing w:after="0" w:line="273" w:lineRule="auto"/>
        <w:tabs>
          <w:tab w:leader="none" w:pos="1519"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Amendments; Waivers</w:t>
      </w:r>
      <w:r>
        <w:rPr>
          <w:rFonts w:ascii="Arial" w:cs="Arial" w:eastAsia="Arial" w:hAnsi="Arial"/>
          <w:sz w:val="20"/>
          <w:szCs w:val="20"/>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provided, however, that such waiver shall not operate as a waiver of, or estoppel with respect to, any other or subsequent failure. No failure to</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828282"/>
        </w:rPr>
        <w:t>10</w:t>
      </w:r>
    </w:p>
    <w:p>
      <w:pPr>
        <w:sectPr>
          <w:pgSz w:w="11900" w:h="16838" w:orient="portrait"/>
          <w:cols w:equalWidth="0" w:num="1">
            <w:col w:w="11412"/>
          </w:cols>
          <w:pgMar w:left="248" w:top="576" w:right="239" w:bottom="1440" w:gutter="0" w:footer="0" w:header="0"/>
        </w:sectPr>
      </w:pPr>
    </w:p>
    <w:bookmarkStart w:id="46" w:name="page47"/>
    <w:bookmarkEnd w:id="46"/>
    <w:p>
      <w:pPr>
        <w:ind w:right="160"/>
        <w:spacing w:after="0" w:line="289" w:lineRule="auto"/>
        <w:rPr>
          <w:sz w:val="20"/>
          <w:szCs w:val="20"/>
          <w:color w:val="auto"/>
        </w:rPr>
      </w:pPr>
      <w:r>
        <w:rPr>
          <w:rFonts w:ascii="Arial" w:cs="Arial" w:eastAsia="Arial" w:hAnsi="Arial"/>
          <w:sz w:val="20"/>
          <w:szCs w:val="20"/>
          <w:color w:val="auto"/>
        </w:rPr>
        <w:t>exercise and no delay in exercising any right, remedy, or power hereunder preclude any other or further exercise of any other right, remedy, or power provided herein or by law or in equity.</w:t>
      </w:r>
    </w:p>
    <w:p>
      <w:pPr>
        <w:spacing w:after="0" w:line="189" w:lineRule="exact"/>
        <w:rPr>
          <w:sz w:val="20"/>
          <w:szCs w:val="20"/>
          <w:color w:val="auto"/>
        </w:rPr>
      </w:pPr>
    </w:p>
    <w:p>
      <w:pPr>
        <w:ind w:firstLine="656"/>
        <w:spacing w:after="0" w:line="299" w:lineRule="auto"/>
        <w:tabs>
          <w:tab w:leader="none" w:pos="152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Inconsistent Actions</w:t>
      </w:r>
      <w:r>
        <w:rPr>
          <w:rFonts w:ascii="Arial" w:cs="Arial" w:eastAsia="Arial" w:hAnsi="Arial"/>
          <w:sz w:val="19"/>
          <w:szCs w:val="19"/>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2" w:lineRule="exact"/>
        <w:rPr>
          <w:rFonts w:ascii="Arial" w:cs="Arial" w:eastAsia="Arial" w:hAnsi="Arial"/>
          <w:sz w:val="19"/>
          <w:szCs w:val="19"/>
          <w:color w:val="auto"/>
        </w:rPr>
      </w:pPr>
    </w:p>
    <w:p>
      <w:pPr>
        <w:ind w:firstLine="656"/>
        <w:spacing w:after="0" w:line="345" w:lineRule="auto"/>
        <w:tabs>
          <w:tab w:leader="none" w:pos="148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8" w:lineRule="exact"/>
        <w:rPr>
          <w:rFonts w:ascii="Arial" w:cs="Arial" w:eastAsia="Arial" w:hAnsi="Arial"/>
          <w:sz w:val="16"/>
          <w:szCs w:val="16"/>
          <w:color w:val="auto"/>
        </w:rPr>
      </w:pPr>
    </w:p>
    <w:p>
      <w:pPr>
        <w:jc w:val="both"/>
        <w:ind w:right="120" w:firstLine="656"/>
        <w:spacing w:after="0" w:line="297" w:lineRule="auto"/>
        <w:tabs>
          <w:tab w:leader="none" w:pos="148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w:t>
      </w:r>
    </w:p>
    <w:p>
      <w:pPr>
        <w:spacing w:after="0" w:line="1" w:lineRule="exact"/>
        <w:rPr>
          <w:rFonts w:ascii="Arial" w:cs="Arial" w:eastAsia="Arial" w:hAnsi="Arial"/>
          <w:sz w:val="18"/>
          <w:szCs w:val="18"/>
          <w:color w:val="auto"/>
        </w:rPr>
      </w:pPr>
    </w:p>
    <w:p>
      <w:pPr>
        <w:ind w:right="80"/>
        <w:spacing w:after="0" w:line="316" w:lineRule="auto"/>
        <w:rPr>
          <w:rFonts w:ascii="Arial" w:cs="Arial" w:eastAsia="Arial" w:hAnsi="Arial"/>
          <w:sz w:val="18"/>
          <w:szCs w:val="18"/>
          <w:color w:val="auto"/>
        </w:rPr>
      </w:pPr>
      <w:r>
        <w:rPr>
          <w:rFonts w:ascii="Arial" w:cs="Arial" w:eastAsia="Arial" w:hAnsi="Arial"/>
          <w:sz w:val="19"/>
          <w:szCs w:val="19"/>
          <w:color w:val="auto"/>
        </w:rPr>
        <w:t>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67" w:lineRule="exact"/>
        <w:rPr>
          <w:rFonts w:ascii="Arial" w:cs="Arial" w:eastAsia="Arial" w:hAnsi="Arial"/>
          <w:sz w:val="18"/>
          <w:szCs w:val="18"/>
          <w:color w:val="auto"/>
        </w:rPr>
      </w:pPr>
    </w:p>
    <w:p>
      <w:pPr>
        <w:ind w:right="40" w:firstLine="656"/>
        <w:spacing w:after="0" w:line="278" w:lineRule="auto"/>
        <w:tabs>
          <w:tab w:leader="none" w:pos="1527"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200" w:lineRule="exact"/>
        <w:rPr>
          <w:rFonts w:ascii="Arial" w:cs="Arial" w:eastAsia="Arial" w:hAnsi="Arial"/>
          <w:sz w:val="20"/>
          <w:szCs w:val="20"/>
          <w:color w:val="auto"/>
        </w:rPr>
      </w:pPr>
    </w:p>
    <w:p>
      <w:pPr>
        <w:ind w:left="1500" w:hanging="844"/>
        <w:spacing w:after="0"/>
        <w:tabs>
          <w:tab w:leader="none" w:pos="15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660" w:right="100" w:firstLine="645"/>
        <w:spacing w:after="0" w:line="278" w:lineRule="auto"/>
        <w:tabs>
          <w:tab w:leader="none" w:pos="2143" w:val="left"/>
        </w:tabs>
        <w:numPr>
          <w:ilvl w:val="1"/>
          <w:numId w:val="39"/>
        </w:numPr>
        <w:rPr>
          <w:rFonts w:ascii="Arial" w:cs="Arial" w:eastAsia="Arial" w:hAnsi="Arial"/>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The intent of the Parties is that the payments and benefits under this Agreement comply with or be exempt</w:t>
      </w:r>
      <w:r>
        <w:rPr>
          <w:rFonts w:ascii="Arial" w:cs="Arial" w:eastAsia="Arial" w:hAnsi="Arial"/>
          <w:sz w:val="20"/>
          <w:szCs w:val="20"/>
          <w:i w:val="1"/>
          <w:iCs w:val="1"/>
          <w:color w:val="auto"/>
        </w:rPr>
        <w:t xml:space="preserve"> </w:t>
      </w:r>
      <w:r>
        <w:rPr>
          <w:rFonts w:ascii="Arial" w:cs="Arial" w:eastAsia="Arial" w:hAnsi="Arial"/>
          <w:sz w:val="20"/>
          <w:szCs w:val="20"/>
          <w:color w:val="auto"/>
        </w:rPr>
        <w:t>from Section 409A and, accordingly, to the maximum extent permitted, this Agreement shall be interpreted to be in compliance therewith.</w:t>
      </w:r>
    </w:p>
    <w:p>
      <w:pPr>
        <w:spacing w:after="0" w:line="200" w:lineRule="exact"/>
        <w:rPr>
          <w:rFonts w:ascii="Arial" w:cs="Arial" w:eastAsia="Arial" w:hAnsi="Arial"/>
          <w:sz w:val="20"/>
          <w:szCs w:val="20"/>
          <w:color w:val="auto"/>
        </w:rPr>
      </w:pPr>
    </w:p>
    <w:p>
      <w:pPr>
        <w:ind w:left="660" w:right="60" w:firstLine="645"/>
        <w:spacing w:after="0" w:line="274" w:lineRule="auto"/>
        <w:tabs>
          <w:tab w:leader="none" w:pos="2198" w:val="left"/>
        </w:tabs>
        <w:numPr>
          <w:ilvl w:val="1"/>
          <w:numId w:val="39"/>
        </w:numPr>
        <w:rPr>
          <w:rFonts w:ascii="Arial" w:cs="Arial" w:eastAsia="Arial" w:hAnsi="Arial"/>
          <w:sz w:val="20"/>
          <w:szCs w:val="20"/>
          <w:color w:val="auto"/>
        </w:rPr>
      </w:pPr>
      <w:r>
        <w:rPr>
          <w:rFonts w:ascii="Arial" w:cs="Arial" w:eastAsia="Arial" w:hAnsi="Arial"/>
          <w:sz w:val="20"/>
          <w:szCs w:val="20"/>
          <w:i w:val="1"/>
          <w:iCs w:val="1"/>
          <w:color w:val="auto"/>
        </w:rPr>
        <w:t xml:space="preserve">Separation from Service. </w:t>
      </w:r>
      <w:r>
        <w:rPr>
          <w:rFonts w:ascii="Arial" w:cs="Arial" w:eastAsia="Arial" w:hAnsi="Arial"/>
          <w:sz w:val="20"/>
          <w:szCs w:val="20"/>
          <w:color w:val="auto"/>
        </w:rPr>
        <w:t>For purposes of any compensation or benefits payable to Executive under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all references to “termination of employment” and correlative phrases shall be construed to require a “separation from service” (as defined in Section 1.409A-1(h) of the Treasury regulations after giving effect to the presumptions contained therein) (a “</w:t>
      </w:r>
      <w:r>
        <w:rPr>
          <w:rFonts w:ascii="Arial" w:cs="Arial" w:eastAsia="Arial" w:hAnsi="Arial"/>
          <w:sz w:val="20"/>
          <w:szCs w:val="20"/>
          <w:u w:val="single" w:color="auto"/>
          <w:color w:val="auto"/>
        </w:rPr>
        <w:t>Separation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from Service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11</w:t>
      </w:r>
    </w:p>
    <w:p>
      <w:pPr>
        <w:sectPr>
          <w:pgSz w:w="11900" w:h="16838" w:orient="portrait"/>
          <w:cols w:equalWidth="0" w:num="1">
            <w:col w:w="11420"/>
          </w:cols>
          <w:pgMar w:left="240" w:top="595" w:right="239" w:bottom="1440" w:gutter="0" w:footer="0" w:header="0"/>
        </w:sectPr>
      </w:pPr>
    </w:p>
    <w:bookmarkStart w:id="47" w:name="page48"/>
    <w:bookmarkEnd w:id="47"/>
    <w:p>
      <w:pPr>
        <w:ind w:left="660" w:right="20" w:firstLine="645"/>
        <w:spacing w:after="0" w:line="273" w:lineRule="auto"/>
        <w:tabs>
          <w:tab w:leader="none" w:pos="1803"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Notwithstanding anything in this Agreement to the contrary, if Executive is deemed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69" w:lineRule="exact"/>
        <w:rPr>
          <w:rFonts w:ascii="Arial" w:cs="Arial" w:eastAsia="Arial" w:hAnsi="Arial"/>
          <w:sz w:val="18"/>
          <w:szCs w:val="18"/>
          <w:color w:val="auto"/>
        </w:rPr>
      </w:pPr>
    </w:p>
    <w:p>
      <w:pPr>
        <w:ind w:left="660" w:firstLine="645"/>
        <w:spacing w:after="0" w:line="278" w:lineRule="auto"/>
        <w:tabs>
          <w:tab w:leader="none" w:pos="1792"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Reimbursements. </w:t>
      </w:r>
      <w:r>
        <w:rPr>
          <w:rFonts w:ascii="Arial" w:cs="Arial" w:eastAsia="Arial" w:hAnsi="Arial"/>
          <w:sz w:val="18"/>
          <w:szCs w:val="18"/>
          <w:color w:val="auto"/>
        </w:rPr>
        <w:t>To the extent that any reimbursements under this Agreement are subject to Section 409A,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65" w:lineRule="exact"/>
        <w:rPr>
          <w:rFonts w:ascii="Arial" w:cs="Arial" w:eastAsia="Arial" w:hAnsi="Arial"/>
          <w:sz w:val="18"/>
          <w:szCs w:val="18"/>
          <w:color w:val="auto"/>
        </w:rPr>
      </w:pPr>
    </w:p>
    <w:p>
      <w:pPr>
        <w:ind w:left="660" w:right="80" w:firstLine="645"/>
        <w:spacing w:after="0" w:line="258" w:lineRule="auto"/>
        <w:tabs>
          <w:tab w:leader="none" w:pos="1737"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Installments. </w:t>
      </w:r>
      <w:r>
        <w:rPr>
          <w:rFonts w:ascii="Arial" w:cs="Arial" w:eastAsia="Arial" w:hAnsi="Arial"/>
          <w:sz w:val="19"/>
          <w:szCs w:val="19"/>
          <w:color w:val="auto"/>
        </w:rPr>
        <w:t>Executive’s right to receive any installment payments under this Agreement, including without limitation</w:t>
      </w:r>
      <w:r>
        <w:rPr>
          <w:rFonts w:ascii="Arial" w:cs="Arial" w:eastAsia="Arial" w:hAnsi="Arial"/>
          <w:sz w:val="19"/>
          <w:szCs w:val="19"/>
          <w:i w:val="1"/>
          <w:iCs w:val="1"/>
          <w:color w:val="auto"/>
        </w:rPr>
        <w:t xml:space="preserve"> </w:t>
      </w:r>
      <w:r>
        <w:rPr>
          <w:rFonts w:ascii="Arial" w:cs="Arial" w:eastAsia="Arial" w:hAnsi="Arial"/>
          <w:sz w:val="19"/>
          <w:szCs w:val="19"/>
          <w:color w:val="auto"/>
        </w:rPr>
        <w:t>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73" w:lineRule="exact"/>
        <w:rPr>
          <w:rFonts w:ascii="Arial" w:cs="Arial" w:eastAsia="Arial" w:hAnsi="Arial"/>
          <w:sz w:val="19"/>
          <w:szCs w:val="19"/>
          <w:color w:val="auto"/>
        </w:rPr>
      </w:pPr>
    </w:p>
    <w:p>
      <w:pPr>
        <w:ind w:left="460" w:hanging="452"/>
        <w:spacing w:after="0"/>
        <w:tabs>
          <w:tab w:leader="none" w:pos="46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Executive Acknowledgement</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right="420" w:firstLine="648"/>
        <w:spacing w:after="0" w:line="250" w:lineRule="auto"/>
        <w:rPr>
          <w:sz w:val="20"/>
          <w:szCs w:val="20"/>
          <w:color w:val="auto"/>
        </w:rPr>
      </w:pPr>
      <w:r>
        <w:rPr>
          <w:rFonts w:ascii="Arial" w:cs="Arial" w:eastAsia="Arial" w:hAnsi="Arial"/>
          <w:sz w:val="20"/>
          <w:szCs w:val="20"/>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828282"/>
        </w:rPr>
        <w:t>12</w:t>
      </w:r>
    </w:p>
    <w:p>
      <w:pPr>
        <w:sectPr>
          <w:pgSz w:w="11900" w:h="16838" w:orient="portrait"/>
          <w:cols w:equalWidth="0" w:num="1">
            <w:col w:w="11420"/>
          </w:cols>
          <w:pgMar w:left="240" w:top="582" w:right="239" w:bottom="1440" w:gutter="0" w:footer="0" w:header="0"/>
        </w:sectPr>
      </w:pPr>
    </w:p>
    <w:bookmarkStart w:id="48" w:name="page49"/>
    <w:bookmarkEnd w:id="48"/>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a sealed instrument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SELECTA BIOSCIENCES, INC.</w:t>
      </w:r>
    </w:p>
    <w:p>
      <w:pPr>
        <w:spacing w:after="0" w:line="337" w:lineRule="exact"/>
        <w:rPr>
          <w:sz w:val="20"/>
          <w:szCs w:val="20"/>
          <w:color w:val="auto"/>
        </w:rPr>
      </w:pPr>
    </w:p>
    <w:p>
      <w:pPr>
        <w:ind w:left="7000"/>
        <w:spacing w:after="0"/>
        <w:tabs>
          <w:tab w:leader="none" w:pos="7440" w:val="left"/>
        </w:tabs>
        <w:rPr>
          <w:sz w:val="20"/>
          <w:szCs w:val="20"/>
          <w:color w:val="auto"/>
        </w:rPr>
      </w:pPr>
      <w:r>
        <w:rPr>
          <w:rFonts w:ascii="Arial" w:cs="Arial" w:eastAsia="Arial" w:hAnsi="Arial"/>
          <w:sz w:val="18"/>
          <w:szCs w:val="18"/>
          <w:color w:val="auto"/>
        </w:rPr>
        <w:t>By:</w:t>
        <w:tab/>
        <w:t>/s/ Patrick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tabs>
          <w:tab w:leader="none" w:pos="8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Patrick Zenner</w:t>
      </w:r>
    </w:p>
    <w:p>
      <w:pPr>
        <w:spacing w:after="0" w:line="63" w:lineRule="exact"/>
        <w:rPr>
          <w:sz w:val="20"/>
          <w:szCs w:val="20"/>
          <w:color w:val="auto"/>
        </w:rPr>
      </w:pPr>
    </w:p>
    <w:p>
      <w:pPr>
        <w:ind w:left="7460"/>
        <w:spacing w:after="0"/>
        <w:tabs>
          <w:tab w:leader="none" w:pos="8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352" w:lineRule="exact"/>
        <w:rPr>
          <w:sz w:val="20"/>
          <w:szCs w:val="20"/>
          <w:color w:val="auto"/>
        </w:rPr>
      </w:pPr>
    </w:p>
    <w:p>
      <w:pPr>
        <w:ind w:left="7460"/>
        <w:spacing w:after="0"/>
        <w:rPr>
          <w:sz w:val="20"/>
          <w:szCs w:val="20"/>
          <w:color w:val="auto"/>
        </w:rPr>
      </w:pPr>
      <w:r>
        <w:rPr>
          <w:rFonts w:ascii="Arial" w:cs="Arial" w:eastAsia="Arial" w:hAnsi="Arial"/>
          <w:sz w:val="20"/>
          <w:szCs w:val="20"/>
          <w:b w:val="1"/>
          <w:bCs w:val="1"/>
          <w:color w:val="auto"/>
        </w:rPr>
        <w:t>EXECUTIVE</w:t>
      </w:r>
    </w:p>
    <w:p>
      <w:pPr>
        <w:spacing w:after="0" w:line="6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/s/ Carsten Brunn</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9/25/18</w:t>
            </w:r>
          </w:p>
        </w:tc>
      </w:tr>
      <w:tr>
        <w:trPr>
          <w:trHeight w:val="27"/>
        </w:trPr>
        <w:tc>
          <w:tcPr>
            <w:tcW w:w="2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ind w:left="20"/>
              <w:spacing w:after="0"/>
              <w:rPr>
                <w:sz w:val="20"/>
                <w:szCs w:val="20"/>
                <w:color w:val="auto"/>
              </w:rPr>
            </w:pPr>
            <w:r>
              <w:rPr>
                <w:rFonts w:ascii="Arial" w:cs="Arial" w:eastAsia="Arial" w:hAnsi="Arial"/>
                <w:sz w:val="18"/>
                <w:szCs w:val="18"/>
                <w:color w:val="auto"/>
              </w:rPr>
              <w:t>Carsten Brunn Ph.D.</w:t>
            </w: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1420"/>
          </w:cols>
          <w:pgMar w:left="240" w:top="796" w:right="23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Carsten Brunn, Ph.D.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have previously entered into that certain Employment Agreement, dated as of ____________, 2018 (the</w:t>
      </w:r>
    </w:p>
    <w:p>
      <w:pPr>
        <w:spacing w:after="0" w:line="39"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“Employment Agreement”) and that certain Employee Nondisclosure, Noncompetition and Assignment of Intellectual Property Agreement, dated as of ________, 2018 (the “RCA”); and</w:t>
      </w:r>
    </w:p>
    <w:p>
      <w:pPr>
        <w:spacing w:after="0" w:line="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________, 20__, the Parties wish to resolve any and all disputes, claims, complaints, grievances, charges, actions, petitions, 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63"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62" w:lineRule="exact"/>
        <w:rPr>
          <w:sz w:val="20"/>
          <w:szCs w:val="20"/>
          <w:color w:val="auto"/>
        </w:rPr>
      </w:pPr>
    </w:p>
    <w:p>
      <w:pPr>
        <w:ind w:right="260" w:firstLine="656"/>
        <w:spacing w:after="0" w:line="260" w:lineRule="auto"/>
        <w:tabs>
          <w:tab w:leader="none" w:pos="97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Severance Payments; Salary and Benefits</w:t>
      </w:r>
      <w:r>
        <w:rPr>
          <w:rFonts w:ascii="Arial" w:cs="Arial" w:eastAsia="Arial" w:hAnsi="Arial"/>
          <w:sz w:val="19"/>
          <w:szCs w:val="19"/>
          <w:color w:val="auto"/>
        </w:rPr>
        <w:t>. The Company agrees to provide Executive with the severance payments and benefits described in Section 4(b) [and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80" w:lineRule="exact"/>
        <w:rPr>
          <w:rFonts w:ascii="Arial" w:cs="Arial" w:eastAsia="Arial" w:hAnsi="Arial"/>
          <w:sz w:val="19"/>
          <w:szCs w:val="19"/>
          <w:color w:val="auto"/>
        </w:rPr>
      </w:pPr>
    </w:p>
    <w:p>
      <w:pPr>
        <w:ind w:right="80" w:firstLine="656"/>
        <w:spacing w:after="0" w:line="257" w:lineRule="auto"/>
        <w:tabs>
          <w:tab w:leader="none" w:pos="977"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80" w:right="29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Releasees arising from any omissions, acts, facts, or damages that have occurred up until and including the date Executive signs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 including, without limitation:</w:t>
      </w:r>
    </w:p>
    <w:p>
      <w:pPr>
        <w:spacing w:after="0" w:line="200" w:lineRule="exact"/>
        <w:rPr>
          <w:sz w:val="20"/>
          <w:szCs w:val="20"/>
          <w:color w:val="auto"/>
        </w:rPr>
      </w:pPr>
    </w:p>
    <w:p>
      <w:pPr>
        <w:ind w:right="80" w:firstLine="1305"/>
        <w:spacing w:after="0" w:line="260" w:lineRule="auto"/>
        <w:tabs>
          <w:tab w:leader="none" w:pos="1696"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right="180" w:firstLine="1305"/>
        <w:spacing w:after="0" w:line="291" w:lineRule="auto"/>
        <w:tabs>
          <w:tab w:leader="none" w:pos="17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right="380" w:firstLine="1305"/>
        <w:spacing w:after="0" w:line="278" w:lineRule="auto"/>
        <w:tabs>
          <w:tab w:leader="none" w:pos="16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right="120" w:firstLine="1305"/>
        <w:spacing w:after="0" w:line="244" w:lineRule="auto"/>
        <w:tabs>
          <w:tab w:leader="none" w:pos="17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700" w:hanging="395"/>
        <w:spacing w:after="0"/>
        <w:tabs>
          <w:tab w:leader="none" w:pos="1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40" w:hanging="435"/>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right="760" w:firstLine="1305"/>
        <w:spacing w:after="0" w:line="260" w:lineRule="auto"/>
        <w:tabs>
          <w:tab w:leader="none" w:pos="17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07"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0"/>
          <w:szCs w:val="20"/>
          <w:color w:val="auto"/>
        </w:rPr>
      </w:pPr>
    </w:p>
    <w:p>
      <w:pPr>
        <w:ind w:left="1680" w:hanging="375"/>
        <w:spacing w:after="0"/>
        <w:tabs>
          <w:tab w:leader="none" w:pos="16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2" w:right="259" w:bottom="1440" w:gutter="0" w:footer="0" w:header="0"/>
        </w:sectPr>
      </w:pPr>
    </w:p>
    <w:bookmarkStart w:id="51" w:name="page52"/>
    <w:bookmarkEnd w:id="51"/>
    <w:p>
      <w:pPr>
        <w:ind w:right="20"/>
        <w:spacing w:after="0" w:line="272" w:lineRule="auto"/>
        <w:rPr>
          <w:sz w:val="20"/>
          <w:szCs w:val="20"/>
          <w:color w:val="auto"/>
        </w:rPr>
      </w:pPr>
      <w:r>
        <w:rPr>
          <w:rFonts w:ascii="Arial" w:cs="Arial" w:eastAsia="Arial" w:hAnsi="Arial"/>
          <w:sz w:val="18"/>
          <w:szCs w:val="18"/>
          <w:color w:val="auto"/>
        </w:rPr>
        <w:t>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date Executive signs this Agreement.</w:t>
      </w:r>
    </w:p>
    <w:p>
      <w:pPr>
        <w:spacing w:after="0" w:line="171" w:lineRule="exact"/>
        <w:rPr>
          <w:sz w:val="20"/>
          <w:szCs w:val="20"/>
          <w:color w:val="auto"/>
        </w:rPr>
      </w:pPr>
    </w:p>
    <w:p>
      <w:pPr>
        <w:ind w:firstLine="656"/>
        <w:spacing w:after="0" w:line="254" w:lineRule="auto"/>
        <w:tabs>
          <w:tab w:leader="none" w:pos="977"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 NTD: To be determined by the Company at the time of separation. days within which to consider this Agreement, and the parties agree that such time period to review this Agreement shall not be extended upon any material or immaterial changes to this Agreement; (c) Executive has 7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91" w:lineRule="exact"/>
        <w:rPr>
          <w:rFonts w:ascii="Arial" w:cs="Arial" w:eastAsia="Arial" w:hAnsi="Arial"/>
          <w:sz w:val="19"/>
          <w:szCs w:val="19"/>
          <w:color w:val="auto"/>
        </w:rPr>
      </w:pPr>
    </w:p>
    <w:p>
      <w:pPr>
        <w:ind w:left="980" w:hanging="324"/>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40" w:firstLine="1305"/>
        <w:spacing w:after="0" w:line="243" w:lineRule="auto"/>
        <w:tabs>
          <w:tab w:leader="none" w:pos="1696" w:val="left"/>
        </w:tabs>
        <w:numPr>
          <w:ilvl w:val="1"/>
          <w:numId w:val="44"/>
        </w:numPr>
        <w:rPr>
          <w:rFonts w:ascii="Arial" w:cs="Arial" w:eastAsia="Arial" w:hAnsi="Arial"/>
          <w:sz w:val="20"/>
          <w:szCs w:val="20"/>
          <w:color w:val="auto"/>
        </w:rPr>
      </w:pPr>
      <w:r>
        <w:rPr>
          <w:rFonts w:ascii="Arial" w:cs="Arial" w:eastAsia="Arial" w:hAnsi="Arial"/>
          <w:sz w:val="20"/>
          <w:szCs w:val="20"/>
          <w:color w:val="auto"/>
        </w:rPr>
        <w:t>Executive acknowledges and agrees that the restrictive covenants and other post-termination obligations set forth in the RCA, including without limitation Executive’s obligations relating to confidentiality, non-use and non-disclosure of Confidential Information (as defined in the RCA), non-solicitation, cooperation, and return of property, are hereby incorporated by reference and shall remain in full force and effect pursuant to their terms to the maximum extent permitted by applicable law, except that the parties expressly agree to modify the RCA by removing Section 6, and each subpart thereto, of the RCA, which shall be of no further force or effect upon the Effective Date (as defined below). Executive represents and warrants that Executive has complied with all provisions of the RCA at all times through the Effective Date.</w:t>
      </w:r>
    </w:p>
    <w:p>
      <w:pPr>
        <w:spacing w:after="0" w:line="193" w:lineRule="exact"/>
        <w:rPr>
          <w:rFonts w:ascii="Arial" w:cs="Arial" w:eastAsia="Arial" w:hAnsi="Arial"/>
          <w:sz w:val="20"/>
          <w:szCs w:val="20"/>
          <w:color w:val="auto"/>
        </w:rPr>
      </w:pPr>
    </w:p>
    <w:p>
      <w:pPr>
        <w:ind w:right="140" w:firstLine="1305"/>
        <w:spacing w:after="0" w:line="260" w:lineRule="auto"/>
        <w:tabs>
          <w:tab w:leader="none" w:pos="1707"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 consideration for the severance payments and benefits set forth in Section 1 of this Agreement, Executive agrees for a period of 12 months after the Effective Date (the “Noncompetition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2" w:right="25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8"/>
          <w:szCs w:val="18"/>
          <w:color w:val="auto"/>
        </w:rPr>
        <w:t>Restricted Period”) to not directly or indirectly, on Executive’s own behalf or for the benefit of any other individual or entity: (i) operate, conduct, engage in, or own (except as a holder of not more than three percent (3%) of the stock of a publicly held company), or prepare to operate, conduct, engage in, or own any business that develops, markets, distributes, plans, sells or otherwise provides, or is preparing to develop, market, distribute, plan, sell or otherwise provide, any product or service that is in competition with any of the products or services being developed, marketed, distributed, planned, sold or otherwise provided by the Company or its affiliates at the time of, or during the 12 months preceding, Executive’s termination from the Company (a “Competing Business”) or (ii) participate in, render services to, or assist any individual or entity that engages in a Competing Business in any capacity (whether as an employee, manager, consultant, director, officer, contractor, or otherwise) (A) which involve the same or similar types of services Executive performed for the Company at any time during the last two years of Executive’s employment with the Company or (B) in which Executive could reasonably be expected to use or disclose Confidential Information, in each case (i) and (ii) limited to each city, county, state, territory and country in which (x) Executive provided services or had a material presence or influence at any time during Executive’s last two years of employment with the Company or (y) the Company is engaged in or has plans to engage in the Competing Business as of the Effective Date. Without limiting the Company’s ability to seek other remedies available in law or equity, if Executive violates this Section 4(b), the Noncompetition Restricted Period shall be extended by one day for each day that Executive is in violation of such provisions, up to a maximum extension equal to the length of the Noncompetition Restricted Period, so as to give the Company the full benefit of the bargained-for length of forbearance.</w:t>
      </w:r>
    </w:p>
    <w:p>
      <w:pPr>
        <w:spacing w:after="0" w:line="180" w:lineRule="exact"/>
        <w:rPr>
          <w:sz w:val="20"/>
          <w:szCs w:val="20"/>
          <w:color w:val="auto"/>
        </w:rPr>
      </w:pPr>
    </w:p>
    <w:p>
      <w:pPr>
        <w:ind w:firstLine="1305"/>
        <w:spacing w:after="0" w:line="243" w:lineRule="auto"/>
        <w:tabs>
          <w:tab w:leader="none" w:pos="1696" w:val="left"/>
        </w:tabs>
        <w:numPr>
          <w:ilvl w:val="1"/>
          <w:numId w:val="45"/>
        </w:numPr>
        <w:rPr>
          <w:rFonts w:ascii="Arial" w:cs="Arial" w:eastAsia="Arial" w:hAnsi="Arial"/>
          <w:sz w:val="20"/>
          <w:szCs w:val="20"/>
          <w:color w:val="auto"/>
        </w:rPr>
      </w:pPr>
      <w:r>
        <w:rPr>
          <w:rFonts w:ascii="Arial" w:cs="Arial" w:eastAsia="Arial" w:hAnsi="Arial"/>
          <w:sz w:val="20"/>
          <w:szCs w:val="20"/>
          <w:color w:val="auto"/>
        </w:rPr>
        <w:t>Executive’s continued compliance with the terms of the RCA (as modified in Section 4(a) above) and the noncompetition obligations set forth in Section 4(b) above (collectively, the “Restrictive Covenants”) is a material condition to receipt of the severance payments and benefits set forth in Section 1 of this Agreement. In the event Executive breaches any part of such Restrictive Covenants, then, in addition to any remedies and enforcement mechanisms set forth in the RCA and this Agreement and any other remedies available to the Company (including equitable and injunctive remedies), Executive shall forfeit any additional consideration owing and shall be obligated to promptly return to the Company (within two (2) business days of any breach) the full gross amount of all severance payments and benefits provided.</w:t>
      </w:r>
    </w:p>
    <w:p>
      <w:pPr>
        <w:spacing w:after="0" w:line="193" w:lineRule="exact"/>
        <w:rPr>
          <w:rFonts w:ascii="Arial" w:cs="Arial" w:eastAsia="Arial" w:hAnsi="Arial"/>
          <w:sz w:val="20"/>
          <w:szCs w:val="20"/>
          <w:color w:val="auto"/>
        </w:rPr>
      </w:pPr>
    </w:p>
    <w:p>
      <w:pPr>
        <w:ind w:right="40" w:firstLine="1305"/>
        <w:spacing w:after="0" w:line="246" w:lineRule="auto"/>
        <w:tabs>
          <w:tab w:leader="none" w:pos="1707" w:val="left"/>
        </w:tabs>
        <w:numPr>
          <w:ilvl w:val="1"/>
          <w:numId w:val="45"/>
        </w:numPr>
        <w:rPr>
          <w:rFonts w:ascii="Arial" w:cs="Arial" w:eastAsia="Arial" w:hAnsi="Arial"/>
          <w:sz w:val="20"/>
          <w:szCs w:val="20"/>
          <w:color w:val="auto"/>
        </w:rPr>
      </w:pPr>
      <w:r>
        <w:rPr>
          <w:rFonts w:ascii="Arial" w:cs="Arial" w:eastAsia="Arial" w:hAnsi="Arial"/>
          <w:sz w:val="20"/>
          <w:szCs w:val="20"/>
          <w:color w:val="auto"/>
        </w:rPr>
        <w:t>If any provision of the Restrictive Covenants shall be determined to be unenforceable by any court of competent jurisdiction or arbitrator by reason of its extending for too great a period of time or over too large a geographic area or over too great a range of activities, it shall be interpreted to extend only over the maximum period of time, geographic area or range of activities as to which it may be enforceable.</w:t>
      </w:r>
    </w:p>
    <w:p>
      <w:pPr>
        <w:spacing w:after="0" w:line="191" w:lineRule="exact"/>
        <w:rPr>
          <w:rFonts w:ascii="Arial" w:cs="Arial" w:eastAsia="Arial" w:hAnsi="Arial"/>
          <w:sz w:val="20"/>
          <w:szCs w:val="20"/>
          <w:color w:val="auto"/>
        </w:rPr>
      </w:pPr>
    </w:p>
    <w:p>
      <w:pPr>
        <w:jc w:val="both"/>
        <w:ind w:right="100" w:firstLine="656"/>
        <w:spacing w:after="0" w:line="250" w:lineRule="auto"/>
        <w:tabs>
          <w:tab w:leader="none" w:pos="977"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rFonts w:ascii="Arial" w:cs="Arial" w:eastAsia="Arial" w:hAnsi="Arial"/>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a duly authorized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subject to the provisions of Sections 9(a) and 9(c) of the Employment Agreement.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2" w:right="279" w:bottom="1440" w:gutter="0" w:footer="0" w:header="0"/>
        </w:sectPr>
      </w:pPr>
    </w:p>
    <w:bookmarkStart w:id="53" w:name="page54"/>
    <w:bookmarkEnd w:id="53"/>
    <w:p>
      <w:pPr>
        <w:ind w:left="-40" w:firstLine="656"/>
        <w:spacing w:after="0" w:line="261" w:lineRule="auto"/>
        <w:tabs>
          <w:tab w:leader="none" w:pos="93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has seven (7) business days after Executive signs this Agreement to revoke it, and this Agreement will become effective on the eighth (8</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Executive signed this Agreement (the “Effective Date”), so long as it has been signed by the Parties and has not been revoked by either Party before such date. For the avoidance of doubt, if Executive revokes this Agreement as provided herein, the Parties’ modification to the RCA set forth in Section 4(a) above shall be void and of no effect. Unless the Company has elected or elects to expressly waive Executive’s noncompetition obligations set forth in Section 6(a) of the RCA as provided in Section 10(e) of the RCA, the RCA, including without limitation Section 6 of the RCA, shall remain in full force and effect.</w:t>
      </w:r>
    </w:p>
    <w:p>
      <w:pPr>
        <w:spacing w:after="0" w:line="180" w:lineRule="exact"/>
        <w:rPr>
          <w:rFonts w:ascii="Arial" w:cs="Arial" w:eastAsia="Arial" w:hAnsi="Arial"/>
          <w:sz w:val="18"/>
          <w:szCs w:val="18"/>
          <w:color w:val="auto"/>
        </w:rPr>
      </w:pPr>
    </w:p>
    <w:p>
      <w:pPr>
        <w:ind w:left="-40" w:firstLine="656"/>
        <w:spacing w:after="0" w:line="258" w:lineRule="auto"/>
        <w:tabs>
          <w:tab w:leader="none" w:pos="93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37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Carsten Brunn Ph.D.</w:t>
      </w:r>
    </w:p>
    <w:p>
      <w:pPr>
        <w:spacing w:after="0" w:line="38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31750</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582" w:right="27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Nondisclosure, Noncompetition and Assignment of Intellectual Property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576"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sectPr>
      <w:pgSz w:w="11900" w:h="16838" w:orient="portrait"/>
      <w:cols w:equalWidth="0" w:num="1">
        <w:col w:w="9019"/>
      </w:cols>
      <w:pgMar w:left="14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1)"/>
      <w:numFmt w:val="lowerRoman"/>
      <w:start w:val="2"/>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4"/>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2"/>
    </w:lvl>
  </w:abstractNum>
  <w:abstractNum w:abstractNumId="9">
    <w:nsid w:val="836C40E"/>
    <w:multiLevelType w:val="hybridMultilevel"/>
    <w:lvl w:ilvl="0">
      <w:lvlJc w:val="left"/>
      <w:lvlText w:val="(%1)"/>
      <w:numFmt w:val="lowerLetter"/>
      <w:start w:val="1"/>
    </w:lvl>
    <w:lvl w:ilvl="1">
      <w:lvlJc w:val="left"/>
      <w:lvlText w:val="(%2)"/>
      <w:numFmt w:val="lowerRoman"/>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decimal"/>
      <w:start w:val="3"/>
    </w:lvl>
  </w:abstractNum>
  <w:abstractNum w:abstractNumId="19">
    <w:nsid w:val="3006C83E"/>
    <w:multiLevelType w:val="hybridMultilevel"/>
    <w:lvl w:ilvl="0">
      <w:lvlJc w:val="left"/>
      <w:lvlText w:val="%1."/>
      <w:numFmt w:val="upperLetter"/>
      <w:start w:val="1"/>
    </w:lvl>
  </w:abstractNum>
  <w:abstractNum w:abstractNumId="20">
    <w:nsid w:val="614FD4A1"/>
    <w:multiLevelType w:val="hybridMultilevel"/>
    <w:lvl w:ilvl="0">
      <w:lvlJc w:val="left"/>
      <w:lvlText w:val="%1."/>
      <w:numFmt w:val="decimal"/>
      <w:start w:val="1"/>
    </w:lvl>
    <w:lvl w:ilvl="1">
      <w:lvlJc w:val="left"/>
      <w:lvlText w:val="(%2)"/>
      <w:numFmt w:val="lowerLetter"/>
      <w:start w:val="1"/>
    </w:lvl>
  </w:abstractNum>
  <w:abstractNum w:abstractNumId="21">
    <w:nsid w:val="419AC241"/>
    <w:multiLevelType w:val="hybridMultilevel"/>
    <w:lvl w:ilvl="0">
      <w:lvlJc w:val="left"/>
      <w:lvlText w:val="(%1)"/>
      <w:numFmt w:val="lowerLetter"/>
      <w:start w:val="3"/>
    </w:lvl>
  </w:abstractNum>
  <w:abstractNum w:abstractNumId="22">
    <w:nsid w:val="5577F8E1"/>
    <w:multiLevelType w:val="hybridMultilevel"/>
    <w:lvl w:ilvl="0">
      <w:lvlJc w:val="left"/>
      <w:lvlText w:val="%1."/>
      <w:numFmt w:val="decimal"/>
      <w:start w:val="2"/>
    </w:lvl>
    <w:lvl w:ilvl="1">
      <w:lvlJc w:val="left"/>
      <w:lvlText w:val="(%2)"/>
      <w:numFmt w:val="lowerLetter"/>
      <w:start w:val="1"/>
    </w:lvl>
  </w:abstractNum>
  <w:abstractNum w:abstractNumId="23">
    <w:nsid w:val="440BADFC"/>
    <w:multiLevelType w:val="hybridMultilevel"/>
    <w:lvl w:ilvl="0">
      <w:lvlJc w:val="left"/>
      <w:lvlText w:val="(%1)"/>
      <w:numFmt w:val="lowerLetter"/>
      <w:start w:val="8"/>
    </w:lvl>
    <w:lvl w:ilvl="1">
      <w:lvlJc w:val="left"/>
      <w:lvlText w:val="(%2)"/>
      <w:numFmt w:val="lowerRoman"/>
      <w:start w:val="1"/>
    </w:lvl>
  </w:abstractNum>
  <w:abstractNum w:abstractNumId="24">
    <w:nsid w:val="5072367"/>
    <w:multiLevelType w:val="hybridMultilevel"/>
    <w:lvl w:ilvl="0">
      <w:lvlJc w:val="left"/>
      <w:lvlText w:val="%1"/>
      <w:numFmt w:val="decimal"/>
      <w:start w:val="1"/>
    </w:lvl>
    <w:lvl w:ilvl="1">
      <w:lvlJc w:val="left"/>
      <w:lvlText w:val="(%2)"/>
      <w:numFmt w:val="lowerRoman"/>
      <w:start w:val="3"/>
    </w:lvl>
  </w:abstractNum>
  <w:abstractNum w:abstractNumId="25">
    <w:nsid w:val="3804823E"/>
    <w:multiLevelType w:val="hybridMultilevel"/>
    <w:lvl w:ilvl="0">
      <w:lvlJc w:val="left"/>
      <w:lvlText w:val="%1."/>
      <w:numFmt w:val="decimal"/>
      <w:start w:val="3"/>
    </w:lvl>
    <w:lvl w:ilvl="1">
      <w:lvlJc w:val="left"/>
      <w:lvlText w:val="%2"/>
      <w:numFmt w:val="lowerRoman"/>
      <w:start w:val="1"/>
    </w:lvl>
  </w:abstractNum>
  <w:abstractNum w:abstractNumId="26">
    <w:nsid w:val="77465F01"/>
    <w:multiLevelType w:val="hybridMultilevel"/>
    <w:lvl w:ilvl="0">
      <w:lvlJc w:val="left"/>
      <w:lvlText w:val="(%1)"/>
      <w:numFmt w:val="lowerLetter"/>
      <w:start w:val="1"/>
    </w:lvl>
    <w:lvl w:ilvl="1">
      <w:lvlJc w:val="left"/>
      <w:lvlText w:val="(%2)"/>
      <w:numFmt w:val="lowerRoman"/>
      <w:start w:val="1"/>
    </w:lvl>
  </w:abstractNum>
  <w:abstractNum w:abstractNumId="27">
    <w:nsid w:val="7724C67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8">
    <w:nsid w:val="5C482A9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9">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
    <w:nsid w:val="5E884A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
    <w:nsid w:val="51EAD36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2D517796"/>
    <w:multiLevelType w:val="hybridMultilevel"/>
    <w:lvl w:ilvl="0">
      <w:lvlJc w:val="left"/>
      <w:lvlText w:val="%1."/>
      <w:numFmt w:val="decimal"/>
      <w:start w:val="6"/>
    </w:lvl>
  </w:abstractNum>
  <w:abstractNum w:abstractNumId="33">
    <w:nsid w:val="580BD78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4">
    <w:nsid w:val="153EA438"/>
    <w:multiLevelType w:val="hybridMultilevel"/>
    <w:lvl w:ilvl="0">
      <w:lvlJc w:val="left"/>
      <w:lvlText w:val="%1"/>
      <w:numFmt w:val="decimal"/>
      <w:start w:val="1"/>
    </w:lvl>
    <w:lvl w:ilvl="1">
      <w:lvlJc w:val="left"/>
      <w:lvlText w:val="(%2)"/>
      <w:numFmt w:val="lowerLetter"/>
      <w:start w:val="5"/>
    </w:lvl>
  </w:abstractNum>
  <w:abstractNum w:abstractNumId="35">
    <w:nsid w:val="3855585C"/>
    <w:multiLevelType w:val="hybridMultilevel"/>
    <w:lvl w:ilvl="0">
      <w:lvlJc w:val="left"/>
      <w:lvlText w:val="%1."/>
      <w:numFmt w:val="decimal"/>
      <w:start w:val="8"/>
    </w:lvl>
    <w:lvl w:ilvl="1">
      <w:lvlJc w:val="left"/>
      <w:lvlText w:val="(%2)"/>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8">
    <w:nsid w:val="2A487CB0"/>
    <w:multiLevelType w:val="hybridMultilevel"/>
    <w:lvl w:ilvl="0">
      <w:lvlJc w:val="left"/>
      <w:lvlText w:val="(%1)"/>
      <w:numFmt w:val="lowerLetter"/>
      <w:start w:val="8"/>
    </w:lvl>
    <w:lvl w:ilvl="1">
      <w:lvlJc w:val="left"/>
      <w:lvlText w:val="(%2)"/>
      <w:numFmt w:val="lowerRoman"/>
      <w:start w:val="1"/>
    </w:lvl>
  </w:abstractNum>
  <w:abstractNum w:abstractNumId="39">
    <w:nsid w:val="1D4ED43B"/>
    <w:multiLevelType w:val="hybridMultilevel"/>
    <w:lvl w:ilvl="0">
      <w:lvlJc w:val="left"/>
      <w:lvlText w:val="%1"/>
      <w:numFmt w:val="decimal"/>
      <w:start w:val="1"/>
    </w:lvl>
    <w:lvl w:ilvl="1">
      <w:lvlJc w:val="left"/>
      <w:lvlText w:val="(%2)"/>
      <w:numFmt w:val="lowerRoman"/>
      <w:start w:val="3"/>
    </w:lvl>
  </w:abstractNum>
  <w:abstractNum w:abstractNumId="40">
    <w:nsid w:val="725A06FB"/>
    <w:multiLevelType w:val="hybridMultilevel"/>
    <w:lvl w:ilvl="0">
      <w:lvlJc w:val="left"/>
      <w:lvlText w:val="%1."/>
      <w:numFmt w:val="decimal"/>
      <w:start w:val="10"/>
    </w:lvl>
    <w:lvl w:ilvl="1">
      <w:lvlJc w:val="left"/>
      <w:lvlText w:val="%2"/>
      <w:numFmt w:val="lowerRoman"/>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3"/>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3"/>
    </w:lvl>
  </w:abstractNum>
  <w:abstractNum w:abstractNumId="45">
    <w:nsid w:val="542289EC"/>
    <w:multiLevelType w:val="hybridMultilevel"/>
    <w:lvl w:ilvl="0">
      <w:lvlJc w:val="left"/>
      <w:lvlText w:val="%1."/>
      <w:numFmt w:val="decimal"/>
      <w:start w:val="5"/>
    </w:lvl>
    <w:lvl w:ilvl="1">
      <w:lvlJc w:val="left"/>
      <w:lvlText w:val="%2"/>
      <w:numFmt w:val="lowerLetter"/>
      <w:start w:val="1"/>
    </w:lvl>
  </w:abstractNum>
  <w:abstractNum w:abstractNumId="46">
    <w:nsid w:val="6DE91B1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2019-12-28T19:29:47Z</dcterms:created>
  <dcterms:modified xsi:type="dcterms:W3CDTF">2019-12-28T19:29:47Z</dcterms:modified>
</cp:coreProperties>
</file>