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Brunn Carsten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12/10/2021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WATERTOWN</w:t>
            </w:r>
          </w:p>
        </w:tc>
        <w:tc>
          <w:tcPr>
            <w:tcW w:w="880" w:type="dxa"/>
            <w:vAlign w:val="bottom"/>
          </w:tcPr>
          <w:p>
            <w:pPr>
              <w:ind w:left="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12/10/2021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17,196</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2.9869</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305,255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50" w:lineRule="exact"/>
        <w:rPr>
          <w:rFonts w:ascii="Arial" w:cs="Arial" w:eastAsia="Arial" w:hAnsi="Arial"/>
          <w:sz w:val="13"/>
          <w:szCs w:val="13"/>
          <w:color w:val="008000"/>
        </w:rPr>
      </w:pPr>
    </w:p>
    <w:p>
      <w:pPr>
        <w:ind w:left="40" w:right="14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$2.94 to $3.0201. The Reporting Person undertakes to provide upon request to the SEC staff, the Issuer, or any stockholder of the Issuer, full information regarding the number of shares sold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Carsten</w:t>
      </w:r>
      <w:r>
        <w:rPr>
          <w:sz w:val="20"/>
          <w:szCs w:val="20"/>
          <w:color w:val="auto"/>
        </w:rPr>
        <w:tab/>
      </w:r>
      <w:r>
        <w:rPr>
          <w:rFonts w:ascii="Arial" w:cs="Arial" w:eastAsia="Arial" w:hAnsi="Arial"/>
          <w:sz w:val="15"/>
          <w:szCs w:val="15"/>
          <w:color w:val="0000FF"/>
        </w:rPr>
        <w:t>12/14/2021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022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2021-12-14T16:17:12Z</dcterms:created>
  <dcterms:modified xsi:type="dcterms:W3CDTF">2021-12-14T16:17:12Z</dcterms:modified>
</cp:coreProperties>
</file>