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413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1">
              <w:r>
                <w:rPr>
                  <w:rFonts w:ascii="Times New Roman" w:cs="Times New Roman" w:eastAsia="Times New Roman" w:hAnsi="Times New Roman"/>
                  <w:sz w:val="17"/>
                  <w:szCs w:val="17"/>
                  <w:color w:val="0000EE"/>
                  <w:w w:val="94"/>
                </w:rPr>
                <w:t>English Emily</w:t>
              </w:r>
            </w:hyperlink>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0000EE"/>
            </w:tcBorders>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04/09/2024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C/O CARTESIAN THERAPEUTICS, INC.</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704 QUINCE ORCHARD ROAD</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GAITHERSBURG MD</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20878</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00" w:type="dxa"/>
            <w:vAlign w:val="bottom"/>
            <w:gridSpan w:val="6"/>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Cartesian Therapeutics,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4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20" w:type="dxa"/>
            <w:vAlign w:val="bottom"/>
            <w:tcBorders>
              <w:top w:val="single" w:sz="8" w:color="0000EE"/>
              <w:bottom w:val="single" w:sz="8" w:color="2C2C2C"/>
            </w:tcBorders>
          </w:tcPr>
          <w:p>
            <w:pPr>
              <w:spacing w:after="0"/>
              <w:rPr>
                <w:sz w:val="24"/>
                <w:szCs w:val="24"/>
                <w:color w:val="auto"/>
              </w:rPr>
            </w:pPr>
          </w:p>
        </w:tc>
        <w:tc>
          <w:tcPr>
            <w:tcW w:w="1440" w:type="dxa"/>
            <w:vAlign w:val="bottom"/>
            <w:tcBorders>
              <w:top w:val="single" w:sz="8" w:color="0000EE"/>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tcPr>
          <w:p>
            <w:pPr>
              <w:ind w:left="100"/>
              <w:spacing w:after="0" w:line="93" w:lineRule="exact"/>
              <w:rPr>
                <w:sz w:val="20"/>
                <w:szCs w:val="20"/>
                <w:color w:val="auto"/>
              </w:rPr>
            </w:pPr>
            <w:r>
              <w:rPr>
                <w:rFonts w:ascii="Arial" w:cs="Arial" w:eastAsia="Arial" w:hAnsi="Arial"/>
                <w:sz w:val="10"/>
                <w:szCs w:val="10"/>
                <w:color w:val="auto"/>
              </w:rPr>
              <w:t>Director</w:t>
            </w:r>
          </w:p>
        </w:tc>
        <w:tc>
          <w:tcPr>
            <w:tcW w:w="1160" w:type="dxa"/>
            <w:vAlign w:val="bottom"/>
          </w:tcPr>
          <w:p>
            <w:pPr>
              <w:ind w:left="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gridSpan w:val="2"/>
          </w:tcPr>
          <w:p>
            <w:pPr>
              <w:ind w:left="10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0000FF"/>
              </w:rPr>
              <w:t>SVP, Head of Manufacturing</w:t>
            </w:r>
          </w:p>
        </w:tc>
        <w:tc>
          <w:tcPr>
            <w:tcW w:w="14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2">
            <w:col w:w="4660" w:space="300"/>
            <w:col w:w="606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18,273</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tcBorders>
              <w:bottom w:val="single" w:sz="8" w:color="2C2C2C"/>
            </w:tcBorders>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04/25/2031</w:t>
            </w:r>
          </w:p>
        </w:tc>
        <w:tc>
          <w:tcPr>
            <w:tcW w:w="2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57,019</w:t>
            </w:r>
          </w:p>
        </w:tc>
        <w:tc>
          <w:tcPr>
            <w:tcW w:w="720" w:type="dxa"/>
            <w:vAlign w:val="bottom"/>
            <w:tcBorders>
              <w:bottom w:val="single" w:sz="8" w:color="2C2C2C"/>
            </w:tcBorders>
          </w:tcPr>
          <w:p>
            <w:pPr>
              <w:jc w:val="center"/>
              <w:ind w:left="6"/>
              <w:spacing w:after="0" w:line="248" w:lineRule="exact"/>
              <w:rPr>
                <w:sz w:val="20"/>
                <w:szCs w:val="20"/>
                <w:color w:val="auto"/>
              </w:rPr>
            </w:pPr>
            <w:r>
              <w:rPr>
                <w:rFonts w:ascii="Times New Roman" w:cs="Times New Roman" w:eastAsia="Times New Roman" w:hAnsi="Times New Roman"/>
                <w:sz w:val="26"/>
                <w:szCs w:val="26"/>
                <w:color w:val="0000FF"/>
                <w:w w:val="80"/>
                <w:vertAlign w:val="subscript"/>
              </w:rPr>
              <w:t>3.3</w:t>
            </w:r>
            <w:r>
              <w:rPr>
                <w:rFonts w:ascii="Times New Roman" w:cs="Times New Roman" w:eastAsia="Times New Roman" w:hAnsi="Times New Roman"/>
                <w:sz w:val="9"/>
                <w:szCs w:val="9"/>
                <w:color w:val="008000"/>
                <w:w w:val="80"/>
              </w:rPr>
              <w:t>(3)</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tcBorders>
              <w:bottom w:val="single" w:sz="8" w:color="2C2C2C"/>
            </w:tcBorders>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01/25/2032</w:t>
            </w:r>
          </w:p>
        </w:tc>
        <w:tc>
          <w:tcPr>
            <w:tcW w:w="2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14,254</w:t>
            </w:r>
          </w:p>
        </w:tc>
        <w:tc>
          <w:tcPr>
            <w:tcW w:w="7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3"/>
                <w:szCs w:val="13"/>
                <w:color w:val="0000FF"/>
                <w:w w:val="88"/>
              </w:rPr>
              <w:t>3.3</w:t>
            </w:r>
            <w:r>
              <w:rPr>
                <w:rFonts w:ascii="Times New Roman" w:cs="Times New Roman" w:eastAsia="Times New Roman" w:hAnsi="Times New Roman"/>
                <w:sz w:val="17"/>
                <w:szCs w:val="17"/>
                <w:color w:val="008000"/>
                <w:w w:val="88"/>
                <w:vertAlign w:val="superscript"/>
              </w:rPr>
              <w:t>(3)</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 (Right to Buy)</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01/01/2034</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23,433</w:t>
            </w:r>
          </w:p>
        </w:tc>
        <w:tc>
          <w:tcPr>
            <w:tcW w:w="720" w:type="dxa"/>
            <w:vAlign w:val="bottom"/>
          </w:tcPr>
          <w:p>
            <w:pPr>
              <w:jc w:val="center"/>
              <w:ind w:left="6"/>
              <w:spacing w:after="0"/>
              <w:rPr>
                <w:sz w:val="20"/>
                <w:szCs w:val="20"/>
                <w:color w:val="auto"/>
              </w:rPr>
            </w:pPr>
            <w:r>
              <w:rPr>
                <w:rFonts w:ascii="Times New Roman" w:cs="Times New Roman" w:eastAsia="Times New Roman" w:hAnsi="Times New Roman"/>
                <w:sz w:val="13"/>
                <w:szCs w:val="13"/>
                <w:color w:val="0000FF"/>
              </w:rPr>
              <w:t>19.656</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2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the issuer's common stock ("Common Stock"), which will vest as to 25% on January 2, 2025. The remainder of the underlying shares will vest in three equal annual installments thereafter so that the underlying shares will be fully vested on January 2, 2028.</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options are currently exercisable for 42,764 shares of Common Stock and become exercisable for an additional 14,255 shares of Common Stock on March 22, 2025.</w:t>
      </w:r>
    </w:p>
    <w:p>
      <w:pPr>
        <w:spacing w:after="0" w:line="40" w:lineRule="exact"/>
        <w:rPr>
          <w:rFonts w:ascii="Times New Roman" w:cs="Times New Roman" w:eastAsia="Times New Roman" w:hAnsi="Times New Roman"/>
          <w:sz w:val="10"/>
          <w:szCs w:val="10"/>
          <w:color w:val="008000"/>
        </w:rPr>
      </w:pPr>
    </w:p>
    <w:p>
      <w:pPr>
        <w:ind w:left="40" w:right="2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Common Stock in connection with the acquisition.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options are fully exercisable for 14,254 shares of Common Stock.</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options vest as to 25% on January 2, 2025. The remainder of the underlying shares will vest in three equal annual installments thereafter so that the underlying shares will be fully vested on January 2, 2028.</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12" w:lineRule="exact"/>
        <w:rPr>
          <w:sz w:val="24"/>
          <w:szCs w:val="24"/>
          <w:color w:val="auto"/>
        </w:rPr>
      </w:pPr>
    </w:p>
    <w:p>
      <w:pPr>
        <w:ind w:left="6620"/>
        <w:spacing w:after="0"/>
        <w:tabs>
          <w:tab w:leader="none" w:pos="8800" w:val="left"/>
        </w:tabs>
        <w:rPr>
          <w:sz w:val="20"/>
          <w:szCs w:val="20"/>
          <w:color w:val="auto"/>
        </w:rPr>
      </w:pPr>
      <w:r>
        <w:rPr>
          <w:rFonts w:ascii="Times New Roman" w:cs="Times New Roman" w:eastAsia="Times New Roman" w:hAnsi="Times New Roman"/>
          <w:sz w:val="13"/>
          <w:szCs w:val="13"/>
          <w:color w:val="0000FF"/>
        </w:rPr>
        <w:t>/s/ Matthew Bartholomae, Attorney-in-</w:t>
      </w:r>
      <w:r>
        <w:rPr>
          <w:sz w:val="20"/>
          <w:szCs w:val="20"/>
          <w:color w:val="auto"/>
        </w:rPr>
        <w:tab/>
      </w:r>
      <w:r>
        <w:rPr>
          <w:rFonts w:ascii="Times New Roman" w:cs="Times New Roman" w:eastAsia="Times New Roman" w:hAnsi="Times New Roman"/>
          <w:sz w:val="20"/>
          <w:szCs w:val="20"/>
          <w:color w:val="0000FF"/>
          <w:vertAlign w:val="subscript"/>
        </w:rPr>
        <w:t>04/19/2024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-21590</wp:posOffset>
            </wp:positionV>
            <wp:extent cx="13398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9850"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Fact for Emily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-11430</wp:posOffset>
            </wp:positionV>
            <wp:extent cx="7816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81685" cy="635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-64135</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23"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2019791"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2024-04-19T15:58:34Z</dcterms:created>
  <dcterms:modified xsi:type="dcterms:W3CDTF">2024-04-19T15:58:34Z</dcterms:modified>
</cp:coreProperties>
</file>