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Cartesian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816212104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William R. Kolb</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Daniel S. Clevenger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Foley Hoag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155 Seaport Boulevard</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 (617) 832-1000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Fax: (617) 832-7000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April 8,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Singer</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691,110</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78,634</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691,110</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78,634</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769,744</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2 of 11 Pages</w:t>
      </w:r>
    </w:p>
    <w:p>
      <w:pPr>
        <w:sectPr>
          <w:pgSz w:w="11900" w:h="16838" w:orient="portrait"/>
          <w:cols w:equalWidth="0" w:num="2">
            <w:col w:w="8900" w:space="720"/>
            <w:col w:w="1400"/>
          </w:cols>
          <w:pgMar w:left="440" w:top="26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Thirsty Brook 2010 Irrevocable Trust</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383,796</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383,796</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383,796</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3 of 11 Pages</w:t>
      </w:r>
    </w:p>
    <w:p>
      <w:pPr>
        <w:sectPr>
          <w:pgSz w:w="11900" w:h="16838" w:orient="portrait"/>
          <w:cols w:equalWidth="0" w:num="2">
            <w:col w:w="8900" w:space="720"/>
            <w:col w:w="1400"/>
          </w:cols>
          <w:pgMar w:left="440" w:top="26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Singer Asefzadeh Family Holding Trust</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56,719</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56,719</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56,719</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4 of 11 Pages</w:t>
      </w:r>
    </w:p>
    <w:p>
      <w:pPr>
        <w:sectPr>
          <w:pgSz w:w="11900" w:h="16838" w:orient="portrait"/>
          <w:cols w:equalWidth="0" w:num="2">
            <w:col w:w="8900" w:space="720"/>
            <w:col w:w="1400"/>
          </w:cols>
          <w:pgMar w:left="440" w:top="26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Bakezilla 2019 Irrevocable Trust</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7,127</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7,127</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7,127</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5 of 11 Pages</w:t>
      </w:r>
    </w:p>
    <w:p>
      <w:pPr>
        <w:sectPr>
          <w:pgSz w:w="11900" w:h="16838" w:orient="portrait"/>
          <w:cols w:equalWidth="0" w:num="2">
            <w:col w:w="8900" w:space="720"/>
            <w:col w:w="1400"/>
          </w:cols>
          <w:pgMar w:left="440" w:top="26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Baharak Asefzadeh</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14,788</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447,642</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14,788</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447,642</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462,430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6 of 11 Pages</w:t>
      </w:r>
    </w:p>
    <w:p>
      <w:pPr>
        <w:sectPr>
          <w:pgSz w:w="11900" w:h="16838" w:orient="portrait"/>
          <w:cols w:equalWidth="0" w:num="2">
            <w:col w:w="8900" w:space="720"/>
            <w:col w:w="1400"/>
          </w:cols>
          <w:pgMar w:left="440" w:top="266"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P. Martin</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10,968</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383,796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10,968</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383,796</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394,764</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7 of 11 Pages</w:t>
      </w:r>
    </w:p>
    <w:p>
      <w:pPr>
        <w:sectPr>
          <w:pgSz w:w="11900" w:h="16838" w:orient="portrait"/>
          <w:cols w:equalWidth="0" w:num="2">
            <w:col w:w="8900" w:space="720"/>
            <w:col w:w="1400"/>
          </w:cols>
          <w:pgMar w:left="440" w:top="266" w:right="439" w:bottom="1440" w:gutter="0" w:footer="0" w:header="0"/>
        </w:sectPr>
      </w:pPr>
    </w:p>
    <w:bookmarkStart w:id="7" w:name="page8"/>
    <w:bookmarkEnd w:id="7"/>
    <w:p>
      <w:pPr>
        <w:ind w:right="1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No. 1 to the joint statement on Schedule 13D with respect to the common stock, par value $0.0001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Cartesian Therapeutics,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filed by Michael Singer, Thirsty Brook 2010 Irrevocable Trust (“</w:t>
      </w:r>
      <w:r>
        <w:rPr>
          <w:rFonts w:ascii="Times New Roman" w:cs="Times New Roman" w:eastAsia="Times New Roman" w:hAnsi="Times New Roman"/>
          <w:sz w:val="18"/>
          <w:szCs w:val="18"/>
          <w:b w:val="1"/>
          <w:bCs w:val="1"/>
          <w:color w:val="auto"/>
        </w:rPr>
        <w:t>Thirsty Brook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Singer Asefzadeh Family Holding Trust (“</w:t>
      </w:r>
      <w:r>
        <w:rPr>
          <w:rFonts w:ascii="Times New Roman" w:cs="Times New Roman" w:eastAsia="Times New Roman" w:hAnsi="Times New Roman"/>
          <w:sz w:val="18"/>
          <w:szCs w:val="18"/>
          <w:b w:val="1"/>
          <w:bCs w:val="1"/>
          <w:color w:val="auto"/>
        </w:rPr>
        <w:t>Singer Asefzadeh Trust</w:t>
      </w:r>
      <w:r>
        <w:rPr>
          <w:rFonts w:ascii="Times New Roman" w:cs="Times New Roman" w:eastAsia="Times New Roman" w:hAnsi="Times New Roman"/>
          <w:sz w:val="18"/>
          <w:szCs w:val="18"/>
          <w:color w:val="auto"/>
        </w:rPr>
        <w:t>”), Bakezilla 2019 Irrevocable Trust (“</w:t>
      </w:r>
      <w:r>
        <w:rPr>
          <w:rFonts w:ascii="Times New Roman" w:cs="Times New Roman" w:eastAsia="Times New Roman" w:hAnsi="Times New Roman"/>
          <w:sz w:val="18"/>
          <w:szCs w:val="18"/>
          <w:b w:val="1"/>
          <w:bCs w:val="1"/>
          <w:color w:val="auto"/>
        </w:rPr>
        <w:t>Bakezilla Trust</w:t>
      </w:r>
      <w:r>
        <w:rPr>
          <w:rFonts w:ascii="Times New Roman" w:cs="Times New Roman" w:eastAsia="Times New Roman" w:hAnsi="Times New Roman"/>
          <w:sz w:val="18"/>
          <w:szCs w:val="18"/>
          <w:color w:val="auto"/>
        </w:rPr>
        <w:t>” and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Thirsty Brook Trust and Singer Asefzadeh Trust, the “</w:t>
      </w:r>
      <w:r>
        <w:rPr>
          <w:rFonts w:ascii="Times New Roman" w:cs="Times New Roman" w:eastAsia="Times New Roman" w:hAnsi="Times New Roman"/>
          <w:sz w:val="18"/>
          <w:szCs w:val="18"/>
          <w:b w:val="1"/>
          <w:bCs w:val="1"/>
          <w:color w:val="auto"/>
        </w:rPr>
        <w:t>Trusts</w:t>
      </w:r>
      <w:r>
        <w:rPr>
          <w:rFonts w:ascii="Times New Roman" w:cs="Times New Roman" w:eastAsia="Times New Roman" w:hAnsi="Times New Roman"/>
          <w:sz w:val="18"/>
          <w:szCs w:val="18"/>
          <w:color w:val="auto"/>
        </w:rPr>
        <w:t>”), Baharak Asefzadeh and Barbara P. Martin (collectively,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 on November 22, 2023 (such joint statement, as amended herein,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amends the Schedule 13D as follows:</w:t>
      </w:r>
    </w:p>
    <w:p>
      <w:pPr>
        <w:spacing w:after="0" w:line="89"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 of the Schedule 13D is hereby amended and restated in full as follows:</w:t>
      </w:r>
    </w:p>
    <w:p>
      <w:pPr>
        <w:spacing w:after="0" w:line="127"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jc w:val="both"/>
        <w:ind w:left="980" w:right="420"/>
        <w:spacing w:after="0" w:line="266" w:lineRule="auto"/>
        <w:rPr>
          <w:sz w:val="20"/>
          <w:szCs w:val="20"/>
          <w:color w:val="auto"/>
        </w:rPr>
      </w:pPr>
      <w:r>
        <w:rPr>
          <w:rFonts w:ascii="Times New Roman" w:cs="Times New Roman" w:eastAsia="Times New Roman" w:hAnsi="Times New Roman"/>
          <w:sz w:val="18"/>
          <w:szCs w:val="18"/>
          <w:color w:val="auto"/>
        </w:rPr>
        <w:t>The Reporting Persons acquired the right to receive an aggregate 15,096 shares of Common Stock and 25,936.957 shares of Series A Non-Voting Convertible Preferred Stock of the Issuer, par value $0.0001 per share (the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pursuant to the Merger described in Item 4 below.</w:t>
      </w:r>
    </w:p>
    <w:p>
      <w:pPr>
        <w:spacing w:after="0" w:line="68" w:lineRule="exact"/>
        <w:rPr>
          <w:sz w:val="20"/>
          <w:szCs w:val="20"/>
          <w:color w:val="auto"/>
        </w:rPr>
      </w:pPr>
    </w:p>
    <w:p>
      <w:pPr>
        <w:ind w:left="980" w:right="260"/>
        <w:spacing w:after="0" w:line="282" w:lineRule="auto"/>
        <w:rPr>
          <w:sz w:val="20"/>
          <w:szCs w:val="20"/>
          <w:color w:val="auto"/>
        </w:rPr>
      </w:pPr>
      <w:r>
        <w:rPr>
          <w:rFonts w:ascii="Times New Roman" w:cs="Times New Roman" w:eastAsia="Times New Roman" w:hAnsi="Times New Roman"/>
          <w:sz w:val="18"/>
          <w:szCs w:val="18"/>
          <w:color w:val="auto"/>
        </w:rPr>
        <w:t>On January 2, 2024, Dr. Singer acquired an option to purchase up to 7,600 shares of Common Stock at an exercise price of $19.656 per share in consideration of his service on the Issuer’s board of directors.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under Item 4 of this Schedule 13D is incorporated by reference into this Item 3.</w:t>
      </w:r>
    </w:p>
    <w:p>
      <w:pPr>
        <w:spacing w:after="0" w:line="131"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 of the Schedule 13D is hereby amended by inserting the following at the end of such section:</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to Certificate of Designation</w:t>
      </w:r>
    </w:p>
    <w:p>
      <w:pPr>
        <w:spacing w:after="0" w:line="121"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26, 2024, the Company, with the consent of the holders of Series A Preferred Stock required thereby, amended the Certificate of Designation (such amendment, the “Amendment to the Certificate of Designation”) such that the Automatic Conversion (as defined in the Certificate of Designation) will occur at 5:00 p.m. eight business days following stockholder approval of the Conversion Proposal.</w:t>
      </w:r>
    </w:p>
    <w:p>
      <w:pPr>
        <w:spacing w:after="0" w:line="6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rFonts w:ascii="Times New Roman" w:cs="Times New Roman" w:eastAsia="Times New Roman" w:hAnsi="Times New Roman"/>
          <w:sz w:val="18"/>
          <w:szCs w:val="18"/>
          <w:color w:val="auto"/>
        </w:rPr>
      </w:pPr>
    </w:p>
    <w:p>
      <w:pPr>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4, 2024, the Company effected a reverse stock split of the Common Stock at a ratio of 1-for-30, whereby every 30 shares of Common Stock outstanding were combined, automatically and without any action on the part of the Company or its stockholders, into one new share of Common Stock. Proportionate adjustments were made to the conversion ratio of the Series A Preferred Stock in accordance with the Certificate of Designations. All share amounts in this Amendment No. 1 are presented on a split-adjusted basis.</w:t>
      </w:r>
    </w:p>
    <w:p>
      <w:pPr>
        <w:sectPr>
          <w:pgSz w:w="11900" w:h="16838" w:orient="portrait"/>
          <w:cols w:equalWidth="0" w:num="1">
            <w:col w:w="10980"/>
          </w:cols>
          <w:pgMar w:left="440" w:top="266" w:right="479" w:bottom="1440" w:gutter="0" w:footer="0" w:header="0"/>
        </w:sectPr>
      </w:pPr>
    </w:p>
    <w:bookmarkStart w:id="8" w:name="page9"/>
    <w:bookmarkEnd w:id="8"/>
    <w:p>
      <w:pPr>
        <w:ind w:left="5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of Series A Preferred Stock</w:t>
      </w:r>
    </w:p>
    <w:p>
      <w:pPr>
        <w:spacing w:after="0" w:line="121" w:lineRule="exact"/>
        <w:rPr>
          <w:sz w:val="20"/>
          <w:szCs w:val="20"/>
          <w:color w:val="auto"/>
        </w:rPr>
      </w:pPr>
    </w:p>
    <w:p>
      <w:pPr>
        <w:jc w:val="both"/>
        <w:ind w:left="552" w:right="20"/>
        <w:spacing w:after="0" w:line="266" w:lineRule="auto"/>
        <w:rPr>
          <w:sz w:val="20"/>
          <w:szCs w:val="20"/>
          <w:color w:val="auto"/>
        </w:rPr>
      </w:pPr>
      <w:r>
        <w:rPr>
          <w:rFonts w:ascii="Times New Roman" w:cs="Times New Roman" w:eastAsia="Times New Roman" w:hAnsi="Times New Roman"/>
          <w:sz w:val="18"/>
          <w:szCs w:val="18"/>
          <w:color w:val="auto"/>
        </w:rPr>
        <w:t>Pursuant to the terms of the Certificate of Designation, as amended by the Amendment to the Certificate of Designation, on April 8, 2024, following stockholder approval of the issuance of shares of Common Stock upon conversion of the Series A Preferred Stock, each share of Series A Preferred Stock automatically converted into 33-1/3 shares of Common Stock, subject to beneficial ownership limitations.</w:t>
      </w:r>
    </w:p>
    <w:p>
      <w:pPr>
        <w:spacing w:after="0" w:line="81" w:lineRule="exact"/>
        <w:rPr>
          <w:sz w:val="20"/>
          <w:szCs w:val="20"/>
          <w:color w:val="auto"/>
        </w:rPr>
      </w:pPr>
    </w:p>
    <w:p>
      <w:pPr>
        <w:ind w:left="532" w:hanging="532"/>
        <w:spacing w:after="0"/>
        <w:tabs>
          <w:tab w:leader="none" w:pos="5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 of the Schedule 13D is hereby amended and restated in full as follows:</w:t>
      </w:r>
    </w:p>
    <w:p>
      <w:pPr>
        <w:spacing w:after="0" w:line="127" w:lineRule="exact"/>
        <w:rPr>
          <w:sz w:val="20"/>
          <w:szCs w:val="20"/>
          <w:color w:val="auto"/>
        </w:rPr>
      </w:pPr>
    </w:p>
    <w:p>
      <w:pPr>
        <w:ind w:left="552"/>
        <w:spacing w:after="0"/>
        <w:tabs>
          <w:tab w:leader="none" w:pos="1512"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552" w:right="220" w:firstLine="401"/>
        <w:spacing w:after="0" w:line="258" w:lineRule="auto"/>
        <w:rPr>
          <w:sz w:val="20"/>
          <w:szCs w:val="20"/>
          <w:color w:val="auto"/>
        </w:rPr>
      </w:pPr>
      <w:r>
        <w:rPr>
          <w:rFonts w:ascii="Times New Roman" w:cs="Times New Roman" w:eastAsia="Times New Roman" w:hAnsi="Times New Roman"/>
          <w:sz w:val="18"/>
          <w:szCs w:val="18"/>
          <w:color w:val="auto"/>
        </w:rPr>
        <w:t>(a, b) The percentages of beneficial ownership reported in this Item 5, and on each Reporting Person’s cover page to this Schedule 13D, are based on a total of 17,779,787 shares of Common Stock issued and outstanding as of April 8, 2024, as reported in the Issuer’s Current Report on Form 8-K filed with the Securities and Exchange Commission on April 8, 2024. All of the share numbers reported herein are as of April 10, 2024, unless otherwise indicated. Each Reporting Person’s cover page to this Schedule 13D is incorporated by reference into this Item 5(a, b).</w:t>
      </w:r>
    </w:p>
    <w:p>
      <w:pPr>
        <w:spacing w:after="0" w:line="75" w:lineRule="exact"/>
        <w:rPr>
          <w:sz w:val="20"/>
          <w:szCs w:val="20"/>
          <w:color w:val="auto"/>
        </w:rPr>
      </w:pPr>
    </w:p>
    <w:p>
      <w:pPr>
        <w:ind w:left="552"/>
        <w:spacing w:after="0" w:line="282" w:lineRule="auto"/>
        <w:rPr>
          <w:sz w:val="20"/>
          <w:szCs w:val="20"/>
          <w:color w:val="auto"/>
        </w:rPr>
      </w:pPr>
      <w:r>
        <w:rPr>
          <w:rFonts w:ascii="Times New Roman" w:cs="Times New Roman" w:eastAsia="Times New Roman" w:hAnsi="Times New Roman"/>
          <w:sz w:val="18"/>
          <w:szCs w:val="18"/>
          <w:color w:val="auto"/>
        </w:rPr>
        <w:t>In aggregate, the Reporting Persons have voting and dispositive power over 780,712 shares of Common Stock, representing approximately 4.3% of such class of securities.</w:t>
      </w:r>
    </w:p>
    <w:p>
      <w:pPr>
        <w:spacing w:after="0" w:line="54"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8"/>
          <w:szCs w:val="18"/>
          <w:color w:val="auto"/>
        </w:rPr>
        <w:t>The beneficial ownership of each Reporting Person is as follows.</w:t>
      </w:r>
    </w:p>
    <w:p>
      <w:pPr>
        <w:spacing w:after="0" w:line="131" w:lineRule="exact"/>
        <w:rPr>
          <w:sz w:val="20"/>
          <w:szCs w:val="20"/>
          <w:color w:val="auto"/>
        </w:rPr>
      </w:pPr>
    </w:p>
    <w:p>
      <w:pPr>
        <w:ind w:left="1532" w:right="20" w:hanging="533"/>
        <w:spacing w:after="0" w:line="276" w:lineRule="auto"/>
        <w:tabs>
          <w:tab w:leader="none" w:pos="15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Singer beneficially owns 769,744 shares of Common Stock representing approximately 4.3% of the class, which includes 1,055 shares of Common Stock underlying stock options exercisable by Dr. Singer within 60 days of the date hereof.</w:t>
      </w:r>
    </w:p>
    <w:p>
      <w:pPr>
        <w:ind w:left="1532"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Dr. Singer has the sole power to vote and dispose of (a) 114,876 shares of Common Stock held directly by him, (b) 192,438 shares of Common Stock that are held for the benefit of Dr. Singer’s minor children in custodial accounts established pursuant to the Uniform Transfer to Minors Act for which Dr. Singer serves as custodian, and (c) 383,796 shares of Common Stock held directly by Thirsty Brook Trust that Dr. Singer has the right to acquire pursuant to a right of substitution in exchange for assets with an equal value to such shares. Dr. Singer has shared power to vote and dispose of (x) 56,719 shares of Common Stock held directly by Singer Asefzadeh Trust for which Dr. Singer is a trustee, (y) 7,127 shares of Common Stock held directly by Bakezilla Trust for which Dr. Singer is a trustee, and (z) 14,788 shares of Common Stock held directly by Dr. Asefzadeh. The foregoing excludes (A) 6,545 shares of Common Stock underlying stock options held by Dr. Singer that are not exercisable within 60 days of the date hereof and (B) 5,933 shares of Common Stock underlying restricted stock units held by Dr. Singer that will vest more than 60 days after the date hereof.</w:t>
      </w:r>
    </w:p>
    <w:p>
      <w:pPr>
        <w:spacing w:after="0" w:line="98" w:lineRule="exact"/>
        <w:rPr>
          <w:rFonts w:ascii="Times New Roman" w:cs="Times New Roman" w:eastAsia="Times New Roman" w:hAnsi="Times New Roman"/>
          <w:sz w:val="17"/>
          <w:szCs w:val="17"/>
          <w:color w:val="auto"/>
        </w:rPr>
      </w:pPr>
    </w:p>
    <w:p>
      <w:pPr>
        <w:ind w:left="1532" w:right="460" w:hanging="533"/>
        <w:spacing w:after="0" w:line="312" w:lineRule="auto"/>
        <w:tabs>
          <w:tab w:leader="none" w:pos="15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Thirsty Brook Trust beneficially owns 383,796 shares of Common Stock representing approximately 2.2% of the class. Thirsty Brook Trust has the sole power to vote and dispose of the shares of Common Stock beneficially owned by it.</w:t>
      </w:r>
    </w:p>
    <w:p>
      <w:pPr>
        <w:sectPr>
          <w:pgSz w:w="11900" w:h="16838" w:orient="portrait"/>
          <w:cols w:equalWidth="0" w:num="1">
            <w:col w:w="10572"/>
          </w:cols>
          <w:pgMar w:left="868" w:top="266" w:right="459" w:bottom="1440" w:gutter="0" w:footer="0" w:header="0"/>
        </w:sectPr>
      </w:pPr>
    </w:p>
    <w:bookmarkStart w:id="9" w:name="page10"/>
    <w:bookmarkEnd w:id="9"/>
    <w:p>
      <w:pPr>
        <w:ind w:left="992" w:right="240" w:hanging="439"/>
        <w:spacing w:after="0" w:line="282" w:lineRule="auto"/>
        <w:tabs>
          <w:tab w:leader="none" w:pos="9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Singer Asefzadeh Trust beneficially owns 56,719 shares of Common Stock representing approximately 0.3% of the class. Singer Asefzadeh Trust has the sole power to vote and dispose of the shares of Common Stock beneficially owned by it.</w:t>
      </w:r>
    </w:p>
    <w:p>
      <w:pPr>
        <w:spacing w:after="0" w:line="67" w:lineRule="exact"/>
        <w:rPr>
          <w:rFonts w:ascii="Times New Roman" w:cs="Times New Roman" w:eastAsia="Times New Roman" w:hAnsi="Times New Roman"/>
          <w:sz w:val="18"/>
          <w:szCs w:val="18"/>
          <w:color w:val="auto"/>
        </w:rPr>
      </w:pPr>
    </w:p>
    <w:p>
      <w:pPr>
        <w:ind w:left="992" w:right="20" w:hanging="439"/>
        <w:spacing w:after="0" w:line="282" w:lineRule="auto"/>
        <w:tabs>
          <w:tab w:leader="none" w:pos="9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Bakezilla Trust beneficially owns 7,127 shares of Common Stock representing approximately 0.0% of the class. Bakezilla Trust has the sole power to vote and dispose of the shares of Common Stock beneficially owned by it.</w:t>
      </w:r>
    </w:p>
    <w:p>
      <w:pPr>
        <w:spacing w:after="0" w:line="67" w:lineRule="exact"/>
        <w:rPr>
          <w:rFonts w:ascii="Times New Roman" w:cs="Times New Roman" w:eastAsia="Times New Roman" w:hAnsi="Times New Roman"/>
          <w:sz w:val="18"/>
          <w:szCs w:val="18"/>
          <w:color w:val="auto"/>
        </w:rPr>
      </w:pPr>
    </w:p>
    <w:p>
      <w:pPr>
        <w:ind w:left="992" w:hanging="439"/>
        <w:spacing w:after="0" w:line="261" w:lineRule="auto"/>
        <w:tabs>
          <w:tab w:leader="none" w:pos="9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Asefzadeh beneficially owns 462,430 shares of Common Stock representing approximately 2.6% of the class. Dr. Asefzadeh has shared power to vote and dispose of (a) 383,796 shares of Common Stock held directly by Thirsty Brook Trust for which</w:t>
      </w:r>
    </w:p>
    <w:p>
      <w:pPr>
        <w:ind w:left="992"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Asefzadeh is a trustee, (b) 56,719 shares of Common Stock held directly by Singer Asefzadeh Trust for which she serves as trustee, (c) 7,127 shares of Common Stock held directly by Bakezilla Trust for which she serves as trustee, and (d) 14,788 shares of Common Stock held directly by her.</w:t>
      </w:r>
    </w:p>
    <w:p>
      <w:pPr>
        <w:spacing w:after="0" w:line="91" w:lineRule="exact"/>
        <w:rPr>
          <w:rFonts w:ascii="Times New Roman" w:cs="Times New Roman" w:eastAsia="Times New Roman" w:hAnsi="Times New Roman"/>
          <w:sz w:val="18"/>
          <w:szCs w:val="18"/>
          <w:color w:val="auto"/>
        </w:rPr>
      </w:pPr>
    </w:p>
    <w:p>
      <w:pPr>
        <w:ind w:left="992" w:right="140" w:hanging="439"/>
        <w:spacing w:after="0" w:line="266" w:lineRule="auto"/>
        <w:tabs>
          <w:tab w:leader="none" w:pos="9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Martin beneficially owns 394,764 shares of Common Stock representing approximately 2.2% of the class. Ms. Martin has the sole power to vote and dispose of 10,968 shares of Common Stock held directly by her. Ms. Martin has shared power to vote and dispose of 383,796 shares of Common Stock held directly by Thirsty Brook Trust for which Ms. Martin is a trustee.</w:t>
      </w:r>
    </w:p>
    <w:p>
      <w:pPr>
        <w:spacing w:after="0" w:line="67" w:lineRule="exact"/>
        <w:rPr>
          <w:rFonts w:ascii="Times New Roman" w:cs="Times New Roman" w:eastAsia="Times New Roman" w:hAnsi="Times New Roman"/>
          <w:sz w:val="18"/>
          <w:szCs w:val="18"/>
          <w:color w:val="auto"/>
        </w:rPr>
      </w:pPr>
    </w:p>
    <w:p>
      <w:pPr>
        <w:ind w:left="12" w:right="100" w:firstLine="419"/>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effected any transaction in the Common Stock from February 10, 2024 (the date 60 days prior to the filing of this Schedule 13D) to April 10, 2024.</w:t>
      </w:r>
    </w:p>
    <w:p>
      <w:pPr>
        <w:spacing w:after="0" w:line="53" w:lineRule="exact"/>
        <w:rPr>
          <w:rFonts w:ascii="Times New Roman" w:cs="Times New Roman" w:eastAsia="Times New Roman" w:hAnsi="Times New Roman"/>
          <w:sz w:val="18"/>
          <w:szCs w:val="18"/>
          <w:color w:val="auto"/>
        </w:rPr>
      </w:pPr>
    </w:p>
    <w:p>
      <w:pPr>
        <w:ind w:left="12" w:right="60" w:firstLine="419"/>
        <w:spacing w:after="0" w:line="282" w:lineRule="auto"/>
        <w:tabs>
          <w:tab w:leader="none" w:pos="6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shares of the Common Stock.</w:t>
      </w:r>
    </w:p>
    <w:p>
      <w:pPr>
        <w:spacing w:after="0" w:line="53" w:lineRule="exact"/>
        <w:rPr>
          <w:rFonts w:ascii="Times New Roman" w:cs="Times New Roman" w:eastAsia="Times New Roman" w:hAnsi="Times New Roman"/>
          <w:sz w:val="18"/>
          <w:szCs w:val="18"/>
          <w:color w:val="auto"/>
        </w:rPr>
      </w:pPr>
    </w:p>
    <w:p>
      <w:pPr>
        <w:ind w:left="672" w:hanging="241"/>
        <w:spacing w:after="0"/>
        <w:tabs>
          <w:tab w:leader="none" w:pos="6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ceased to be the beneficial owner of more than five percent of the Common Stock on April 8, 2024.</w:t>
      </w:r>
    </w:p>
    <w:p>
      <w:pPr>
        <w:spacing w:after="0" w:line="374" w:lineRule="exact"/>
        <w:rPr>
          <w:sz w:val="20"/>
          <w:szCs w:val="20"/>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7 of the Schedule 13D is hereby amended and restated in full as follows:</w:t>
      </w:r>
    </w:p>
    <w:p>
      <w:pPr>
        <w:spacing w:after="0" w:line="127" w:lineRule="exact"/>
        <w:rPr>
          <w:sz w:val="20"/>
          <w:szCs w:val="20"/>
          <w:color w:val="auto"/>
        </w:rPr>
      </w:pPr>
    </w:p>
    <w:p>
      <w:pPr>
        <w:ind w:left="552"/>
        <w:spacing w:after="0"/>
        <w:tabs>
          <w:tab w:leader="none" w:pos="1512"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56" w:lineRule="exact"/>
        <w:rPr>
          <w:sz w:val="20"/>
          <w:szCs w:val="20"/>
          <w:color w:val="auto"/>
        </w:rPr>
      </w:pPr>
    </w:p>
    <w:p>
      <w:pPr>
        <w:ind w:left="672" w:right="140" w:hanging="1106"/>
        <w:spacing w:after="0" w:line="266" w:lineRule="auto"/>
        <w:tabs>
          <w:tab w:leader="none" w:pos="652" w:val="left"/>
        </w:tabs>
        <w:rPr>
          <w:sz w:val="20"/>
          <w:szCs w:val="20"/>
          <w:color w:val="auto"/>
        </w:rPr>
      </w:pPr>
      <w:r>
        <w:rPr>
          <w:rFonts w:ascii="Times New Roman" w:cs="Times New Roman" w:eastAsia="Times New Roman" w:hAnsi="Times New Roman"/>
          <w:sz w:val="18"/>
          <w:szCs w:val="18"/>
          <w:u w:val="single" w:color="auto"/>
          <w:color w:val="auto"/>
        </w:rPr>
        <w:t>Exhibit 1</w:t>
      </w:r>
      <w:r>
        <w:rPr>
          <w:sz w:val="20"/>
          <w:szCs w:val="20"/>
          <w:color w:val="auto"/>
        </w:rPr>
        <w:tab/>
      </w:r>
      <w:r>
        <w:rPr>
          <w:rFonts w:ascii="Times New Roman" w:cs="Times New Roman" w:eastAsia="Times New Roman" w:hAnsi="Times New Roman"/>
          <w:sz w:val="18"/>
          <w:szCs w:val="18"/>
          <w:color w:val="auto"/>
        </w:rPr>
        <w:t>Joint Filing Agreement by and among Michael Singer, Thirsty Brook 2010 Irrevocable Trust, Singer Asefzadeh Family Holding Trust, Bakezilla 2019 Irrevocable Trust, Baharak Asefzadeh and Barbara P. Martin dated November 22, 2023 (incorporated by reference to Exhibit 1 of the Reporting Persons’ Schedule 13D filed with the SEC on November 22, 2023).</w:t>
      </w:r>
    </w:p>
    <w:p>
      <w:pPr>
        <w:sectPr>
          <w:pgSz w:w="11900" w:h="16838" w:orient="portrait"/>
          <w:cols w:equalWidth="0" w:num="1">
            <w:col w:w="10492"/>
          </w:cols>
          <w:pgMar w:left="868" w:top="270" w:right="539" w:bottom="1440" w:gutter="0" w:footer="0" w:header="0"/>
        </w:sectPr>
      </w:pPr>
    </w:p>
    <w:bookmarkStart w:id="10" w:name="page11"/>
    <w:bookmarkEnd w:id="10"/>
    <w:p>
      <w:pPr>
        <w:ind w:left="1120" w:hanging="1173"/>
        <w:spacing w:after="0" w:line="282"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r>
        <w:rPr>
          <w:sz w:val="20"/>
          <w:szCs w:val="20"/>
          <w:color w:val="auto"/>
        </w:rPr>
        <w:tab/>
      </w:r>
      <w:r>
        <w:rPr>
          <w:rFonts w:ascii="Times New Roman" w:cs="Times New Roman" w:eastAsia="Times New Roman" w:hAnsi="Times New Roman"/>
          <w:sz w:val="18"/>
          <w:szCs w:val="18"/>
          <w:color w:val="auto"/>
        </w:rPr>
        <w:t>Confirming Statement of Thirsty Brook 2010 Irrevocable Trust dated November 22, 2023 (incorporated by reference to Exhibit 2 of the Reporting Persons’ Schedule 13D filed with the SEC on November 22, 2023).</w:t>
      </w:r>
    </w:p>
    <w:p>
      <w:pPr>
        <w:spacing w:after="0" w:line="54" w:lineRule="exact"/>
        <w:rPr>
          <w:sz w:val="20"/>
          <w:szCs w:val="20"/>
          <w:color w:val="auto"/>
        </w:rPr>
      </w:pPr>
    </w:p>
    <w:p>
      <w:pPr>
        <w:ind w:left="1120" w:right="80" w:hanging="1173"/>
        <w:spacing w:after="0" w:line="282"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3</w:t>
      </w:r>
      <w:r>
        <w:rPr>
          <w:sz w:val="20"/>
          <w:szCs w:val="20"/>
          <w:color w:val="auto"/>
        </w:rPr>
        <w:tab/>
      </w:r>
      <w:r>
        <w:rPr>
          <w:rFonts w:ascii="Times New Roman" w:cs="Times New Roman" w:eastAsia="Times New Roman" w:hAnsi="Times New Roman"/>
          <w:sz w:val="18"/>
          <w:szCs w:val="18"/>
          <w:color w:val="auto"/>
        </w:rPr>
        <w:t>Confirming Statement of Singer Asefzadeh Family Holding Trust dated November 22, 2023 (incorporated by reference to Exhibit 3 of the Reporting Persons’ Schedule 13D filed with the SEC on November 22, 2023).</w:t>
      </w:r>
    </w:p>
    <w:p>
      <w:pPr>
        <w:spacing w:after="0" w:line="54" w:lineRule="exact"/>
        <w:rPr>
          <w:sz w:val="20"/>
          <w:szCs w:val="20"/>
          <w:color w:val="auto"/>
        </w:rPr>
      </w:pPr>
    </w:p>
    <w:p>
      <w:pPr>
        <w:ind w:left="1120" w:right="340" w:hanging="1173"/>
        <w:spacing w:after="0" w:line="282"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4</w:t>
      </w:r>
      <w:r>
        <w:rPr>
          <w:sz w:val="20"/>
          <w:szCs w:val="20"/>
          <w:color w:val="auto"/>
        </w:rPr>
        <w:tab/>
      </w:r>
      <w:r>
        <w:rPr>
          <w:rFonts w:ascii="Times New Roman" w:cs="Times New Roman" w:eastAsia="Times New Roman" w:hAnsi="Times New Roman"/>
          <w:sz w:val="18"/>
          <w:szCs w:val="18"/>
          <w:color w:val="auto"/>
        </w:rPr>
        <w:t>Confirming Statement of Bakezilla 2019 Irrevocable Trust dated November 22, 2023 (incorporated by reference to Exhibit 4 of the Reporting Persons’ Schedule 13D filed with the SEC on November 22, 2023).</w:t>
      </w:r>
    </w:p>
    <w:p>
      <w:pPr>
        <w:spacing w:after="0" w:line="54" w:lineRule="exact"/>
        <w:rPr>
          <w:sz w:val="20"/>
          <w:szCs w:val="20"/>
          <w:color w:val="auto"/>
        </w:rPr>
      </w:pPr>
    </w:p>
    <w:p>
      <w:pPr>
        <w:ind w:left="1120" w:right="540" w:hanging="1173"/>
        <w:spacing w:after="0" w:line="282"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5</w:t>
      </w:r>
      <w:r>
        <w:rPr>
          <w:sz w:val="20"/>
          <w:szCs w:val="20"/>
          <w:color w:val="auto"/>
        </w:rPr>
        <w:tab/>
      </w:r>
      <w:r>
        <w:rPr>
          <w:rFonts w:ascii="Times New Roman" w:cs="Times New Roman" w:eastAsia="Times New Roman" w:hAnsi="Times New Roman"/>
          <w:sz w:val="18"/>
          <w:szCs w:val="18"/>
          <w:color w:val="auto"/>
        </w:rPr>
        <w:t>Confirming Statement of Baharak Asefzadeh dated November 22, 2023 (incorporated by reference to Exhibit 5 of the Reporting Persons’ Schedule 13D filed with the SEC on November 22, 2023).</w:t>
      </w:r>
    </w:p>
    <w:p>
      <w:pPr>
        <w:spacing w:after="0" w:line="54" w:lineRule="exact"/>
        <w:rPr>
          <w:sz w:val="20"/>
          <w:szCs w:val="20"/>
          <w:color w:val="auto"/>
        </w:rPr>
      </w:pPr>
    </w:p>
    <w:p>
      <w:pPr>
        <w:ind w:left="1120" w:hanging="1173"/>
        <w:spacing w:after="0" w:line="282"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6</w:t>
      </w:r>
      <w:r>
        <w:rPr>
          <w:sz w:val="20"/>
          <w:szCs w:val="20"/>
          <w:color w:val="auto"/>
        </w:rPr>
        <w:tab/>
      </w:r>
      <w:r>
        <w:rPr>
          <w:rFonts w:ascii="Times New Roman" w:cs="Times New Roman" w:eastAsia="Times New Roman" w:hAnsi="Times New Roman"/>
          <w:sz w:val="18"/>
          <w:szCs w:val="18"/>
          <w:color w:val="auto"/>
        </w:rPr>
        <w:t>Confirming Statement of Barbara P. Martin dated November 22, 2023 (incorporated by reference to Exhibit 6 of the Reporting Persons’ Schedule 13D filed with the SEC on November 22, 2023).</w:t>
      </w:r>
    </w:p>
    <w:p>
      <w:pPr>
        <w:spacing w:after="0" w:line="54" w:lineRule="exact"/>
        <w:rPr>
          <w:sz w:val="20"/>
          <w:szCs w:val="20"/>
          <w:color w:val="auto"/>
        </w:rPr>
      </w:pPr>
    </w:p>
    <w:p>
      <w:pPr>
        <w:ind w:left="1120" w:right="40" w:hanging="1173"/>
        <w:spacing w:after="0" w:line="266"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7</w:t>
      </w:r>
      <w:r>
        <w:rPr>
          <w:sz w:val="20"/>
          <w:szCs w:val="20"/>
          <w:color w:val="auto"/>
        </w:rPr>
        <w:tab/>
      </w:r>
      <w:r>
        <w:rPr>
          <w:rFonts w:ascii="Times New Roman" w:cs="Times New Roman" w:eastAsia="Times New Roman" w:hAnsi="Times New Roman"/>
          <w:sz w:val="18"/>
          <w:szCs w:val="18"/>
          <w:color w:val="auto"/>
        </w:rPr>
        <w:t>Agreement and Plan of Merger, dated November 13, 2023, by and among Selecta Biosciences, Inc. Sakura Merger Sub I, Inc., Sakura Merger Sub II, LLC and Cartesian Therapeutics, Inc. (incorporated by reference to Exhibit 2.1 to the Current Report on Form 8-K filed by the Issuer with the Securities and Exchange Commission on November 13, 2023).</w:t>
      </w:r>
    </w:p>
    <w:p>
      <w:pPr>
        <w:spacing w:after="0" w:line="68" w:lineRule="exact"/>
        <w:rPr>
          <w:sz w:val="20"/>
          <w:szCs w:val="20"/>
          <w:color w:val="auto"/>
        </w:rPr>
      </w:pPr>
    </w:p>
    <w:p>
      <w:pPr>
        <w:ind w:left="1120" w:right="60" w:hanging="1173"/>
        <w:spacing w:after="0" w:line="282"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8</w:t>
      </w:r>
      <w:r>
        <w:rPr>
          <w:sz w:val="20"/>
          <w:szCs w:val="20"/>
          <w:color w:val="auto"/>
        </w:rPr>
        <w:tab/>
      </w:r>
      <w:r>
        <w:rPr>
          <w:rFonts w:ascii="Times New Roman" w:cs="Times New Roman" w:eastAsia="Times New Roman" w:hAnsi="Times New Roman"/>
          <w:sz w:val="18"/>
          <w:szCs w:val="18"/>
          <w:color w:val="auto"/>
        </w:rPr>
        <w:t>Certificate of Designation of Series A Non-Voting Convertible Preferred Stock (incorporated by reference to Exhibit 3.4 to the Current Report on Form 8-K filed by the Issuer with the Securities and Exchange Commission on November 13, 2023).</w:t>
      </w:r>
    </w:p>
    <w:p>
      <w:pPr>
        <w:spacing w:after="0" w:line="54" w:lineRule="exact"/>
        <w:rPr>
          <w:sz w:val="20"/>
          <w:szCs w:val="20"/>
          <w:color w:val="auto"/>
        </w:rPr>
      </w:pPr>
    </w:p>
    <w:p>
      <w:pPr>
        <w:ind w:left="1120" w:right="160" w:hanging="1173"/>
        <w:spacing w:after="0" w:line="266"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9</w:t>
      </w:r>
      <w:r>
        <w:rPr>
          <w:sz w:val="20"/>
          <w:szCs w:val="20"/>
          <w:color w:val="auto"/>
        </w:rPr>
        <w:tab/>
      </w:r>
      <w:r>
        <w:rPr>
          <w:rFonts w:ascii="Times New Roman" w:cs="Times New Roman" w:eastAsia="Times New Roman" w:hAnsi="Times New Roman"/>
          <w:sz w:val="18"/>
          <w:szCs w:val="18"/>
          <w:color w:val="auto"/>
        </w:rPr>
        <w:t>Securities Purchase Agreement, dated November 13, 2023, by and among Selecta Biosciences, Inc. and the Purchasers named therein (incorporated by reference to Exhibit 10.1 to the Current Report on Form 8-K filed by the Issuer with the Securities and Exchange Commission on November 13, 2023).</w:t>
      </w:r>
    </w:p>
    <w:p>
      <w:pPr>
        <w:spacing w:after="0" w:line="68" w:lineRule="exact"/>
        <w:rPr>
          <w:sz w:val="20"/>
          <w:szCs w:val="20"/>
          <w:color w:val="auto"/>
        </w:rPr>
      </w:pPr>
    </w:p>
    <w:p>
      <w:pPr>
        <w:ind w:left="1120" w:right="160" w:hanging="1173"/>
        <w:spacing w:after="0" w:line="266"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10</w:t>
      </w:r>
      <w:r>
        <w:rPr>
          <w:sz w:val="20"/>
          <w:szCs w:val="20"/>
          <w:color w:val="auto"/>
        </w:rPr>
        <w:tab/>
      </w:r>
      <w:r>
        <w:rPr>
          <w:rFonts w:ascii="Times New Roman" w:cs="Times New Roman" w:eastAsia="Times New Roman" w:hAnsi="Times New Roman"/>
          <w:sz w:val="18"/>
          <w:szCs w:val="18"/>
          <w:color w:val="auto"/>
        </w:rPr>
        <w:t>Registration Rights Agreement, dated November 13, 2023, by and among Selecta Biosciences, Inc. and the Purchasers named therein (incorporated by reference to Exhibit 10.2 to the Current Report on Form 8-K filed by the Issuer with the Securities and Exchange Commission on November 13, 2023).</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880"/>
          </w:cols>
          <w:pgMar w:left="500" w:top="270" w:right="519" w:bottom="1440" w:gutter="0" w:footer="0" w:header="0"/>
        </w:sectPr>
      </w:pPr>
    </w:p>
    <w:bookmarkStart w:id="11" w:name="page12"/>
    <w:bookmarkEnd w:id="11"/>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April 10, 2024</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Michael Singer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THIRSTY BROOK 2010 IRREVOCABLE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Singer, Authorized Person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SINGER ASEFZADEH FAMILY HOLDING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Singer, Authorized Person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BAKEZILLA 2019 IRREVOCABLE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Singer, Authorized Person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BAHARAK ASEFZADEH</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Singer, Authorized Person</w:t>
      </w:r>
    </w:p>
    <w:p>
      <w:pPr>
        <w:sectPr>
          <w:pgSz w:w="11900" w:h="16838" w:orient="portrait"/>
          <w:cols w:equalWidth="0" w:num="1">
            <w:col w:w="10900"/>
          </w:cols>
          <w:pgMar w:left="440" w:top="268" w:right="55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BARBARA P. MARTIN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8"/>
          <w:szCs w:val="18"/>
          <w:color w:val="auto"/>
        </w:rPr>
        <w:t>Michael Singer, Authorized Person</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
      <w:numFmt w:val="bullet"/>
      <w:start w:val="1"/>
    </w:lvl>
    <w:lvl w:ilvl="1">
      <w:lvlJc w:val="left"/>
      <w:lvlText w:val=" "/>
      <w:numFmt w:val="bullet"/>
      <w:start w:val="1"/>
    </w:lvl>
  </w:abstractNum>
  <w:abstractNum w:abstractNumId="2">
    <w:nsid w:val="7FDCC23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1BEFD79F"/>
    <w:multiLevelType w:val="hybridMultilevel"/>
    <w:lvl w:ilvl="0">
      <w:lvlJc w:val="left"/>
      <w:lvlText w:val="%1."/>
      <w:numFmt w:val="decimal"/>
      <w:start w:val="11"/>
    </w:lvl>
    <w:lvl w:ilvl="1">
      <w:lvlJc w:val="left"/>
      <w:lvlText w:val=" "/>
      <w:numFmt w:val="bullet"/>
      <w:start w:val="1"/>
    </w:lvl>
  </w:abstractNum>
  <w:abstractNum w:abstractNumId="4">
    <w:nsid w:val="41A7C4C9"/>
    <w:multiLevelType w:val="hybridMultilevel"/>
    <w:lvl w:ilvl="0">
      <w:lvlJc w:val="left"/>
      <w:lvlText w:val=" "/>
      <w:numFmt w:val="bullet"/>
      <w:start w:val="1"/>
    </w:lvl>
    <w:lvl w:ilvl="1">
      <w:lvlJc w:val="left"/>
      <w:lvlText w:val=" "/>
      <w:numFmt w:val="bullet"/>
      <w:start w:val="1"/>
    </w:lvl>
  </w:abstractNum>
  <w:abstractNum w:abstractNumId="5">
    <w:nsid w:val="6B68079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4E6AFB66"/>
    <w:multiLevelType w:val="hybridMultilevel"/>
    <w:lvl w:ilvl="0">
      <w:lvlJc w:val="left"/>
      <w:lvlText w:val="%1."/>
      <w:numFmt w:val="decimal"/>
      <w:start w:val="11"/>
    </w:lvl>
    <w:lvl w:ilvl="1">
      <w:lvlJc w:val="left"/>
      <w:lvlText w:val=" "/>
      <w:numFmt w:val="bullet"/>
      <w:start w:val="1"/>
    </w:lvl>
  </w:abstractNum>
  <w:abstractNum w:abstractNumId="7">
    <w:nsid w:val="25E45D32"/>
    <w:multiLevelType w:val="hybridMultilevel"/>
    <w:lvl w:ilvl="0">
      <w:lvlJc w:val="left"/>
      <w:lvlText w:val=" "/>
      <w:numFmt w:val="bullet"/>
      <w:start w:val="1"/>
    </w:lvl>
    <w:lvl w:ilvl="1">
      <w:lvlJc w:val="left"/>
      <w:lvlText w:val=" "/>
      <w:numFmt w:val="bullet"/>
      <w:start w:val="1"/>
    </w:lvl>
  </w:abstractNum>
  <w:abstractNum w:abstractNumId="8">
    <w:nsid w:val="519B500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431BD7B7"/>
    <w:multiLevelType w:val="hybridMultilevel"/>
    <w:lvl w:ilvl="0">
      <w:lvlJc w:val="left"/>
      <w:lvlText w:val="%1."/>
      <w:numFmt w:val="decimal"/>
      <w:start w:val="11"/>
    </w:lvl>
    <w:lvl w:ilvl="1">
      <w:lvlJc w:val="left"/>
      <w:lvlText w:val=" "/>
      <w:numFmt w:val="bullet"/>
      <w:start w:val="1"/>
    </w:lvl>
  </w:abstractNum>
  <w:abstractNum w:abstractNumId="10">
    <w:nsid w:val="3F2DBA31"/>
    <w:multiLevelType w:val="hybridMultilevel"/>
    <w:lvl w:ilvl="0">
      <w:lvlJc w:val="left"/>
      <w:lvlText w:val=" "/>
      <w:numFmt w:val="bullet"/>
      <w:start w:val="1"/>
    </w:lvl>
    <w:lvl w:ilvl="1">
      <w:lvlJc w:val="left"/>
      <w:lvlText w:val=" "/>
      <w:numFmt w:val="bullet"/>
      <w:start w:val="1"/>
    </w:lvl>
  </w:abstractNum>
  <w:abstractNum w:abstractNumId="11">
    <w:nsid w:val="7C83E4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257130A3"/>
    <w:multiLevelType w:val="hybridMultilevel"/>
    <w:lvl w:ilvl="0">
      <w:lvlJc w:val="left"/>
      <w:lvlText w:val="%1."/>
      <w:numFmt w:val="decimal"/>
      <w:start w:val="11"/>
    </w:lvl>
    <w:lvl w:ilvl="1">
      <w:lvlJc w:val="left"/>
      <w:lvlText w:val=" "/>
      <w:numFmt w:val="bullet"/>
      <w:start w:val="1"/>
    </w:lvl>
  </w:abstractNum>
  <w:abstractNum w:abstractNumId="13">
    <w:nsid w:val="62BBD95A"/>
    <w:multiLevelType w:val="hybridMultilevel"/>
    <w:lvl w:ilvl="0">
      <w:lvlJc w:val="left"/>
      <w:lvlText w:val=" "/>
      <w:numFmt w:val="bullet"/>
      <w:start w:val="1"/>
    </w:lvl>
    <w:lvl w:ilvl="1">
      <w:lvlJc w:val="left"/>
      <w:lvlText w:val=" "/>
      <w:numFmt w:val="bullet"/>
      <w:start w:val="1"/>
    </w:lvl>
  </w:abstractNum>
  <w:abstractNum w:abstractNumId="14">
    <w:nsid w:val="436C612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628C895D"/>
    <w:multiLevelType w:val="hybridMultilevel"/>
    <w:lvl w:ilvl="0">
      <w:lvlJc w:val="left"/>
      <w:lvlText w:val="%1."/>
      <w:numFmt w:val="decimal"/>
      <w:start w:val="11"/>
    </w:lvl>
    <w:lvl w:ilvl="1">
      <w:lvlJc w:val="left"/>
      <w:lvlText w:val=" "/>
      <w:numFmt w:val="bullet"/>
      <w:start w:val="1"/>
    </w:lvl>
  </w:abstractNum>
  <w:abstractNum w:abstractNumId="16">
    <w:nsid w:val="333AB105"/>
    <w:multiLevelType w:val="hybridMultilevel"/>
    <w:lvl w:ilvl="0">
      <w:lvlJc w:val="left"/>
      <w:lvlText w:val=" "/>
      <w:numFmt w:val="bullet"/>
      <w:start w:val="1"/>
    </w:lvl>
    <w:lvl w:ilvl="1">
      <w:lvlJc w:val="left"/>
      <w:lvlText w:val=" "/>
      <w:numFmt w:val="bullet"/>
      <w:start w:val="1"/>
    </w:lvl>
  </w:abstractNum>
  <w:abstractNum w:abstractNumId="17">
    <w:nsid w:val="721DA31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8">
    <w:nsid w:val="2443A858"/>
    <w:multiLevelType w:val="hybridMultilevel"/>
    <w:lvl w:ilvl="0">
      <w:lvlJc w:val="left"/>
      <w:lvlText w:val="%1."/>
      <w:numFmt w:val="decimal"/>
      <w:start w:val="11"/>
    </w:lvl>
    <w:lvl w:ilvl="1">
      <w:lvlJc w:val="left"/>
      <w:lvlText w:val=" "/>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2"/>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lowerRoman"/>
      <w:start w:val="1"/>
    </w:lvl>
  </w:abstractNum>
  <w:abstractNum w:abstractNumId="23">
    <w:nsid w:val="79838CB2"/>
    <w:multiLevelType w:val="hybridMultilevel"/>
    <w:lvl w:ilvl="0">
      <w:lvlJc w:val="left"/>
      <w:lvlText w:val="%1"/>
      <w:numFmt w:val="lowerLetter"/>
      <w:start w:val="1"/>
    </w:lvl>
    <w:lvl w:ilvl="1">
      <w:lvlJc w:val="left"/>
      <w:lvlText w:val="(%2)"/>
      <w:numFmt w:val="lowerRoman"/>
      <w:start w:val="3"/>
    </w:lvl>
  </w:abstractNum>
  <w:abstractNum w:abstractNumId="24">
    <w:nsid w:val="4353D0CD"/>
    <w:multiLevelType w:val="hybridMultilevel"/>
    <w:lvl w:ilvl="0">
      <w:lvlJc w:val="left"/>
      <w:lvlText w:val="(%1)"/>
      <w:numFmt w:val="lowerLetter"/>
      <w:start w:val="3"/>
    </w:lvl>
    <w:lvl w:ilvl="1">
      <w:lvlJc w:val="left"/>
      <w:lvlText w:val="%2"/>
      <w:numFmt w:val="lowerRoman"/>
      <w:start w:val="1"/>
    </w:lvl>
  </w:abstractNum>
  <w:abstractNum w:abstractNumId="25">
    <w:nsid w:val="B03E0C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2024-04-10T15:37:01Z</dcterms:created>
  <dcterms:modified xsi:type="dcterms:W3CDTF">2024-04-10T15:37:01Z</dcterms:modified>
</cp:coreProperties>
</file>