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November 8, 2018</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S-8</w:t>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UNDER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SELECTA BIOSCIENCES,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684" w:right="2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5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26-1622110</w:t>
      </w:r>
    </w:p>
    <w:p>
      <w:pPr>
        <w:spacing w:after="0" w:line="132" w:lineRule="exact"/>
        <w:rPr>
          <w:sz w:val="24"/>
          <w:szCs w:val="24"/>
          <w:color w:val="auto"/>
        </w:rPr>
      </w:pPr>
    </w:p>
    <w:p>
      <w:pPr>
        <w:sectPr>
          <w:pgSz w:w="11900" w:h="16838" w:orient="portrait"/>
          <w:cols w:equalWidth="0" w:num="2">
            <w:col w:w="7620" w:space="720"/>
            <w:col w:w="3080"/>
          </w:cols>
          <w:pgMar w:left="240" w:top="684" w:right="23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60" w:space="720"/>
            <w:col w:w="3840"/>
          </w:cols>
          <w:pgMar w:left="240" w:top="684" w:right="239" w:bottom="1440" w:gutter="0" w:footer="0" w:header="0"/>
          <w:type w:val="continuous"/>
        </w:sectPr>
      </w:pP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480 Arsenal Way</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Watertown, Massachusetts 02472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 923-1400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Selecta Biosciences, Inc. 2018 Employment Inducement Incentive Award Plan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(Full Title of the Plan)</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Werner Cautreels, Ph.D.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Selecta Biosciences,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480 Arsenal Way</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Watertown, Massachusetts 02472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 923-1400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Peter N. Handrinos, Esq.</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Latham &amp; Watkins LLP</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200 Clarendon Street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Boston, MA 02116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Telephone: (617) 948-6060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Facsimile: (617) 948-6001</w:t>
      </w:r>
    </w:p>
    <w:p>
      <w:pPr>
        <w:spacing w:after="0" w:line="205"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2740" w:type="dxa"/>
            <w:vAlign w:val="bottom"/>
          </w:tcPr>
          <w:p>
            <w:pPr>
              <w:ind w:left="70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rPr>
                <w:sz w:val="20"/>
                <w:szCs w:val="20"/>
                <w:color w:val="auto"/>
              </w:rPr>
            </w:pPr>
            <w:r>
              <w:rPr>
                <w:rFonts w:ascii="Arial" w:cs="Arial" w:eastAsia="Arial" w:hAnsi="Arial"/>
                <w:sz w:val="14"/>
                <w:szCs w:val="14"/>
                <w:color w:val="auto"/>
              </w:rPr>
              <w:t>x</w:t>
            </w:r>
          </w:p>
        </w:tc>
      </w:tr>
      <w:tr>
        <w:trPr>
          <w:trHeight w:val="230"/>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3860" w:type="dxa"/>
            <w:vAlign w:val="bottom"/>
          </w:tcPr>
          <w:p>
            <w:pPr>
              <w:ind w:left="3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740" w:type="dxa"/>
            <w:vAlign w:val="bottom"/>
          </w:tcPr>
          <w:p>
            <w:pPr>
              <w:ind w:left="70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0"/>
        </w:trPr>
        <w:tc>
          <w:tcPr>
            <w:tcW w:w="16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740" w:type="dxa"/>
            <w:vAlign w:val="bottom"/>
          </w:tcPr>
          <w:p>
            <w:pPr>
              <w:ind w:left="70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60"/>
              <w:spacing w:after="0"/>
              <w:rPr>
                <w:sz w:val="20"/>
                <w:szCs w:val="20"/>
                <w:color w:val="auto"/>
              </w:rPr>
            </w:pPr>
            <w:r>
              <w:rPr>
                <w:rFonts w:ascii="Arial" w:cs="Arial" w:eastAsia="Arial" w:hAnsi="Arial"/>
                <w:sz w:val="14"/>
                <w:szCs w:val="14"/>
                <w:color w:val="auto"/>
              </w:rPr>
              <w:t>x</w:t>
            </w:r>
          </w:p>
        </w:tc>
      </w:tr>
    </w:tbl>
    <w:p>
      <w:pPr>
        <w:spacing w:after="0" w:line="317" w:lineRule="exact"/>
        <w:rPr>
          <w:sz w:val="24"/>
          <w:szCs w:val="24"/>
          <w:color w:val="auto"/>
        </w:rPr>
      </w:pPr>
    </w:p>
    <w:p>
      <w:pPr>
        <w:ind w:right="40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new or revised financial accounting standards provided pursuant to Section 7(a)(2)(B) of the Securities Act. x</w:t>
      </w:r>
    </w:p>
    <w:p>
      <w:pPr>
        <w:sectPr>
          <w:pgSz w:w="11900" w:h="16838" w:orient="portrait"/>
          <w:cols w:equalWidth="0" w:num="1">
            <w:col w:w="11420"/>
          </w:cols>
          <w:pgMar w:left="240" w:top="684"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20" w:type="dxa"/>
            <w:vAlign w:val="bottom"/>
          </w:tcPr>
          <w:p>
            <w:pPr>
              <w:jc w:val="center"/>
              <w:ind w:left="44"/>
              <w:spacing w:after="0"/>
              <w:rPr>
                <w:sz w:val="20"/>
                <w:szCs w:val="20"/>
                <w:color w:val="auto"/>
              </w:rPr>
            </w:pPr>
            <w:r>
              <w:rPr>
                <w:rFonts w:ascii="Arial" w:cs="Arial" w:eastAsia="Arial" w:hAnsi="Arial"/>
                <w:sz w:val="14"/>
                <w:szCs w:val="14"/>
                <w:b w:val="1"/>
                <w:bCs w:val="1"/>
                <w:color w:val="auto"/>
                <w:w w:val="89"/>
              </w:rPr>
              <w:t>Proposed</w:t>
            </w:r>
          </w:p>
        </w:tc>
        <w:tc>
          <w:tcPr>
            <w:tcW w:w="1620" w:type="dxa"/>
            <w:vAlign w:val="bottom"/>
          </w:tcPr>
          <w:p>
            <w:pPr>
              <w:jc w:val="center"/>
              <w:ind w:left="4"/>
              <w:spacing w:after="0"/>
              <w:rPr>
                <w:sz w:val="20"/>
                <w:szCs w:val="20"/>
                <w:color w:val="auto"/>
              </w:rPr>
            </w:pPr>
            <w:r>
              <w:rPr>
                <w:rFonts w:ascii="Arial" w:cs="Arial" w:eastAsia="Arial" w:hAnsi="Arial"/>
                <w:sz w:val="14"/>
                <w:szCs w:val="14"/>
                <w:b w:val="1"/>
                <w:bCs w:val="1"/>
                <w:color w:val="auto"/>
                <w:w w:val="89"/>
              </w:rPr>
              <w:t>Proposed</w:t>
            </w:r>
          </w:p>
        </w:tc>
        <w:tc>
          <w:tcPr>
            <w:tcW w:w="174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2180" w:type="dxa"/>
            <w:vAlign w:val="bottom"/>
          </w:tcPr>
          <w:p>
            <w:pPr>
              <w:jc w:val="center"/>
              <w:ind w:left="184"/>
              <w:spacing w:after="0"/>
              <w:rPr>
                <w:sz w:val="20"/>
                <w:szCs w:val="20"/>
                <w:color w:val="auto"/>
              </w:rPr>
            </w:pPr>
            <w:r>
              <w:rPr>
                <w:rFonts w:ascii="Arial" w:cs="Arial" w:eastAsia="Arial" w:hAnsi="Arial"/>
                <w:sz w:val="14"/>
                <w:szCs w:val="14"/>
                <w:b w:val="1"/>
                <w:bCs w:val="1"/>
                <w:color w:val="auto"/>
                <w:w w:val="98"/>
              </w:rPr>
              <w:t>Amount</w:t>
            </w:r>
          </w:p>
        </w:tc>
        <w:tc>
          <w:tcPr>
            <w:tcW w:w="1820" w:type="dxa"/>
            <w:vAlign w:val="bottom"/>
          </w:tcPr>
          <w:p>
            <w:pPr>
              <w:jc w:val="center"/>
              <w:ind w:left="64"/>
              <w:spacing w:after="0"/>
              <w:rPr>
                <w:sz w:val="20"/>
                <w:szCs w:val="20"/>
                <w:color w:val="auto"/>
              </w:rPr>
            </w:pPr>
            <w:r>
              <w:rPr>
                <w:rFonts w:ascii="Arial" w:cs="Arial" w:eastAsia="Arial" w:hAnsi="Arial"/>
                <w:sz w:val="14"/>
                <w:szCs w:val="14"/>
                <w:b w:val="1"/>
                <w:bCs w:val="1"/>
                <w:color w:val="auto"/>
                <w:w w:val="99"/>
              </w:rPr>
              <w:t>Maximum</w:t>
            </w:r>
          </w:p>
        </w:tc>
        <w:tc>
          <w:tcPr>
            <w:tcW w:w="1620" w:type="dxa"/>
            <w:vAlign w:val="bottom"/>
          </w:tcPr>
          <w:p>
            <w:pPr>
              <w:jc w:val="center"/>
              <w:ind w:left="24"/>
              <w:spacing w:after="0"/>
              <w:rPr>
                <w:sz w:val="20"/>
                <w:szCs w:val="20"/>
                <w:color w:val="auto"/>
              </w:rPr>
            </w:pPr>
            <w:r>
              <w:rPr>
                <w:rFonts w:ascii="Arial" w:cs="Arial" w:eastAsia="Arial" w:hAnsi="Arial"/>
                <w:sz w:val="14"/>
                <w:szCs w:val="14"/>
                <w:b w:val="1"/>
                <w:bCs w:val="1"/>
                <w:color w:val="auto"/>
                <w:w w:val="99"/>
              </w:rPr>
              <w:t>Maximum</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Title of Securities to be Registered</w:t>
            </w:r>
          </w:p>
        </w:tc>
        <w:tc>
          <w:tcPr>
            <w:tcW w:w="2180" w:type="dxa"/>
            <w:vAlign w:val="bottom"/>
          </w:tcPr>
          <w:p>
            <w:pPr>
              <w:jc w:val="center"/>
              <w:ind w:left="204"/>
              <w:spacing w:after="0" w:line="133" w:lineRule="exact"/>
              <w:rPr>
                <w:sz w:val="20"/>
                <w:szCs w:val="20"/>
                <w:color w:val="auto"/>
              </w:rPr>
            </w:pPr>
            <w:r>
              <w:rPr>
                <w:rFonts w:ascii="Arial" w:cs="Arial" w:eastAsia="Arial" w:hAnsi="Arial"/>
                <w:sz w:val="14"/>
                <w:szCs w:val="14"/>
                <w:b w:val="1"/>
                <w:bCs w:val="1"/>
                <w:color w:val="auto"/>
                <w:w w:val="89"/>
              </w:rPr>
              <w:t>to be</w:t>
            </w:r>
          </w:p>
        </w:tc>
        <w:tc>
          <w:tcPr>
            <w:tcW w:w="1820" w:type="dxa"/>
            <w:vAlign w:val="bottom"/>
          </w:tcPr>
          <w:p>
            <w:pPr>
              <w:jc w:val="center"/>
              <w:ind w:left="64"/>
              <w:spacing w:after="0" w:line="133" w:lineRule="exact"/>
              <w:rPr>
                <w:sz w:val="20"/>
                <w:szCs w:val="20"/>
                <w:color w:val="auto"/>
              </w:rPr>
            </w:pPr>
            <w:r>
              <w:rPr>
                <w:rFonts w:ascii="Arial" w:cs="Arial" w:eastAsia="Arial" w:hAnsi="Arial"/>
                <w:sz w:val="14"/>
                <w:szCs w:val="14"/>
                <w:b w:val="1"/>
                <w:bCs w:val="1"/>
                <w:color w:val="auto"/>
                <w:w w:val="94"/>
              </w:rPr>
              <w:t>Offering Price</w:t>
            </w:r>
          </w:p>
        </w:tc>
        <w:tc>
          <w:tcPr>
            <w:tcW w:w="1620" w:type="dxa"/>
            <w:vAlign w:val="bottom"/>
          </w:tcPr>
          <w:p>
            <w:pPr>
              <w:jc w:val="center"/>
              <w:ind w:left="4"/>
              <w:spacing w:after="0" w:line="133" w:lineRule="exact"/>
              <w:rPr>
                <w:sz w:val="20"/>
                <w:szCs w:val="20"/>
                <w:color w:val="auto"/>
              </w:rPr>
            </w:pPr>
            <w:r>
              <w:rPr>
                <w:rFonts w:ascii="Arial" w:cs="Arial" w:eastAsia="Arial" w:hAnsi="Arial"/>
                <w:sz w:val="14"/>
                <w:szCs w:val="14"/>
                <w:b w:val="1"/>
                <w:bCs w:val="1"/>
                <w:color w:val="auto"/>
                <w:w w:val="89"/>
              </w:rPr>
              <w:t>Aggregate</w:t>
            </w:r>
          </w:p>
        </w:tc>
        <w:tc>
          <w:tcPr>
            <w:tcW w:w="174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91"/>
              </w:rPr>
              <w:t>Registered(1)</w:t>
            </w:r>
          </w:p>
        </w:tc>
        <w:tc>
          <w:tcPr>
            <w:tcW w:w="182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w w:val="94"/>
              </w:rPr>
              <w:t>Per Share</w:t>
            </w:r>
          </w:p>
        </w:tc>
        <w:tc>
          <w:tcPr>
            <w:tcW w:w="162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4"/>
              </w:rPr>
              <w:t>Offering Price</w:t>
            </w: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Common Stock, par value $0.0001 per share</w:t>
            </w:r>
          </w:p>
        </w:tc>
        <w:tc>
          <w:tcPr>
            <w:tcW w:w="2180" w:type="dxa"/>
            <w:vAlign w:val="bottom"/>
          </w:tcPr>
          <w:p>
            <w:pPr>
              <w:jc w:val="right"/>
              <w:ind w:right="524"/>
              <w:spacing w:after="0"/>
              <w:rPr>
                <w:sz w:val="20"/>
                <w:szCs w:val="20"/>
                <w:color w:val="auto"/>
              </w:rPr>
            </w:pPr>
            <w:r>
              <w:rPr>
                <w:rFonts w:ascii="Arial" w:cs="Arial" w:eastAsia="Arial" w:hAnsi="Arial"/>
                <w:sz w:val="18"/>
                <w:szCs w:val="18"/>
                <w:color w:val="auto"/>
              </w:rPr>
              <w:t>1,175,000</w:t>
            </w:r>
          </w:p>
        </w:tc>
        <w:tc>
          <w:tcPr>
            <w:tcW w:w="1820" w:type="dxa"/>
            <w:vAlign w:val="bottom"/>
          </w:tcPr>
          <w:p>
            <w:pPr>
              <w:jc w:val="center"/>
              <w:ind w:left="44"/>
              <w:spacing w:after="0"/>
              <w:rPr>
                <w:sz w:val="20"/>
                <w:szCs w:val="20"/>
                <w:color w:val="auto"/>
              </w:rPr>
            </w:pPr>
            <w:r>
              <w:rPr>
                <w:rFonts w:ascii="Arial" w:cs="Arial" w:eastAsia="Arial" w:hAnsi="Arial"/>
                <w:sz w:val="18"/>
                <w:szCs w:val="18"/>
                <w:color w:val="auto"/>
                <w:w w:val="92"/>
              </w:rPr>
              <w:t>$5.43(2)</w:t>
            </w:r>
          </w:p>
        </w:tc>
        <w:tc>
          <w:tcPr>
            <w:tcW w:w="1620" w:type="dxa"/>
            <w:vAlign w:val="bottom"/>
          </w:tcPr>
          <w:p>
            <w:pPr>
              <w:jc w:val="center"/>
              <w:ind w:left="4"/>
              <w:spacing w:after="0"/>
              <w:rPr>
                <w:sz w:val="20"/>
                <w:szCs w:val="20"/>
                <w:color w:val="auto"/>
              </w:rPr>
            </w:pPr>
            <w:r>
              <w:rPr>
                <w:rFonts w:ascii="Arial" w:cs="Arial" w:eastAsia="Arial" w:hAnsi="Arial"/>
                <w:sz w:val="18"/>
                <w:szCs w:val="18"/>
                <w:color w:val="auto"/>
                <w:w w:val="90"/>
              </w:rPr>
              <w:t>$6,380,250</w:t>
            </w:r>
          </w:p>
        </w:tc>
        <w:tc>
          <w:tcPr>
            <w:tcW w:w="1740" w:type="dxa"/>
            <w:vAlign w:val="bottom"/>
          </w:tcPr>
          <w:p>
            <w:pPr>
              <w:jc w:val="center"/>
              <w:ind w:left="50"/>
              <w:spacing w:after="0"/>
              <w:rPr>
                <w:sz w:val="20"/>
                <w:szCs w:val="20"/>
                <w:color w:val="auto"/>
              </w:rPr>
            </w:pPr>
            <w:r>
              <w:rPr>
                <w:rFonts w:ascii="Arial" w:cs="Arial" w:eastAsia="Arial" w:hAnsi="Arial"/>
                <w:sz w:val="18"/>
                <w:szCs w:val="18"/>
                <w:color w:val="auto"/>
                <w:w w:val="89"/>
              </w:rPr>
              <w:t>$774</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40" w:right="20" w:hanging="316"/>
        <w:spacing w:after="0" w:line="304"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(this “Registration Statement”) shall also cover any additional shares of common stock, par value $0.0001 per share, of Selecta Biosciences, Inc. (“Common Stock”) which become issuable under the Selecta Biosciences, Inc. 2018 Employment Inducement Incentive Award Plan (the “Inducement Plan”) by reason of any stock dividend, stock split, recapitalization or other similar transaction effected without the receipt of consideration which results in an increase in the number of shares of the Registrant’s outstanding Common Stock.</w:t>
      </w:r>
    </w:p>
    <w:p>
      <w:pPr>
        <w:spacing w:after="0" w:line="129" w:lineRule="exact"/>
        <w:rPr>
          <w:rFonts w:ascii="Arial" w:cs="Arial" w:eastAsia="Arial" w:hAnsi="Arial"/>
          <w:sz w:val="14"/>
          <w:szCs w:val="14"/>
          <w:color w:val="auto"/>
        </w:rPr>
      </w:pPr>
    </w:p>
    <w:p>
      <w:pPr>
        <w:ind w:left="540" w:right="260" w:hanging="316"/>
        <w:spacing w:after="0" w:line="26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proposed maximum offering price per share has been estimated in accordance with Rules 457(c) and (h) under the Securities Act solely for the purpose of calculating the registration fee. The computation is based upon the average of the high and low prices of the Registrant’s Common Stock as reported on the Nasdaq Global Market on November 5, 2018.</w:t>
      </w:r>
    </w:p>
    <w:p>
      <w:pPr>
        <w:sectPr>
          <w:pgSz w:w="11900" w:h="16838" w:orient="portrait"/>
          <w:cols w:equalWidth="0" w:num="1">
            <w:col w:w="11400"/>
          </w:cols>
          <w:pgMar w:left="240" w:top="1229"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Registrant will send or give the documents containing the information specified in Part I of Form S-8 to Inducement Plan participants as specified by the Securities and Exchange Commission Rule 428(b)(1) under the Securities Act. The Registrant does not need to file these documents with the Securities and Exchange Commission (the “Commission”) either as a part of the Registration Statement or as prospectuses or prospectus supplements under Rule 424 of the Securities Act.</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 w:right="2860" w:firstLine="2883"/>
        <w:spacing w:after="0" w:line="425" w:lineRule="auto"/>
        <w:rPr>
          <w:sz w:val="20"/>
          <w:szCs w:val="20"/>
          <w:color w:val="auto"/>
        </w:rPr>
      </w:pPr>
      <w:r>
        <w:rPr>
          <w:rFonts w:ascii="Arial" w:cs="Arial" w:eastAsia="Arial" w:hAnsi="Arial"/>
          <w:sz w:val="18"/>
          <w:szCs w:val="18"/>
          <w:b w:val="1"/>
          <w:bCs w:val="1"/>
          <w:color w:val="auto"/>
        </w:rPr>
        <w:t>INFORMATION REQUIRED IN THE REGISTRATION STATEMENT Item 3. Incorporation of Documents by Reference.</w:t>
      </w:r>
    </w:p>
    <w:p>
      <w:pPr>
        <w:spacing w:after="0" w:line="264" w:lineRule="auto"/>
        <w:rPr>
          <w:sz w:val="20"/>
          <w:szCs w:val="20"/>
          <w:color w:val="auto"/>
        </w:rPr>
      </w:pPr>
      <w:r>
        <w:rPr>
          <w:rFonts w:ascii="Arial" w:cs="Arial" w:eastAsia="Arial" w:hAnsi="Arial"/>
          <w:sz w:val="18"/>
          <w:szCs w:val="18"/>
          <w:color w:val="auto"/>
        </w:rPr>
        <w:t>The information incorporated by reference herein is considered to be part of this Registration Statement, and later information filed with the Commission will update and supersede this information. The Registrant hereby incorporates by reference into this Registration Statement the following documents previously filed with the Commission:</w:t>
      </w:r>
    </w:p>
    <w:p>
      <w:pPr>
        <w:spacing w:after="0" w:line="249" w:lineRule="exact"/>
        <w:rPr>
          <w:sz w:val="20"/>
          <w:szCs w:val="20"/>
          <w:color w:val="auto"/>
        </w:rPr>
      </w:pPr>
    </w:p>
    <w:p>
      <w:pPr>
        <w:ind w:left="1580" w:right="960" w:hanging="525"/>
        <w:spacing w:after="0" w:line="342" w:lineRule="auto"/>
        <w:tabs>
          <w:tab w:leader="none" w:pos="1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fiscal year ended December 31, 2017, filed with the Commission on March 15, 2018, pursuant to Section 13 of the Securities Exchange Act of 1934, as amended (the “1934 Act”);</w:t>
      </w:r>
    </w:p>
    <w:p>
      <w:pPr>
        <w:spacing w:after="0" w:line="218" w:lineRule="exact"/>
        <w:rPr>
          <w:rFonts w:ascii="Arial" w:cs="Arial" w:eastAsia="Arial" w:hAnsi="Arial"/>
          <w:sz w:val="16"/>
          <w:szCs w:val="16"/>
          <w:color w:val="auto"/>
        </w:rPr>
      </w:pPr>
    </w:p>
    <w:p>
      <w:pPr>
        <w:ind w:left="1580" w:right="860" w:hanging="525"/>
        <w:spacing w:after="0" w:line="277"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Reports on Form 10-Q for the quarters ended March 31, 2018, June 30, 2018, and September 30, 2018, filed with the Commission on May 9, 2018, August 8, 2018, and November 8, respectively;</w:t>
      </w:r>
    </w:p>
    <w:p>
      <w:pPr>
        <w:spacing w:after="0" w:line="265" w:lineRule="exact"/>
        <w:rPr>
          <w:rFonts w:ascii="Arial" w:cs="Arial" w:eastAsia="Arial" w:hAnsi="Arial"/>
          <w:sz w:val="18"/>
          <w:szCs w:val="18"/>
          <w:color w:val="auto"/>
        </w:rPr>
      </w:pPr>
    </w:p>
    <w:p>
      <w:pPr>
        <w:ind w:left="1580" w:right="640" w:hanging="525"/>
        <w:spacing w:after="0" w:line="342" w:lineRule="auto"/>
        <w:tabs>
          <w:tab w:leader="none" w:pos="1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Definitive Proxy Statement on Schedule 14A, filed with the Commission on April 25, 2018, but only to the extent incorporated by reference in the Registrant’s Annual Report on Form 10-K for the fiscal year ended December 31, 2017;</w:t>
      </w:r>
    </w:p>
    <w:p>
      <w:pPr>
        <w:spacing w:after="0" w:line="218" w:lineRule="exact"/>
        <w:rPr>
          <w:rFonts w:ascii="Arial" w:cs="Arial" w:eastAsia="Arial" w:hAnsi="Arial"/>
          <w:sz w:val="16"/>
          <w:szCs w:val="16"/>
          <w:color w:val="auto"/>
        </w:rPr>
      </w:pPr>
    </w:p>
    <w:p>
      <w:pPr>
        <w:ind w:left="1580" w:right="560" w:hanging="525"/>
        <w:spacing w:after="0" w:line="286" w:lineRule="auto"/>
        <w:tabs>
          <w:tab w:leader="none" w:pos="1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Current Reports on Form 8-K filed with the Commission on January 2, 2018, January 8, 2018 (Item 8.01 only), June 4, 2018 (Item 8.01 only), June 15, 2018 (Item 5.02, Item 8.01 and Exhibit 10.1 only), June 19, 2018, September 27, 2018, October 17, 2018, October 22, 2018 (Item 8.01 only) and October 23, 2018 (Item 8.01 only); and</w:t>
      </w:r>
    </w:p>
    <w:p>
      <w:pPr>
        <w:spacing w:after="0" w:line="260" w:lineRule="exact"/>
        <w:rPr>
          <w:rFonts w:ascii="Arial" w:cs="Arial" w:eastAsia="Arial" w:hAnsi="Arial"/>
          <w:sz w:val="17"/>
          <w:szCs w:val="17"/>
          <w:color w:val="auto"/>
        </w:rPr>
      </w:pPr>
    </w:p>
    <w:p>
      <w:pPr>
        <w:ind w:left="1580" w:right="620" w:hanging="525"/>
        <w:spacing w:after="0" w:line="264" w:lineRule="auto"/>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on Form 8-A (Registration No. 001-37798) filed with the Commission on June 8, 2016 in which there is described the terms, rights and provisions applicable to the Registrant’s Common Stock, including any amendment or report filed for purposes of updating such description.</w:t>
      </w:r>
    </w:p>
    <w:p>
      <w:pPr>
        <w:spacing w:after="0" w:line="2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All reports and definitive proxy or information statements filed pursuant to Sections 13(a), 13(c), 14 or 15(d) of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the filing of such documents; except as to any portion of any future annual or quarterly report to stockholders or document or current report furnished under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deemed to be incorporated by reference herein modifies or supersedes such statement. Any such statement so modified or superseded shall not be deemed, except as so modified or superseded, to constitute a part of this Registration Statement. Under no circumstances will any information furnished under Items 2.02 or 7.01 of Form 8-K be deemed incorporated herein by reference unless such Form 8-K expressly provides to the contrary.</w:t>
      </w:r>
    </w:p>
    <w:p>
      <w:pPr>
        <w:spacing w:after="0" w:line="336"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be filed with this Registration Statement.</w:t>
      </w:r>
    </w:p>
    <w:p>
      <w:pPr>
        <w:sectPr>
          <w:pgSz w:w="11900" w:h="16838" w:orient="portrait"/>
          <w:cols w:equalWidth="0" w:num="1">
            <w:col w:w="11380"/>
          </w:cols>
          <w:pgMar w:left="240" w:top="580" w:right="279" w:bottom="1440" w:gutter="0" w:footer="0" w:header="0"/>
        </w:sectPr>
      </w:pPr>
    </w:p>
    <w:bookmarkStart w:id="3" w:name="page4"/>
    <w:bookmarkEnd w:id="3"/>
    <w:p>
      <w:pPr>
        <w:ind w:left="40"/>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5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Registrant’s certificate of incorporation provides that it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Registrant’s best interests, and, with respect to any criminal action or proceeding, he or she had no reasonable cause to believe his or her conduct was unlawful. The Registrant’s certificate of incorporation provides that the Registrant will indemnify any Indemnitee who was or is a party to an action or suit by or in the right of the Registrant to procure a judgment in the Registrant’s favor by reason of the fact that the Indemnitee is or was, or has agreed to become, a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in connection therewith. Expenses must be advanced to an Indemnitee under certain circumstances.</w:t>
      </w:r>
    </w:p>
    <w:p>
      <w:pPr>
        <w:spacing w:after="0" w:line="38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Registrant has entered into indemnification agreements with each of the Registrant’s directors and officers. These indemnification agreements may require us, among other things, to indemnify the Registrant’s directors and officers for some expenses, including attorneys’ fees, judgments, fines and settlement amounts incurred by a director or officer in any action or</w:t>
      </w:r>
    </w:p>
    <w:p>
      <w:pPr>
        <w:sectPr>
          <w:pgSz w:w="11900" w:h="16838" w:orient="portrait"/>
          <w:cols w:equalWidth="0" w:num="1">
            <w:col w:w="11420"/>
          </w:cols>
          <w:pgMar w:left="240" w:top="1067" w:right="239" w:bottom="1440" w:gutter="0" w:footer="0" w:header="0"/>
        </w:sectPr>
      </w:pPr>
    </w:p>
    <w:bookmarkStart w:id="4" w:name="page5"/>
    <w:bookmarkEnd w:id="4"/>
    <w:p>
      <w:pPr>
        <w:ind w:right="80"/>
        <w:spacing w:after="0" w:line="277" w:lineRule="auto"/>
        <w:rPr>
          <w:sz w:val="20"/>
          <w:szCs w:val="20"/>
          <w:color w:val="auto"/>
        </w:rPr>
      </w:pPr>
      <w:r>
        <w:rPr>
          <w:rFonts w:ascii="Arial" w:cs="Arial" w:eastAsia="Arial" w:hAnsi="Arial"/>
          <w:sz w:val="18"/>
          <w:szCs w:val="18"/>
          <w:color w:val="auto"/>
        </w:rPr>
        <w:t>proceeding arising out of his or her service as one of the Registrant’s directors or officers, or any other company or enterprise to which the person provides services at the Registrant’s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maintains a general liability insurance policy that covers certain liabilities of directors and officers of the Registrant’s corporation arising out of claims based on acts or omissions in their capacities as directors or officers.</w:t>
      </w:r>
    </w:p>
    <w:p>
      <w:pPr>
        <w:spacing w:after="0" w:line="32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7280" w:type="dxa"/>
            <w:vAlign w:val="bottom"/>
            <w:gridSpan w:val="10"/>
          </w:tcPr>
          <w:p>
            <w:pPr>
              <w:spacing w:after="0"/>
              <w:rPr>
                <w:sz w:val="20"/>
                <w:szCs w:val="20"/>
                <w:color w:val="auto"/>
              </w:rPr>
            </w:pPr>
            <w:r>
              <w:rPr>
                <w:rFonts w:ascii="Arial" w:cs="Arial" w:eastAsia="Arial" w:hAnsi="Arial"/>
                <w:sz w:val="14"/>
                <w:szCs w:val="14"/>
                <w:b w:val="1"/>
                <w:bCs w:val="1"/>
                <w:color w:val="auto"/>
              </w:rPr>
              <w:t>Exhibit Description</w:t>
            </w:r>
          </w:p>
        </w:tc>
      </w:tr>
      <w:tr>
        <w:trPr>
          <w:trHeight w:val="364"/>
        </w:trPr>
        <w:tc>
          <w:tcPr>
            <w:tcW w:w="340" w:type="dxa"/>
            <w:vAlign w:val="bottom"/>
            <w:tcBorders>
              <w:top w:val="single" w:sz="8" w:color="auto"/>
            </w:tcBorders>
            <w:gridSpan w:val="3"/>
          </w:tcPr>
          <w:p>
            <w:pPr>
              <w:ind w:left="40"/>
              <w:spacing w:after="0"/>
              <w:rPr>
                <w:rFonts w:ascii="Arial" w:cs="Arial" w:eastAsia="Arial" w:hAnsi="Arial"/>
                <w:sz w:val="18"/>
                <w:szCs w:val="18"/>
                <w:color w:val="0000FF"/>
              </w:rPr>
            </w:pPr>
            <w:hyperlink r:id="rId10">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80" w:type="dxa"/>
            <w:vAlign w:val="bottom"/>
            <w:tcBorders>
              <w:top w:val="single" w:sz="8" w:color="auto"/>
            </w:tcBorders>
            <w:gridSpan w:val="10"/>
          </w:tcPr>
          <w:p>
            <w:pPr>
              <w:spacing w:after="0"/>
              <w:rPr>
                <w:rFonts w:ascii="Arial" w:cs="Arial" w:eastAsia="Arial" w:hAnsi="Arial"/>
                <w:sz w:val="18"/>
                <w:szCs w:val="18"/>
                <w:color w:val="0000FF"/>
                <w:w w:val="94"/>
              </w:rPr>
            </w:pPr>
            <w:hyperlink r:id="rId10">
              <w:r>
                <w:rPr>
                  <w:rFonts w:ascii="Arial" w:cs="Arial" w:eastAsia="Arial" w:hAnsi="Arial"/>
                  <w:sz w:val="18"/>
                  <w:szCs w:val="18"/>
                  <w:color w:val="0000FF"/>
                  <w:w w:val="94"/>
                </w:rPr>
                <w:t>Restated Certificate of Incorporation of the Registrant (incorporated by reference to Exhibit 3.1 to</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10">
              <w:r>
                <w:rPr>
                  <w:rFonts w:ascii="Arial" w:cs="Arial" w:eastAsia="Arial" w:hAnsi="Arial"/>
                  <w:sz w:val="18"/>
                  <w:szCs w:val="18"/>
                  <w:color w:val="0000FF"/>
                  <w:w w:val="91"/>
                </w:rPr>
                <w:t>the Registrant’s Current Report on Form 8-K (File No. 001-37798) filed on June 29, 2016)</w:t>
              </w:r>
            </w:hyperlink>
          </w:p>
        </w:tc>
        <w:tc>
          <w:tcPr>
            <w:tcW w:w="520" w:type="dxa"/>
            <w:vAlign w:val="bottom"/>
            <w:tcBorders>
              <w:top w:val="single" w:sz="8" w:color="0000FF"/>
            </w:tcBorders>
            <w:gridSpan w:val="2"/>
          </w:tcPr>
          <w:p>
            <w:pPr>
              <w:spacing w:after="0"/>
              <w:rPr>
                <w:sz w:val="17"/>
                <w:szCs w:val="17"/>
                <w:color w:val="auto"/>
              </w:rPr>
            </w:pPr>
          </w:p>
        </w:tc>
        <w:tc>
          <w:tcPr>
            <w:tcW w:w="220" w:type="dxa"/>
            <w:vAlign w:val="bottom"/>
            <w:gridSpan w:val="3"/>
          </w:tcPr>
          <w:p>
            <w:pPr>
              <w:spacing w:after="0"/>
              <w:rPr>
                <w:sz w:val="17"/>
                <w:szCs w:val="17"/>
                <w:color w:val="auto"/>
              </w:rPr>
            </w:pPr>
          </w:p>
        </w:tc>
      </w:tr>
      <w:tr>
        <w:trPr>
          <w:trHeight w:val="480"/>
        </w:trPr>
        <w:tc>
          <w:tcPr>
            <w:tcW w:w="340" w:type="dxa"/>
            <w:vAlign w:val="bottom"/>
            <w:gridSpan w:val="3"/>
          </w:tcPr>
          <w:p>
            <w:pPr>
              <w:ind w:left="40"/>
              <w:spacing w:after="0"/>
              <w:rPr>
                <w:rFonts w:ascii="Arial" w:cs="Arial" w:eastAsia="Arial" w:hAnsi="Arial"/>
                <w:sz w:val="18"/>
                <w:szCs w:val="18"/>
                <w:color w:val="0000FF"/>
              </w:rPr>
            </w:pPr>
            <w:hyperlink r:id="rId11">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10"/>
          </w:tcPr>
          <w:p>
            <w:pPr>
              <w:spacing w:after="0"/>
              <w:rPr>
                <w:rFonts w:ascii="Arial" w:cs="Arial" w:eastAsia="Arial" w:hAnsi="Arial"/>
                <w:sz w:val="18"/>
                <w:szCs w:val="18"/>
                <w:color w:val="0000FF"/>
                <w:w w:val="94"/>
              </w:rPr>
            </w:pPr>
            <w:hyperlink r:id="rId11">
              <w:r>
                <w:rPr>
                  <w:rFonts w:ascii="Arial" w:cs="Arial" w:eastAsia="Arial" w:hAnsi="Arial"/>
                  <w:sz w:val="18"/>
                  <w:szCs w:val="18"/>
                  <w:color w:val="0000FF"/>
                  <w:w w:val="94"/>
                </w:rPr>
                <w:t>Amended and Restated By-laws of the Registrant (incorporated by reference to Exhibit 3.2 to the</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Registrant’s Current Report on Form 8-K (File No. 001-37798) filed on June 29, 2016)</w:t>
              </w:r>
            </w:hyperlink>
          </w:p>
        </w:tc>
        <w:tc>
          <w:tcPr>
            <w:tcW w:w="720" w:type="dxa"/>
            <w:vAlign w:val="bottom"/>
            <w:tcBorders>
              <w:top w:val="single" w:sz="8" w:color="0000FF"/>
            </w:tcBorders>
            <w:gridSpan w:val="2"/>
          </w:tcPr>
          <w:p>
            <w:pPr>
              <w:spacing w:after="0"/>
              <w:rPr>
                <w:sz w:val="17"/>
                <w:szCs w:val="17"/>
                <w:color w:val="auto"/>
              </w:rPr>
            </w:pPr>
          </w:p>
        </w:tc>
        <w:tc>
          <w:tcPr>
            <w:tcW w:w="280" w:type="dxa"/>
            <w:vAlign w:val="bottom"/>
            <w:gridSpan w:val="4"/>
          </w:tcPr>
          <w:p>
            <w:pPr>
              <w:spacing w:after="0"/>
              <w:rPr>
                <w:sz w:val="17"/>
                <w:szCs w:val="17"/>
                <w:color w:val="auto"/>
              </w:rPr>
            </w:pPr>
          </w:p>
        </w:tc>
      </w:tr>
      <w:tr>
        <w:trPr>
          <w:trHeight w:val="480"/>
        </w:trPr>
        <w:tc>
          <w:tcPr>
            <w:tcW w:w="340" w:type="dxa"/>
            <w:vAlign w:val="bottom"/>
            <w:gridSpan w:val="3"/>
          </w:tcPr>
          <w:p>
            <w:pPr>
              <w:ind w:left="40"/>
              <w:spacing w:after="0"/>
              <w:rPr>
                <w:sz w:val="20"/>
                <w:szCs w:val="20"/>
                <w:color w:val="auto"/>
              </w:rPr>
            </w:pPr>
            <w:r>
              <w:rPr>
                <w:rFonts w:ascii="Arial" w:cs="Arial" w:eastAsia="Arial" w:hAnsi="Arial"/>
                <w:sz w:val="18"/>
                <w:szCs w:val="18"/>
                <w:color w:val="0000FF"/>
                <w:w w:val="73"/>
              </w:rPr>
              <w:t>5.</w:t>
            </w:r>
            <w:r>
              <w:rPr>
                <w:rFonts w:ascii="Arial" w:cs="Arial" w:eastAsia="Arial" w:hAnsi="Arial"/>
                <w:sz w:val="18"/>
                <w:szCs w:val="18"/>
                <w:u w:val="single" w:color="auto"/>
                <w:color w:val="0000FF"/>
                <w:w w:val="73"/>
              </w:rPr>
              <w:t>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10"/>
          </w:tcPr>
          <w:p>
            <w:pPr>
              <w:spacing w:after="0"/>
              <w:rPr>
                <w:sz w:val="20"/>
                <w:szCs w:val="20"/>
                <w:color w:val="auto"/>
              </w:rPr>
            </w:pPr>
            <w:r>
              <w:rPr>
                <w:rFonts w:ascii="Arial" w:cs="Arial" w:eastAsia="Arial" w:hAnsi="Arial"/>
                <w:sz w:val="18"/>
                <w:szCs w:val="18"/>
                <w:color w:val="0000FF"/>
              </w:rPr>
              <w:t>Opinion of Latham &amp; Watkins LLP, counsel to the Registrant</w:t>
            </w: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460" w:type="dxa"/>
            <w:vAlign w:val="bottom"/>
            <w:gridSpan w:val="4"/>
          </w:tcPr>
          <w:p>
            <w:pPr>
              <w:ind w:left="40"/>
              <w:spacing w:after="0"/>
              <w:rPr>
                <w:sz w:val="20"/>
                <w:szCs w:val="20"/>
                <w:color w:val="auto"/>
              </w:rPr>
            </w:pPr>
            <w:r>
              <w:rPr>
                <w:rFonts w:ascii="Arial" w:cs="Arial" w:eastAsia="Arial" w:hAnsi="Arial"/>
                <w:sz w:val="18"/>
                <w:szCs w:val="18"/>
                <w:color w:val="0000FF"/>
                <w:w w:val="83"/>
              </w:rPr>
              <w:t>23.</w:t>
            </w:r>
            <w:r>
              <w:rPr>
                <w:rFonts w:ascii="Arial" w:cs="Arial" w:eastAsia="Arial" w:hAnsi="Arial"/>
                <w:sz w:val="18"/>
                <w:szCs w:val="18"/>
                <w:u w:val="single" w:color="auto"/>
                <w:color w:val="0000FF"/>
                <w:w w:val="83"/>
              </w:rPr>
              <w:t>1+</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10"/>
          </w:tcPr>
          <w:p>
            <w:pPr>
              <w:spacing w:after="0"/>
              <w:rPr>
                <w:sz w:val="20"/>
                <w:szCs w:val="20"/>
                <w:color w:val="auto"/>
              </w:rPr>
            </w:pPr>
            <w:r>
              <w:rPr>
                <w:rFonts w:ascii="Arial" w:cs="Arial" w:eastAsia="Arial" w:hAnsi="Arial"/>
                <w:sz w:val="18"/>
                <w:szCs w:val="18"/>
                <w:color w:val="0000FF"/>
              </w:rPr>
              <w:t>Consent of Ernst &amp; Young LLP, Independent Registered Public Accounting Firm</w:t>
            </w: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500" w:type="dxa"/>
            <w:vAlign w:val="bottom"/>
            <w:gridSpan w:val="5"/>
          </w:tcPr>
          <w:p>
            <w:pPr>
              <w:ind w:left="40"/>
              <w:spacing w:after="0"/>
              <w:rPr>
                <w:sz w:val="20"/>
                <w:szCs w:val="20"/>
                <w:color w:val="auto"/>
              </w:rPr>
            </w:pPr>
            <w:r>
              <w:rPr>
                <w:rFonts w:ascii="Arial" w:cs="Arial" w:eastAsia="Arial" w:hAnsi="Arial"/>
                <w:sz w:val="18"/>
                <w:szCs w:val="18"/>
                <w:color w:val="0000FF"/>
              </w:rPr>
              <w:t>23.</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10"/>
          </w:tcPr>
          <w:p>
            <w:pPr>
              <w:spacing w:after="0"/>
              <w:rPr>
                <w:sz w:val="20"/>
                <w:szCs w:val="20"/>
                <w:color w:val="auto"/>
              </w:rPr>
            </w:pPr>
            <w:r>
              <w:rPr>
                <w:rFonts w:ascii="Arial" w:cs="Arial" w:eastAsia="Arial" w:hAnsi="Arial"/>
                <w:sz w:val="18"/>
                <w:szCs w:val="18"/>
                <w:color w:val="0000FF"/>
              </w:rPr>
              <w:t>Consent of Latham &amp; Watkins LLP (included in Exhibit 5.1)</w:t>
            </w: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460" w:type="dxa"/>
            <w:vAlign w:val="bottom"/>
            <w:gridSpan w:val="4"/>
          </w:tcPr>
          <w:p>
            <w:pPr>
              <w:ind w:left="40"/>
              <w:spacing w:after="0"/>
              <w:rPr>
                <w:sz w:val="20"/>
                <w:szCs w:val="20"/>
                <w:color w:val="auto"/>
              </w:rPr>
            </w:pPr>
            <w:r>
              <w:rPr>
                <w:rFonts w:ascii="Arial" w:cs="Arial" w:eastAsia="Arial" w:hAnsi="Arial"/>
                <w:sz w:val="18"/>
                <w:szCs w:val="18"/>
                <w:color w:val="auto"/>
                <w:w w:val="83"/>
              </w:rPr>
              <w:t>24.1+</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10"/>
          </w:tcPr>
          <w:p>
            <w:pPr>
              <w:spacing w:after="0"/>
              <w:rPr>
                <w:sz w:val="20"/>
                <w:szCs w:val="20"/>
                <w:color w:val="auto"/>
              </w:rPr>
            </w:pPr>
            <w:r>
              <w:rPr>
                <w:rFonts w:ascii="Arial" w:cs="Arial" w:eastAsia="Arial" w:hAnsi="Arial"/>
                <w:sz w:val="18"/>
                <w:szCs w:val="18"/>
                <w:color w:val="auto"/>
              </w:rPr>
              <w:t>Power of attorney (included on signature pages below)</w:t>
            </w:r>
          </w:p>
        </w:tc>
      </w:tr>
      <w:tr>
        <w:trPr>
          <w:trHeight w:val="459"/>
        </w:trPr>
        <w:tc>
          <w:tcPr>
            <w:tcW w:w="340" w:type="dxa"/>
            <w:vAlign w:val="bottom"/>
            <w:gridSpan w:val="3"/>
          </w:tcPr>
          <w:p>
            <w:pPr>
              <w:ind w:left="40"/>
              <w:spacing w:after="0"/>
              <w:rPr>
                <w:sz w:val="20"/>
                <w:szCs w:val="20"/>
                <w:color w:val="auto"/>
              </w:rPr>
            </w:pPr>
            <w:r>
              <w:rPr>
                <w:rFonts w:ascii="Arial" w:cs="Arial" w:eastAsia="Arial" w:hAnsi="Arial"/>
                <w:sz w:val="18"/>
                <w:szCs w:val="18"/>
                <w:color w:val="0000FF"/>
                <w:w w:val="74"/>
              </w:rPr>
              <w:t>99.</w:t>
            </w:r>
            <w:r>
              <w:rPr>
                <w:rFonts w:ascii="Arial" w:cs="Arial" w:eastAsia="Arial" w:hAnsi="Arial"/>
                <w:sz w:val="18"/>
                <w:szCs w:val="18"/>
                <w:u w:val="single" w:color="auto"/>
                <w:color w:val="0000FF"/>
                <w:w w:val="74"/>
              </w:rPr>
              <w:t>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gridSpan w:val="10"/>
          </w:tcPr>
          <w:p>
            <w:pPr>
              <w:spacing w:after="0"/>
              <w:rPr>
                <w:sz w:val="20"/>
                <w:szCs w:val="20"/>
                <w:color w:val="auto"/>
              </w:rPr>
            </w:pPr>
            <w:r>
              <w:rPr>
                <w:rFonts w:ascii="Arial" w:cs="Arial" w:eastAsia="Arial" w:hAnsi="Arial"/>
                <w:sz w:val="18"/>
                <w:szCs w:val="18"/>
                <w:color w:val="0000FF"/>
                <w:w w:val="92"/>
              </w:rPr>
              <w:t>Selecta Biosciences, Inc. 2018 Employment Inducement Incentive Award Plan, and forms of award</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2"/>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agreements thereunder (incorporated by reference to Exhibit 10.1 to the Registrant’s Current Report</w:t>
            </w:r>
          </w:p>
        </w:tc>
        <w:tc>
          <w:tcPr>
            <w:tcW w:w="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1"/>
              </w:rPr>
              <w:t>on Form 8-K (File No. 001-37798) filed on September 27, 2018)</w:t>
            </w:r>
          </w:p>
        </w:tc>
        <w:tc>
          <w:tcPr>
            <w:tcW w:w="2600" w:type="dxa"/>
            <w:vAlign w:val="bottom"/>
            <w:gridSpan w:val="8"/>
          </w:tcPr>
          <w:p>
            <w:pPr>
              <w:spacing w:after="0"/>
              <w:rPr>
                <w:sz w:val="17"/>
                <w:szCs w:val="17"/>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240"/>
          </w:cols>
          <w:pgMar w:left="240" w:top="584" w:right="419" w:bottom="1440" w:gutter="0" w:footer="0" w:header="0"/>
        </w:sectPr>
      </w:pPr>
    </w:p>
    <w:bookmarkStart w:id="5" w:name="page6"/>
    <w:bookmarkEnd w:id="5"/>
    <w:p>
      <w:pPr>
        <w:ind w:left="40"/>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right="10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pursuant to this Registration Statement, a post-effective amendment to this Registration Statement:</w:t>
      </w:r>
    </w:p>
    <w:p>
      <w:pPr>
        <w:spacing w:after="0" w:line="170"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140" w:firstLine="8"/>
        <w:spacing w:after="0" w:line="273" w:lineRule="auto"/>
        <w:tabs>
          <w:tab w:leader="none" w:pos="265"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8" w:lineRule="exact"/>
        <w:rPr>
          <w:rFonts w:ascii="Arial" w:cs="Arial" w:eastAsia="Arial" w:hAnsi="Arial"/>
          <w:sz w:val="17"/>
          <w:szCs w:val="17"/>
          <w:color w:val="auto"/>
        </w:rPr>
      </w:pPr>
    </w:p>
    <w:p>
      <w:pPr>
        <w:ind w:right="80" w:firstLine="8"/>
        <w:spacing w:after="0" w:line="277"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Provided however, that: paragraphs (a)(1)(i) and (a)(1)(ii) above do not apply if the information required to be included in a post-effective amendment by those paragraphs is contained in reports filed with or furnished to the Commission by the Registrant pursuant to Section 13 or Section 15(d) of the 1934 Act that are incorporated by reference in this Registration Statement.</w:t>
      </w:r>
    </w:p>
    <w:p>
      <w:pPr>
        <w:spacing w:after="0" w:line="181" w:lineRule="exact"/>
        <w:rPr>
          <w:sz w:val="20"/>
          <w:szCs w:val="20"/>
          <w:color w:val="auto"/>
        </w:rPr>
      </w:pPr>
    </w:p>
    <w:p>
      <w:pPr>
        <w:jc w:val="both"/>
        <w:ind w:right="180" w:firstLine="8"/>
        <w:spacing w:after="0" w:line="34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3" w:lineRule="exact"/>
        <w:rPr>
          <w:rFonts w:ascii="Arial" w:cs="Arial" w:eastAsia="Arial" w:hAnsi="Arial"/>
          <w:sz w:val="16"/>
          <w:szCs w:val="16"/>
          <w:color w:val="auto"/>
        </w:rPr>
      </w:pPr>
    </w:p>
    <w:p>
      <w:pPr>
        <w:ind w:right="14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both"/>
        <w:ind w:right="180" w:firstLine="8"/>
        <w:spacing w:after="0" w:line="302"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1934 Act (and, where applicable, each filing of an employee benefit plan’s annual report pursuant to Section 15(d) of the 1934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ind w:firstLine="8"/>
        <w:spacing w:after="0" w:line="291"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20"/>
          </w:cols>
          <w:pgMar w:left="240" w:top="742"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this 8th day of November, 2018.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SELECTA BIOSCIENCES, INC.</w:t>
      </w:r>
    </w:p>
    <w:p>
      <w:pPr>
        <w:spacing w:after="0" w:line="391" w:lineRule="exact"/>
        <w:rPr>
          <w:sz w:val="20"/>
          <w:szCs w:val="20"/>
          <w:color w:val="auto"/>
        </w:rPr>
      </w:pPr>
    </w:p>
    <w:p>
      <w:pPr>
        <w:ind w:left="532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2246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320"/>
          </w:cols>
          <w:pgMar w:left="240" w:top="580"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the undersigned officers and directors of Selecta Biosciences, Inc. (the "Company"), hereby severally constitute and appoint the Chief Executive Officer of the Company, who is currently Werner Cautreels, Ph.D., and the Chief Financial Officer of the Company, who is currently John Leaman, M.D.,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02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89"/>
              </w:rPr>
              <w:t>Signature</w:t>
            </w:r>
          </w:p>
        </w:tc>
        <w:tc>
          <w:tcPr>
            <w:tcW w:w="214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56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15"/>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89"/>
              </w:rPr>
              <w:t>/s/ Werner Cautreels, Ph.D.</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0"/>
              </w:rPr>
              <w:t>November 8,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89"/>
              </w:rPr>
              <w:t>Werner Cautreels, Ph.D.</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80"/>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w w:val="92"/>
              </w:rPr>
              <w:t>Chief Financial Officer, Head of Corporate Strategy, and</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0"/>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John Leaman, M.D.</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Treasurer</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0"/>
              </w:rPr>
              <w:t>November 8,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John Leaman, M.D.</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(Principal Financial and Accounting Officer)</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/s/ Timothy Barabe</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0"/>
              </w:rPr>
              <w:t>November 8,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Timothy Barabe</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/s/ Omid Farokhzad, M.D.</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0"/>
              </w:rPr>
              <w:t>November 8,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Omid Farokhzad, M.D.</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Peter Barton Hutt</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0"/>
              </w:rPr>
              <w:t>November 8,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Peter Barton Hutt</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/s/ Amir Nashat, Ph.D.</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0"/>
              </w:rPr>
              <w:t>November 8,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2"/>
              </w:rPr>
              <w:t>Amir Nashat, Ph.D.</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/s/ Aymeric Sallin</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0"/>
              </w:rPr>
              <w:t>November 8,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4"/>
              </w:rPr>
              <w:t>Aymeric Sallin</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/s/ Timothy Springer, Ph.D.</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0"/>
              </w:rPr>
              <w:t>November 8,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1"/>
              </w:rPr>
              <w:t>Timothy Springer, Ph.D.</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94"/>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/s/ Patrick Zenner</w:t>
            </w:r>
          </w:p>
        </w:tc>
        <w:tc>
          <w:tcPr>
            <w:tcW w:w="4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0"/>
              </w:rPr>
              <w:t>November 8, 2018</w:t>
            </w:r>
          </w:p>
        </w:tc>
      </w:tr>
      <w:tr>
        <w:trPr>
          <w:trHeight w:val="27"/>
        </w:trPr>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3300" w:type="dxa"/>
            <w:vAlign w:val="bottom"/>
            <w:gridSpan w:val="3"/>
          </w:tcPr>
          <w:p>
            <w:pPr>
              <w:jc w:val="center"/>
              <w:spacing w:after="0"/>
              <w:rPr>
                <w:sz w:val="20"/>
                <w:szCs w:val="20"/>
                <w:color w:val="auto"/>
              </w:rPr>
            </w:pPr>
            <w:r>
              <w:rPr>
                <w:rFonts w:ascii="Arial" w:cs="Arial" w:eastAsia="Arial" w:hAnsi="Arial"/>
                <w:sz w:val="18"/>
                <w:szCs w:val="18"/>
                <w:color w:val="auto"/>
                <w:w w:val="90"/>
              </w:rPr>
              <w:t>Patrick Zenner</w:t>
            </w:r>
          </w:p>
        </w:tc>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ectPr>
          <w:pgSz w:w="11900" w:h="16838" w:orient="portrait"/>
          <w:cols w:equalWidth="0" w:num="1">
            <w:col w:w="11400"/>
          </w:cols>
          <w:pgMar w:left="240" w:top="580" w:right="2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1804035</wp:posOffset>
            </wp:positionV>
            <wp:extent cx="233235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3235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Selecta Biosciences, Inc.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480 Arsenal Way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Watertown, MA 02139</w:t>
      </w:r>
    </w:p>
    <w:p>
      <w:pPr>
        <w:spacing w:after="0" w:line="20" w:lineRule="exact"/>
        <w:rPr>
          <w:sz w:val="20"/>
          <w:szCs w:val="20"/>
          <w:color w:val="auto"/>
        </w:rPr>
      </w:pPr>
      <w:r>
        <w:rPr>
          <w:sz w:val="20"/>
          <w:szCs w:val="20"/>
          <w:color w:val="auto"/>
        </w:rPr>
        <w:br w:type="column"/>
      </w:r>
    </w:p>
    <w:p>
      <w:pPr>
        <w:jc w:val="right"/>
        <w:ind w:right="2220"/>
        <w:spacing w:after="0"/>
        <w:rPr>
          <w:sz w:val="20"/>
          <w:szCs w:val="20"/>
          <w:color w:val="auto"/>
        </w:rPr>
      </w:pPr>
      <w:r>
        <w:rPr>
          <w:rFonts w:ascii="Arial" w:cs="Arial" w:eastAsia="Arial" w:hAnsi="Arial"/>
          <w:sz w:val="18"/>
          <w:szCs w:val="18"/>
          <w:b w:val="1"/>
          <w:bCs w:val="1"/>
          <w:color w:val="auto"/>
        </w:rPr>
        <w:t>Exhibit 5.1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200 Clarendon Street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 02116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Tel: +1.617.948.6000 Fax: +1.617.948.6001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www.lw.com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Moscow</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Munich</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3"/>
          <w:szCs w:val="13"/>
          <w:color w:val="auto"/>
        </w:rPr>
        <w:t>Orange County</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Paris</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Dusseldorf</w:t>
      </w:r>
      <w:r>
        <w:rPr>
          <w:sz w:val="20"/>
          <w:szCs w:val="20"/>
          <w:color w:val="auto"/>
        </w:rPr>
        <w:tab/>
      </w:r>
      <w:r>
        <w:rPr>
          <w:rFonts w:ascii="Arial" w:cs="Arial" w:eastAsia="Arial" w:hAnsi="Arial"/>
          <w:sz w:val="14"/>
          <w:szCs w:val="14"/>
          <w:color w:val="auto"/>
        </w:rPr>
        <w:t>Rome</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Franfurt</w:t>
      </w:r>
      <w:r>
        <w:rPr>
          <w:sz w:val="20"/>
          <w:szCs w:val="20"/>
          <w:color w:val="auto"/>
        </w:rPr>
        <w:tab/>
      </w:r>
      <w:r>
        <w:rPr>
          <w:rFonts w:ascii="Arial" w:cs="Arial" w:eastAsia="Arial" w:hAnsi="Arial"/>
          <w:sz w:val="14"/>
          <w:szCs w:val="14"/>
          <w:color w:val="auto"/>
        </w:rPr>
        <w:t>San Diego</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San Francisco</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3"/>
          <w:szCs w:val="13"/>
          <w:color w:val="auto"/>
        </w:rPr>
        <w:t>Seoul</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Shanghai</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Silicon Valley</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3"/>
          <w:szCs w:val="13"/>
          <w:color w:val="auto"/>
        </w:rPr>
        <w:t>Singapore</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Tokyo</w:t>
      </w:r>
    </w:p>
    <w:p>
      <w:pPr>
        <w:spacing w:after="0" w:line="109"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color w:val="auto"/>
        </w:rPr>
        <w:t>Milan</w:t>
      </w:r>
      <w:r>
        <w:rPr>
          <w:sz w:val="20"/>
          <w:szCs w:val="20"/>
          <w:color w:val="auto"/>
        </w:rPr>
        <w:tab/>
      </w:r>
      <w:r>
        <w:rPr>
          <w:rFonts w:ascii="Arial" w:cs="Arial" w:eastAsia="Arial" w:hAnsi="Arial"/>
          <w:sz w:val="14"/>
          <w:szCs w:val="14"/>
          <w:color w:val="auto"/>
        </w:rPr>
        <w:t>Washington, D.C.</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File No. 049821-0014</w:t>
      </w:r>
    </w:p>
    <w:p>
      <w:pPr>
        <w:spacing w:after="0" w:line="200" w:lineRule="exact"/>
        <w:rPr>
          <w:sz w:val="20"/>
          <w:szCs w:val="20"/>
          <w:color w:val="auto"/>
        </w:rPr>
      </w:pPr>
    </w:p>
    <w:p>
      <w:pPr>
        <w:sectPr>
          <w:pgSz w:w="11900" w:h="16838" w:orient="portrait"/>
          <w:cols w:equalWidth="0" w:num="2">
            <w:col w:w="4940" w:space="720"/>
            <w:col w:w="5760"/>
          </w:cols>
          <w:pgMar w:left="240" w:top="742" w:right="239" w:bottom="1440" w:gutter="0" w:footer="0" w:header="0"/>
        </w:sectPr>
      </w:pP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Registration Statement on Form S-8; 1,175,000 shares of Selecta Biosciences, Inc. Common Stock, $0.0001 par value per share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acted as special counsel to Selecta Biosciences,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preparation and filing by the Company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relating to the issuance by the Company of up to 1,175,000 shares of common stock of the Company, $0.0001 par value per share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issuable under the Selecta Biosciences, Inc. 2018 Employment Inducement Incentive Award Plan (the “</w:t>
      </w:r>
      <w:r>
        <w:rPr>
          <w:rFonts w:ascii="Arial" w:cs="Arial" w:eastAsia="Arial" w:hAnsi="Arial"/>
          <w:sz w:val="17"/>
          <w:szCs w:val="17"/>
          <w:b w:val="1"/>
          <w:bCs w:val="1"/>
          <w:i w:val="1"/>
          <w:iCs w:val="1"/>
          <w:color w:val="auto"/>
        </w:rPr>
        <w:t>Inducement Plan</w:t>
      </w:r>
      <w:r>
        <w:rPr>
          <w:rFonts w:ascii="Arial" w:cs="Arial" w:eastAsia="Arial" w:hAnsi="Arial"/>
          <w:sz w:val="17"/>
          <w:szCs w:val="17"/>
          <w:color w:val="auto"/>
        </w:rPr>
        <w:t>”).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issue of the Shares.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Inducement Plan, assuming in each case that the individual grants or awards under the Inducement Plan are duly authorized by all necessary corporate action and duly granted or awarded and exercised in accordance with the requirements of law and the Inducement Plan (and the agreements and awards duly adopted thereunder and in accordance therewith), the issue and sale of the Shares will have been duly authorized by all necessary corporate action of the Company, and the Shares will be validly issued, fully paid and</w:t>
      </w:r>
    </w:p>
    <w:p>
      <w:pPr>
        <w:sectPr>
          <w:pgSz w:w="11900" w:h="16838" w:orient="portrait"/>
          <w:cols w:equalWidth="0" w:num="1">
            <w:col w:w="11420"/>
          </w:cols>
          <w:pgMar w:left="240" w:top="742" w:right="239" w:bottom="1440" w:gutter="0" w:footer="0" w:header="0"/>
          <w:type w:val="continuous"/>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nonassessable. In rendering the foregoing opinion, we have assumed that the Company will comply with all applicable notice requirements regarding uncertificated shares provided in the DGCL.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420"/>
          </w:cols>
          <w:pgMar w:left="240" w:top="58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for the registration of 1,175,000 shares of its common stock pertaining to the Selecta Biosciences, Inc. 2018 Employment Inducement Incentive Award Plan of our report dated March 15, 2018, with respect to the consolidated financial statements of Selecta Biosciences, Inc. and subsidiaries included in its Annual Report (Form 10-K) for the year ended December 31, 2017, filed with the Securities and Exchange Commission.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8, 2018</w:t>
      </w:r>
    </w:p>
    <w:p>
      <w:pPr>
        <w:sectPr>
          <w:pgSz w:w="11900" w:h="16838" w:orient="portrait"/>
          <w:cols w:equalWidth="0" w:num="1">
            <w:col w:w="11420"/>
          </w:cols>
          <w:pgMar w:left="240" w:top="580"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Plan’s purpose is to enhance the Company’s ability to attract, retain and motivate persons who are expected to make important contributions to the Company by providing these individuals with equity ownership opportunities. Capitalized terms used in the Plan are defined in Article XI.</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ELIGIBILITY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Eligible Individuals are eligible to be granted Awards under the Plan, subject to the limitations described herein.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 AND DELEGATION</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is administered by the Administrator. The Administrator has authority to determine which Eligible Individuals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 may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his or her agreement to enter into employment with the Company or a Subsidiary). The Administrator’s determinations under the Plan are in its sole discretion and will be final and binding on all persons having or claiming any interest in the Plan or any Award.</w:t>
      </w:r>
    </w:p>
    <w:p>
      <w:pPr>
        <w:spacing w:after="0" w:line="17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Appointment of Committees</w:t>
      </w:r>
      <w:r>
        <w:rPr>
          <w:rFonts w:ascii="Arial" w:cs="Arial" w:eastAsia="Arial" w:hAnsi="Arial"/>
          <w:sz w:val="18"/>
          <w:szCs w:val="18"/>
          <w:color w:val="auto"/>
        </w:rPr>
        <w:t>. To the extent Applicable Laws permit, the Board may delegate any or all of its powers under the Plan to one or more Committees. The Board may abolish any Committee or re-vest in itself any previously delegated authority at any time.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AVAILABLE FOR AWARDS</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Number of Shares</w:t>
      </w:r>
      <w:r>
        <w:rPr>
          <w:rFonts w:ascii="Arial" w:cs="Arial" w:eastAsia="Arial" w:hAnsi="Arial"/>
          <w:sz w:val="20"/>
          <w:szCs w:val="20"/>
          <w:color w:val="auto"/>
        </w:rPr>
        <w:t>. Subject to adjustment under Article VIII and the terms of this Article IV, Awards may be made under the Plan covering up to the Overall Share Limit. Shares issued under the Plan may consist of authorized but unissued Shares, Shares purchased on the open market or treasury Shares.</w:t>
      </w:r>
    </w:p>
    <w:p>
      <w:pPr>
        <w:sectPr>
          <w:pgSz w:w="11900" w:h="16838" w:orient="portrait"/>
          <w:cols w:equalWidth="0" w:num="1">
            <w:col w:w="11420"/>
          </w:cols>
          <w:pgMar w:left="240" w:top="535" w:right="239" w:bottom="1440" w:gutter="0" w:footer="0" w:header="0"/>
        </w:sectPr>
      </w:pPr>
    </w:p>
    <w:bookmarkStart w:id="12" w:name="page13"/>
    <w:bookmarkEnd w:id="12"/>
    <w:p>
      <w:pPr>
        <w:jc w:val="both"/>
        <w:ind w:firstLine="648"/>
        <w:spacing w:after="0" w:line="27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 Recycling</w:t>
      </w:r>
      <w:r>
        <w:rPr>
          <w:rFonts w:ascii="Arial" w:cs="Arial" w:eastAsia="Arial" w:hAnsi="Arial"/>
          <w:sz w:val="18"/>
          <w:szCs w:val="18"/>
          <w:color w:val="auto"/>
        </w:rPr>
        <w:t>. If all or any part of an Award expires, lapses or is terminated,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Plan. Further, Shares delivered (either by actual delivery or attestation) to the Company by a Participant to satisfy the applicable exercise or purchase price of an Award and/or to satisfy any applicable tax withholding obligation (including Shares retained by the Company from the Award being exercised or purchased and/or creating the tax obligation) will again be available for Award grants under the Plan. The payment of Dividend Equivalents in cash in conjunction with any outstanding Awards shall not count against the Overall Share Limit.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OPTIONS AND STOCK APPRECIATION RIGHTS</w:t>
      </w:r>
    </w:p>
    <w:p>
      <w:pPr>
        <w:spacing w:after="0" w:line="2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General</w:t>
      </w:r>
      <w:r>
        <w:rPr>
          <w:rFonts w:ascii="Arial" w:cs="Arial" w:eastAsia="Arial" w:hAnsi="Arial"/>
          <w:sz w:val="19"/>
          <w:szCs w:val="19"/>
          <w:color w:val="auto"/>
        </w:rPr>
        <w:t>. The Administrator may grant Non-Qualified Options or Stock Appreciation Rights to Eligible Individuals subject to the conditions and limitations in the Plan.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Exercise Price</w:t>
      </w:r>
      <w:r>
        <w:rPr>
          <w:rFonts w:ascii="Arial" w:cs="Arial" w:eastAsia="Arial" w:hAnsi="Arial"/>
          <w:sz w:val="20"/>
          <w:szCs w:val="20"/>
          <w:color w:val="auto"/>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Duration</w:t>
      </w:r>
      <w:r>
        <w:rPr>
          <w:rFonts w:ascii="Arial" w:cs="Arial" w:eastAsia="Arial" w:hAnsi="Arial"/>
          <w:sz w:val="18"/>
          <w:szCs w:val="18"/>
          <w:color w:val="auto"/>
        </w:rPr>
        <w:t>. Each Option or Stock Appreciation Right will be exercisable at such times and as specified in the Award Agreement, provided that the term of an Option or Stock Appreciation Right will not exceed ten years. Notwithstanding the foregoing and unless determined otherwise by the Company, in the event that on the last business day of the term of an Option or Stock Appreciation Right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 Option or Stock Appreciation Right.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 In addition, if, prior to the end of the term of an Option or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9"/>
          <w:szCs w:val="19"/>
          <w:color w:val="auto"/>
        </w:rPr>
        <w:t>Appreciation Right, the Participant is given notice by the Company or any of its Subsidiaries of the Participant’s Termination of Service by the Company or any of its Subsidiaries for Cause, and the effective date of such Termination of Service is subsequent to the date of the delivery of such notice, the right of the Participant and the Participant’s transferees to exercise any Option or Stock Appreciation Right issued to the Participant shall be suspended from the time of the delivery of such notice until the earlier of (i) such time as it is determined or otherwise agreed that the Participant’s service as a Service Provider will not be terminated for Cause as provided in such notice or (ii) the effective date of the Participant’s Termination of Service by the Company or any of its Subsidiaries for Cause (in which case the right of the Participant and the Participant’s transferees to exercise any Option or Stock Appreciation Right issued to the Participant will terminate immediately upon the effective date of such Termination of Service).</w:t>
      </w:r>
    </w:p>
    <w:p>
      <w:pPr>
        <w:spacing w:after="0" w:line="18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w:t>
      </w:r>
    </w:p>
    <w:p>
      <w:pPr>
        <w:spacing w:after="0" w:line="1" w:lineRule="exact"/>
        <w:rPr>
          <w:sz w:val="20"/>
          <w:szCs w:val="20"/>
          <w:color w:val="auto"/>
        </w:rPr>
      </w:pPr>
    </w:p>
    <w:p>
      <w:pPr>
        <w:ind w:firstLine="8"/>
        <w:spacing w:after="0" w:line="244" w:lineRule="auto"/>
        <w:tabs>
          <w:tab w:leader="none" w:pos="297" w:val="left"/>
        </w:tabs>
        <w:numPr>
          <w:ilvl w:val="0"/>
          <w:numId w:val="7"/>
        </w:numPr>
        <w:rPr>
          <w:rFonts w:ascii="Arial" w:cs="Arial" w:eastAsia="Arial" w:hAnsi="Arial"/>
          <w:sz w:val="20"/>
          <w:szCs w:val="20"/>
          <w:color w:val="auto"/>
        </w:rPr>
      </w:pPr>
      <w:r>
        <w:rPr>
          <w:rFonts w:ascii="Arial" w:cs="Arial" w:eastAsia="Arial" w:hAnsi="Arial"/>
          <w:sz w:val="20"/>
          <w:szCs w:val="20"/>
          <w:color w:val="auto"/>
        </w:rPr>
        <w:t>as specified in Section 9.5 for any applicable taxes. Unless the Administrator otherwise determines, an Option or Stock Appreciation Right may not be exercised for a fraction of a Share.</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u w:val="single" w:color="auto"/>
          <w:color w:val="auto"/>
        </w:rPr>
        <w:t>Payment Upon Exercise</w:t>
      </w:r>
      <w:r>
        <w:rPr>
          <w:rFonts w:ascii="Arial" w:cs="Arial" w:eastAsia="Arial" w:hAnsi="Arial"/>
          <w:sz w:val="19"/>
          <w:szCs w:val="19"/>
          <w:color w:val="auto"/>
        </w:rPr>
        <w:t>. Subject to Section 10.9, any Company insider trading policy (including blackout periods)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Applicable Laws, the exercise price of an Option must be paid by:</w:t>
      </w:r>
    </w:p>
    <w:p>
      <w:pPr>
        <w:spacing w:after="0" w:line="200" w:lineRule="exact"/>
        <w:rPr>
          <w:sz w:val="20"/>
          <w:szCs w:val="20"/>
          <w:color w:val="auto"/>
        </w:rPr>
      </w:pPr>
    </w:p>
    <w:p>
      <w:pPr>
        <w:ind w:firstLine="1305"/>
        <w:spacing w:after="0" w:line="287" w:lineRule="auto"/>
        <w:tabs>
          <w:tab w:leader="none" w:pos="1764" w:val="left"/>
        </w:tabs>
        <w:numPr>
          <w:ilvl w:val="0"/>
          <w:numId w:val="8"/>
        </w:numPr>
        <w:rPr>
          <w:rFonts w:ascii="Arial" w:cs="Arial" w:eastAsia="Arial" w:hAnsi="Arial"/>
          <w:sz w:val="19"/>
          <w:szCs w:val="19"/>
          <w:color w:val="auto"/>
        </w:rPr>
      </w:pPr>
      <w:r>
        <w:rPr>
          <w:rFonts w:ascii="Arial" w:cs="Arial" w:eastAsia="Arial" w:hAnsi="Arial"/>
          <w:sz w:val="19"/>
          <w:szCs w:val="19"/>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52" w:lineRule="exact"/>
        <w:rPr>
          <w:rFonts w:ascii="Arial" w:cs="Arial" w:eastAsia="Arial" w:hAnsi="Arial"/>
          <w:sz w:val="19"/>
          <w:szCs w:val="19"/>
          <w:color w:val="auto"/>
        </w:rPr>
      </w:pPr>
    </w:p>
    <w:p>
      <w:pPr>
        <w:jc w:val="both"/>
        <w:ind w:firstLine="1305"/>
        <w:spacing w:after="0" w:line="278" w:lineRule="auto"/>
        <w:tabs>
          <w:tab w:leader="none" w:pos="178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65" w:lineRule="exact"/>
        <w:rPr>
          <w:rFonts w:ascii="Arial" w:cs="Arial" w:eastAsia="Arial" w:hAnsi="Arial"/>
          <w:sz w:val="18"/>
          <w:szCs w:val="18"/>
          <w:color w:val="auto"/>
        </w:rPr>
      </w:pPr>
    </w:p>
    <w:p>
      <w:pPr>
        <w:ind w:firstLine="1305"/>
        <w:spacing w:after="0" w:line="260" w:lineRule="auto"/>
        <w:tabs>
          <w:tab w:leader="none" w:pos="1764"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(either by actual delivery or attestation) of Shares owned by the Participant valued at their Fair Market Value;</w:t>
      </w:r>
    </w:p>
    <w:p>
      <w:pPr>
        <w:spacing w:after="0" w:line="176" w:lineRule="exact"/>
        <w:rPr>
          <w:rFonts w:ascii="Arial" w:cs="Arial" w:eastAsia="Arial" w:hAnsi="Arial"/>
          <w:sz w:val="20"/>
          <w:szCs w:val="20"/>
          <w:color w:val="auto"/>
        </w:rPr>
      </w:pPr>
    </w:p>
    <w:p>
      <w:pPr>
        <w:ind w:firstLine="1305"/>
        <w:spacing w:after="0" w:line="260" w:lineRule="auto"/>
        <w:tabs>
          <w:tab w:leader="none" w:pos="1721"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the extent permitted by the Administrator, surrendering Shares then issuable upon the Option’s exercise valued at their Fair Market Value on the exercise date;</w:t>
      </w:r>
    </w:p>
    <w:p>
      <w:pPr>
        <w:spacing w:after="0" w:line="176" w:lineRule="exact"/>
        <w:rPr>
          <w:rFonts w:ascii="Arial" w:cs="Arial" w:eastAsia="Arial" w:hAnsi="Arial"/>
          <w:sz w:val="20"/>
          <w:szCs w:val="20"/>
          <w:color w:val="auto"/>
        </w:rPr>
      </w:pPr>
    </w:p>
    <w:p>
      <w:pPr>
        <w:ind w:firstLine="1305"/>
        <w:spacing w:after="0" w:line="260" w:lineRule="auto"/>
        <w:tabs>
          <w:tab w:leader="none" w:pos="1737" w:val="left"/>
        </w:tabs>
        <w:numPr>
          <w:ilvl w:val="0"/>
          <w:numId w:val="8"/>
        </w:numPr>
        <w:rPr>
          <w:rFonts w:ascii="Arial" w:cs="Arial" w:eastAsia="Arial" w:hAnsi="Arial"/>
          <w:sz w:val="20"/>
          <w:szCs w:val="20"/>
          <w:color w:val="auto"/>
        </w:rPr>
      </w:pPr>
      <w:r>
        <w:rPr>
          <w:rFonts w:ascii="Arial" w:cs="Arial" w:eastAsia="Arial" w:hAnsi="Arial"/>
          <w:sz w:val="20"/>
          <w:szCs w:val="20"/>
          <w:color w:val="auto"/>
        </w:rPr>
        <w:t>to the extent permitted by the Administrator, delivery of a promissory note or any other property that the Administrator determines is good and valuable consideration; or</w:t>
      </w:r>
    </w:p>
    <w:p>
      <w:pPr>
        <w:spacing w:after="0" w:line="176" w:lineRule="exact"/>
        <w:rPr>
          <w:rFonts w:ascii="Arial" w:cs="Arial" w:eastAsia="Arial" w:hAnsi="Arial"/>
          <w:sz w:val="20"/>
          <w:szCs w:val="20"/>
          <w:color w:val="auto"/>
        </w:rPr>
      </w:pPr>
    </w:p>
    <w:p>
      <w:pPr>
        <w:ind w:left="1680" w:hanging="375"/>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permitted by the Company, any combination of the above payment forms approved by the Administrator.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RESTRICTED STOCK UNITS</w:t>
      </w:r>
    </w:p>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General</w:t>
      </w:r>
      <w:r>
        <w:rPr>
          <w:rFonts w:ascii="Arial" w:cs="Arial" w:eastAsia="Arial" w:hAnsi="Arial"/>
          <w:sz w:val="20"/>
          <w:szCs w:val="20"/>
          <w:color w:val="auto"/>
        </w:rPr>
        <w:t>. The Administrator may grant Restricted Stock, or the right to purchase Restricted Stock, to any Eligible Individual, subject to the Company’s right to repurchase all or part of such shares at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14" w:name="page15"/>
    <w:bookmarkEnd w:id="14"/>
    <w:p>
      <w:pPr>
        <w:jc w:val="both"/>
        <w:spacing w:after="0" w:line="243" w:lineRule="auto"/>
        <w:rPr>
          <w:sz w:val="20"/>
          <w:szCs w:val="20"/>
          <w:color w:val="auto"/>
        </w:rPr>
      </w:pPr>
      <w:r>
        <w:rPr>
          <w:rFonts w:ascii="Arial" w:cs="Arial" w:eastAsia="Arial" w:hAnsi="Arial"/>
          <w:sz w:val="20"/>
          <w:szCs w:val="20"/>
          <w:color w:val="auto"/>
        </w:rPr>
        <w:t>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and subject to the conditions and limitations in the Plan. In addition, subject to the conditions and limitations in the Plan, the Administrator may grant to Eligible Individuals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9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4" w:lineRule="auto"/>
        <w:tabs>
          <w:tab w:leader="none" w:pos="1710"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w:t>
      </w:r>
    </w:p>
    <w:p>
      <w:pPr>
        <w:spacing w:after="0" w:line="194" w:lineRule="exact"/>
        <w:rPr>
          <w:rFonts w:ascii="Arial" w:cs="Arial" w:eastAsia="Arial" w:hAnsi="Arial"/>
          <w:sz w:val="20"/>
          <w:szCs w:val="20"/>
          <w:color w:val="auto"/>
        </w:rPr>
      </w:pPr>
    </w:p>
    <w:p>
      <w:pPr>
        <w:ind w:firstLine="1305"/>
        <w:spacing w:after="0" w:line="260" w:lineRule="auto"/>
        <w:tabs>
          <w:tab w:leader="none" w:pos="1748"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Stock Certificates</w:t>
      </w:r>
      <w:r>
        <w:rPr>
          <w:rFonts w:ascii="Arial" w:cs="Arial" w:eastAsia="Arial" w:hAnsi="Arial"/>
          <w:sz w:val="20"/>
          <w:szCs w:val="20"/>
          <w:color w:val="auto"/>
        </w:rPr>
        <w:t>. The Company may require that the Participant deposit in escrow with the Company (or its designee) any stock certificates issued in respect of shares of Restricted Stock, together with a stock power endorsed in blank.</w:t>
      </w:r>
    </w:p>
    <w:p>
      <w:pPr>
        <w:spacing w:after="0" w:line="17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Restricted Stock Units.</w:t>
      </w:r>
    </w:p>
    <w:p>
      <w:pPr>
        <w:spacing w:after="0" w:line="216" w:lineRule="exact"/>
        <w:rPr>
          <w:sz w:val="20"/>
          <w:szCs w:val="20"/>
          <w:color w:val="auto"/>
        </w:rPr>
      </w:pPr>
    </w:p>
    <w:p>
      <w:pPr>
        <w:jc w:val="both"/>
        <w:ind w:firstLine="1305"/>
        <w:spacing w:after="0" w:line="250" w:lineRule="auto"/>
        <w:tabs>
          <w:tab w:leader="none" w:pos="1818"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86" w:lineRule="exact"/>
        <w:rPr>
          <w:rFonts w:ascii="Arial" w:cs="Arial" w:eastAsia="Arial" w:hAnsi="Arial"/>
          <w:sz w:val="20"/>
          <w:szCs w:val="20"/>
          <w:color w:val="auto"/>
        </w:rPr>
      </w:pPr>
    </w:p>
    <w:p>
      <w:pPr>
        <w:ind w:firstLine="1305"/>
        <w:spacing w:after="0" w:line="260" w:lineRule="auto"/>
        <w:tabs>
          <w:tab w:leader="none" w:pos="1775"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A Participant will have no rights of a stockholder with respect to Shares subject to any Restricted Stock Unit unless and until the Shares are delivered in settlement of the Restricted Stock Unit.</w:t>
      </w:r>
    </w:p>
    <w:p>
      <w:pPr>
        <w:spacing w:after="0" w:line="176" w:lineRule="exact"/>
        <w:rPr>
          <w:rFonts w:ascii="Arial" w:cs="Arial" w:eastAsia="Arial" w:hAnsi="Arial"/>
          <w:sz w:val="20"/>
          <w:szCs w:val="20"/>
          <w:color w:val="auto"/>
        </w:rPr>
      </w:pPr>
    </w:p>
    <w:p>
      <w:pPr>
        <w:jc w:val="both"/>
        <w:ind w:firstLine="1305"/>
        <w:spacing w:after="0" w:line="263" w:lineRule="auto"/>
        <w:tabs>
          <w:tab w:leader="none" w:pos="171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STOCK OR CASH BASED AWARDS</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15" w:name="page16"/>
    <w:bookmarkEnd w:id="15"/>
    <w:p>
      <w:pPr>
        <w:jc w:val="both"/>
        <w:spacing w:after="0" w:line="291" w:lineRule="auto"/>
        <w:rPr>
          <w:sz w:val="20"/>
          <w:szCs w:val="20"/>
          <w:color w:val="auto"/>
        </w:rPr>
      </w:pPr>
      <w:r>
        <w:rPr>
          <w:rFonts w:ascii="Arial" w:cs="Arial" w:eastAsia="Arial" w:hAnsi="Arial"/>
          <w:sz w:val="18"/>
          <w:szCs w:val="18"/>
          <w:color w:val="auto"/>
        </w:rPr>
        <w:t>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ADJUSTMENTS FOR CHANGES IN COMMON STOCK</w:t>
      </w:r>
    </w:p>
    <w:p>
      <w:pPr>
        <w:jc w:val="center"/>
        <w:spacing w:after="0"/>
        <w:rPr>
          <w:sz w:val="20"/>
          <w:szCs w:val="20"/>
          <w:color w:val="auto"/>
        </w:rPr>
      </w:pPr>
      <w:r>
        <w:rPr>
          <w:rFonts w:ascii="Arial" w:cs="Arial" w:eastAsia="Arial" w:hAnsi="Arial"/>
          <w:sz w:val="20"/>
          <w:szCs w:val="20"/>
          <w:b w:val="1"/>
          <w:bCs w:val="1"/>
          <w:color w:val="auto"/>
        </w:rPr>
        <w:t>AND CERTAIN OTHER EVENTS</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Equity Restructuring</w:t>
      </w:r>
      <w:r>
        <w:rPr>
          <w:rFonts w:ascii="Arial" w:cs="Arial" w:eastAsia="Arial" w:hAnsi="Arial"/>
          <w:sz w:val="20"/>
          <w:szCs w:val="20"/>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(subject to Section 10.4),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Transactions</w:t>
      </w:r>
      <w:r>
        <w:rPr>
          <w:rFonts w:ascii="Arial" w:cs="Arial" w:eastAsia="Arial" w:hAnsi="Arial"/>
          <w:sz w:val="18"/>
          <w:szCs w:val="18"/>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177" w:lineRule="exact"/>
        <w:rPr>
          <w:sz w:val="20"/>
          <w:szCs w:val="20"/>
          <w:color w:val="auto"/>
        </w:rPr>
      </w:pPr>
    </w:p>
    <w:p>
      <w:pPr>
        <w:jc w:val="both"/>
        <w:ind w:firstLine="1305"/>
        <w:spacing w:after="0" w:line="244" w:lineRule="auto"/>
        <w:tabs>
          <w:tab w:leader="none" w:pos="1696" w:val="left"/>
        </w:tabs>
        <w:numPr>
          <w:ilvl w:val="0"/>
          <w:numId w:val="11"/>
        </w:numPr>
        <w:rPr>
          <w:rFonts w:ascii="Arial" w:cs="Arial" w:eastAsia="Arial" w:hAnsi="Arial"/>
          <w:sz w:val="20"/>
          <w:szCs w:val="20"/>
          <w:color w:val="auto"/>
        </w:rPr>
      </w:pPr>
      <w:r>
        <w:rPr>
          <w:rFonts w:ascii="Arial" w:cs="Arial" w:eastAsia="Arial" w:hAnsi="Arial"/>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94" w:lineRule="exact"/>
        <w:rPr>
          <w:rFonts w:ascii="Arial" w:cs="Arial" w:eastAsia="Arial" w:hAnsi="Arial"/>
          <w:sz w:val="20"/>
          <w:szCs w:val="20"/>
          <w:color w:val="auto"/>
        </w:rPr>
      </w:pPr>
    </w:p>
    <w:p>
      <w:pPr>
        <w:ind w:right="20" w:firstLine="1305"/>
        <w:spacing w:after="0" w:line="260" w:lineRule="auto"/>
        <w:tabs>
          <w:tab w:leader="none" w:pos="1815" w:val="left"/>
        </w:tabs>
        <w:numPr>
          <w:ilvl w:val="0"/>
          <w:numId w:val="11"/>
        </w:numPr>
        <w:rPr>
          <w:rFonts w:ascii="Arial" w:cs="Arial" w:eastAsia="Arial" w:hAnsi="Arial"/>
          <w:sz w:val="20"/>
          <w:szCs w:val="20"/>
          <w:color w:val="auto"/>
        </w:rPr>
      </w:pPr>
      <w:r>
        <w:rPr>
          <w:rFonts w:ascii="Arial" w:cs="Arial" w:eastAsia="Arial" w:hAnsi="Arial"/>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76" w:lineRule="exact"/>
        <w:rPr>
          <w:rFonts w:ascii="Arial" w:cs="Arial" w:eastAsia="Arial" w:hAnsi="Arial"/>
          <w:sz w:val="20"/>
          <w:szCs w:val="20"/>
          <w:color w:val="auto"/>
        </w:rPr>
      </w:pPr>
    </w:p>
    <w:p>
      <w:pPr>
        <w:ind w:firstLine="1305"/>
        <w:spacing w:after="0" w:line="260" w:lineRule="auto"/>
        <w:tabs>
          <w:tab w:leader="none" w:pos="1696" w:val="left"/>
        </w:tabs>
        <w:numPr>
          <w:ilvl w:val="0"/>
          <w:numId w:val="11"/>
        </w:numPr>
        <w:rPr>
          <w:rFonts w:ascii="Arial" w:cs="Arial" w:eastAsia="Arial" w:hAnsi="Arial"/>
          <w:sz w:val="20"/>
          <w:szCs w:val="20"/>
          <w:color w:val="auto"/>
        </w:rPr>
      </w:pPr>
      <w:r>
        <w:rPr>
          <w:rFonts w:ascii="Arial" w:cs="Arial" w:eastAsia="Arial" w:hAnsi="Arial"/>
          <w:sz w:val="20"/>
          <w:szCs w:val="20"/>
          <w:color w:val="auto"/>
        </w:rPr>
        <w:t>To provide that such Award be assumed by the successor or survivor corporation, or a parent or subsidiary thereof, or shall be substituted for by awards covering the stock of the successor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16" w:name="page17"/>
    <w:bookmarkEnd w:id="16"/>
    <w:p>
      <w:pPr>
        <w:ind w:right="20"/>
        <w:spacing w:after="0" w:line="260" w:lineRule="auto"/>
        <w:rPr>
          <w:sz w:val="20"/>
          <w:szCs w:val="20"/>
          <w:color w:val="auto"/>
        </w:rPr>
      </w:pPr>
      <w:r>
        <w:rPr>
          <w:rFonts w:ascii="Arial" w:cs="Arial" w:eastAsia="Arial" w:hAnsi="Arial"/>
          <w:sz w:val="20"/>
          <w:szCs w:val="20"/>
          <w:color w:val="auto"/>
        </w:rPr>
        <w:t>survivor corporation, or a parent or subsidiary thereof, with appropriate adjustments as to the number and kind of shares and/or applicable exercise or purchase price, in all cases, as determined by the Administrator;</w:t>
      </w:r>
    </w:p>
    <w:p>
      <w:pPr>
        <w:spacing w:after="0" w:line="177" w:lineRule="exact"/>
        <w:rPr>
          <w:sz w:val="20"/>
          <w:szCs w:val="20"/>
          <w:color w:val="auto"/>
        </w:rPr>
      </w:pPr>
    </w:p>
    <w:p>
      <w:pPr>
        <w:jc w:val="both"/>
        <w:ind w:firstLine="1305"/>
        <w:spacing w:after="0" w:line="246" w:lineRule="auto"/>
        <w:tabs>
          <w:tab w:leader="none" w:pos="1802" w:val="left"/>
        </w:tabs>
        <w:numPr>
          <w:ilvl w:val="0"/>
          <w:numId w:val="12"/>
        </w:numPr>
        <w:rPr>
          <w:rFonts w:ascii="Arial" w:cs="Arial" w:eastAsia="Arial" w:hAnsi="Arial"/>
          <w:sz w:val="20"/>
          <w:szCs w:val="20"/>
          <w:color w:val="auto"/>
        </w:rPr>
      </w:pPr>
      <w:r>
        <w:rPr>
          <w:rFonts w:ascii="Arial" w:cs="Arial" w:eastAsia="Arial" w:hAnsi="Arial"/>
          <w:sz w:val="20"/>
          <w:szCs w:val="20"/>
          <w:color w:val="auto"/>
        </w:rPr>
        <w:t>To make adjustments in the number and type of shares of Common Stock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91" w:lineRule="exact"/>
        <w:rPr>
          <w:rFonts w:ascii="Arial" w:cs="Arial" w:eastAsia="Arial" w:hAnsi="Arial"/>
          <w:sz w:val="20"/>
          <w:szCs w:val="20"/>
          <w:color w:val="auto"/>
        </w:rPr>
      </w:pPr>
    </w:p>
    <w:p>
      <w:pPr>
        <w:ind w:left="1700" w:hanging="395"/>
        <w:spacing w:after="0"/>
        <w:tabs>
          <w:tab w:leader="none" w:pos="1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To replace such Award with other rights or property selected by the Administrator; and/or</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3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Non-Assumption</w:t>
      </w:r>
      <w:r>
        <w:rPr>
          <w:rFonts w:ascii="Arial" w:cs="Arial" w:eastAsia="Arial" w:hAnsi="Arial"/>
          <w:sz w:val="18"/>
          <w:szCs w:val="18"/>
          <w:color w:val="auto"/>
        </w:rPr>
        <w:t>. Notwithstanding any other provision of the Plan to the contrary, if a Change in Control occurs and an outstanding Award that is not subject to performance-based vesting conditions is not continued, converted, assumed, or replaced with a substantially similar award by (i) the Company, or (ii) a successor entity or its parent or subsidiary (an “</w:t>
      </w:r>
      <w:r>
        <w:rPr>
          <w:rFonts w:ascii="Arial" w:cs="Arial" w:eastAsia="Arial" w:hAnsi="Arial"/>
          <w:sz w:val="18"/>
          <w:szCs w:val="18"/>
          <w:b w:val="1"/>
          <w:bCs w:val="1"/>
          <w:i w:val="1"/>
          <w:iCs w:val="1"/>
          <w:color w:val="auto"/>
        </w:rPr>
        <w:t>Assumption</w:t>
      </w:r>
      <w:r>
        <w:rPr>
          <w:rFonts w:ascii="Arial" w:cs="Arial" w:eastAsia="Arial" w:hAnsi="Arial"/>
          <w:sz w:val="18"/>
          <w:szCs w:val="18"/>
          <w:color w:val="auto"/>
        </w:rPr>
        <w:t>”), then, immediately prior to the Change in Control, such Award will become fully vested and exercisable and all forfeiture restrictions on such Award shall lapse. The Administrator shall determine whether an Assumption of an Award has occurred in connection with a Change in Control.</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Administrative Stand Still</w:t>
      </w:r>
      <w:r>
        <w:rPr>
          <w:rFonts w:ascii="Arial" w:cs="Arial" w:eastAsia="Arial" w:hAnsi="Arial"/>
          <w:sz w:val="20"/>
          <w:szCs w:val="20"/>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General</w:t>
      </w:r>
      <w:r>
        <w:rPr>
          <w:rFonts w:ascii="Arial" w:cs="Arial" w:eastAsia="Arial" w:hAnsi="Arial"/>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 APPLICABLE TO AWARDS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Transferability</w:t>
      </w:r>
      <w:r>
        <w:rPr>
          <w:rFonts w:ascii="Arial" w:cs="Arial" w:eastAsia="Arial" w:hAnsi="Arial"/>
          <w:sz w:val="20"/>
          <w:szCs w:val="20"/>
          <w:color w:val="auto"/>
        </w:rPr>
        <w:t>. Except as the Administrator may determine or provide in an Award Agreement or otherwise, Awards may not be sold, assigned, transferred, pledged or otherwise encumbered,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17" w:name="page18"/>
    <w:bookmarkEnd w:id="17"/>
    <w:p>
      <w:pPr>
        <w:jc w:val="both"/>
        <w:spacing w:after="0" w:line="246" w:lineRule="auto"/>
        <w:rPr>
          <w:sz w:val="20"/>
          <w:szCs w:val="20"/>
          <w:color w:val="auto"/>
        </w:rPr>
      </w:pPr>
      <w:r>
        <w:rPr>
          <w:rFonts w:ascii="Arial" w:cs="Arial" w:eastAsia="Arial" w:hAnsi="Arial"/>
          <w:sz w:val="20"/>
          <w:szCs w:val="20"/>
          <w:color w:val="auto"/>
        </w:rPr>
        <w:t>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Documentation</w:t>
      </w:r>
      <w:r>
        <w:rPr>
          <w:rFonts w:ascii="Arial" w:cs="Arial" w:eastAsia="Arial" w:hAnsi="Arial"/>
          <w:sz w:val="20"/>
          <w:szCs w:val="20"/>
          <w:color w:val="auto"/>
        </w:rPr>
        <w:t>. Each Award will be evidenced in an Award Agreement, which may be written or electronic, as the Administrator determines. Each Award may contain terms and conditions in addition to those set forth in the Plan.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Discretion</w:t>
      </w:r>
      <w:r>
        <w:rPr>
          <w:rFonts w:ascii="Arial" w:cs="Arial" w:eastAsia="Arial" w:hAnsi="Arial"/>
          <w:sz w:val="20"/>
          <w:szCs w:val="20"/>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Termination of Status</w:t>
      </w:r>
      <w:r>
        <w:rPr>
          <w:rFonts w:ascii="Arial" w:cs="Arial" w:eastAsia="Arial" w:hAnsi="Arial"/>
          <w:sz w:val="20"/>
          <w:szCs w:val="20"/>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Withholding</w:t>
      </w:r>
      <w:r>
        <w:rPr>
          <w:rFonts w:ascii="Arial" w:cs="Arial" w:eastAsia="Arial" w:hAnsi="Arial"/>
          <w:sz w:val="18"/>
          <w:szCs w:val="18"/>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minimum statutory withholding rates (or such other rate as may be determined by the Company after considering any accounting consequences or costs) from any payment of any kind otherwise due to a Participant. Subject to Section 10.9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Amendment of Award; Repricing</w:t>
      </w:r>
      <w:r>
        <w:rPr>
          <w:rFonts w:ascii="Arial" w:cs="Arial" w:eastAsia="Arial" w:hAnsi="Arial"/>
          <w:sz w:val="20"/>
          <w:szCs w:val="20"/>
          <w:color w:val="auto"/>
        </w:rPr>
        <w:t>. The Administrator may amend, modify or terminate any outstanding Award, including by substituting another Award of the same or a different type or changing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8" w:name="page19"/>
    <w:bookmarkEnd w:id="18"/>
    <w:p>
      <w:pPr>
        <w:jc w:val="both"/>
        <w:spacing w:after="0" w:line="276" w:lineRule="auto"/>
        <w:rPr>
          <w:sz w:val="20"/>
          <w:szCs w:val="20"/>
          <w:color w:val="auto"/>
        </w:rPr>
      </w:pPr>
      <w:r>
        <w:rPr>
          <w:rFonts w:ascii="Arial" w:cs="Arial" w:eastAsia="Arial" w:hAnsi="Arial"/>
          <w:sz w:val="18"/>
          <w:szCs w:val="18"/>
          <w:color w:val="auto"/>
        </w:rPr>
        <w:t>exercise or settlement date. The Participant’s consent to such action will be required unless (i) the action, taking into account any related action, does not materially and adversely affect the Participant’s rights under the Award, or (ii) the change is permitted under Article VIII or pursuant to Section 10.7. Notwithstanding the foregoing or anything in the Plan to the contrary, the Administrator may, without the approval of the stockholders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Conditions on Delivery of Stock</w:t>
      </w:r>
      <w:r>
        <w:rPr>
          <w:rFonts w:ascii="Arial" w:cs="Arial" w:eastAsia="Arial" w:hAnsi="Arial"/>
          <w:sz w:val="19"/>
          <w:szCs w:val="19"/>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u w:val="single" w:color="auto"/>
          <w:color w:val="auto"/>
        </w:rPr>
        <w:t>Acceleration</w:t>
      </w:r>
      <w:r>
        <w:rPr>
          <w:rFonts w:ascii="Arial" w:cs="Arial" w:eastAsia="Arial" w:hAnsi="Arial"/>
          <w:sz w:val="20"/>
          <w:szCs w:val="20"/>
          <w:color w:val="auto"/>
        </w:rPr>
        <w:t>. The Administrator may at any time provide that any Award will become immediately vested and fully or partially exercisable, free of some or all restrictions or conditions, or otherwise fully or partially realizable.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9.9 </w:t>
      </w:r>
      <w:r>
        <w:rPr>
          <w:rFonts w:ascii="Arial" w:cs="Arial" w:eastAsia="Arial" w:hAnsi="Arial"/>
          <w:sz w:val="20"/>
          <w:szCs w:val="20"/>
          <w:u w:val="single" w:color="auto"/>
          <w:color w:val="auto"/>
        </w:rPr>
        <w:t>Action Required Upon Grant of Award</w:t>
      </w:r>
      <w:r>
        <w:rPr>
          <w:rFonts w:ascii="Arial" w:cs="Arial" w:eastAsia="Arial" w:hAnsi="Arial"/>
          <w:sz w:val="20"/>
          <w:szCs w:val="20"/>
          <w:color w:val="auto"/>
        </w:rPr>
        <w:t>. Promptly following the grant of an Award, the Company shall, in accordance with NASDAQ Rule 5635(c), (a) issue a press release disclosing the material terms of the Award, including the recipient(s) of the Award and the number of Shares involved and (b) provide written notice to the NASDAQ of the grant.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No Right to Employment or Other Status</w:t>
      </w:r>
      <w:r>
        <w:rPr>
          <w:rFonts w:ascii="Arial" w:cs="Arial" w:eastAsia="Arial" w:hAnsi="Arial"/>
          <w:sz w:val="20"/>
          <w:szCs w:val="20"/>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Rights as Stockholder; Certificates</w:t>
      </w:r>
      <w:r>
        <w:rPr>
          <w:rFonts w:ascii="Arial" w:cs="Arial" w:eastAsia="Arial" w:hAnsi="Arial"/>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6" w:right="239" w:bottom="1440" w:gutter="0" w:footer="0" w:header="0"/>
        </w:sectPr>
      </w:pPr>
    </w:p>
    <w:bookmarkStart w:id="19" w:name="page20"/>
    <w:bookmarkEnd w:id="19"/>
    <w:p>
      <w:pPr>
        <w:jc w:val="both"/>
        <w:ind w:right="20" w:firstLine="648"/>
        <w:spacing w:after="0" w:line="250"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Effective Date and Term of Plan</w:t>
      </w:r>
      <w:r>
        <w:rPr>
          <w:rFonts w:ascii="Arial" w:cs="Arial" w:eastAsia="Arial" w:hAnsi="Arial"/>
          <w:sz w:val="20"/>
          <w:szCs w:val="20"/>
          <w:color w:val="auto"/>
        </w:rPr>
        <w:t>. Unless earlier terminated by the Board, the Plan will become effective on the date it is approved by the Board and will remain in effect until the tenth anniversary of such date, but Awards previously granted may extend beyond that date in accordance with the Plan.</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Stockholder Approval Not Required</w:t>
      </w:r>
      <w:r>
        <w:rPr>
          <w:rFonts w:ascii="Arial" w:cs="Arial" w:eastAsia="Arial" w:hAnsi="Arial"/>
          <w:sz w:val="18"/>
          <w:szCs w:val="18"/>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(a) the Board, acting through a majority of the Company’s Independent Directors or (b) the independent Compensation Committee of the Board. Accordingly, pursuant to NASDAQ Rule 5635(c)(4), the issuance of Awards and the Shares issuable upon exercise or vesting of such Awards pursuant to the Plan is not subject to the approval of the Company’s stockholders.</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Amendment of Plan</w:t>
      </w:r>
      <w:r>
        <w:rPr>
          <w:rFonts w:ascii="Arial" w:cs="Arial" w:eastAsia="Arial" w:hAnsi="Arial"/>
          <w:sz w:val="20"/>
          <w:szCs w:val="20"/>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Provisions for Foreign Participants</w:t>
      </w:r>
      <w:r>
        <w:rPr>
          <w:rFonts w:ascii="Arial" w:cs="Arial" w:eastAsia="Arial" w:hAnsi="Arial"/>
          <w:sz w:val="19"/>
          <w:szCs w:val="19"/>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7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1" w:lineRule="auto"/>
        <w:tabs>
          <w:tab w:leader="none" w:pos="171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10.7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20" w:name="page21"/>
    <w:bookmarkEnd w:id="20"/>
    <w:p>
      <w:pPr>
        <w:jc w:val="both"/>
        <w:ind w:firstLine="1305"/>
        <w:spacing w:after="0" w:line="243" w:lineRule="auto"/>
        <w:tabs>
          <w:tab w:leader="none" w:pos="1707"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96" w:lineRule="exact"/>
        <w:rPr>
          <w:rFonts w:ascii="Arial" w:cs="Arial" w:eastAsia="Arial" w:hAnsi="Arial"/>
          <w:sz w:val="20"/>
          <w:szCs w:val="20"/>
          <w:color w:val="auto"/>
        </w:rPr>
      </w:pPr>
    </w:p>
    <w:p>
      <w:pPr>
        <w:jc w:val="both"/>
        <w:ind w:firstLine="1305"/>
        <w:spacing w:after="0" w:line="257" w:lineRule="auto"/>
        <w:tabs>
          <w:tab w:leader="none" w:pos="1777"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Payments to Specified Employees</w:t>
      </w:r>
      <w:r>
        <w:rPr>
          <w:rFonts w:ascii="Arial" w:cs="Arial" w:eastAsia="Arial" w:hAnsi="Arial"/>
          <w:sz w:val="19"/>
          <w:szCs w:val="19"/>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Limitations on Liability</w:t>
      </w:r>
      <w:r>
        <w:rPr>
          <w:rFonts w:ascii="Arial" w:cs="Arial" w:eastAsia="Arial" w:hAnsi="Arial"/>
          <w:sz w:val="20"/>
          <w:szCs w:val="20"/>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u w:val="single" w:color="auto"/>
          <w:color w:val="auto"/>
        </w:rPr>
        <w:t>Lock-Up Period</w:t>
      </w:r>
      <w:r>
        <w:rPr>
          <w:rFonts w:ascii="Arial" w:cs="Arial" w:eastAsia="Arial" w:hAnsi="Arial"/>
          <w:sz w:val="19"/>
          <w:szCs w:val="19"/>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Data Privacy</w:t>
      </w:r>
      <w:r>
        <w:rPr>
          <w:rFonts w:ascii="Arial" w:cs="Arial" w:eastAsia="Arial" w:hAnsi="Arial"/>
          <w:sz w:val="20"/>
          <w:szCs w:val="20"/>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9"/>
          <w:szCs w:val="19"/>
          <w:color w:val="auto"/>
        </w:rPr>
        <w:t>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10.10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10.10. For more information on the consequences of refusing or withdrawing consent, Participants may contact their local human resources representative.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10.11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Governing Documents</w:t>
      </w:r>
      <w:r>
        <w:rPr>
          <w:rFonts w:ascii="Arial" w:cs="Arial" w:eastAsia="Arial" w:hAnsi="Arial"/>
          <w:sz w:val="19"/>
          <w:szCs w:val="19"/>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10.14 </w:t>
      </w:r>
      <w:r>
        <w:rPr>
          <w:rFonts w:ascii="Arial" w:cs="Arial" w:eastAsia="Arial" w:hAnsi="Arial"/>
          <w:sz w:val="20"/>
          <w:szCs w:val="20"/>
          <w:u w:val="single" w:color="auto"/>
          <w:color w:val="auto"/>
        </w:rPr>
        <w:t>Claw-back Provisions</w:t>
      </w:r>
      <w:r>
        <w:rPr>
          <w:rFonts w:ascii="Arial" w:cs="Arial" w:eastAsia="Arial" w:hAnsi="Arial"/>
          <w:sz w:val="20"/>
          <w:szCs w:val="20"/>
          <w:color w:val="auto"/>
        </w:rPr>
        <w:t>. All Awards (including any proceeds, gains or other economic benefit the Participant actually or constructively receives upon receipt or exercise of any Award or the receipt or resale of any Shares underlying the Award) will be subject to any Company claw-back policy, including any claw-back policy adopted to comply with Applicable Laws (including the Dodd-Frank Wall Street Reform and Consumer Protection Act and any rules or regulations promulgated thereunder) as set forth in such claw-back policy or the Award Agreement.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Titles and Headings</w:t>
      </w:r>
      <w:r>
        <w:rPr>
          <w:rFonts w:ascii="Arial" w:cs="Arial" w:eastAsia="Arial" w:hAnsi="Arial"/>
          <w:sz w:val="20"/>
          <w:szCs w:val="20"/>
          <w:color w:val="auto"/>
        </w:rPr>
        <w:t>. The titles and headings in the Plan are for convenience of reference only and, if any conflict, the Plan’s text, rather than such titles or headings, will control.</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10.16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10.17 </w:t>
      </w:r>
      <w:r>
        <w:rPr>
          <w:rFonts w:ascii="Arial" w:cs="Arial" w:eastAsia="Arial" w:hAnsi="Arial"/>
          <w:sz w:val="20"/>
          <w:szCs w:val="20"/>
          <w:u w:val="single" w:color="auto"/>
          <w:color w:val="auto"/>
        </w:rPr>
        <w:t>Relationship to Other Benefits</w:t>
      </w:r>
      <w:r>
        <w:rPr>
          <w:rFonts w:ascii="Arial" w:cs="Arial" w:eastAsia="Arial" w:hAnsi="Arial"/>
          <w:sz w:val="20"/>
          <w:szCs w:val="20"/>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22" w:name="page23"/>
    <w:bookmarkEnd w:id="22"/>
    <w:p>
      <w:pPr>
        <w:jc w:val="both"/>
        <w:ind w:firstLine="648"/>
        <w:spacing w:after="0" w:line="255" w:lineRule="auto"/>
        <w:rPr>
          <w:sz w:val="20"/>
          <w:szCs w:val="20"/>
          <w:color w:val="auto"/>
        </w:rPr>
      </w:pPr>
      <w:r>
        <w:rPr>
          <w:rFonts w:ascii="Arial" w:cs="Arial" w:eastAsia="Arial" w:hAnsi="Arial"/>
          <w:sz w:val="19"/>
          <w:szCs w:val="19"/>
          <w:color w:val="auto"/>
        </w:rPr>
        <w:t xml:space="preserve">10.18 </w:t>
      </w:r>
      <w:r>
        <w:rPr>
          <w:rFonts w:ascii="Arial" w:cs="Arial" w:eastAsia="Arial" w:hAnsi="Arial"/>
          <w:sz w:val="19"/>
          <w:szCs w:val="19"/>
          <w:u w:val="single" w:color="auto"/>
          <w:color w:val="auto"/>
        </w:rPr>
        <w:t>Broker-Assisted Sales</w:t>
      </w:r>
      <w:r>
        <w:rPr>
          <w:rFonts w:ascii="Arial" w:cs="Arial" w:eastAsia="Arial" w:hAnsi="Arial"/>
          <w:sz w:val="19"/>
          <w:szCs w:val="19"/>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2"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the Plan, the following words and phrases will have the following meanings: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b w:val="1"/>
          <w:bCs w:val="1"/>
          <w:i w:val="1"/>
          <w:iCs w:val="1"/>
          <w:color w:val="auto"/>
        </w:rPr>
        <w:t>Administrator</w:t>
      </w:r>
      <w:r>
        <w:rPr>
          <w:rFonts w:ascii="Arial" w:cs="Arial" w:eastAsia="Arial" w:hAnsi="Arial"/>
          <w:sz w:val="20"/>
          <w:szCs w:val="20"/>
          <w:color w:val="auto"/>
        </w:rPr>
        <w:t>” means the Board or a Committee to the extent that the Board’s powers or authority under the Plan have been delegated to such Committee.</w:t>
      </w:r>
    </w:p>
    <w:p>
      <w:pPr>
        <w:spacing w:after="0" w:line="175" w:lineRule="exact"/>
        <w:rPr>
          <w:sz w:val="20"/>
          <w:szCs w:val="20"/>
          <w:color w:val="auto"/>
        </w:rPr>
      </w:pPr>
    </w:p>
    <w:p>
      <w:pPr>
        <w:jc w:val="both"/>
        <w:ind w:right="20" w:firstLine="648"/>
        <w:spacing w:after="0" w:line="32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5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individually or collectively, a grant under the Plan of Options, Stock Appreciation Rights, Restricted Stock, Restricted Stock Units or Other Stock or Cash Based Awards.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11.4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7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(i) if a Participant is a party to a written employment or consulting agreement with the Company or any of its Subsidiaries or an Award Agreement in which the term “cause” is defined (a “</w:t>
      </w:r>
      <w:r>
        <w:rPr>
          <w:rFonts w:ascii="Arial" w:cs="Arial" w:eastAsia="Arial" w:hAnsi="Arial"/>
          <w:sz w:val="20"/>
          <w:szCs w:val="20"/>
          <w:b w:val="1"/>
          <w:bCs w:val="1"/>
          <w:i w:val="1"/>
          <w:iCs w:val="1"/>
          <w:color w:val="auto"/>
        </w:rPr>
        <w:t>Relevant Agreement</w:t>
      </w:r>
      <w:r>
        <w:rPr>
          <w:rFonts w:ascii="Arial" w:cs="Arial" w:eastAsia="Arial" w:hAnsi="Arial"/>
          <w:sz w:val="20"/>
          <w:szCs w:val="20"/>
          <w:color w:val="auto"/>
        </w:rPr>
        <w:t>”), “Cause” as defined in the Relevant Agreement, and (ii) if no Relevant Agreement exists, (A) the Administrator’s determination that the Participant failed to substantially perform the Participant’s duties (other than a failure resulting from the Participant’s Disability); (B) the Administrator’s determination that the Participant failed to carry out, or comply with any lawful and reasonable directive of the Board or the Participant’s immediate supervisor; (C) the occurrence of any act or omission by the Participant that could reasonably be expected to result in (or has resulted in) the Participant’s conviction, plea of no contest, plea of nolo contendere, or imposition of unadjudicated probation for any felony or indictable offense or crime involving moral turpitude; (D) the Participant’s unlawful use (including being under the influence) or possession of illegal drugs on the premises of the Company or any of its Subsidiaries or while performing the Participant’s duties and responsibilities for the Company or any of its Subsidiaries;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23" w:name="page24"/>
    <w:bookmarkEnd w:id="23"/>
    <w:p>
      <w:pPr>
        <w:spacing w:after="0" w:line="289" w:lineRule="auto"/>
        <w:rPr>
          <w:sz w:val="20"/>
          <w:szCs w:val="20"/>
          <w:color w:val="auto"/>
        </w:rPr>
      </w:pPr>
      <w:r>
        <w:rPr>
          <w:rFonts w:ascii="Arial" w:cs="Arial" w:eastAsia="Arial" w:hAnsi="Arial"/>
          <w:sz w:val="20"/>
          <w:szCs w:val="20"/>
          <w:color w:val="auto"/>
        </w:rPr>
        <w:t>or (E) the Participant’s commission of an act of fraud, embezzlement, misappropriation, misconduct, or breach of fiduciary duty against the Company or any of its Subsidiaries.</w:t>
      </w:r>
    </w:p>
    <w:p>
      <w:pPr>
        <w:spacing w:after="0" w:line="17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and includes each of the following:</w:t>
      </w:r>
    </w:p>
    <w:p>
      <w:pPr>
        <w:spacing w:after="0" w:line="229" w:lineRule="exact"/>
        <w:rPr>
          <w:sz w:val="20"/>
          <w:szCs w:val="20"/>
          <w:color w:val="auto"/>
        </w:rPr>
      </w:pPr>
    </w:p>
    <w:p>
      <w:pPr>
        <w:jc w:val="both"/>
        <w:ind w:firstLine="1305"/>
        <w:spacing w:after="0" w:line="242" w:lineRule="auto"/>
        <w:tabs>
          <w:tab w:leader="none" w:pos="185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97" w:lineRule="exact"/>
        <w:rPr>
          <w:rFonts w:ascii="Arial" w:cs="Arial" w:eastAsia="Arial" w:hAnsi="Arial"/>
          <w:sz w:val="20"/>
          <w:szCs w:val="20"/>
          <w:color w:val="auto"/>
        </w:rPr>
      </w:pPr>
    </w:p>
    <w:p>
      <w:pPr>
        <w:jc w:val="both"/>
        <w:ind w:firstLine="1305"/>
        <w:spacing w:after="0" w:line="278" w:lineRule="auto"/>
        <w:tabs>
          <w:tab w:leader="none" w:pos="1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5" w:lineRule="exact"/>
        <w:rPr>
          <w:rFonts w:ascii="Arial" w:cs="Arial" w:eastAsia="Arial" w:hAnsi="Arial"/>
          <w:sz w:val="18"/>
          <w:szCs w:val="18"/>
          <w:color w:val="auto"/>
        </w:rPr>
      </w:pPr>
    </w:p>
    <w:p>
      <w:pPr>
        <w:jc w:val="both"/>
        <w:ind w:firstLine="1305"/>
        <w:spacing w:after="0" w:line="246" w:lineRule="auto"/>
        <w:tabs>
          <w:tab w:leader="none" w:pos="1818"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91" w:lineRule="exact"/>
        <w:rPr>
          <w:rFonts w:ascii="Arial" w:cs="Arial" w:eastAsia="Arial" w:hAnsi="Arial"/>
          <w:sz w:val="20"/>
          <w:szCs w:val="20"/>
          <w:color w:val="auto"/>
        </w:rPr>
      </w:pPr>
    </w:p>
    <w:p>
      <w:pPr>
        <w:jc w:val="both"/>
        <w:ind w:firstLine="1953"/>
        <w:spacing w:after="0" w:line="278" w:lineRule="auto"/>
        <w:tabs>
          <w:tab w:leader="none" w:pos="23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165" w:lineRule="exact"/>
        <w:rPr>
          <w:rFonts w:ascii="Arial" w:cs="Arial" w:eastAsia="Arial" w:hAnsi="Arial"/>
          <w:sz w:val="18"/>
          <w:szCs w:val="18"/>
          <w:color w:val="auto"/>
        </w:rPr>
      </w:pPr>
    </w:p>
    <w:p>
      <w:pPr>
        <w:jc w:val="both"/>
        <w:ind w:firstLine="1953"/>
        <w:spacing w:after="0" w:line="246" w:lineRule="auto"/>
        <w:tabs>
          <w:tab w:leader="none" w:pos="2434" w:val="left"/>
        </w:tabs>
        <w:numPr>
          <w:ilvl w:val="1"/>
          <w:numId w:val="15"/>
        </w:numPr>
        <w:rPr>
          <w:rFonts w:ascii="Arial" w:cs="Arial" w:eastAsia="Arial" w:hAnsi="Arial"/>
          <w:sz w:val="20"/>
          <w:szCs w:val="20"/>
          <w:color w:val="auto"/>
        </w:rPr>
      </w:pPr>
      <w:r>
        <w:rPr>
          <w:rFonts w:ascii="Arial" w:cs="Arial" w:eastAsia="Arial" w:hAnsi="Arial"/>
          <w:sz w:val="20"/>
          <w:szCs w:val="20"/>
          <w:color w:val="auto"/>
        </w:rPr>
        <w:t xml:space="preserve">after which no person or group beneficially owns voting securities representing 50% or more of the combined voting power of the Successor Entity;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9" w:right="239" w:bottom="1440" w:gutter="0" w:footer="0" w:header="0"/>
        </w:sectPr>
      </w:pPr>
    </w:p>
    <w:bookmarkStart w:id="24" w:name="page25"/>
    <w:bookmarkEnd w:id="24"/>
    <w:p>
      <w:pPr>
        <w:jc w:val="both"/>
        <w:ind w:firstLine="648"/>
        <w:spacing w:after="0" w:line="263" w:lineRule="auto"/>
        <w:rPr>
          <w:sz w:val="20"/>
          <w:szCs w:val="20"/>
          <w:color w:val="auto"/>
        </w:rPr>
      </w:pPr>
      <w:r>
        <w:rPr>
          <w:rFonts w:ascii="Arial" w:cs="Arial" w:eastAsia="Arial" w:hAnsi="Arial"/>
          <w:sz w:val="19"/>
          <w:szCs w:val="19"/>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9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and the regulations issued thereunder.</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9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24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Selecta Biosciences, Inc., a Delaware corporation, or any successor.</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11.12 “</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11.13 “</w:t>
      </w:r>
      <w:r>
        <w:rPr>
          <w:rFonts w:ascii="Arial" w:cs="Arial" w:eastAsia="Arial" w:hAnsi="Arial"/>
          <w:sz w:val="20"/>
          <w:szCs w:val="20"/>
          <w:b w:val="1"/>
          <w:bCs w:val="1"/>
          <w:i w:val="1"/>
          <w:iCs w:val="1"/>
          <w:color w:val="auto"/>
        </w:rPr>
        <w:t>Designated Beneficiary</w:t>
      </w:r>
      <w:r>
        <w:rPr>
          <w:rFonts w:ascii="Arial" w:cs="Arial" w:eastAsia="Arial" w:hAnsi="Arial"/>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8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Board member.</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under Section 22(e)(3) of the Code, as amended.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11.16 “</w:t>
      </w:r>
      <w:r>
        <w:rPr>
          <w:rFonts w:ascii="Arial" w:cs="Arial" w:eastAsia="Arial" w:hAnsi="Arial"/>
          <w:sz w:val="20"/>
          <w:szCs w:val="20"/>
          <w:b w:val="1"/>
          <w:bCs w:val="1"/>
          <w:i w:val="1"/>
          <w:iCs w:val="1"/>
          <w:color w:val="auto"/>
        </w:rPr>
        <w:t>Dividend Equivalents</w:t>
      </w:r>
      <w:r>
        <w:rPr>
          <w:rFonts w:ascii="Arial" w:cs="Arial" w:eastAsia="Arial" w:hAnsi="Arial"/>
          <w:sz w:val="20"/>
          <w:szCs w:val="20"/>
          <w:color w:val="auto"/>
        </w:rPr>
        <w:t>” means a right granted to a Participant under the Plan to receive the equivalent value (in cash or Shares) of dividends paid on Shares.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Eligible Individual</w:t>
      </w:r>
      <w:r>
        <w:rPr>
          <w:rFonts w:ascii="Arial" w:cs="Arial" w:eastAsia="Arial" w:hAnsi="Arial"/>
          <w:sz w:val="18"/>
          <w:szCs w:val="18"/>
          <w:color w:val="auto"/>
        </w:rPr>
        <w:t>” means any individual who was not previously an Employee or Director hired as a new Employee or rehired as an Employee following a bona fide period of interruption of employment if such person is granted an Award as a material inducement to his or her entering into employment with the Company or a Subsidiary (within the meaning of the NASDAQ Rule 5635(c)(4)).</w:t>
      </w:r>
    </w:p>
    <w:p>
      <w:pPr>
        <w:spacing w:after="0" w:line="15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employee of the Company or its Subsidiaries.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11.19 “</w:t>
      </w:r>
      <w:r>
        <w:rPr>
          <w:rFonts w:ascii="Arial" w:cs="Arial" w:eastAsia="Arial" w:hAnsi="Arial"/>
          <w:sz w:val="20"/>
          <w:szCs w:val="20"/>
          <w:b w:val="1"/>
          <w:bCs w:val="1"/>
          <w:i w:val="1"/>
          <w:iCs w:val="1"/>
          <w:color w:val="auto"/>
        </w:rPr>
        <w:t>Equity Restructuring</w:t>
      </w:r>
      <w:r>
        <w:rPr>
          <w:rFonts w:ascii="Arial" w:cs="Arial" w:eastAsia="Arial" w:hAnsi="Arial"/>
          <w:sz w:val="20"/>
          <w:szCs w:val="20"/>
          <w:color w:val="auto"/>
        </w:rPr>
        <w:t>” means a nonreciprocal transaction between the Company and its stockholders, such as a stock dividend, stock split, spin-off or recapitalization through a large, nonrecurring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25" w:name="page26"/>
    <w:bookmarkEnd w:id="25"/>
    <w:p>
      <w:pPr>
        <w:jc w:val="both"/>
        <w:spacing w:after="0" w:line="260" w:lineRule="auto"/>
        <w:rPr>
          <w:sz w:val="20"/>
          <w:szCs w:val="20"/>
          <w:color w:val="auto"/>
        </w:rPr>
      </w:pPr>
      <w:r>
        <w:rPr>
          <w:rFonts w:ascii="Arial" w:cs="Arial" w:eastAsia="Arial" w:hAnsi="Arial"/>
          <w:sz w:val="20"/>
          <w:szCs w:val="20"/>
          <w:color w:val="auto"/>
        </w:rPr>
        <w:t>cash dividend, that affects the number or kind of Shares (or other Company securities) or the share price of Common Stock (or other Company securities) and causes a change in the per share value of the Common Stock underlying outstanding Awards.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Common Stock determined as follows: (i)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The Wall Street Journal or another source the Administrator deems reliable; (ii) if the Common Stock is not traded on a stock exchange but is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Common Stock, the Administrator will determine the Fair Market Value in its discretion.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as defined in Section 422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Code.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11.23 “</w:t>
      </w:r>
      <w:r>
        <w:rPr>
          <w:rFonts w:ascii="Arial" w:cs="Arial" w:eastAsia="Arial" w:hAnsi="Arial"/>
          <w:sz w:val="20"/>
          <w:szCs w:val="20"/>
          <w:b w:val="1"/>
          <w:bCs w:val="1"/>
          <w:i w:val="1"/>
          <w:iCs w:val="1"/>
          <w:color w:val="auto"/>
        </w:rPr>
        <w:t>Independent Director</w:t>
      </w:r>
      <w:r>
        <w:rPr>
          <w:rFonts w:ascii="Arial" w:cs="Arial" w:eastAsia="Arial" w:hAnsi="Arial"/>
          <w:sz w:val="20"/>
          <w:szCs w:val="20"/>
          <w:color w:val="auto"/>
        </w:rPr>
        <w:t>” means a Director who qualifies as “independent” within the meaning of NASDAQ Rule 5635(c)(4), or any successor rule, as such rule may be amended from time to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11.24 “</w:t>
      </w:r>
      <w:r>
        <w:rPr>
          <w:rFonts w:ascii="Arial" w:cs="Arial" w:eastAsia="Arial" w:hAnsi="Arial"/>
          <w:sz w:val="20"/>
          <w:szCs w:val="20"/>
          <w:b w:val="1"/>
          <w:bCs w:val="1"/>
          <w:i w:val="1"/>
          <w:iCs w:val="1"/>
          <w:color w:val="auto"/>
        </w:rPr>
        <w:t>NASDAQ Rule 5635(c)(4)</w:t>
      </w:r>
      <w:r>
        <w:rPr>
          <w:rFonts w:ascii="Arial" w:cs="Arial" w:eastAsia="Arial" w:hAnsi="Arial"/>
          <w:sz w:val="20"/>
          <w:szCs w:val="20"/>
          <w:color w:val="auto"/>
        </w:rPr>
        <w:t>” means NASDAQ Rule 5635(c)(4), or any successor rule, and all guidance and other interpretative authority thereunder, as such rule, guidance and other authority may be amended from time to time.</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not intended to qualify as an Incentive Stock Option.</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option to purchase Shares.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11.27 “</w:t>
      </w:r>
      <w:r>
        <w:rPr>
          <w:rFonts w:ascii="Arial" w:cs="Arial" w:eastAsia="Arial" w:hAnsi="Arial"/>
          <w:sz w:val="20"/>
          <w:szCs w:val="20"/>
          <w:b w:val="1"/>
          <w:bCs w:val="1"/>
          <w:i w:val="1"/>
          <w:iCs w:val="1"/>
          <w:color w:val="auto"/>
        </w:rPr>
        <w:t>Other Stock or Cash Based Awards</w:t>
      </w:r>
      <w:r>
        <w:rPr>
          <w:rFonts w:ascii="Arial" w:cs="Arial" w:eastAsia="Arial" w:hAnsi="Arial"/>
          <w:sz w:val="20"/>
          <w:szCs w:val="20"/>
          <w:color w:val="auto"/>
        </w:rPr>
        <w:t>” means cash awards, awards of Shares, and other awards valued wholly or partially by referring to, or are otherwise based on, Shares or other property.</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Overall Share Limit</w:t>
      </w:r>
      <w:r>
        <w:rPr>
          <w:rFonts w:ascii="Arial" w:cs="Arial" w:eastAsia="Arial" w:hAnsi="Arial"/>
          <w:sz w:val="16"/>
          <w:szCs w:val="16"/>
          <w:color w:val="auto"/>
        </w:rPr>
        <w:t>” means 1,175,000.</w:t>
      </w:r>
    </w:p>
    <w:p>
      <w:pPr>
        <w:spacing w:after="0" w:line="21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11.29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Individual who has been granted an Award.</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11.30 “</w:t>
      </w:r>
      <w:r>
        <w:rPr>
          <w:rFonts w:ascii="Arial" w:cs="Arial" w:eastAsia="Arial" w:hAnsi="Arial"/>
          <w:sz w:val="19"/>
          <w:szCs w:val="19"/>
          <w:b w:val="1"/>
          <w:bCs w:val="1"/>
          <w:i w:val="1"/>
          <w:iCs w:val="1"/>
          <w:color w:val="auto"/>
        </w:rPr>
        <w:t>Performance Criteria</w:t>
      </w:r>
      <w:r>
        <w:rPr>
          <w:rFonts w:ascii="Arial" w:cs="Arial" w:eastAsia="Arial" w:hAnsi="Arial"/>
          <w:sz w:val="19"/>
          <w:szCs w:val="19"/>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26" w:name="page27"/>
    <w:bookmarkEnd w:id="26"/>
    <w:p>
      <w:pPr>
        <w:jc w:val="both"/>
        <w:spacing w:after="0" w:line="268" w:lineRule="auto"/>
        <w:rPr>
          <w:sz w:val="20"/>
          <w:szCs w:val="20"/>
          <w:color w:val="auto"/>
        </w:rPr>
      </w:pPr>
      <w:r>
        <w:rPr>
          <w:rFonts w:ascii="Arial" w:cs="Arial" w:eastAsia="Arial" w:hAnsi="Arial"/>
          <w:sz w:val="18"/>
          <w:szCs w:val="18"/>
          <w:color w:val="auto"/>
        </w:rPr>
        <w:t>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2018 Employment Inducement Incentive Award Plan.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11.32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means Shares awarded to a Participant under Article VI subject to certain vesting conditions and other restrictions.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11.33 “</w:t>
      </w:r>
      <w:r>
        <w:rPr>
          <w:rFonts w:ascii="Arial" w:cs="Arial" w:eastAsia="Arial" w:hAnsi="Arial"/>
          <w:sz w:val="20"/>
          <w:szCs w:val="20"/>
          <w:b w:val="1"/>
          <w:bCs w:val="1"/>
          <w:i w:val="1"/>
          <w:iCs w:val="1"/>
          <w:color w:val="auto"/>
        </w:rPr>
        <w:t>Restricted Stock Unit</w:t>
      </w:r>
      <w:r>
        <w:rPr>
          <w:rFonts w:ascii="Arial" w:cs="Arial" w:eastAsia="Arial" w:hAnsi="Arial"/>
          <w:sz w:val="20"/>
          <w:szCs w:val="20"/>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8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11.35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means Section 409A of the Code and all regulations, guidance, compliance programs and other interpretative authority thereunder.</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Service Provider</w:t>
      </w:r>
      <w:r>
        <w:rPr>
          <w:rFonts w:ascii="Arial" w:cs="Arial" w:eastAsia="Arial" w:hAnsi="Arial"/>
          <w:sz w:val="16"/>
          <w:szCs w:val="16"/>
          <w:color w:val="auto"/>
        </w:rPr>
        <w:t>” means an Employee, Consultant or Director.</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Common Stock.</w:t>
      </w:r>
    </w:p>
    <w:p>
      <w:pPr>
        <w:spacing w:after="0" w:line="2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 stock appreciation right granted under Article V.</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6" w:right="239" w:bottom="1440" w:gutter="0" w:footer="0" w:header="0"/>
        </w:sectPr>
      </w:pPr>
    </w:p>
    <w:bookmarkStart w:id="27" w:name="page28"/>
    <w:bookmarkEnd w:id="27"/>
    <w:p>
      <w:pPr>
        <w:jc w:val="both"/>
        <w:ind w:firstLine="648"/>
        <w:spacing w:after="0" w:line="246" w:lineRule="auto"/>
        <w:rPr>
          <w:sz w:val="20"/>
          <w:szCs w:val="20"/>
          <w:color w:val="auto"/>
        </w:rPr>
      </w:pPr>
      <w:r>
        <w:rPr>
          <w:rFonts w:ascii="Arial" w:cs="Arial" w:eastAsia="Arial" w:hAnsi="Arial"/>
          <w:sz w:val="20"/>
          <w:szCs w:val="20"/>
          <w:color w:val="auto"/>
        </w:rPr>
        <w:t>11.40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means the date the Participant ceases to be a Service Provider.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Restricted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2018 Employment Inducement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Selecta Biosciences,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Restricted Stock Units described in this Grant Notice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xml:space="preserve">”), subject to the terms and conditions of the Plan and the Restricted Stock Unit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Number of RSUs: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Commencement Date:</w:t>
      </w:r>
    </w:p>
    <w:p>
      <w:pPr>
        <w:spacing w:after="0" w:line="162" w:lineRule="exact"/>
        <w:rPr>
          <w:sz w:val="20"/>
          <w:szCs w:val="20"/>
          <w:color w:val="auto"/>
        </w:rPr>
      </w:pPr>
    </w:p>
    <w:p>
      <w:pPr>
        <w:ind w:left="220"/>
        <w:spacing w:after="0"/>
        <w:tabs>
          <w:tab w:leader="none" w:pos="468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8"/>
          <w:szCs w:val="18"/>
          <w:color w:val="auto"/>
        </w:rPr>
        <w:t>[To be specified in individual award agreements]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SELECTA BIOSCIENCES, INC.</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b w:val="1"/>
                <w:bCs w:val="1"/>
                <w:color w:val="auto"/>
              </w:rPr>
              <w:t>PARTICIPANT</w:t>
            </w:r>
          </w:p>
        </w:tc>
      </w:tr>
      <w:tr>
        <w:trPr>
          <w:trHeight w:val="932"/>
        </w:trPr>
        <w:tc>
          <w:tcPr>
            <w:tcW w:w="5380" w:type="dxa"/>
            <w:vAlign w:val="bottom"/>
            <w:gridSpan w:val="2"/>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r>
      <w:tr>
        <w:trPr>
          <w:trHeight w:val="254"/>
        </w:trPr>
        <w:tc>
          <w:tcPr>
            <w:tcW w:w="5380" w:type="dxa"/>
            <w:vAlign w:val="bottom"/>
            <w:gridSpan w:val="2"/>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color w:val="auto"/>
              </w:rPr>
              <w:t>[Participant Name]</w:t>
            </w:r>
          </w:p>
        </w:tc>
      </w:tr>
      <w:tr>
        <w:trPr>
          <w:trHeight w:val="131"/>
        </w:trPr>
        <w:tc>
          <w:tcPr>
            <w:tcW w:w="53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bl>
    <w:p>
      <w:pPr>
        <w:sectPr>
          <w:pgSz w:w="11900" w:h="16838" w:orient="portrait"/>
          <w:cols w:equalWidth="0" w:num="1">
            <w:col w:w="11420"/>
          </w:cols>
          <w:pgMar w:left="240" w:top="53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21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6" w:lineRule="auto"/>
        <w:tabs>
          <w:tab w:leader="none" w:pos="1723"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 has granted the RSUs to Participant effective as of the grant date set forth in the Grant Notice (the “</w:t>
      </w:r>
      <w:r>
        <w:rPr>
          <w:rFonts w:ascii="Arial" w:cs="Arial" w:eastAsia="Arial" w:hAnsi="Arial"/>
          <w:sz w:val="20"/>
          <w:szCs w:val="20"/>
          <w:b w:val="1"/>
          <w:bCs w:val="1"/>
          <w:i w:val="1"/>
          <w:iCs w:val="1"/>
          <w:color w:val="auto"/>
        </w:rPr>
        <w:t>Grant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Each RSU represents the right to receive one Share or, at the option of the Company, an amount of cash, in either case, as set forth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Participant will have no right to the distribution of any Shares or payment of any cash until the time (if ever) the RSUs have vested.</w:t>
      </w:r>
    </w:p>
    <w:p>
      <w:pPr>
        <w:spacing w:after="0" w:line="191" w:lineRule="exact"/>
        <w:rPr>
          <w:rFonts w:ascii="Arial" w:cs="Arial" w:eastAsia="Arial" w:hAnsi="Arial"/>
          <w:sz w:val="20"/>
          <w:szCs w:val="20"/>
          <w:color w:val="auto"/>
        </w:rPr>
      </w:pPr>
    </w:p>
    <w:p>
      <w:pPr>
        <w:jc w:val="both"/>
        <w:ind w:firstLine="1305"/>
        <w:spacing w:after="0" w:line="243" w:lineRule="auto"/>
        <w:tabs>
          <w:tab w:leader="none" w:pos="1721"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Company hereby grants to Participant, with respect to each RSU, a Dividend Equivalent for ordinary cash dividends paid to substantially all holders of outstanding Shares with a record date after the Grant Date and prior to the date the applicable RSU is settled, forfeited or otherwise expires. Each Dividend Equivalent entitles Participant to receive the equivalent value of any such ordinary cash dividends paid on a single Share. The Company will establish a separate Dividend Equivalent bookkeeping account (a “</w:t>
      </w:r>
      <w:r>
        <w:rPr>
          <w:rFonts w:ascii="Arial" w:cs="Arial" w:eastAsia="Arial" w:hAnsi="Arial"/>
          <w:sz w:val="20"/>
          <w:szCs w:val="20"/>
          <w:b w:val="1"/>
          <w:bCs w:val="1"/>
          <w:i w:val="1"/>
          <w:iCs w:val="1"/>
          <w:color w:val="auto"/>
        </w:rPr>
        <w:t>Dividend Equivalent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Account</w:t>
      </w:r>
      <w:r>
        <w:rPr>
          <w:rFonts w:ascii="Arial" w:cs="Arial" w:eastAsia="Arial" w:hAnsi="Arial"/>
          <w:sz w:val="20"/>
          <w:szCs w:val="20"/>
          <w:color w:val="auto"/>
        </w:rPr>
        <w:t>”) for each Dividend Equivalent and credit the Dividend Equivalent Account (without interest) on the applicable dividend payment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with the amount of any such cash paid.</w:t>
      </w:r>
    </w:p>
    <w:p>
      <w:pPr>
        <w:spacing w:after="0" w:line="19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Unsecured Promise</w:t>
      </w:r>
      <w:r>
        <w:rPr>
          <w:rFonts w:ascii="Arial" w:cs="Arial" w:eastAsia="Arial" w:hAnsi="Arial"/>
          <w:sz w:val="20"/>
          <w:szCs w:val="20"/>
          <w:color w:val="auto"/>
        </w:rPr>
        <w:t>. The RSUs and Dividend Equivalents will at all times prior to settlement represent an unsecured Company obligation payable only from the Company’s general assets.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Employment Inducement Award</w:t>
      </w:r>
      <w:r>
        <w:rPr>
          <w:rFonts w:ascii="Arial" w:cs="Arial" w:eastAsia="Arial" w:hAnsi="Arial"/>
          <w:sz w:val="19"/>
          <w:szCs w:val="19"/>
          <w:color w:val="auto"/>
        </w:rPr>
        <w:t>. The RSUs are intended to constitute an “employment inducement award” under NASDAQ Rule 5635(c)(4) that is exempt from the requirements of shareholder approval of equity-compensation plans under NASDAQ Rule 5635(c)(4). This Agreement and the terms and conditions of the RSUs will be interpreted consistent with such intent.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SETTLEMENT</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Vesting; Forfeiture</w:t>
      </w:r>
      <w:r>
        <w:rPr>
          <w:rFonts w:ascii="Arial" w:cs="Arial" w:eastAsia="Arial" w:hAnsi="Arial"/>
          <w:sz w:val="19"/>
          <w:szCs w:val="19"/>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Dividend Equivalents (including any Dividend Equivalent Account balance) will vest or be forfeited, as applicable, upon the vesting or forfeiture of the RSU with respect to which the Dividend Equivalent (including the Dividend Equivalent Account) relates.</w:t>
      </w:r>
    </w:p>
    <w:p>
      <w:pPr>
        <w:sectPr>
          <w:pgSz w:w="11900" w:h="16838" w:orient="portrait"/>
          <w:cols w:equalWidth="0" w:num="1">
            <w:col w:w="11420"/>
          </w:cols>
          <w:pgMar w:left="240" w:top="337" w:right="239" w:bottom="1440" w:gutter="0" w:footer="0" w:header="0"/>
        </w:sectPr>
      </w:pPr>
    </w:p>
    <w:bookmarkStart w:id="30" w:name="page31"/>
    <w:bookmarkEnd w:id="30"/>
    <w:p>
      <w:pPr>
        <w:ind w:left="660"/>
        <w:spacing w:after="0"/>
        <w:tabs>
          <w:tab w:leader="none" w:pos="10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u w:val="single" w:color="auto"/>
          <w:color w:val="auto"/>
        </w:rPr>
        <w:t>Settlement</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59" w:lineRule="auto"/>
        <w:tabs>
          <w:tab w:leader="none" w:pos="1737" w:val="left"/>
        </w:tabs>
        <w:numPr>
          <w:ilvl w:val="0"/>
          <w:numId w:val="17"/>
        </w:numPr>
        <w:rPr>
          <w:rFonts w:ascii="Arial" w:cs="Arial" w:eastAsia="Arial" w:hAnsi="Arial"/>
          <w:sz w:val="19"/>
          <w:szCs w:val="19"/>
          <w:color w:val="auto"/>
        </w:rPr>
      </w:pPr>
      <w:r>
        <w:rPr>
          <w:rFonts w:ascii="Arial" w:cs="Arial" w:eastAsia="Arial" w:hAnsi="Arial"/>
          <w:sz w:val="19"/>
          <w:szCs w:val="19"/>
          <w:color w:val="auto"/>
        </w:rPr>
        <w:t>RSUs and Dividend Equivalents (including any Dividend Equivalent Account balance) will be paid in Shares or cash at the Company’s option as soon as administratively practicable after the vesting of the applicable RSU, but in no event more than sixty (60) days after the RSU’s vesting date.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78" w:lineRule="exact"/>
        <w:rPr>
          <w:rFonts w:ascii="Arial" w:cs="Arial" w:eastAsia="Arial" w:hAnsi="Arial"/>
          <w:sz w:val="19"/>
          <w:szCs w:val="19"/>
          <w:color w:val="auto"/>
        </w:rPr>
      </w:pPr>
    </w:p>
    <w:p>
      <w:pPr>
        <w:jc w:val="both"/>
        <w:ind w:firstLine="1305"/>
        <w:spacing w:after="0" w:line="246" w:lineRule="auto"/>
        <w:tabs>
          <w:tab w:leader="none" w:pos="1707" w:val="left"/>
        </w:tabs>
        <w:numPr>
          <w:ilvl w:val="0"/>
          <w:numId w:val="17"/>
        </w:numPr>
        <w:rPr>
          <w:rFonts w:ascii="Arial" w:cs="Arial" w:eastAsia="Arial" w:hAnsi="Arial"/>
          <w:sz w:val="20"/>
          <w:szCs w:val="20"/>
          <w:color w:val="auto"/>
        </w:rPr>
      </w:pPr>
      <w:r>
        <w:rPr>
          <w:rFonts w:ascii="Arial" w:cs="Arial" w:eastAsia="Arial" w:hAnsi="Arial"/>
          <w:sz w:val="20"/>
          <w:szCs w:val="20"/>
          <w:color w:val="auto"/>
        </w:rPr>
        <w:t>If an RSU is paid in cash, the amount of cash paid with respect to the RSU will equal the Fair Market Value of a Share on the day immediately preceding the payment date. If a Dividend Equivalent is paid in Shares, the number of Shares paid with respect to the Dividend Equivalent will equal the quotient, rounded down to the nearest whole Share, of the Dividend Equivalent Account balance divided by the Fair Market Value of a Share on the day immediately preceding the payment date.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Representation</w:t>
      </w:r>
      <w:r>
        <w:rPr>
          <w:rFonts w:ascii="Arial" w:cs="Arial" w:eastAsia="Arial" w:hAnsi="Arial"/>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9" w:lineRule="auto"/>
        <w:tabs>
          <w:tab w:leader="none" w:pos="1737"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Company has the right and option, but not the obligation, to treat Participant’s failure to provide timely payment in accordance with the Plan of any withholding tax arising in connection with the RSUs or Dividend Equivalents as Participant’s election to satisfy all or any portion of the withholding tax by requesting the Company retain Shares otherwise issuable under the Award.</w:t>
      </w:r>
    </w:p>
    <w:p>
      <w:pPr>
        <w:spacing w:after="0" w:line="170" w:lineRule="exact"/>
        <w:rPr>
          <w:rFonts w:ascii="Arial" w:cs="Arial" w:eastAsia="Arial" w:hAnsi="Arial"/>
          <w:sz w:val="19"/>
          <w:szCs w:val="19"/>
          <w:color w:val="auto"/>
        </w:rPr>
      </w:pPr>
    </w:p>
    <w:p>
      <w:pPr>
        <w:jc w:val="both"/>
        <w:ind w:firstLine="1305"/>
        <w:spacing w:after="0" w:line="259" w:lineRule="auto"/>
        <w:tabs>
          <w:tab w:leader="none" w:pos="1775" w:val="left"/>
        </w:tabs>
        <w:numPr>
          <w:ilvl w:val="0"/>
          <w:numId w:val="18"/>
        </w:numPr>
        <w:rPr>
          <w:rFonts w:ascii="Arial" w:cs="Arial" w:eastAsia="Arial" w:hAnsi="Arial"/>
          <w:sz w:val="19"/>
          <w:szCs w:val="19"/>
          <w:color w:val="auto"/>
        </w:rPr>
      </w:pPr>
      <w:r>
        <w:rPr>
          <w:rFonts w:ascii="Arial" w:cs="Arial" w:eastAsia="Arial" w:hAnsi="Arial"/>
          <w:sz w:val="19"/>
          <w:szCs w:val="19"/>
          <w:color w:val="auto"/>
        </w:rPr>
        <w:t>Participant acknowledges that Participant is ultimately liable and responsible for all taxes owed in connection with the RSUs and the Dividend Equivalents, regardless of any action the Company or any Subsidiary takes with respect to any tax withholding obligations that arise in connection with the RSUs or Dividend Equivalents. Neither the Company nor any Subsidiary makes any representation or undertaking regarding the treatment of any tax withholding in connection with the awarding, vesting or payment of the RSUs or the Dividend Equivalents or the subsequent sale of Shares. The Company and the Subsidiaries do not commit and are under no obligation to structure the RSUs or Dividend Equivalents to reduce or eliminate Participant’s tax liability.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1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RSUs, the Shares subject to the RSUs and the Dividend Equivalents are subject to adjustment, modification and termination in certain events as provided in this Agreement and the Plan.</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must be in writing and addressed to the Company in care of the Company’s Secretary at the Company’s principal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366" w:right="239" w:bottom="1440" w:gutter="0" w:footer="0" w:header="0"/>
        </w:sectPr>
      </w:pPr>
    </w:p>
    <w:bookmarkStart w:id="31" w:name="page32"/>
    <w:bookmarkEnd w:id="31"/>
    <w:p>
      <w:pPr>
        <w:jc w:val="both"/>
        <w:spacing w:after="0" w:line="276" w:lineRule="auto"/>
        <w:rPr>
          <w:sz w:val="20"/>
          <w:szCs w:val="20"/>
          <w:color w:val="auto"/>
        </w:rPr>
      </w:pPr>
      <w:r>
        <w:rPr>
          <w:rFonts w:ascii="Arial" w:cs="Arial" w:eastAsia="Arial" w:hAnsi="Arial"/>
          <w:sz w:val="18"/>
          <w:szCs w:val="18"/>
          <w:color w:val="auto"/>
        </w:rPr>
        <w:t>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Grant Notice, this Agreement, the RSUs and the Dividend Equivalents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Dividend Equivalents, and rights no greater than the right to receive cash or the Shares as a general unsecured creditor with respect to the RSUs and Dividend Equivalents, as and when settled pursuant to the terms of this Agreement.</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366" w:right="239" w:bottom="1440" w:gutter="0" w:footer="0" w:header="0"/>
        </w:sectPr>
      </w:pPr>
    </w:p>
    <w:bookmarkStart w:id="32" w:name="page33"/>
    <w:bookmarkEnd w:id="32"/>
    <w:p>
      <w:pPr>
        <w:spacing w:after="0" w:line="260" w:lineRule="auto"/>
        <w:rPr>
          <w:sz w:val="20"/>
          <w:szCs w:val="20"/>
          <w:color w:val="auto"/>
        </w:rPr>
      </w:pPr>
      <w:r>
        <w:rPr>
          <w:rFonts w:ascii="Arial" w:cs="Arial" w:eastAsia="Arial" w:hAnsi="Arial"/>
          <w:sz w:val="20"/>
          <w:szCs w:val="20"/>
          <w:color w:val="auto"/>
        </w:rPr>
        <w:t>whatsoever, with or without Cause, except to the extent expressly provided otherwise in a written agreement between the Company or a Subsidiary and Participant.</w:t>
      </w:r>
    </w:p>
    <w:p>
      <w:pPr>
        <w:spacing w:after="0" w:line="177"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20"/>
          </w:cols>
          <w:pgMar w:left="240" w:top="366" w:right="2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Stock Option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2018 Employment Inducement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Selecta Biosciences,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stock option described in this Grant Notice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xml:space="preserve">”), subject to the terms and conditions of the Plan and the Stock Option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Exercise Price per Share: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Shares Subject to the Option: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Final Expiration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Commencement Date:</w:t>
      </w:r>
    </w:p>
    <w:p>
      <w:pPr>
        <w:sectPr>
          <w:pgSz w:w="11900" w:h="16838" w:orient="portrait"/>
          <w:cols w:equalWidth="0" w:num="1">
            <w:col w:w="11420"/>
          </w:cols>
          <w:pgMar w:left="240" w:top="535" w:right="239" w:bottom="1440" w:gutter="0" w:footer="0" w:header="0"/>
        </w:sectPr>
      </w:pP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2900"/>
        <w:spacing w:after="0"/>
        <w:rPr>
          <w:sz w:val="20"/>
          <w:szCs w:val="20"/>
          <w:color w:val="auto"/>
        </w:rPr>
      </w:pPr>
      <w:r>
        <w:rPr>
          <w:rFonts w:ascii="Arial" w:cs="Arial" w:eastAsia="Arial" w:hAnsi="Arial"/>
          <w:sz w:val="18"/>
          <w:szCs w:val="18"/>
          <w:color w:val="auto"/>
        </w:rPr>
        <w:t>[To be specified in individual award agreements]</w:t>
      </w:r>
    </w:p>
    <w:p>
      <w:pPr>
        <w:spacing w:after="0" w:line="179" w:lineRule="exact"/>
        <w:rPr>
          <w:sz w:val="20"/>
          <w:szCs w:val="20"/>
          <w:color w:val="auto"/>
        </w:rPr>
      </w:pPr>
    </w:p>
    <w:p>
      <w:pPr>
        <w:sectPr>
          <w:pgSz w:w="11900" w:h="16838" w:orient="portrait"/>
          <w:cols w:equalWidth="0" w:num="2">
            <w:col w:w="3920" w:space="720"/>
            <w:col w:w="6780"/>
          </w:cols>
          <w:pgMar w:left="240" w:top="535" w:right="2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Non-Qualified Stock Option</w:t>
      </w:r>
    </w:p>
    <w:p>
      <w:pPr>
        <w:spacing w:after="0" w:line="200" w:lineRule="exact"/>
        <w:rPr>
          <w:sz w:val="20"/>
          <w:szCs w:val="20"/>
          <w:color w:val="auto"/>
        </w:rPr>
      </w:pPr>
    </w:p>
    <w:p>
      <w:pPr>
        <w:sectPr>
          <w:pgSz w:w="11900" w:h="16838" w:orient="portrait"/>
          <w:cols w:equalWidth="0" w:num="2">
            <w:col w:w="3920" w:space="720"/>
            <w:col w:w="6780"/>
          </w:cols>
          <w:pgMar w:left="240" w:top="535" w:right="239" w:bottom="1440" w:gutter="0" w:footer="0" w:header="0"/>
          <w:type w:val="continuous"/>
        </w:sectPr>
      </w:pPr>
    </w:p>
    <w:p>
      <w:pPr>
        <w:spacing w:after="0" w:line="2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SELECTA BIOSCIENCES, INC.</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b w:val="1"/>
                <w:bCs w:val="1"/>
                <w:color w:val="auto"/>
              </w:rPr>
              <w:t>PARTICIPANT</w:t>
            </w:r>
          </w:p>
        </w:tc>
      </w:tr>
      <w:tr>
        <w:trPr>
          <w:trHeight w:val="932"/>
        </w:trPr>
        <w:tc>
          <w:tcPr>
            <w:tcW w:w="5380" w:type="dxa"/>
            <w:vAlign w:val="bottom"/>
            <w:gridSpan w:val="2"/>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r>
      <w:tr>
        <w:trPr>
          <w:trHeight w:val="254"/>
        </w:trPr>
        <w:tc>
          <w:tcPr>
            <w:tcW w:w="5380" w:type="dxa"/>
            <w:vAlign w:val="bottom"/>
            <w:gridSpan w:val="2"/>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color w:val="auto"/>
              </w:rPr>
              <w:t>[Participant Name]</w:t>
            </w:r>
          </w:p>
        </w:tc>
      </w:tr>
      <w:tr>
        <w:trPr>
          <w:trHeight w:val="131"/>
        </w:trPr>
        <w:tc>
          <w:tcPr>
            <w:tcW w:w="53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bl>
    <w:p>
      <w:pPr>
        <w:sectPr>
          <w:pgSz w:w="11900" w:h="16838" w:orient="portrait"/>
          <w:cols w:equalWidth="0" w:num="1">
            <w:col w:w="11420"/>
          </w:cols>
          <w:pgMar w:left="240" w:top="535" w:right="2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has granted to Participant the Option effective as of the grant date set forth in the Grant Notice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3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Employment Inducement Award</w:t>
      </w:r>
      <w:r>
        <w:rPr>
          <w:rFonts w:ascii="Arial" w:cs="Arial" w:eastAsia="Arial" w:hAnsi="Arial"/>
          <w:sz w:val="19"/>
          <w:szCs w:val="19"/>
          <w:color w:val="auto"/>
        </w:rPr>
        <w:t>. The Option is intended to constitute an “employment inducement award” under NASDAQ Rule 5635(c)(4) that is exempt from the requirements of shareholder approval of equity-compensation plans under NASDAQ Rule 5635(c)(4). This Agreement and the terms and conditions of the Option will be interpreted consistent with such intent.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PERIOD OF EXERCISABILITY</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Commencement of Exercisability</w:t>
      </w:r>
      <w:r>
        <w:rPr>
          <w:rFonts w:ascii="Arial" w:cs="Arial" w:eastAsia="Arial" w:hAnsi="Arial"/>
          <w:sz w:val="19"/>
          <w:szCs w:val="19"/>
          <w:color w:val="auto"/>
        </w:rPr>
        <w:t>. The Option will vest and become exercisable according to the vesting schedule in the Grant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color w:val="auto"/>
        </w:rPr>
        <w:t>”) except that any fraction of a Share as to which the Option would be vested or exercisable will be accumulated and will vest and become exercisable only when a whole Share has accumulated. Notwithstanding anything in the Grant Notice, the Plan or this Agreement to the contrary, unless the Administrator otherwise determines, the Option will immediately expire and be forfeited as to any portion that is not vested and exercisable as of Participant’s Termination of Service for any reason.</w:t>
      </w:r>
    </w:p>
    <w:p>
      <w:pPr>
        <w:spacing w:after="0" w:line="19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Duration of Exercisability</w:t>
      </w:r>
      <w:r>
        <w:rPr>
          <w:rFonts w:ascii="Arial" w:cs="Arial" w:eastAsia="Arial" w:hAnsi="Arial"/>
          <w:sz w:val="19"/>
          <w:szCs w:val="19"/>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Expiration of Option</w:t>
      </w:r>
      <w:r>
        <w:rPr>
          <w:rFonts w:ascii="Arial" w:cs="Arial" w:eastAsia="Arial" w:hAnsi="Arial"/>
          <w:sz w:val="20"/>
          <w:szCs w:val="20"/>
          <w:color w:val="auto"/>
        </w:rPr>
        <w:t>. The Option may not be exercised to any extent by anyone after, and will expire on, the first of the following to occur:</w:t>
      </w:r>
    </w:p>
    <w:p>
      <w:pPr>
        <w:spacing w:after="0" w:line="177" w:lineRule="exact"/>
        <w:rPr>
          <w:sz w:val="20"/>
          <w:szCs w:val="20"/>
          <w:color w:val="auto"/>
        </w:rPr>
      </w:pPr>
    </w:p>
    <w:p>
      <w:pPr>
        <w:ind w:left="1700" w:hanging="395"/>
        <w:spacing w:after="0"/>
        <w:tabs>
          <w:tab w:leader="none" w:pos="1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final expiration date in the Grant Notice;</w:t>
      </w:r>
    </w:p>
    <w:p>
      <w:pPr>
        <w:spacing w:after="0" w:line="215" w:lineRule="exact"/>
        <w:rPr>
          <w:rFonts w:ascii="Arial" w:cs="Arial" w:eastAsia="Arial" w:hAnsi="Arial"/>
          <w:sz w:val="20"/>
          <w:szCs w:val="20"/>
          <w:color w:val="auto"/>
        </w:rPr>
      </w:pPr>
    </w:p>
    <w:p>
      <w:pPr>
        <w:ind w:right="20" w:firstLine="1305"/>
        <w:spacing w:after="0" w:line="316" w:lineRule="auto"/>
        <w:tabs>
          <w:tab w:leader="none" w:pos="17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three (3) months from the date of Participant’s Termination of Service, unless Participant’s Termination of Service is for Cause or by reason of Participant’s death or Disability;</w:t>
      </w:r>
    </w:p>
    <w:p>
      <w:pPr>
        <w:spacing w:after="0" w:line="130" w:lineRule="exact"/>
        <w:rPr>
          <w:rFonts w:ascii="Arial" w:cs="Arial" w:eastAsia="Arial" w:hAnsi="Arial"/>
          <w:sz w:val="18"/>
          <w:szCs w:val="18"/>
          <w:color w:val="auto"/>
        </w:rPr>
      </w:pPr>
    </w:p>
    <w:p>
      <w:pPr>
        <w:ind w:firstLine="1305"/>
        <w:spacing w:after="0" w:line="260" w:lineRule="auto"/>
        <w:tabs>
          <w:tab w:leader="none" w:pos="1845"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the expiration of one (1) year from the date of Participant’s Termination of Service by reason of Participant’s death or Disability; and</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Except as the Administrator may otherwise approve, Participant’s Termination of Service for Cause.</w:t>
      </w:r>
    </w:p>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OF OPTION</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Person Eligible to Exercise</w:t>
      </w:r>
      <w:r>
        <w:rPr>
          <w:rFonts w:ascii="Arial" w:cs="Arial" w:eastAsia="Arial" w:hAnsi="Arial"/>
          <w:sz w:val="20"/>
          <w:szCs w:val="20"/>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Partial Exercise</w:t>
      </w:r>
      <w:r>
        <w:rPr>
          <w:rFonts w:ascii="Arial" w:cs="Arial" w:eastAsia="Arial" w:hAnsi="Arial"/>
          <w:sz w:val="20"/>
          <w:szCs w:val="20"/>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50" w:lineRule="auto"/>
        <w:tabs>
          <w:tab w:leader="none" w:pos="1737"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Company has the right and option, but not the obligation, to treat Participant’s failure to provide timely payment in accordance with the Plan of any withholding tax arising in connection with the Option as Participant’s election to satisfy all or any portion of the withholding tax by requesting the Company retain Shares otherwise issuable under the Option.</w:t>
      </w:r>
    </w:p>
    <w:p>
      <w:pPr>
        <w:spacing w:after="0" w:line="186" w:lineRule="exact"/>
        <w:rPr>
          <w:rFonts w:ascii="Arial" w:cs="Arial" w:eastAsia="Arial" w:hAnsi="Arial"/>
          <w:sz w:val="20"/>
          <w:szCs w:val="20"/>
          <w:color w:val="auto"/>
        </w:rPr>
      </w:pPr>
    </w:p>
    <w:p>
      <w:pPr>
        <w:jc w:val="both"/>
        <w:ind w:firstLine="1305"/>
        <w:spacing w:after="0" w:line="278" w:lineRule="auto"/>
        <w:tabs>
          <w:tab w:leader="none" w:pos="17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Option is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person entitled to exercise the Option)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589" w:right="239" w:bottom="1440" w:gutter="0" w:footer="0" w:header="0"/>
        </w:sectPr>
      </w:pPr>
    </w:p>
    <w:bookmarkStart w:id="36" w:name="page37"/>
    <w:bookmarkEnd w:id="36"/>
    <w:p>
      <w:pPr>
        <w:jc w:val="both"/>
        <w:ind w:firstLine="648"/>
        <w:spacing w:after="0" w:line="25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 parties hereto.</w:t>
      </w:r>
    </w:p>
    <w:p>
      <w:pPr>
        <w:spacing w:after="0" w:line="192"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Limitations Applicable to Section 16 Persons</w:t>
      </w:r>
      <w:r>
        <w:rPr>
          <w:rFonts w:ascii="Arial" w:cs="Arial" w:eastAsia="Arial" w:hAnsi="Arial"/>
          <w:sz w:val="20"/>
          <w:szCs w:val="20"/>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w:t>
      </w:r>
      <w:r>
        <w:rPr>
          <w:rFonts w:ascii="MS PGothic" w:cs="MS PGothic" w:eastAsia="MS PGothic" w:hAnsi="MS PGothic"/>
          <w:sz w:val="20"/>
          <w:szCs w:val="20"/>
          <w:color w:val="auto"/>
        </w:rPr>
        <w:t>‑</w:t>
      </w:r>
      <w:r>
        <w:rPr>
          <w:rFonts w:ascii="Arial" w:cs="Arial" w:eastAsia="Arial" w:hAnsi="Arial"/>
          <w:sz w:val="20"/>
          <w:szCs w:val="20"/>
          <w:color w:val="auto"/>
        </w:rPr>
        <w:t>3) that are requirements for the application of such exemptive rule. To the extent Applicable Laws permit, this Agreement will be deemed amended as necessary to conform to such applicable exemptive rule.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366" w:right="23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54875" cy="480060"/>
                    </a:xfrm>
                    <a:prstGeom prst="rect">
                      <a:avLst/>
                    </a:prstGeom>
                    <a:noFill/>
                  </pic:spPr>
                </pic:pic>
              </a:graphicData>
            </a:graphic>
          </wp:anchor>
        </w:drawing>
        <w:t>SELECTA BIOSCIENCES,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2018 EMPLOYMENT INDUCEMENT INCENTIVE AWARD PLAN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GRANT NOTICE</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Capitalized terms not specifically defined in this Restricted Stock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have the meanings given to them in the 2018 Employment Inducement Incentive Award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of Selecta Biosciences,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granted to the participant listed below (“</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the shares of Restricted Stock described in this Grant Notice (the “</w:t>
      </w:r>
      <w:r>
        <w:rPr>
          <w:rFonts w:ascii="Arial" w:cs="Arial" w:eastAsia="Arial" w:hAnsi="Arial"/>
          <w:sz w:val="20"/>
          <w:szCs w:val="20"/>
          <w:b w:val="1"/>
          <w:bCs w:val="1"/>
          <w:i w:val="1"/>
          <w:iCs w:val="1"/>
          <w:color w:val="auto"/>
        </w:rPr>
        <w:t>Restricted Shares</w:t>
      </w:r>
      <w:r>
        <w:rPr>
          <w:rFonts w:ascii="Arial" w:cs="Arial" w:eastAsia="Arial" w:hAnsi="Arial"/>
          <w:sz w:val="20"/>
          <w:szCs w:val="20"/>
          <w:color w:val="auto"/>
        </w:rPr>
        <w:t xml:space="preserve">”), subject to the terms and conditions of the Plan and the Restricted Stock Agreement attached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both of which are incorporated into this Grant Notice by reference.</w:t>
      </w:r>
    </w:p>
    <w:p>
      <w:pPr>
        <w:sectPr>
          <w:pgSz w:w="11900" w:h="16838" w:orient="portrait"/>
          <w:cols w:equalWidth="0" w:num="1">
            <w:col w:w="11420"/>
          </w:cols>
          <w:pgMar w:left="240" w:top="535" w:right="239" w:bottom="1440" w:gutter="0" w:footer="0" w:header="0"/>
        </w:sect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Participant: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Grant Date: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Number of Restricted Shares: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Vesting Commencement Date: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be specified in individual award agreements]</w:t>
      </w:r>
    </w:p>
    <w:p>
      <w:pPr>
        <w:spacing w:after="0" w:line="216" w:lineRule="exact"/>
        <w:rPr>
          <w:sz w:val="20"/>
          <w:szCs w:val="20"/>
          <w:color w:val="auto"/>
        </w:rPr>
      </w:pPr>
    </w:p>
    <w:p>
      <w:pPr>
        <w:sectPr>
          <w:pgSz w:w="11900" w:h="16838" w:orient="portrait"/>
          <w:cols w:equalWidth="0" w:num="2">
            <w:col w:w="3920" w:space="720"/>
            <w:col w:w="6780"/>
          </w:cols>
          <w:pgMar w:left="240" w:top="535" w:right="239" w:bottom="1440" w:gutter="0" w:footer="0" w:header="0"/>
          <w:type w:val="continuous"/>
        </w:sectPr>
      </w:pPr>
    </w:p>
    <w:p>
      <w:pPr>
        <w:spacing w:after="0" w:line="23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380" w:type="dxa"/>
            <w:vAlign w:val="bottom"/>
            <w:gridSpan w:val="2"/>
          </w:tcPr>
          <w:p>
            <w:pPr>
              <w:spacing w:after="0"/>
              <w:rPr>
                <w:sz w:val="20"/>
                <w:szCs w:val="20"/>
                <w:color w:val="auto"/>
              </w:rPr>
            </w:pPr>
            <w:r>
              <w:rPr>
                <w:rFonts w:ascii="Arial" w:cs="Arial" w:eastAsia="Arial" w:hAnsi="Arial"/>
                <w:sz w:val="20"/>
                <w:szCs w:val="20"/>
                <w:b w:val="1"/>
                <w:bCs w:val="1"/>
                <w:color w:val="auto"/>
              </w:rPr>
              <w:t>SELECTA BIOSCIENCES, INC.</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b w:val="1"/>
                <w:bCs w:val="1"/>
                <w:color w:val="auto"/>
              </w:rPr>
              <w:t>PARTICIPANT</w:t>
            </w:r>
          </w:p>
        </w:tc>
      </w:tr>
      <w:tr>
        <w:trPr>
          <w:trHeight w:val="932"/>
        </w:trPr>
        <w:tc>
          <w:tcPr>
            <w:tcW w:w="5380" w:type="dxa"/>
            <w:vAlign w:val="bottom"/>
            <w:gridSpan w:val="2"/>
          </w:tcPr>
          <w:p>
            <w:pPr>
              <w:spacing w:after="0"/>
              <w:rPr>
                <w:sz w:val="20"/>
                <w:szCs w:val="20"/>
                <w:color w:val="auto"/>
              </w:rPr>
            </w:pPr>
            <w:r>
              <w:rPr>
                <w:rFonts w:ascii="Arial" w:cs="Arial" w:eastAsia="Arial" w:hAnsi="Arial"/>
                <w:sz w:val="20"/>
                <w:szCs w:val="20"/>
                <w:color w:val="auto"/>
              </w:rPr>
              <w:t>By: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r>
      <w:tr>
        <w:trPr>
          <w:trHeight w:val="254"/>
        </w:trPr>
        <w:tc>
          <w:tcPr>
            <w:tcW w:w="5380" w:type="dxa"/>
            <w:vAlign w:val="bottom"/>
            <w:gridSpan w:val="2"/>
          </w:tcPr>
          <w:p>
            <w:pPr>
              <w:spacing w:after="0"/>
              <w:rPr>
                <w:sz w:val="20"/>
                <w:szCs w:val="20"/>
                <w:color w:val="auto"/>
              </w:rPr>
            </w:pPr>
            <w:r>
              <w:rPr>
                <w:rFonts w:ascii="Arial" w:cs="Arial" w:eastAsia="Arial" w:hAnsi="Arial"/>
                <w:sz w:val="20"/>
                <w:szCs w:val="20"/>
                <w:color w:val="auto"/>
              </w:rPr>
              <w:t>Name:</w:t>
            </w:r>
          </w:p>
        </w:tc>
        <w:tc>
          <w:tcPr>
            <w:tcW w:w="340" w:type="dxa"/>
            <w:vAlign w:val="bottom"/>
          </w:tcPr>
          <w:p>
            <w:pPr>
              <w:spacing w:after="0"/>
              <w:rPr>
                <w:sz w:val="22"/>
                <w:szCs w:val="22"/>
                <w:color w:val="auto"/>
              </w:rPr>
            </w:pPr>
          </w:p>
        </w:tc>
        <w:tc>
          <w:tcPr>
            <w:tcW w:w="5580" w:type="dxa"/>
            <w:vAlign w:val="bottom"/>
          </w:tcPr>
          <w:p>
            <w:pPr>
              <w:ind w:left="120"/>
              <w:spacing w:after="0"/>
              <w:rPr>
                <w:sz w:val="20"/>
                <w:szCs w:val="20"/>
                <w:color w:val="auto"/>
              </w:rPr>
            </w:pPr>
            <w:r>
              <w:rPr>
                <w:rFonts w:ascii="Arial" w:cs="Arial" w:eastAsia="Arial" w:hAnsi="Arial"/>
                <w:sz w:val="20"/>
                <w:szCs w:val="20"/>
                <w:color w:val="auto"/>
              </w:rPr>
              <w:t>[Participant Name]</w:t>
            </w:r>
          </w:p>
        </w:tc>
      </w:tr>
      <w:tr>
        <w:trPr>
          <w:trHeight w:val="131"/>
        </w:trPr>
        <w:tc>
          <w:tcPr>
            <w:tcW w:w="53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131"/>
        </w:trPr>
        <w:tc>
          <w:tcPr>
            <w:tcW w:w="104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580" w:type="dxa"/>
            <w:vAlign w:val="bottom"/>
          </w:tcPr>
          <w:p>
            <w:pPr>
              <w:spacing w:after="0"/>
              <w:rPr>
                <w:sz w:val="11"/>
                <w:szCs w:val="11"/>
                <w:color w:val="auto"/>
              </w:rPr>
            </w:pPr>
          </w:p>
        </w:tc>
      </w:tr>
    </w:tbl>
    <w:p>
      <w:pPr>
        <w:sectPr>
          <w:pgSz w:w="11900" w:h="16838" w:orient="portrait"/>
          <w:cols w:equalWidth="0" w:num="1">
            <w:col w:w="11420"/>
          </w:cols>
          <w:pgMar w:left="240" w:top="535" w:right="2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specifically defined in this Agreement have the meanings specified in the Grant Notice or, if not defined in the Grant Notice, in the Plan.</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GENERAL</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Issuance of Restricted Shares</w:t>
      </w:r>
      <w:r>
        <w:rPr>
          <w:rFonts w:ascii="Arial" w:cs="Arial" w:eastAsia="Arial" w:hAnsi="Arial"/>
          <w:sz w:val="20"/>
          <w:szCs w:val="20"/>
          <w:color w:val="auto"/>
        </w:rPr>
        <w:t>. The Company will issue the Restricted Shares to the Participant effective as of the grant date set forth in the Grant Notice and will cause (a) a stock certificate or certificates representing the Restricted Shares to be registered in Participant’s name or (b) the Restricted Shares to be held in book-entry form. If a stock certificate is issued, the certificate will be delivered to, and held in accordance with this Agreement by, the Company or its authorized representatives and will bear the restrictive legends required by this Agreement. If the Restricted Shares are held in book-entry form, then the book-entry will indicate that the Restricted Shares are subject to the restrictions of this Agreement.</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Restricted Shares are subject to the terms and conditions set forth in this Agreement and the Plan, which is incorporated herein by reference. In the event of any inconsistency between the Plan and this Agreement, the terms of the Plan will control.</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Employment Inducement Award</w:t>
      </w:r>
      <w:r>
        <w:rPr>
          <w:rFonts w:ascii="Arial" w:cs="Arial" w:eastAsia="Arial" w:hAnsi="Arial"/>
          <w:sz w:val="18"/>
          <w:szCs w:val="18"/>
          <w:color w:val="auto"/>
        </w:rPr>
        <w:t>. The Restricted Shares are intended to constitute an “employment inducement award” under NASDAQ Rule 5635(c)(4) that is exempt from the requirements of shareholder approval of equity-compensation plans under NASDAQ Rule 5635(c)(4). This Agreement and the terms and conditions of the Restricted Shares will be interpreted consistent with such intent.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FORFEITURE AND ESCROW</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Vesting</w:t>
      </w:r>
      <w:r>
        <w:rPr>
          <w:rFonts w:ascii="Arial" w:cs="Arial" w:eastAsia="Arial" w:hAnsi="Arial"/>
          <w:sz w:val="20"/>
          <w:szCs w:val="20"/>
          <w:color w:val="auto"/>
        </w:rPr>
        <w:t>. The Restricted Shares will become vested Shares (the “</w:t>
      </w:r>
      <w:r>
        <w:rPr>
          <w:rFonts w:ascii="Arial" w:cs="Arial" w:eastAsia="Arial" w:hAnsi="Arial"/>
          <w:sz w:val="20"/>
          <w:szCs w:val="20"/>
          <w:b w:val="1"/>
          <w:bCs w:val="1"/>
          <w:i w:val="1"/>
          <w:iCs w:val="1"/>
          <w:color w:val="auto"/>
        </w:rPr>
        <w:t>Vested Shares</w:t>
      </w:r>
      <w:r>
        <w:rPr>
          <w:rFonts w:ascii="Arial" w:cs="Arial" w:eastAsia="Arial" w:hAnsi="Arial"/>
          <w:sz w:val="20"/>
          <w:szCs w:val="20"/>
          <w:color w:val="auto"/>
        </w:rPr>
        <w:t>”) according to the vesting schedule in the Grant Notice except that any fraction of a Share that would otherwise become a Vested Share will be accumulated and will become a Vested Share only when a whole Vested Share has accumulated.</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Forfeiture</w:t>
      </w:r>
      <w:r>
        <w:rPr>
          <w:rFonts w:ascii="Arial" w:cs="Arial" w:eastAsia="Arial" w:hAnsi="Arial"/>
          <w:sz w:val="20"/>
          <w:szCs w:val="20"/>
          <w:color w:val="auto"/>
        </w:rPr>
        <w:t>. In the event of Participant’s Termination of Service for any reason, Participant will immediately and automatically forfeit to the Company any Shares that are not Vested Shares (the “</w:t>
      </w:r>
      <w:r>
        <w:rPr>
          <w:rFonts w:ascii="Arial" w:cs="Arial" w:eastAsia="Arial" w:hAnsi="Arial"/>
          <w:sz w:val="20"/>
          <w:szCs w:val="20"/>
          <w:b w:val="1"/>
          <w:bCs w:val="1"/>
          <w:i w:val="1"/>
          <w:iCs w:val="1"/>
          <w:color w:val="auto"/>
        </w:rPr>
        <w:t>Unvested Shares</w:t>
      </w:r>
      <w:r>
        <w:rPr>
          <w:rFonts w:ascii="Arial" w:cs="Arial" w:eastAsia="Arial" w:hAnsi="Arial"/>
          <w:sz w:val="20"/>
          <w:szCs w:val="20"/>
          <w:color w:val="auto"/>
        </w:rPr>
        <w:t>”) at the time of Participant’s Termination of Service, except as otherwise determined by the Administrator or provided in a binding written agreement between Participant and the Company. Upon forfeiture of Unvested Shares, the Company will become the legal and beneficial owner of the Unvested Shares and all related interests and Participant will have no further rights with respect to the Unvested Shares.</w:t>
      </w:r>
    </w:p>
    <w:p>
      <w:pPr>
        <w:spacing w:after="0" w:line="19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43" w:lineRule="auto"/>
        <w:tabs>
          <w:tab w:leader="none" w:pos="1696" w:val="left"/>
        </w:tabs>
        <w:numPr>
          <w:ilvl w:val="0"/>
          <w:numId w:val="21"/>
        </w:numPr>
        <w:rPr>
          <w:rFonts w:ascii="Arial" w:cs="Arial" w:eastAsia="Arial" w:hAnsi="Arial"/>
          <w:sz w:val="20"/>
          <w:szCs w:val="20"/>
          <w:color w:val="auto"/>
        </w:rPr>
      </w:pPr>
      <w:r>
        <w:rPr>
          <w:rFonts w:ascii="Arial" w:cs="Arial" w:eastAsia="Arial" w:hAnsi="Arial"/>
          <w:sz w:val="20"/>
          <w:szCs w:val="20"/>
          <w:color w:val="auto"/>
        </w:rPr>
        <w:t>Unvested Shares will be held by the Company or its authorized representatives until (i) they are forfeited, (ii) they become Vested Shares or (iii) this Agreement is no longer in effect. By accepting this Award, Participant appoints the Company and its authorized representatives as Participant’s attorney(s)-in-fact to take all actions necessary to effect any transfer of forfeited Unvested Shares (and Retained Distributions (as defined below), if any, paid on such forfeited Unvested Shares) to the Company as may be required pursuant to the Plan or this Agreement and to execute such representations or other documents or assurances as the Company or such representatives deem necessary or advisable in connection with any such</w:t>
      </w:r>
    </w:p>
    <w:p>
      <w:pPr>
        <w:sectPr>
          <w:pgSz w:w="11900" w:h="16838" w:orient="portrait"/>
          <w:cols w:equalWidth="0" w:num="1">
            <w:col w:w="11420"/>
          </w:cols>
          <w:pgMar w:left="240" w:top="337" w:right="239" w:bottom="1440" w:gutter="0" w:footer="0" w:header="0"/>
        </w:sectPr>
      </w:pPr>
    </w:p>
    <w:bookmarkStart w:id="39" w:name="page40"/>
    <w:bookmarkEnd w:id="39"/>
    <w:p>
      <w:pPr>
        <w:spacing w:after="0" w:line="260" w:lineRule="auto"/>
        <w:rPr>
          <w:sz w:val="20"/>
          <w:szCs w:val="20"/>
          <w:color w:val="auto"/>
        </w:rPr>
      </w:pPr>
      <w:r>
        <w:rPr>
          <w:rFonts w:ascii="Arial" w:cs="Arial" w:eastAsia="Arial" w:hAnsi="Arial"/>
          <w:sz w:val="20"/>
          <w:szCs w:val="20"/>
          <w:color w:val="auto"/>
        </w:rPr>
        <w:t>transfer. The Company, or its authorized representative, will not be liable for any good faith act or omission with respect to the holding in escrow or transfer of the Restricted Shares.</w:t>
      </w:r>
    </w:p>
    <w:p>
      <w:pPr>
        <w:spacing w:after="0" w:line="177" w:lineRule="exact"/>
        <w:rPr>
          <w:sz w:val="20"/>
          <w:szCs w:val="20"/>
          <w:color w:val="auto"/>
        </w:rPr>
      </w:pPr>
    </w:p>
    <w:p>
      <w:pPr>
        <w:jc w:val="both"/>
        <w:ind w:firstLine="1305"/>
        <w:spacing w:after="0" w:line="258" w:lineRule="auto"/>
        <w:tabs>
          <w:tab w:leader="none" w:pos="1748" w:val="left"/>
        </w:tabs>
        <w:numPr>
          <w:ilvl w:val="0"/>
          <w:numId w:val="22"/>
        </w:numPr>
        <w:rPr>
          <w:rFonts w:ascii="Arial" w:cs="Arial" w:eastAsia="Arial" w:hAnsi="Arial"/>
          <w:sz w:val="19"/>
          <w:szCs w:val="19"/>
          <w:color w:val="auto"/>
        </w:rPr>
      </w:pPr>
      <w:r>
        <w:rPr>
          <w:rFonts w:ascii="Arial" w:cs="Arial" w:eastAsia="Arial" w:hAnsi="Arial"/>
          <w:sz w:val="19"/>
          <w:szCs w:val="19"/>
          <w:color w:val="auto"/>
        </w:rPr>
        <w:t>All cash dividends and other distributions made or declared with respect to Unvested Shares (“</w:t>
      </w:r>
      <w:r>
        <w:rPr>
          <w:rFonts w:ascii="Arial" w:cs="Arial" w:eastAsia="Arial" w:hAnsi="Arial"/>
          <w:sz w:val="19"/>
          <w:szCs w:val="19"/>
          <w:b w:val="1"/>
          <w:bCs w:val="1"/>
          <w:i w:val="1"/>
          <w:iCs w:val="1"/>
          <w:color w:val="auto"/>
        </w:rPr>
        <w:t>Retained Distributions</w:t>
      </w:r>
      <w:r>
        <w:rPr>
          <w:rFonts w:ascii="Arial" w:cs="Arial" w:eastAsia="Arial" w:hAnsi="Arial"/>
          <w:sz w:val="19"/>
          <w:szCs w:val="19"/>
          <w:color w:val="auto"/>
        </w:rPr>
        <w:t>”) will be held by the Company until the time (if ever) when the Unvested Shares to which such Retained Distributions relate become Vested Shares. The Company will establish a separate Retained Distribution bookkeeping account (“</w:t>
      </w:r>
      <w:r>
        <w:rPr>
          <w:rFonts w:ascii="Arial" w:cs="Arial" w:eastAsia="Arial" w:hAnsi="Arial"/>
          <w:sz w:val="19"/>
          <w:szCs w:val="19"/>
          <w:b w:val="1"/>
          <w:bCs w:val="1"/>
          <w:i w:val="1"/>
          <w:iCs w:val="1"/>
          <w:color w:val="auto"/>
        </w:rPr>
        <w:t>Retained Distribution Account</w:t>
      </w:r>
      <w:r>
        <w:rPr>
          <w:rFonts w:ascii="Arial" w:cs="Arial" w:eastAsia="Arial" w:hAnsi="Arial"/>
          <w:sz w:val="19"/>
          <w:szCs w:val="19"/>
          <w:color w:val="auto"/>
        </w:rPr>
        <w:t>”) for each Unvested Share with respect to which Retained Distributions have been made or declared in cash and credit the Retained Distribution Account (without interest) on the date of payment with the amount of such cash made or declared with respect to the Unvested Share. Retained Distributions (including any Retained Distribution Account balance) will immediately and automatically be forfeited upon forfeiture of the Unvested Share with respect to which the Retained Distributions were paid or declared.</w:t>
      </w:r>
    </w:p>
    <w:p>
      <w:pPr>
        <w:spacing w:after="0" w:line="179" w:lineRule="exact"/>
        <w:rPr>
          <w:rFonts w:ascii="Arial" w:cs="Arial" w:eastAsia="Arial" w:hAnsi="Arial"/>
          <w:sz w:val="19"/>
          <w:szCs w:val="19"/>
          <w:color w:val="auto"/>
        </w:rPr>
      </w:pPr>
    </w:p>
    <w:p>
      <w:pPr>
        <w:jc w:val="both"/>
        <w:ind w:firstLine="1305"/>
        <w:spacing w:after="0" w:line="263" w:lineRule="auto"/>
        <w:tabs>
          <w:tab w:leader="none" w:pos="171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As soon as reasonably practicable following the date on which an Unvested Share becomes a Vested Share, the Company will (i) cause the certificate (or a new certificate without the legend required by this Agreement, if Participant so requests) representing the Share to be delivered to Participant or, if the Share is held in book-entry form, cause the notations indicating the Share is subject to the restrictions of this Agreement to be removed and (ii) pay to Participant the Retained Distributions relating to the Share.</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Except as otherwise provided in this Agreement or the Plan, upon issuance of the Restricted Shares by the Company, Participant will have all the rights of a stockholder with respect to the Restricted Shares, including the right to vote the Restricted Shares and to receive dividends or other distributions paid or made with respect to the Restricted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TAXATION AND TAX WITHHOLDING</w:t>
      </w:r>
    </w:p>
    <w:p>
      <w:pPr>
        <w:spacing w:after="0" w:line="2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Representation</w:t>
      </w:r>
      <w:r>
        <w:rPr>
          <w:rFonts w:ascii="Arial" w:cs="Arial" w:eastAsia="Arial" w:hAnsi="Arial"/>
          <w:sz w:val="19"/>
          <w:szCs w:val="19"/>
          <w:color w:val="auto"/>
        </w:rPr>
        <w:t>. Participant represents to the Company that Participant has reviewed with Participant’s own tax advisors the tax consequences of the Restricted Shares and the transactions contemplated by the Grant Notice and this Agreement. Participant is relying solely on such advisors and not on any statements or representations of the Company or any of its agents.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Section 83(b) Election</w:t>
      </w:r>
      <w:r>
        <w:rPr>
          <w:rFonts w:ascii="Arial" w:cs="Arial" w:eastAsia="Arial" w:hAnsi="Arial"/>
          <w:sz w:val="19"/>
          <w:szCs w:val="19"/>
          <w:color w:val="auto"/>
        </w:rPr>
        <w:t>. If Participant makes an election under Section 83(b) of the Code with respect to the Restricted Shares, Participant will deliver a copy of the election to the Company promptly after filing the election with the Internal Revenue Service.</w:t>
      </w:r>
    </w:p>
    <w:p>
      <w:pPr>
        <w:spacing w:after="0" w:line="15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9" w:lineRule="auto"/>
        <w:tabs>
          <w:tab w:leader="none" w:pos="1737"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Company has the right and option, but not the obligation, to treat Participant’s failure to provide timely payment in accordance with the Plan of any withholding tax arising in connection with the Restricted Shares as Participant’s election to satisfy all or any portion of the withholding tax by requesting the Company retain Shares otherwise deliverable under the Award.</w:t>
      </w:r>
    </w:p>
    <w:p>
      <w:pPr>
        <w:spacing w:after="0" w:line="170" w:lineRule="exact"/>
        <w:rPr>
          <w:rFonts w:ascii="Arial" w:cs="Arial" w:eastAsia="Arial" w:hAnsi="Arial"/>
          <w:sz w:val="19"/>
          <w:szCs w:val="19"/>
          <w:color w:val="auto"/>
        </w:rPr>
      </w:pPr>
    </w:p>
    <w:p>
      <w:pPr>
        <w:jc w:val="both"/>
        <w:ind w:firstLine="1305"/>
        <w:spacing w:after="0" w:line="243" w:lineRule="auto"/>
        <w:tabs>
          <w:tab w:leader="none" w:pos="1775" w:val="left"/>
        </w:tabs>
        <w:numPr>
          <w:ilvl w:val="0"/>
          <w:numId w:val="23"/>
        </w:numPr>
        <w:rPr>
          <w:rFonts w:ascii="Arial" w:cs="Arial" w:eastAsia="Arial" w:hAnsi="Arial"/>
          <w:sz w:val="20"/>
          <w:szCs w:val="20"/>
          <w:color w:val="auto"/>
        </w:rPr>
      </w:pPr>
      <w:r>
        <w:rPr>
          <w:rFonts w:ascii="Arial" w:cs="Arial" w:eastAsia="Arial" w:hAnsi="Arial"/>
          <w:sz w:val="20"/>
          <w:szCs w:val="20"/>
          <w:color w:val="auto"/>
        </w:rPr>
        <w:t>Participant acknowledges that Participant is ultimately liable and responsible for all taxes owed in connection with the Restricted Shares, regardless of any action the Company or any Subsidiary takes with respect to any tax withholding obligations that arise in connection with the Restricted Shares. Neither the Company nor any Subsidiary makes any representation or undertaking regarding the treatment of any tax withholding in connection with the awarding, vesting or payment of the Restricted Shares or the subsequent sale of the Restricted Shares. The Company and the Subsidiaries do not commit and are under no obligation to structure this Award to reduce or eliminate Participant’s tax liability.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36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RESTRICTIVE LEGENDS AND TRANSFERABILITY</w:t>
      </w: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 Any certificate representing a Restricted Share will bear the following legend until the Restricted Share becomes 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Vested Share:</w:t>
      </w:r>
    </w:p>
    <w:p>
      <w:pPr>
        <w:spacing w:after="0" w:line="200"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Transferability</w:t>
      </w:r>
      <w:r>
        <w:rPr>
          <w:rFonts w:ascii="Arial" w:cs="Arial" w:eastAsia="Arial" w:hAnsi="Arial"/>
          <w:sz w:val="19"/>
          <w:szCs w:val="19"/>
          <w:color w:val="auto"/>
        </w:rPr>
        <w:t>. The Restricted Shares and any Retained Distributions are subject to the restrictions on transfer in the Plan and may not be sold, assigned or transferred in any manner unless and until they become Vested Shares. Any attempted transfer or disposition of Unvested Shares or related Retained Distributions prior to the time the Unvested Shares become Vested Shares will be null and void. The Company will not be required to (a) transfer on its books any Restricted Share that has been sold or otherwise transferred in violation of this Agreement or (b) treat as owner of such Restricted Share or accord the right to vote or pay dividends to any purchaser or other transferee to whom such Restricted Share has been so transferred. The Company may issue appropriate “stop transfer” instructions to its transfer agent, if any, or make appropriate notations to the same effect in its records.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Adjustments</w:t>
      </w:r>
      <w:r>
        <w:rPr>
          <w:rFonts w:ascii="Arial" w:cs="Arial" w:eastAsia="Arial" w:hAnsi="Arial"/>
          <w:sz w:val="20"/>
          <w:szCs w:val="20"/>
          <w:color w:val="auto"/>
        </w:rPr>
        <w:t>. Participant acknowledges that the Restricted Shares are subject to adjustment, modification and termination in certain events as provided in this Agreement and the Plan.</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Notices</w:t>
      </w:r>
      <w:r>
        <w:rPr>
          <w:rFonts w:ascii="Arial" w:cs="Arial" w:eastAsia="Arial" w:hAnsi="Arial"/>
          <w:sz w:val="19"/>
          <w:szCs w:val="19"/>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589" w:right="239" w:bottom="1440" w:gutter="0" w:footer="0" w:header="0"/>
        </w:sectPr>
      </w:pPr>
    </w:p>
    <w:bookmarkStart w:id="41" w:name="page42"/>
    <w:bookmarkEnd w:id="41"/>
    <w:p>
      <w:pPr>
        <w:jc w:val="both"/>
        <w:ind w:firstLine="648"/>
        <w:spacing w:after="0" w:line="246"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Grant Notice, this Agreement and the Restricted Shares will be subject to any additional limitations set forth in any applicable exemptive rule under Section 16 of the Exchange Act (including any amendment to Rule 16b-</w:t>
      </w:r>
    </w:p>
    <w:p>
      <w:pPr>
        <w:spacing w:after="0" w:line="1" w:lineRule="exact"/>
        <w:rPr>
          <w:sz w:val="20"/>
          <w:szCs w:val="20"/>
          <w:color w:val="auto"/>
        </w:rPr>
      </w:pPr>
    </w:p>
    <w:p>
      <w:pPr>
        <w:ind w:firstLine="8"/>
        <w:spacing w:after="0" w:line="244" w:lineRule="auto"/>
        <w:tabs>
          <w:tab w:leader="none" w:pos="238"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that are requirements for the application of such exemptive rule. To the extent Applicable Laws permit, this Agreement will be deemed amended as necessary to conform to such applicable exemptive rule.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Award.</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9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Roman"/>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lowerLetter"/>
      <w:start w:val="2"/>
    </w:lvl>
  </w:abstractNum>
  <w:abstractNum w:abstractNumId="6">
    <w:nsid w:val="41A7C4C9"/>
    <w:multiLevelType w:val="hybridMultilevel"/>
    <w:lvl w:ilvl="0">
      <w:lvlJc w:val="left"/>
      <w:lvlText w:val="(%1)"/>
      <w:numFmt w:val="lowerRoman"/>
      <w:start w:val="2"/>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4"/>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2"/>
    </w:lvl>
  </w:abstractNum>
  <w:abstractNum w:abstractNumId="14">
    <w:nsid w:val="257130A3"/>
    <w:multiLevelType w:val="hybridMultilevel"/>
    <w:lvl w:ilvl="0">
      <w:lvlJc w:val="left"/>
      <w:lvlText w:val="(%1)"/>
      <w:numFmt w:val="lowerLetter"/>
      <w:start w:val="1"/>
    </w:lvl>
    <w:lvl w:ilvl="1">
      <w:lvlJc w:val="left"/>
      <w:lvlText w:val="(%2)"/>
      <w:numFmt w:val="lowerRoman"/>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jpe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Archives/edgar/data/1453687/000110465916129891/a16-14002_1ex3d1.htm" TargetMode="External"/><Relationship Id="rId11" Type="http://schemas.openxmlformats.org/officeDocument/2006/relationships/hyperlink" Target="http://www.sec.gov/Archives/edgar/data/1453687/000110465916129891/a16-14002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2019-12-07T15:28:05Z</dcterms:created>
  <dcterms:modified xsi:type="dcterms:W3CDTF">2019-12-07T15:28:05Z</dcterms:modified>
</cp:coreProperties>
</file>