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left="6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0"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ind w:left="5240"/>
        <w:spacing w:after="0"/>
        <w:rPr>
          <w:sz w:val="20"/>
          <w:szCs w:val="20"/>
          <w:color w:val="auto"/>
        </w:rPr>
      </w:pPr>
      <w:r>
        <w:rPr>
          <w:rFonts w:ascii="Arial" w:cs="Arial" w:eastAsia="Arial" w:hAnsi="Arial"/>
          <w:sz w:val="29"/>
          <w:szCs w:val="29"/>
          <w:b w:val="1"/>
          <w:bCs w:val="1"/>
          <w:color w:val="auto"/>
        </w:rPr>
        <w:t>FORM 10-K</w:t>
      </w:r>
    </w:p>
    <w:p>
      <w:pPr>
        <w:spacing w:after="0" w:line="14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rFonts w:ascii="MS PGothic" w:cs="MS PGothic" w:eastAsia="MS PGothic" w:hAnsi="MS PGothic"/>
          <w:sz w:val="40"/>
          <w:szCs w:val="40"/>
          <w:color w:val="auto"/>
          <w:vertAlign w:val="subscript"/>
        </w:rPr>
      </w:pPr>
    </w:p>
    <w:p>
      <w:pPr>
        <w:ind w:left="4300"/>
        <w:spacing w:after="0"/>
        <w:rPr>
          <w:rFonts w:ascii="MS PGothic" w:cs="MS PGothic" w:eastAsia="MS PGothic" w:hAnsi="MS PGothic"/>
          <w:sz w:val="40"/>
          <w:szCs w:val="40"/>
          <w:color w:val="auto"/>
          <w:vertAlign w:val="subscript"/>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ind w:left="5900"/>
        <w:spacing w:after="0"/>
        <w:rPr>
          <w:sz w:val="20"/>
          <w:szCs w:val="20"/>
          <w:color w:val="auto"/>
        </w:rPr>
      </w:pPr>
      <w:r>
        <w:rPr>
          <w:rFonts w:ascii="Arial" w:cs="Arial" w:eastAsia="Arial" w:hAnsi="Arial"/>
          <w:sz w:val="18"/>
          <w:szCs w:val="18"/>
          <w:b w:val="1"/>
          <w:bCs w:val="1"/>
          <w:color w:val="auto"/>
        </w:rPr>
        <w:t>OR</w:t>
      </w:r>
    </w:p>
    <w:p>
      <w:pPr>
        <w:ind w:left="500" w:hanging="465"/>
        <w:spacing w:after="0" w:line="231" w:lineRule="auto"/>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rFonts w:ascii="MS PGothic" w:cs="MS PGothic" w:eastAsia="MS PGothic" w:hAnsi="MS PGothic"/>
          <w:sz w:val="40"/>
          <w:szCs w:val="40"/>
          <w:color w:val="auto"/>
          <w:vertAlign w:val="subscript"/>
        </w:rPr>
      </w:pPr>
    </w:p>
    <w:p>
      <w:pPr>
        <w:ind w:left="4560"/>
        <w:spacing w:after="0"/>
        <w:rPr>
          <w:rFonts w:ascii="MS PGothic" w:cs="MS PGothic" w:eastAsia="MS PGothic" w:hAnsi="MS PGothic"/>
          <w:sz w:val="40"/>
          <w:szCs w:val="40"/>
          <w:color w:val="auto"/>
          <w:vertAlign w:val="subscript"/>
        </w:rPr>
      </w:pPr>
      <w:r>
        <w:rPr>
          <w:rFonts w:ascii="Arial" w:cs="Arial" w:eastAsia="Arial" w:hAnsi="Arial"/>
          <w:sz w:val="18"/>
          <w:szCs w:val="18"/>
          <w:b w:val="1"/>
          <w:bCs w:val="1"/>
          <w:color w:val="auto"/>
        </w:rPr>
        <w:t>For the transition period from</w:t>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left="620"/>
        <w:spacing w:after="0"/>
        <w:rPr>
          <w:sz w:val="20"/>
          <w:szCs w:val="20"/>
          <w:color w:val="auto"/>
        </w:rPr>
      </w:pPr>
      <w:r>
        <w:rPr>
          <w:rFonts w:ascii="Arial" w:cs="Arial" w:eastAsia="Arial" w:hAnsi="Arial"/>
          <w:sz w:val="18"/>
          <w:szCs w:val="18"/>
          <w:b w:val="1"/>
          <w:bCs w:val="1"/>
          <w:color w:val="auto"/>
        </w:rPr>
        <w:t>Commission File Number: 001-37798</w:t>
      </w:r>
    </w:p>
    <w:p>
      <w:pPr>
        <w:spacing w:after="0" w:line="27" w:lineRule="exact"/>
        <w:rPr>
          <w:sz w:val="24"/>
          <w:szCs w:val="24"/>
          <w:color w:val="auto"/>
        </w:rPr>
      </w:pPr>
    </w:p>
    <w:p>
      <w:pPr>
        <w:jc w:val="center"/>
        <w:ind w:left="660"/>
        <w:spacing w:after="0"/>
        <w:rPr>
          <w:sz w:val="20"/>
          <w:szCs w:val="20"/>
          <w:color w:val="auto"/>
        </w:rPr>
      </w:pPr>
      <w:r>
        <w:rPr>
          <w:rFonts w:ascii="Arial" w:cs="Arial" w:eastAsia="Arial" w:hAnsi="Arial"/>
          <w:sz w:val="43"/>
          <w:szCs w:val="43"/>
          <w:color w:val="auto"/>
        </w:rPr>
        <w:t>Selecta Biosciences, Inc.</w:t>
      </w:r>
    </w:p>
    <w:p>
      <w:pPr>
        <w:spacing w:after="0" w:line="2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72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3"/>
              </w:rPr>
              <w:t>Delaware</w:t>
            </w:r>
          </w:p>
        </w:tc>
        <w:tc>
          <w:tcPr>
            <w:tcW w:w="5700" w:type="dxa"/>
            <w:vAlign w:val="bottom"/>
          </w:tcPr>
          <w:p>
            <w:pPr>
              <w:jc w:val="right"/>
              <w:ind w:right="2579"/>
              <w:spacing w:after="0"/>
              <w:rPr>
                <w:sz w:val="20"/>
                <w:szCs w:val="20"/>
                <w:color w:val="auto"/>
              </w:rPr>
            </w:pPr>
            <w:r>
              <w:rPr>
                <w:rFonts w:ascii="Arial" w:cs="Arial" w:eastAsia="Arial" w:hAnsi="Arial"/>
                <w:sz w:val="16"/>
                <w:szCs w:val="16"/>
                <w:b w:val="1"/>
                <w:bCs w:val="1"/>
                <w:color w:val="auto"/>
              </w:rPr>
              <w:t>26-1622110</w:t>
            </w:r>
          </w:p>
        </w:tc>
      </w:tr>
      <w:tr>
        <w:trPr>
          <w:trHeight w:val="257"/>
        </w:trPr>
        <w:tc>
          <w:tcPr>
            <w:tcW w:w="572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5700" w:type="dxa"/>
            <w:vAlign w:val="bottom"/>
          </w:tcPr>
          <w:p>
            <w:pPr>
              <w:jc w:val="center"/>
              <w:ind w:right="319"/>
              <w:spacing w:after="0"/>
              <w:rPr>
                <w:sz w:val="20"/>
                <w:szCs w:val="20"/>
                <w:color w:val="auto"/>
              </w:rPr>
            </w:pPr>
            <w:r>
              <w:rPr>
                <w:rFonts w:ascii="Arial" w:cs="Arial" w:eastAsia="Arial" w:hAnsi="Arial"/>
                <w:sz w:val="16"/>
                <w:szCs w:val="16"/>
                <w:color w:val="auto"/>
                <w:w w:val="94"/>
              </w:rPr>
              <w:t>(I.R.S. Employer Identification No.)</w:t>
            </w:r>
          </w:p>
        </w:tc>
      </w:tr>
      <w:tr>
        <w:trPr>
          <w:trHeight w:val="513"/>
        </w:trPr>
        <w:tc>
          <w:tcPr>
            <w:tcW w:w="572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2"/>
              </w:rPr>
              <w:t>480 Arsenal Way</w:t>
            </w:r>
          </w:p>
        </w:tc>
        <w:tc>
          <w:tcPr>
            <w:tcW w:w="5700" w:type="dxa"/>
            <w:vAlign w:val="bottom"/>
          </w:tcPr>
          <w:p>
            <w:pPr>
              <w:spacing w:after="0"/>
              <w:rPr>
                <w:sz w:val="24"/>
                <w:szCs w:val="24"/>
                <w:color w:val="auto"/>
              </w:rPr>
            </w:pPr>
          </w:p>
        </w:tc>
      </w:tr>
      <w:tr>
        <w:trPr>
          <w:trHeight w:val="257"/>
        </w:trPr>
        <w:tc>
          <w:tcPr>
            <w:tcW w:w="57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96"/>
              </w:rPr>
              <w:t>Watertown, MA</w:t>
            </w:r>
          </w:p>
        </w:tc>
        <w:tc>
          <w:tcPr>
            <w:tcW w:w="5700" w:type="dxa"/>
            <w:vAlign w:val="bottom"/>
          </w:tcPr>
          <w:p>
            <w:pPr>
              <w:jc w:val="right"/>
              <w:ind w:right="2759"/>
              <w:spacing w:after="0"/>
              <w:rPr>
                <w:sz w:val="20"/>
                <w:szCs w:val="20"/>
                <w:color w:val="auto"/>
              </w:rPr>
            </w:pPr>
            <w:r>
              <w:rPr>
                <w:rFonts w:ascii="Arial" w:cs="Arial" w:eastAsia="Arial" w:hAnsi="Arial"/>
                <w:sz w:val="16"/>
                <w:szCs w:val="16"/>
                <w:b w:val="1"/>
                <w:bCs w:val="1"/>
                <w:color w:val="auto"/>
              </w:rPr>
              <w:t>02472</w:t>
            </w:r>
          </w:p>
        </w:tc>
      </w:tr>
      <w:tr>
        <w:trPr>
          <w:trHeight w:val="257"/>
        </w:trPr>
        <w:tc>
          <w:tcPr>
            <w:tcW w:w="5720" w:type="dxa"/>
            <w:vAlign w:val="bottom"/>
            <w:gridSpan w:val="2"/>
          </w:tcPr>
          <w:p>
            <w:pPr>
              <w:jc w:val="center"/>
              <w:ind w:left="239"/>
              <w:spacing w:after="0"/>
              <w:rPr>
                <w:sz w:val="20"/>
                <w:szCs w:val="20"/>
                <w:color w:val="auto"/>
              </w:rPr>
            </w:pPr>
            <w:r>
              <w:rPr>
                <w:rFonts w:ascii="Arial" w:cs="Arial" w:eastAsia="Arial" w:hAnsi="Arial"/>
                <w:sz w:val="16"/>
                <w:szCs w:val="16"/>
                <w:color w:val="auto"/>
                <w:w w:val="94"/>
              </w:rPr>
              <w:t>(Address Of Principal Executive Offices)</w:t>
            </w:r>
          </w:p>
        </w:tc>
        <w:tc>
          <w:tcPr>
            <w:tcW w:w="5700" w:type="dxa"/>
            <w:vAlign w:val="bottom"/>
          </w:tcPr>
          <w:p>
            <w:pPr>
              <w:jc w:val="center"/>
              <w:ind w:right="339"/>
              <w:spacing w:after="0"/>
              <w:rPr>
                <w:sz w:val="20"/>
                <w:szCs w:val="20"/>
                <w:color w:val="auto"/>
              </w:rPr>
            </w:pPr>
            <w:r>
              <w:rPr>
                <w:rFonts w:ascii="Arial" w:cs="Arial" w:eastAsia="Arial" w:hAnsi="Arial"/>
                <w:sz w:val="16"/>
                <w:szCs w:val="16"/>
                <w:color w:val="auto"/>
                <w:w w:val="95"/>
              </w:rPr>
              <w:t>(Zip Code)</w:t>
            </w:r>
          </w:p>
        </w:tc>
      </w:tr>
      <w:tr>
        <w:trPr>
          <w:trHeight w:val="230"/>
        </w:trPr>
        <w:tc>
          <w:tcPr>
            <w:tcW w:w="11420" w:type="dxa"/>
            <w:vAlign w:val="bottom"/>
            <w:gridSpan w:val="3"/>
          </w:tcPr>
          <w:p>
            <w:pPr>
              <w:ind w:left="376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617) 923-1400</w:t>
            </w:r>
          </w:p>
        </w:tc>
      </w:tr>
      <w:tr>
        <w:trPr>
          <w:trHeight w:val="378"/>
        </w:trPr>
        <w:tc>
          <w:tcPr>
            <w:tcW w:w="5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700" w:type="dxa"/>
            <w:vAlign w:val="bottom"/>
          </w:tcPr>
          <w:p>
            <w:pPr>
              <w:spacing w:after="0"/>
              <w:rPr>
                <w:sz w:val="24"/>
                <w:szCs w:val="24"/>
                <w:color w:val="auto"/>
              </w:rPr>
            </w:pPr>
          </w:p>
        </w:tc>
      </w:tr>
      <w:tr>
        <w:trPr>
          <w:trHeight w:val="365"/>
        </w:trPr>
        <w:tc>
          <w:tcPr>
            <w:tcW w:w="5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5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17"/>
        </w:trPr>
        <w:tc>
          <w:tcPr>
            <w:tcW w:w="5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50"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ind w:left="40" w:right="16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20" w:hanging="185"/>
        <w:spacing w:after="0" w:line="184" w:lineRule="exact"/>
        <w:tabs>
          <w:tab w:leader="none" w:pos="2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left="40" w:right="2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left="40" w:right="100"/>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05"/>
        <w:spacing w:after="0" w:line="184" w:lineRule="exact"/>
        <w:tabs>
          <w:tab w:leader="none" w:pos="240" w:val="left"/>
        </w:tabs>
        <w:numPr>
          <w:ilvl w:val="0"/>
          <w:numId w:val="4"/>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393" w:lineRule="exact"/>
        <w:rPr>
          <w:sz w:val="24"/>
          <w:szCs w:val="24"/>
          <w:color w:val="auto"/>
        </w:rPr>
      </w:pPr>
    </w:p>
    <w:p>
      <w:pPr>
        <w:ind w:right="20"/>
        <w:spacing w:after="0" w:line="3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69" w:right="239" w:bottom="1440" w:gutter="0" w:footer="0" w:header="0"/>
        </w:sectPr>
      </w:pPr>
    </w:p>
    <w:p>
      <w:pPr>
        <w:spacing w:after="0" w:line="29" w:lineRule="exact"/>
        <w:rPr>
          <w:sz w:val="24"/>
          <w:szCs w:val="24"/>
          <w:color w:val="auto"/>
        </w:rPr>
      </w:pPr>
    </w:p>
    <w:p>
      <w:pPr>
        <w:ind w:left="18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6"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18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9" w:lineRule="exact"/>
        <w:rPr>
          <w:sz w:val="24"/>
          <w:szCs w:val="24"/>
          <w:color w:val="auto"/>
        </w:rPr>
      </w:pPr>
    </w:p>
    <w:p>
      <w:pPr>
        <w:jc w:val="center"/>
        <w:ind w:right="182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30" w:lineRule="exact"/>
        <w:rPr>
          <w:sz w:val="24"/>
          <w:szCs w:val="24"/>
          <w:color w:val="auto"/>
        </w:rPr>
      </w:pPr>
    </w:p>
    <w:p>
      <w:pPr>
        <w:sectPr>
          <w:pgSz w:w="11900" w:h="16838" w:orient="portrait"/>
          <w:cols w:equalWidth="0" w:num="2">
            <w:col w:w="6920" w:space="720"/>
            <w:col w:w="3780"/>
          </w:cols>
          <w:pgMar w:left="240" w:top="269" w:right="239" w:bottom="1440" w:gutter="0" w:footer="0" w:header="0"/>
          <w:type w:val="continuous"/>
        </w:sect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20"/>
          </w:cols>
          <w:pgMar w:left="240" w:top="269" w:right="239" w:bottom="1440" w:gutter="0" w:footer="0" w:header="0"/>
          <w:type w:val="continuous"/>
        </w:sectPr>
      </w:pPr>
    </w:p>
    <w:bookmarkStart w:id="1" w:name="page2"/>
    <w:bookmarkEnd w:id="1"/>
    <w:p>
      <w:pPr>
        <w:ind w:right="160"/>
        <w:spacing w:after="0" w:line="275" w:lineRule="auto"/>
        <w:rPr>
          <w:sz w:val="20"/>
          <w:szCs w:val="20"/>
          <w:color w:val="auto"/>
        </w:rPr>
      </w:pPr>
      <w:r>
        <w:rPr>
          <w:rFonts w:ascii="Arial" w:cs="Arial" w:eastAsia="Arial" w:hAnsi="Arial"/>
          <w:sz w:val="16"/>
          <w:szCs w:val="16"/>
          <w:color w:val="auto"/>
        </w:rPr>
        <w:t>Aggregate market value of the common equity held by non-affiliates of the registrant, based on the last sale price for the registrant's common stock as reported on the NASDAQ Global Market on June 30, 2017: $287,783,534</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As of March 9, 2018 the registrant had 22,349,840 shares of common stock, par value $0.0001 per share, outstanding.</w:t>
      </w:r>
    </w:p>
    <w:p>
      <w:pPr>
        <w:spacing w:after="0" w:line="37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relating to its 2018 Annual Meeting of Stockholders to be filed with the Securities and Exchange Commission are incorporated by reference into Part III of this Annual Report on Form 10-K.</w:t>
      </w:r>
    </w:p>
    <w:p>
      <w:pPr>
        <w:sectPr>
          <w:pgSz w:w="11900" w:h="16838" w:orient="portrait"/>
          <w:cols w:equalWidth="0" w:num="1">
            <w:col w:w="10900"/>
          </w:cols>
          <w:pgMar w:left="240" w:top="427" w:right="7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Table of Contents</w:t>
              </w:r>
            </w:hyperlink>
          </w:p>
        </w:tc>
        <w:tc>
          <w:tcPr>
            <w:tcW w:w="3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141"/>
        </w:trPr>
        <w:tc>
          <w:tcPr>
            <w:tcW w:w="1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5"/>
          </w:tcPr>
          <w:p>
            <w:pPr>
              <w:jc w:val="center"/>
              <w:ind w:right="440"/>
              <w:spacing w:after="0"/>
              <w:rPr>
                <w:rFonts w:ascii="Arial" w:cs="Arial" w:eastAsia="Arial" w:hAnsi="Arial"/>
                <w:sz w:val="18"/>
                <w:szCs w:val="18"/>
                <w:color w:val="auto"/>
                <w:w w:val="88"/>
              </w:rPr>
            </w:pPr>
            <w:hyperlink w:anchor="page5">
              <w:r>
                <w:rPr>
                  <w:rFonts w:ascii="Arial" w:cs="Arial" w:eastAsia="Arial" w:hAnsi="Arial"/>
                  <w:sz w:val="18"/>
                  <w:szCs w:val="18"/>
                  <w:color w:val="auto"/>
                  <w:w w:val="88"/>
                </w:rPr>
                <w:t>Part I</w:t>
              </w:r>
            </w:hyperlink>
          </w:p>
        </w:tc>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380" w:type="dxa"/>
            <w:vAlign w:val="bottom"/>
            <w:gridSpan w:val="2"/>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4480" w:type="dxa"/>
            <w:vAlign w:val="bottom"/>
            <w:gridSpan w:val="5"/>
          </w:tcPr>
          <w:p>
            <w:pPr>
              <w:ind w:left="10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380" w:type="dxa"/>
            <w:vAlign w:val="bottom"/>
            <w:tcBorders>
              <w:top w:val="single" w:sz="8" w:color="auto"/>
            </w:tcBorders>
          </w:tcPr>
          <w:p>
            <w:pPr>
              <w:spacing w:after="0"/>
              <w:rPr>
                <w:sz w:val="24"/>
                <w:szCs w:val="24"/>
                <w:color w:val="auto"/>
              </w:rPr>
            </w:pPr>
          </w:p>
        </w:tc>
        <w:tc>
          <w:tcPr>
            <w:tcW w:w="47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1A.</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1B.</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67</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67</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67</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67</w:t>
              </w:r>
            </w:hyperlink>
          </w:p>
        </w:tc>
      </w:tr>
      <w:tr>
        <w:trPr>
          <w:trHeight w:val="480"/>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Part II</w:t>
            </w:r>
          </w:p>
        </w:tc>
        <w:tc>
          <w:tcPr>
            <w:tcW w:w="47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5.</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6.</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Selected Consolidated Financial Data</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71</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7.</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72</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7A.</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85</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8.</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85</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9.</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85</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9A.</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85</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9B.</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480"/>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8"/>
          </w:tcPr>
          <w:p>
            <w:pPr>
              <w:jc w:val="center"/>
              <w:ind w:right="4700"/>
              <w:spacing w:after="0"/>
              <w:rPr>
                <w:sz w:val="20"/>
                <w:szCs w:val="20"/>
                <w:color w:val="auto"/>
              </w:rPr>
            </w:pPr>
            <w:r>
              <w:rPr>
                <w:rFonts w:ascii="Arial" w:cs="Arial" w:eastAsia="Arial" w:hAnsi="Arial"/>
                <w:sz w:val="18"/>
                <w:szCs w:val="18"/>
                <w:color w:val="auto"/>
                <w:w w:val="94"/>
              </w:rPr>
              <w:t>Part III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10.</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5"/>
              </w:rPr>
              <w:t>Directors, Executive Officers and Corporate Governance</w:t>
            </w:r>
          </w:p>
        </w:tc>
        <w:tc>
          <w:tcPr>
            <w:tcW w:w="500" w:type="dxa"/>
            <w:vAlign w:val="bottom"/>
            <w:tcBorders>
              <w:top w:val="single" w:sz="8" w:color="auto"/>
            </w:tcBorders>
            <w:gridSpan w:val="5"/>
          </w:tcPr>
          <w:p>
            <w:pPr>
              <w:spacing w:after="0"/>
              <w:rPr>
                <w:sz w:val="24"/>
                <w:szCs w:val="24"/>
                <w:color w:val="auto"/>
              </w:rPr>
            </w:pPr>
          </w:p>
        </w:tc>
        <w:tc>
          <w:tcPr>
            <w:tcW w:w="47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11.</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12.</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13.</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14.</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Principal Accounting Fees and Services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480"/>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8"/>
              </w:rPr>
              <w:t>Part IV</w:t>
            </w:r>
          </w:p>
        </w:tc>
        <w:tc>
          <w:tcPr>
            <w:tcW w:w="4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15.</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5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16.</w:t>
            </w:r>
          </w:p>
        </w:tc>
        <w:tc>
          <w:tcPr>
            <w:tcW w:w="9620" w:type="dxa"/>
            <w:vAlign w:val="bottom"/>
            <w:gridSpan w:val="11"/>
          </w:tcPr>
          <w:p>
            <w:pPr>
              <w:ind w:left="10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F01E8"/>
            </w:tcBorders>
            <w:gridSpan w:val="2"/>
          </w:tcPr>
          <w:p>
            <w:pPr>
              <w:jc w:val="right"/>
              <w:spacing w:after="0"/>
              <w:rPr>
                <w:sz w:val="20"/>
                <w:szCs w:val="20"/>
                <w:color w:val="auto"/>
              </w:rPr>
            </w:pPr>
            <w:r>
              <w:rPr>
                <w:rFonts w:ascii="Arial" w:cs="Arial" w:eastAsia="Arial" w:hAnsi="Arial"/>
                <w:sz w:val="18"/>
                <w:szCs w:val="18"/>
                <w:color w:val="0F01E8"/>
                <w:w w:val="79"/>
              </w:rPr>
              <w:t>92</w:t>
            </w:r>
          </w:p>
        </w:tc>
      </w:tr>
    </w:tbl>
    <w:p>
      <w:pPr>
        <w:spacing w:after="0" w:line="39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SIGNATURES</w:t>
      </w:r>
    </w:p>
    <w:p>
      <w:pPr>
        <w:spacing w:after="0" w:line="38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108" w:right="4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167"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often produced by the immune system in response to biologic therapy and can adversely affect the efficacy and safety of treatment. Our SVP technology is a highly flexible platform that is capable of incorporating a wide range of antigens and immunomodulators, potentially allowing for the development of products that either induce antigen-specific immune tolerance (tolerogenic SVP technology) or activate the immune system (stimulatory SVP technology). Our proprietary tolerogenic SVP technology, SVP-Rapamycin, encapsulates an immunomodulator in biodegradable nanoparticles to mitigate the formation of ADAs and induce antigen-specific immune tolerance to life-sustaining biologic drugs. We believe SVP-Rapamycin has potential to enhance the efficacy and safety of existing approved biologic drugs, improve product candidates under development and enable novel therapies.</w:t>
      </w:r>
    </w:p>
    <w:p>
      <w:pPr>
        <w:spacing w:after="0" w:line="19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Despite rapid advancement in biologic treatments for rare and serious diseases, many of these therapies are not broadly effective because they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allow many biologic treatments to overcome these limitations. In addition, this technology is designed to be dosed in combination with new and existing therapies without requiring reformulation of the biologics. We intend to build a product pipeline by combining our SVP technology with a range of biologics and also plan to seek collaborations and license agreements to broaden our reach.</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lead product candidate, SEL-212, is a combination of a therapeutic uricase enzyme and our SVP technology that is designed to become the first biologic treatment that durably controls uric acid while also dissolving harmful deposits of uric acid in patients with chronic severe gout, a debilitating rare disease with an unmet medical need. We have submitted two investigational new drug applications, or INDs, to the FDA for SEL-212, both of which are active. Each IND lists us as the named sponsor and is indicated for the treatment of chronic gout in adult patients refractory to conventional therapy. SEL-212 is currently in a Phase 2 clinical program in multiple clinical sites in the United States. Based on our Phase 1/2 clinical data available as of the date of this report, we believe that SEL-212 has the potential to control serum uric acid levels and mitigate the formation of ADAs in response to the therapeutic uricase enzyme.</w:t>
      </w:r>
    </w:p>
    <w:p>
      <w:pPr>
        <w:spacing w:after="0" w:line="1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SEL-212 is designed as a monthly treatment for chronic severe gout consisting of SVP-Rapamycin co-administered with pegsiticase, our proprietary pegylated uricase. Our preclinical data indicate that SVP-Rapamycin, when co-administered with pegsiticase, induces antigen-specific immune tolerance to pegsiticase and substantially reduces the formation of associated ADAs. Our Phase 1 data shows that SVP-Rapamycin mitigated the formation of ADAs against pegsiticase after a single dose of SEL-212. We believe that SEL-212 has the potential to offer a uniquely effective treatment for patients with chronic severe gout, while also demonstrating the clinical effectiveness of our SVP technology. We expect our clinical and, if approved, marketing strategy for SEL-212 to initially focus on the estimated 160,000 patients in the United States with chronic severe gout that are being treated by rheumatologists.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2017, we licensed LMB-100, a clinical-stage immunotoxin, from the Center for Cancer Research, or CCR, at the National Cancer Institute, or NCI, part of the National Institutes of Health. LMB-100 contains a potent bacterial toxin targeted to mesothelin, a protein expressed in virtually all mesotheliomas and pancreatic adenocarcinomas and a high percentage of other malignancies, including lung, breast and ovarian cancers. In 2016, CCR initiated dosing in two clinical trials of LMB-100 in patients with mesothelioma and pancreatic cancer, which helped to define the maximum tolerated dose. Initial data indicate that undesired antibody responses to the immunotoxin prevented most patients from completing the intended four treatment cycles. While a precursor to LMB-100 was similarly restricted by immunogenicity despite the concurrent use of potent immunosuppressive drugs, major tumor regression was observed in the two patients who were able to receive more than two cycles of this treatment. These results suggest that the mitigation of immunogenicity may enable more patients to benefit from LMB-100 therapy by potentially increasing the number of treatments that result in significant blood levels of LMB-100.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Based on preclinical models conducted by Selecta and NCI, we believe that the co-administration of SVP-Rapamycin and LMB-100, a product candidate we refer to as SEL-403, has the potential to enable extended treatment with LMB-100 and, therefore, enhance anti-tumor activity. In March 2018, we initiated a Phase 1 trial of SEL-403 in patients with malignant pleural or peritoneal mesothelioma who have undergone at least one regimen of chemotherapy under a cooperative research and development agreement, or CRADA, at NCI. Patients in this non-randomized, open-label dose-escalation trial will receive up to four treatment cycles, each cycle consisting of an initial dose of SVP-Rapamycin and LMB-100 on day 1 of each cycle followed by doses of LMB-100 on day 3 and day 5 of each cycle. The trial, which is expected to enroll up to 18 patients, is designed to evaluate the safety and tolerability of the combination treatment in the study population. Additional objectives include the measurement of ADAs and an objective response rate assessment. NCI submitted an IND for LMB-100 plus SVP-Rapamycin (SEL-403), which the FDA accepted in December 2017.</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also applying our SVP technology to mitigate the formation of ADAs when dosing gene therapy, involving gene augmentation, replacement or editing. Gene therapies often use a viral vector, such as an adeno-associated virus, or AAV, vector to place corrective genetic material into cells to treat genetic diseases. One of the key hurdles for the gene therapy field is to overcome immunogenicity against the viral vector, which can manifest itself in three ways. First, cellular immune response to the transduced cells has been associated with liver inflammation and loss of transgene expression. Second, ADAs form in response to the first administration of a gene therapy vector and prevent effective subsequent doses of gene therapy. The ability to provide repeat doses may be particularly important for pediatric patients to receive continued treatment benefit later in life as gene expression wanes due to cellular turnover as patients grow. The ability to re-administer gene therapies also could provide the potential for dose titration and could be advantageous for diseases where the goal is to transfect a high number of cells. Third, pre-existing ADAs that are induced following a natural AAV infection can neutralize the viral vector and block gene transfer. Up to 50% of patients are ineligible for gene therapy due to the presence of pre-existing ADAs.</w:t>
      </w:r>
    </w:p>
    <w:p>
      <w:pPr>
        <w:spacing w:after="0" w:line="16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first proprietary gene therapy program is targeted to treat a rare genetic disease, Methylmalonic Acidemia, or MMA, pursuant to which we are collaborating with a clinical and gene therapy laboratory at the National Institutes of Health, or NIH, and the Massachusetts Eye and Ear Infirmary and The Schepens Eye Institute, Inc., which we collectively refer to as MEE. We have in-licensed the Anc80 gene therapy vector, or Anc80, from MEE. Anc80 is an engineered vector that has been reported to have limited cross-reactivity to antibodies against wild type AAV serotypes and therefore we believe has the potential to treat patients with pre-existing anti-AAV antibodies. In pre-clinical studies, Anc80 has been observed to be a potent gene therapy vector that has demonstrated the capability of yielding superior gene expression levels in the liver compared to AAV8, a naturally occurring AAV vector that is currently being evaluated in clinical trials. We believe our product candidate has the potential to mitigate the problem of pre-existing immunogenicity to the gene therapy vector by using Anc80 and to prevent undesired immune responses to the vector and transgene that can occur with the first dose of gene therapy by using our SVP technology. In February 2017, we entered into a strategic manufacturing agreement with Lonza Houston, Inc. under which Lonza agreed to produce the Anc80 gene therapy for our MMA program. Under our license agreement with MEE, we also have the exclusive option to develop gene therapies using Anc80 for several additional diseases including lysosomal storage, muscular and genetic metabolic diseases. For more information, see "Licenses and Collaborations - Massachusetts Eye and Ear Infirmary” below.</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addition to developing this proprietary non-immunogenic therapeutic candidate, we intend to continue expanding our proprietary immune tolerance pipeline and pursue out-licensing opportunities for select applications of our SVP technology. In December 2016, we entered into a license agreement, or the Spark License Agreement, with Spark Therapeutics, Inc., or Spark, that provides Spark with exclusive worldwide rights to our SVP technology to research, develop and commercialize gene therapies for Factor VIII, an essential blood clotting protein relevant to the treatment of hemophilia A, which is the initial target under the agreement, as well as exclusive options for up to four additional pre-specified targets.</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continue to evaluate our strategic options in peanut allergy, celiac disease and type 1 diabetes. We intend to continue our strategy of out-licensing our SVP technology for antigen-specific immune tolerance for applications that are outside our core areas of focus. For more information, see “Licenses and Collaborations - Spark Therapeutics" below. We believe our SVP technology also has the potential to be used for therapies that stimulate the immune system to prevent and treat cancer, infectious diseases and other diseases. In 2017, we initiated a Phase 1 trial to assess the safety, tolerability and pharmacodynamic profile of our SVP-nicotine vaccine candidate, which we believe is capable of triggering the production of a high level of anti-nicotine antibodies that bind to the nicotine inhaled by smokers, with the potential to prevent nicotine from crossing the blood-brain barrier, thus avoiding an addictive response. We also have an early-stage research program for a therapeutic vaccine for human papilloma virus, or HPV, associated cancers, and we recently completed a preclinical antibody-based vaccine program for malaria. These programs use our SVP technology to encapsulate an immune-stimulatory agent to stimulate the immune system response to a specific antigen. We have financed these programs primarily through grants.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our current SVP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66130" cy="3293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goal is to become the first biopharmaceutical company to develop and commercialize targeted therapies that are designed to modulate the immune system in an antigen-specific manner to effectively and safely treat rare and serious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7" w:lineRule="exact"/>
        <w:rPr>
          <w:sz w:val="20"/>
          <w:szCs w:val="20"/>
          <w:color w:val="auto"/>
        </w:rPr>
      </w:pPr>
    </w:p>
    <w:p>
      <w:pPr>
        <w:ind w:left="660" w:right="2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the development of SEL-212 for the treatment of chronic severe gout. </w:t>
      </w:r>
      <w:r>
        <w:rPr>
          <w:rFonts w:ascii="Arial" w:cs="Arial" w:eastAsia="Arial" w:hAnsi="Arial"/>
          <w:sz w:val="18"/>
          <w:szCs w:val="18"/>
          <w:color w:val="auto"/>
        </w:rPr>
        <w:t>We believe SEL-212 has the potential to become the first biologic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that durably controls uric acid while also dissolving harmful deposits of uric acid crystals for a majority of patients with chronic severe gout. We are currently conducting a Phase 1/2 clinical program, comprised of two completed Phase 1 clinical studies and an ongoing Phase 2 clinical trial. We expect to commence enrollment for our planned Phase 3 clinical program in 2018 and intend to advance this program through regulatory approval and commercialization, if warranted by clinical trial results.</w:t>
      </w:r>
    </w:p>
    <w:p>
      <w:pPr>
        <w:spacing w:after="0" w:line="188"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SVP-Rapamycin to develop additional novel uses and classes of non-immunogenic biologics. </w:t>
      </w:r>
      <w:r>
        <w:rPr>
          <w:rFonts w:ascii="Arial" w:cs="Arial" w:eastAsia="Arial" w:hAnsi="Arial"/>
          <w:sz w:val="18"/>
          <w:szCs w:val="18"/>
          <w:color w:val="auto"/>
        </w:rPr>
        <w:t>We intend to use our SVP technology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a range of proprietary, non-immunogenic biologic therapies. Our current pipeline includes SEL-212 for chronic severe gout, SEL-403 for solid tumors, as well as proprietary gene therapies that could potentially be re-dosed for rare diseases. In addition, we intend to pursue opportunities to co-administer SVP-Rapamycin with other biologic therapies. In each case, SVP-Rapamycin would be evaluated for its potential to mitigate undesired immune response to the biologic therapy with the goal of improving efficacy and/or safety. Our strategy is to develop proprietary treatments for rare and serious diseases by combining SVP-Rapamycin with biologics that have been in- licensed or provided through research collaborations.</w:t>
      </w:r>
    </w:p>
    <w:p>
      <w:pPr>
        <w:spacing w:after="0" w:line="189"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infrastructure and capabilities to commercialize our products in rare and orphan diseases. </w:t>
      </w:r>
      <w:r>
        <w:rPr>
          <w:rFonts w:ascii="Arial" w:cs="Arial" w:eastAsia="Arial" w:hAnsi="Arial"/>
          <w:sz w:val="17"/>
          <w:szCs w:val="17"/>
          <w:color w:val="auto"/>
        </w:rPr>
        <w:t>While we believe our SVP technology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broadly applicable across disease areas, we intend to focus our proprietary efforts on developing and commercializing proprietary SVP-enabled products for rare and serious diseases where there is high unmet medical need. Therapies for treating these diseases require focused commercial efforts and coordination with patient groups and investigators. As our first product candidate, SEL-212, advances toward Phase 3 clinical trials and potential commercialization, we intend to build a commercial infrastructure to capture its full value.</w:t>
      </w:r>
    </w:p>
    <w:p>
      <w:pPr>
        <w:spacing w:after="0" w:line="172" w:lineRule="exact"/>
        <w:rPr>
          <w:rFonts w:ascii="Arial" w:cs="Arial" w:eastAsia="Arial" w:hAnsi="Arial"/>
          <w:sz w:val="17"/>
          <w:szCs w:val="17"/>
          <w:color w:val="auto"/>
        </w:rPr>
      </w:pPr>
    </w:p>
    <w:p>
      <w:pPr>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collaborations and maximize the value of our SVP programs for immune tolerance. </w:t>
      </w:r>
      <w:r>
        <w:rPr>
          <w:rFonts w:ascii="Arial" w:cs="Arial" w:eastAsia="Arial" w:hAnsi="Arial"/>
          <w:sz w:val="18"/>
          <w:szCs w:val="18"/>
          <w:color w:val="auto"/>
        </w:rPr>
        <w:t>In addition to our own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development efforts, we are in discussions with potential collaborators and licensees to pursue novel new therapies that would utilize our SVP technology. For example, in December 2016, we entered into</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220"/>
        <w:spacing w:after="0" w:line="324" w:lineRule="auto"/>
        <w:rPr>
          <w:sz w:val="20"/>
          <w:szCs w:val="20"/>
          <w:color w:val="auto"/>
        </w:rPr>
      </w:pPr>
      <w:r>
        <w:rPr>
          <w:rFonts w:ascii="Arial" w:cs="Arial" w:eastAsia="Arial" w:hAnsi="Arial"/>
          <w:sz w:val="18"/>
          <w:szCs w:val="18"/>
          <w:color w:val="auto"/>
        </w:rPr>
        <w:t>the Spark License Agreement to develop gene therapies for certain targets utilizing our SVP technology. For more information, see “Licenses and Collaborations - Spark Therapeutics” below.</w:t>
      </w:r>
    </w:p>
    <w:p>
      <w:pPr>
        <w:spacing w:after="0" w:line="143" w:lineRule="exact"/>
        <w:rPr>
          <w:sz w:val="20"/>
          <w:szCs w:val="20"/>
          <w:color w:val="auto"/>
        </w:rPr>
      </w:pPr>
    </w:p>
    <w:p>
      <w:pPr>
        <w:ind w:left="660" w:right="10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Opportunistically utilize our SVP technology to stimulate the immune system to fight disease. </w:t>
      </w:r>
      <w:r>
        <w:rPr>
          <w:rFonts w:ascii="Arial" w:cs="Arial" w:eastAsia="Arial" w:hAnsi="Arial"/>
          <w:sz w:val="18"/>
          <w:szCs w:val="18"/>
          <w:color w:val="auto"/>
        </w:rPr>
        <w:t>We have been utilizing non-dilutive funding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SVP immune stimulation technology to develop prophylactic and therapeutic vaccines that activate the immune system to fight disease. Our product candidates in this area have included a nicotine vaccine candidate for smoking cessation and relapse prevention, an immunotherapy to treat HPV-associated cancers, and a product candidate for the prevention of malaria. We have developed our program for smoking cessation and relapse prevention with grant funding from the National Institute for Drug Abuse, and for HPV-associated cancers with grant funding from the Skolkovo Foundation. We also recently completed a preclinical malaria program under a sponsored research arrangement with The Bill and Melinda Gates Foundation.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HUMAN IMMUNE SYSTEM</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122555</wp:posOffset>
            </wp:positionV>
            <wp:extent cx="3550285" cy="2101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 Antigen Presentation and Related Tolerogenic or Stimulatory Immune Response</w:t>
      </w:r>
    </w:p>
    <w:p>
      <w:pPr>
        <w:spacing w:after="0" w:line="22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There are a number of adverse outcomes that can occur when the immune system mounts an undesired response to an innocuous foreign antigen or a self-antigen. For example, food allergy occurs when the immune system mounts an immune response to innocuous food antigens. Another example of undesired immunogenicity occurs when the immune system is exposed to a biologic treatment, recognizes it as a foreign antigen and instructs the body to mount a defense by forming ADAs to the biologic,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number of therapies have been developed to modulate an immune response. These therapies fall into two categories: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12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Immunosuppressive therapies. </w:t>
      </w:r>
      <w:r>
        <w:rPr>
          <w:rFonts w:ascii="Arial" w:cs="Arial" w:eastAsia="Arial" w:hAnsi="Arial"/>
          <w:sz w:val="18"/>
          <w:szCs w:val="18"/>
          <w:color w:val="auto"/>
        </w:rPr>
        <w:t>Immunosuppressive therapies are designed to suppress the immune system and inhibit an undesired immune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However, many current therapies are not antigen-specific and, as a result, broadly suppress the immune system leading to undesired side effects that include opportunistic infections, skin cancer and lymphomas. We believe there is an opportunity to develop therapies that instruct the immune system to mitigate the formation of ADAs in an antigen-specific manner and remain tolerant to the specific antigen, thereby mitigating off-target effects of systemic immunosuppression.</w:t>
      </w:r>
    </w:p>
    <w:p>
      <w:pPr>
        <w:spacing w:after="0" w:line="188"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Immunostimulatory therapies. </w:t>
      </w:r>
      <w:r>
        <w:rPr>
          <w:rFonts w:ascii="Arial" w:cs="Arial" w:eastAsia="Arial" w:hAnsi="Arial"/>
          <w:sz w:val="17"/>
          <w:szCs w:val="17"/>
          <w:color w:val="auto"/>
        </w:rPr>
        <w:t>Immunostimulatory therapies are designed to stimulate the immune system to prevent or treat infections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cancers. The most common class of 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 TECHNOLOGY</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SVP technology is a highly flexible nanoparticle platform, capable of incorporating a wide range of antigens and immunomodulators, allowing us to utilize our SVP products for specific applications across multiple indications. Our SVP technology is based in part on the pioneering research performed by our co-founders at Harvard University, Massachusetts Institute of Technology, or MIT, and Brigham and Women’s Hospital, or Brigham. In connection with our company’s founding, we licensed 17 patent families related to several aspects of our SVP technology as applied to nanoparticles for use in vaccines from our co-founders’ institutions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 For more information, see "Intellectual Property"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developing our SVP technology for:</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combination with a uricase enzyme for the treatment of chronic severe gout;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combination with a recombinant immunotoxin for the treatment of various solid tumors, including mesothelioma;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combination with gene therapies for the treatment of rare diseases;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application with other marketed products, product candidates in development and novel biologic drugs that would otherwise be too immunogenic to develop;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immune stimulation applications for smoking cessation and relapse prevention and HPV-associated cancers.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SVP nanoparticles are designed to remain intact after injection into the body and accumulate selectively in lymphoid organs, which include lymph nodes and the spleen, where the immune response is coordinated. They are designed to be processed by specialized immune cells, such as dendritic cells and other antigen-presenting cells that initiate and regulate immune responses, where they deliver the immunomodulator in a coordinated and targeted manner. Depending on the type of immunomodulator encapsulated in the SVP, our technology is designed to induce either a:</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tolerogenic response to mitigate the formation of ADAs against a biologic drug or treat allergies and autoimmune diseases;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 antigen-specific stimulatory response, such as an antibody response to a microbial antigen or a cytolytic T cell response to a tumor antigen.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ANTIGEN-SPECIFIC IMMUNE TOLERANCE PROGRAM</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antigen-specific SVP tolerance programs utilize SVP-Rapamycin, our biodegradable nanoparticle encapsulating the immunomodulator rapamycin. Rapamycin is a small molecule approved for the prevention of organ rejection in kidney transplant patients. To mitigate the formation of ADAs and induce immune tolerance in the body, we co-administer our SVP-Rapamycin with a free antigen, such as a biologic drug, which is depicted in Figure 2 below.</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238125</wp:posOffset>
            </wp:positionV>
            <wp:extent cx="4364990" cy="1457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6499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2. Co-Administration of SVP-Rapamycin with a Biologic Drug</w:t>
      </w:r>
    </w:p>
    <w:p>
      <w:pPr>
        <w:spacing w:after="0" w:line="2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SVP-Rapamycin is co-administered at the beginning of therapy with a biologic drug to mitigate the formation of ADAs without requiring the alteration of the drug or its dose regimen. As a result, we believe our SVP-Rapamycin may provide us with significant opportunities in the areas of immune tolerance and ADA prevention because SVP-Rapamycin can be co-administered at the beginning of therapy with many different biologic drugs. Importantly, each pairing of SVP-Rapamycin with a biologic drug also offers us the opportunity to pursue a distinct proprietary product candidate, which can be separately patented, approved and marketed. SVP-Rapamycin is manufactured under current good manufacturing practice, or cGMP, using well-defined commercial operations, which, we believe, further enhances the scalability of our tolerance programs.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preclinical studies, we observed that delivering an antigen together with SVP-Rapamycin provided the appropriate signals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induce regulatory T cells, which, in turn, inhibited effector immune responses, such as the formation of ADAs. In our preclinical studies, we observed that SVP-Rapamycin labeled with a fluorescent dye selectively accumulated in lymphoid organs where it was processed by antigen-presenting cells. Figure 3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406400</wp:posOffset>
            </wp:positionV>
            <wp:extent cx="4905375" cy="257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53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3. SVP-Rapamycin and Antigen/Biologic Drug Presentation and Related Immune Tolerance Induction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therapies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All biologics, even those comprised of human protein sequences, have the potential to induce ADAs. Whether a biologic drug elicits an ADA response depends on both product-specific factors, such as propensity to form aggregates, the route of administration and mechanism of action, as well as patient-specific factors, such as genetics, underlying disease and medications. For instance, many enzyme and protein replacement therapies used in the treatment of rare and serious diseases have a particularly high rate of immunogenicity because patients are genetically deficient in the target protein and, as a result, the therapeutic protein can be recognized as foreign by the patient’s immune system.</w:t>
      </w:r>
    </w:p>
    <w:p>
      <w:pPr>
        <w:sectPr>
          <w:pgSz w:w="11900" w:h="16838" w:orient="portrait"/>
          <w:cols w:equalWidth="0" w:num="1">
            <w:col w:w="11380"/>
          </w:cols>
          <w:pgMar w:left="240" w:top="125" w:right="279"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125" w:right="2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formation of ADAs can lead to neutralization of efficacy, modification of pharmacokinetics and pharmacodynamics as well as allergic responses. Immunogenicity remains a significant hurdle for the development of safe and effective biologic treatments and has become a key concern for regulators, as evidenced by over 100 approved biologics that describe immunogenicity in their labels or clinical literature. According to product package inserts, approximately 50 currently marketed biologics report an incidence of ADAs affecting over 20% of patients. Among these biologics are Factor VIII products, such as Advate® (antihemophilic factor) for the treatment of hemophilia A and antibody therapeutics with fully human sequences, such as Humira® (adalimumab). We believe that immunogenicity also is a leading cause of product development failure for biopharmaceutical companies and that this issue is hampering the development of novel platform technologies, such as gene therapy and gene editing.</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Undesired immunogenicity represents a significant hurdle that can hamper the clinical development of new biologic platforms. For example, in gene therapy, viral vectors are required to transport the genetic material into cells. The viral origin of these vectors explains their immunogenicity, which has led drug developers to limit applications to situations where the required frequency and site of administration are conducive to manageable immune responses.</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Treatment and product development failure resulting from undesired immunogenicity has been recognized by regulators and patient advocacy organizations. In June 2014, the FDA and the National Organization for Rare Diseases, or NORD, co-sponsored a workshop on undesired immune responses to enzyme replacement therapies and called on the biopharmaceutical industry to take a more proactive approach to addressing immunogenicity to biologics.</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 removal of immunogenic epitopes. However, these approaches are limited in their effectiveness. Physicians may try to address the issue of undesired immune responses by increasing the dose of the biologic, which can be prohibitively expensive and may present greater safety concerns, or in life-threatening situations, by using global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 PROGRAMS TO INDUCE ANTIGEN-SPECIFIC IMMUNE TOLERANCE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our SVP technology to induce antigen-specific immune tolerance has a broad range of applications. We are currently pursuing targeted product development strategies for multiple applications in which we believe SVP products could be highly differentiated.</w:t>
      </w:r>
    </w:p>
    <w:p>
      <w:pPr>
        <w:spacing w:after="0" w:line="170" w:lineRule="exact"/>
        <w:rPr>
          <w:sz w:val="20"/>
          <w:szCs w:val="20"/>
          <w:color w:val="auto"/>
        </w:rPr>
      </w:pPr>
    </w:p>
    <w:p>
      <w:pPr>
        <w:ind w:left="660" w:right="10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Therapeutic enzymes</w:t>
      </w:r>
      <w:r>
        <w:rPr>
          <w:rFonts w:ascii="Arial" w:cs="Arial" w:eastAsia="Arial" w:hAnsi="Arial"/>
          <w:sz w:val="16"/>
          <w:szCs w:val="16"/>
          <w:color w:val="auto"/>
        </w:rPr>
        <w:t>. Therapeutic enzymes are a frequently used class of biologic drugs to treat rare diseases. Through our analysis of biologic</w:t>
      </w:r>
      <w:r>
        <w:rPr>
          <w:rFonts w:ascii="Arial" w:cs="Arial" w:eastAsia="Arial" w:hAnsi="Arial"/>
          <w:sz w:val="16"/>
          <w:szCs w:val="16"/>
          <w:i w:val="1"/>
          <w:iCs w:val="1"/>
          <w:color w:val="auto"/>
        </w:rPr>
        <w:t xml:space="preserve"> </w:t>
      </w:r>
      <w:r>
        <w:rPr>
          <w:rFonts w:ascii="Arial" w:cs="Arial" w:eastAsia="Arial" w:hAnsi="Arial"/>
          <w:sz w:val="16"/>
          <w:szCs w:val="16"/>
          <w:color w:val="auto"/>
        </w:rPr>
        <w:t>drugs, including our preclinical studies, we have observed that enzymes are especially prone to undesired immune responses. Our first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microbial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67" w:lineRule="exact"/>
        <w:rPr>
          <w:rFonts w:ascii="Arial" w:cs="Arial" w:eastAsia="Arial" w:hAnsi="Arial"/>
          <w:sz w:val="16"/>
          <w:szCs w:val="16"/>
          <w:color w:val="auto"/>
        </w:rPr>
      </w:pPr>
    </w:p>
    <w:p>
      <w:pPr>
        <w:ind w:left="660" w:right="20" w:hanging="328"/>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Oncology treatments</w:t>
      </w:r>
      <w:r>
        <w:rPr>
          <w:rFonts w:ascii="Arial" w:cs="Arial" w:eastAsia="Arial" w:hAnsi="Arial"/>
          <w:sz w:val="17"/>
          <w:szCs w:val="17"/>
          <w:color w:val="auto"/>
        </w:rPr>
        <w:t>. While a variety of cancer treatments have demonstrated the potential to halt or reverse the course of tumor growth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these therapies have proven to be highly immunogenic. One such example is LMB-100, now an investigational immunotoxin developed in collaboration with NCI. The majority of mesothelioma patients treated with an earlier version of LMB-100, called SS1P, experienced dose-limiting immune responses despite the use of potent immunosuppressants. However, the few chemotherapy-refractory mesothelioma patients tolerating more than two treatment cycles in this Phase 1 clinical trial showed marked antitumor responses. We and NCI have observed in preclinical studies that SEL-403, consisting of SVP-Rapamycin dosed in combination with LMB-100, prevented the formation of anti-LMB-100 antibodies and allowed for the administration of at least four treatment cycles in mouse models, representing a meaningful increase in the number of effective doses that could be administrated without the onset of neutralizing antibodies. Further, in a tumor model, the addition of SVP-Rapamycin to the regimen showed a beneficial effect on controlling tumor growth. We in-licensed LMB-100 from NCI in 2017. In March 2018, we initiated a Phase 1 clinical trial of SEL-403, consisting of SVP-Rapamycin and LBM-100 in patients with malignant pleural or peritoneal mesothelioma who have undergone at least one regimen of chemotherapy.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0" w:hanging="328"/>
        <w:spacing w:after="0" w:line="28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Gene therapies</w:t>
      </w:r>
      <w:r>
        <w:rPr>
          <w:rFonts w:ascii="Arial" w:cs="Arial" w:eastAsia="Arial" w:hAnsi="Arial"/>
          <w:sz w:val="16"/>
          <w:szCs w:val="16"/>
          <w:color w:val="auto"/>
        </w:rPr>
        <w:t>. We believe gene therapies have the potential to address key unmet medical needs for many rare genetic diseases, but undesired</w:t>
      </w:r>
      <w:r>
        <w:rPr>
          <w:rFonts w:ascii="Arial" w:cs="Arial" w:eastAsia="Arial" w:hAnsi="Arial"/>
          <w:sz w:val="16"/>
          <w:szCs w:val="16"/>
          <w:i w:val="1"/>
          <w:iCs w:val="1"/>
          <w:color w:val="auto"/>
        </w:rPr>
        <w:t xml:space="preserve"> </w:t>
      </w:r>
      <w:r>
        <w:rPr>
          <w:rFonts w:ascii="Arial" w:cs="Arial" w:eastAsia="Arial" w:hAnsi="Arial"/>
          <w:sz w:val="16"/>
          <w:szCs w:val="16"/>
          <w:color w:val="auto"/>
        </w:rPr>
        <w:t>immune responses to the viral vectors used for gene replacement, augmentation and editing may be restricting their broader use. Through our analysis of genetic diseases, we have identified applications and patient segments that we believe would benefit from our SVP technology. We intend to develop proprietary SVP-Rapamycin-enabled non-immunogenic gene therapies with viral vectors such as the Anc80 vector that we have licensed from MEE. We believe our product candidates have the potential to mitigate the problem of pre-existing immunogenicity to the gene therapy vector by using Anc80 and to prevent undesired immune responses to the vector and transgene that can occur with the first dose of gene therapy by using our SVP technology. Our initial areas of focus include lysosomal storage, genetic muscular and genetic metabolic diseases. We believe we are the first company to systematically pursue the development of gene therapy product candidates with the goal of enabling repeat administration. We have engaged third parties with experience in gene therapy and rare diseases to support the development of our proprietary products. We also have licensed our SVP-Rapamycin technology to Spark Therapeutics for the development of gene therapies for certain pre-specified targets. For more information, see "Licenses and Collaborations - Spark Therapeutics".</w:t>
      </w:r>
    </w:p>
    <w:p>
      <w:pPr>
        <w:spacing w:after="0" w:line="172"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Other products and product candidates affected by undesired immune responses</w:t>
      </w:r>
      <w:r>
        <w:rPr>
          <w:rFonts w:ascii="Arial" w:cs="Arial" w:eastAsia="Arial" w:hAnsi="Arial"/>
          <w:sz w:val="18"/>
          <w:szCs w:val="18"/>
          <w:color w:val="auto"/>
        </w:rPr>
        <w:t>. We have generated preclinical data which we believe suggests a</w:t>
      </w:r>
      <w:r>
        <w:rPr>
          <w:rFonts w:ascii="Arial" w:cs="Arial" w:eastAsia="Arial" w:hAnsi="Arial"/>
          <w:sz w:val="18"/>
          <w:szCs w:val="18"/>
          <w:i w:val="1"/>
          <w:iCs w:val="1"/>
          <w:color w:val="auto"/>
        </w:rPr>
        <w:t xml:space="preserve"> </w:t>
      </w:r>
      <w:r>
        <w:rPr>
          <w:rFonts w:ascii="Arial" w:cs="Arial" w:eastAsia="Arial" w:hAnsi="Arial"/>
          <w:sz w:val="18"/>
          <w:szCs w:val="18"/>
          <w:color w:val="auto"/>
        </w:rPr>
        <w:t>broad potential benefit of SVP for immune tolerance. For many biologic drugs, undesired immune responses limit efficacy and cause safety concerns. This includes TNF-alpha-specific monoclonal antibodies for the treatment of rheumatoid arthritis and coagulation factor replacement therapies for the treatment of hemophilia. We intend to out-license SVP-Rapamycin technology for use with other products that are outside our focus to larger biopharmaceutical companies. We believe our SVP technology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SEL-212 for the treatment of chronic severe gout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SEL-212 is our proprietary product candidate for the treatment of chronic severe gout. SEL-212 consists of SVP-Rapamycin co-administered with pegsiticase, a pegylated uricase. We believe that our SEL-212 has the potential to offer a uniquely effective treatment for patients with chronic severe gout, while also demonstrating the clinical effectiveness of our SVP technology platform. Pegylated uricase, in the form of the approved drug Krystexxa, has demonstrated the ability to significantly reduce uric acid levels and dissolve the harmful uric acid crystals that are the manifestations of gout upon initial treatment in patients. However, we believe broad commercial adoption has not been achieved primarily due to undesired immune responses. Based on our preclinical and Phase 1/2 clinical studies, we believe that by leveraging our SVP technology to mitigate the formation of ADAs following the dosing of our pegylated uricase, pegsiticase, SEL-212 could enable the effective removal of uric acid crystals in a majority of patients.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gout therapy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Gout is a painful and potentially disabling form of arthritis resulting from excess accumulation of uric acid and deposition of uric acid crystals in joints and soft tissues, including those of the kidney and heart, causing harmful inflammation. Gout is caused by an overproduction of uric acid, a natural byproduct of purine metabolism that is produced after consumption of food with high levels of purines such as seafood, meat, yeast and certain vegetables, and/or an inability of the kidneys to excrete adequate amounts of uric acid from the body. High concentrations of serum uric acid lead to formation of uric acid crystals in joints and tissues, causing pain, inflammation and joint damage, and increase the risk for other conditions, including cardiovascular, cardiometabolic, joint and kidney disease.</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approximately 8.3 million and 10.0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these oral treatments are designed to prevent the formation of uric acid deposits, they are not well suited to reduce existing uric acid deposits in joints and tissues.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Gout is a spectrum of disease that is typically diagnosed through the measurement of uric acid levels in the blood and/or the identification of uric acid crystals from a visible tophus. High concentrations of serum uric acid increase the risk of co-morbidities, including cardiovascular, cardiometabolic, joint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 Chronic severe gout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constitutes a subset of gout patients exhibiting chronic high serum uric acid levels and painful and damaging uric acid deposits. In total, we estimate that there are approximately 160,000 chronic severe gout patients in the U.S. who are seen by rheumatologists.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Figure 4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152400</wp:posOffset>
            </wp:positionV>
            <wp:extent cx="4682490" cy="3035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8249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4. Co-Morbidities Associated with Gout</w:t>
      </w:r>
    </w:p>
    <w:p>
      <w:pPr>
        <w:spacing w:after="0" w:line="22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Based on our preclinical studies, clinical data from our Phase 1b and ongoing Phase 2 trials and market research, we believe that SEL-212 may potentially address two key unmet needs in the treatment of chronic severe gout: the durable control of serum uric acid levels and the elimination of painful and damaging uric acid deposits.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product development strategy is designed to address these unmet medical needs while improving the dosing regimen to a once-monthly treatment. We plan to initially seek regulatory approval for the treatment of refractory gout by demonstrating reduction of serum uric acid levels below the FDA-approved endpoint and clinical guideline of 6 mg/dl. We plan for this program to include patients with chronic tophaceous gout. During our market research, physicians expressed their preference for monthly dosing as well as for a subcutaneous route of administration. In response to this preference, we intend to develop SEL-212 as a monthly intravenous treatment and intend to evaluate the development of a subcutaneous formulation.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that SEL-212 is ideally suited for patients with chronic severe gout. If approved, we plan to position SEL-212 as a debulking therapy for gout that would remove harmful uric acid deposits over a limited number of monthly doses and allow patients to switch to oral gout maintenance therapy unless and until such patients experience a subsequent manifestation of uric acid deposits at which time a new course of SEL-212 would be required. We do not believe that oral therapy would completely prevent the build-up over time of uric acid crystals in patients with a history of chronic tophaceous gout. As a result, we anticipate that SEL-212 treatment, if approved, would be required intermittently in such patients. We believe that, in contrast to Krystexxa, SEL-212 may be effective in removing harmful uric acid deposits in most patients with chronic tophaceous gout over multiple courses of treatment in their lifetimes. Figure 5 below depicts this positioning strategy as a sample diagram illustrating what we believe to be a shift in the treatment paradigm for chronic severe gout.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866130" cy="329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5. Sample Treatment Course for Chronic Severe Gout.</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our clinical and marketing strategy for SEL-212 to initially focus on the estimated 160,000 patients in the United States with chronic severe gout who are being treated by rheumatologists. If SEL-212 is approved, we expect our strategy for marketing SEL-212 to rheumatologists will be to promote a switch from oral therapies to SEL-212 for patients with serum uric acid levels chronically above 6 mg/dl or those diagnosed with chronic tophaceous gout. Some rheumatologists have begun to utilize imaging technologies recommended by the guideline writing associations for rheumatology, including the American College of Rheumatology and the European League Against Rheumatism. In particular, dual energy computed tomography, or DECT, can visualize uric acid deposits in joints and tissues as depicted in Figure 6 below in green. DECT has the potential to become an important tool to manage chronic severe gout and to visualize the efficacy of SEL-212. We believe DECT imaging use could increase the market for SEL-212 by better assessing the severity of gout prior to treatment and by demonstrating the impact of efficacy following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122555</wp:posOffset>
            </wp:positionV>
            <wp:extent cx="3644900" cy="247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6. Tophi / Uric Acid Deposits (shown in green) Visualized Using Dual Energy Computed Tomography Imaging</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125" w:right="2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SEL-212 components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SEL-212 consists of SVP-Rapamycin co-administered with pegsiticase. Our SVP-Rapamycin consists of nanoparticles composed of poly(D,L-lactide), or PLA, and poly(D,L-lactide)-block-poly(ethylene-glycol), or PLA-PEG, encapsulating rapamycin. Our pegsiticase consists of a uricase modified with poly(ethylene-glycol), or PEG. The components of SEL-212 are depicted in Figure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124460</wp:posOffset>
            </wp:positionV>
            <wp:extent cx="4013200" cy="1252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1320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7. Components of SEL-212</w:t>
      </w:r>
    </w:p>
    <w:p>
      <w:pPr>
        <w:spacing w:after="0" w:line="2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effective in significantly and promptly lowering uric acid levels in virtually all patients who do not form ADAs.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SVP-Rapamycin is our biodegradable nanoparticle that encapsulates rapamycin, also referred to as sirolimus. Rapamycin is the active ingredient of Rapamune, an immunosuppressant which has extensive prior use in humans and is currently FDA-approved as a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substantially reduced the formation of associated ADAs and induced antigen-specific immune tolerance to the biologic drug.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For chronic severe gout, we are executing a clinical development program that seeks to demonstrate SEL-212’s ability to durably reduce serum uric acid levels below 6.0 mg/dL. The saturation point of uric acid, or the maximum level at which uric acid will remain soluble in plasma, is 6.8 mg/dL. When uric acid rises above 6.8 mg/dL, monosodium urate microcrystals begin to form and settle in joints and other tissues, creating an inflammatory response that is diagnosed as gout. This inflammatory response is the source of highly debilitating gout flares experienced by patients. When serum uric acid levels drop below the level of 6.0 mg/dL, microcrystals will begin to dissolve and, over time, gout symptoms will resolve. Therefore, a serum uric acid level of less than 6.0 mg/dL is defined as the target for uric acid-lowering treatments by organizations such as the American College of Rheumatology and the European League Against Rheumatism. The FDA and EMA have also established the maintenance of serum uric acid levels below 6 mg/dL as the primary endpoint in clinical trials for urate lowering therapies. Available oral gout therapies are designed to prevent the formation of uric acid microcrystals but are not effective in rapidly removing existing crystalized deposits. In severe gout patients who have significant deposits of monosodium urate crystals, known as tophi, it is of clinical benefit to significantly reduce serum uric acid levels (i.e. below 0.1 mg/dL) for a period of time in order to rapidly dissolve the monosodium urate crystals.</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expect to conduct five clinical studies in more than 400 patients with gout or elevated levels of serum uric acid. We initiated our clinical program in the U.S. in the second quarter of 2015 with a multicenter Phase 1a trial of pegsiticase in patients with serum uric acid levels greater than 6.0 mg/dL. We completed the patient treatment portion of our Phase 1a trial in November 2015, initiated a Phase 1b trial in December 2015 and reported data from both Phase 1 clinical trials in December 2016. In our Phase 1b trial, we demonstrated that a single dose of SEL-212 was capable of lowering serum uric acid levels below 0.1 mg/dL for at least 30 days, which is correlated with the inhibition of uricase-specific ADAs. We initiated patient recruitment in an open label multi-dose Phase 2 clinical trial of SEL-212 in patients with symptomatic gout and elevated uric acid levels in October 2016. This study is being conducted at multiple clinical sites in the U.S. After an end-of-Phase 2 meeting with the FDA, we expect that we will be required to conduct two replicate Phase 3 clinical trials in patients with chronic refractory gout. We plan</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leverage our experience in chronic refractory gout for additional but similar clinical trials to support the treatment of patients with chronic severe gout, with or without visible tophi.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and Phase 2 clinical trials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SEL-212 is currently being evaluated in a Phase 1/2 clinical program that includes a Phase 1a and Phase 1b clinical trial in patients with high uric acid levels as well as a Phase 2 clinical trial in patients with symptomatic gout and high uric acid levels. Each Phase 1 clinical trial was designed with the primary objective to evaluate the safety and tolerability of SEL-212 and its individual components. Additional objectives of the Phase 1 clinical trials included identifying a pegsiticase dose that was capable of lowering serum uric acid levels over a period of one month, evaluating the immunogenicity of pegsiticase after a single dose and demonstrating that SVP-Rapamycin co-administered with pegsiticase reduced uric acid levels and mitigated the formation of uricase-specific ADAs. The Phase 2 clinical trial is evaluating the effect of multiple doses over an extended period of time on serum uric acid and the formation of ADAs in patients. We received final data from both Phase 1 clinical trials in December 2016. We commenced patient recruitment in the Phase 2 clinical trial in October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clinical trial</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Phase 1a clinical trial for SEL-212 was conducted at multiple sites in the United States and was a single ascending dose trial of pegsiticase alone in 22 patients with elevated serum uric acid levels greater than 6 mg/dl. At the outset of the trial, each of five cohorts received a single intravenous infusion of pegsiticase at ascending dose levels. We monitored the patients during a 30-day period post-infusion. We commenced enrollment of the clinical trial in the second quarter of 2015 and completed the treatment portion of the trial in November 2015. We observed that pegsiticase demonstrated no serious adverse events, or SAEs, and was well tolerated at the five dose levels tested. Additionally, we observed that pegsiticase rapidly reduced and sustained average serum uric acid levels below 6 mg/dl for each cohort for 14 to 30 days, depending on the dose level. Consistent with our preclinical studies in animals, pegsiticase induced uricase-specific ADAs in all patients with varying levels in this Phase 1a trial.</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Figure 8 below indicates the serum uric acid and uricase-specific ADA levels for each patient in Cohort #3 of the Phase 1a clinical trial, which received a single dose of 0.4 mg/kg of pegsiticase. The serum uric acid levels were measured at baseline and days seven, 14, 21 and 30 and uricase-specific ADA levels at baseline and days seven, 14 and 30 following the single intravenous injection of pegsiticase. We did not measure uricase-specific ADA levels at day 21 in the Phase 1a clinical trial. Patient number two in this cohort developed a relatively low level uricase-specific ADA titer of 40 and maintained uric acid levels below 0.5 mg/dL through the thirtieth day after dosing. By contrast, the remaining four patients in the cohort developed levels of uricase-specific ADAs greater than 1,000 titer and uric acid levels above 5 mg/dL by the thirtieth day after dosing. Based on the results from our Phase 1a clinical trial, we observed that pegsiticase at the 0.4 mg/kg dose is capable of achieving and maintaining a reduction of serum uric acid below the target of 6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122555</wp:posOffset>
            </wp:positionV>
            <wp:extent cx="5076825" cy="1629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7682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8. Phase 1a Clinical Trial: Serum Uric Acid and Uricase-Specific ADA Levels of the Third Cohort</w:t>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our analysis of the Phase 1a clinical trial data, we selected the pegsiticase dose of 0.4 mg/kg from Cohort #3 of the Phase 1a clinical trial for further study in the Phase 1b clinical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clinical trial</w:t>
      </w:r>
    </w:p>
    <w:p>
      <w:pPr>
        <w:spacing w:after="0" w:line="225"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In December 2015, we initiated our Phase 1b clinical trial at multiple sites in the United States. The clinical trial enrolled 63 patients with serum uric acid levels greater than 6 mg/dl. One group of five patients received a single 0.4 mg/kg dose of pegsiticase alone, which we refer to as the Pegsiticase Cohort. Four groups of patients, each containing two placebo-control patients and five test article patients, received a placebo or a single intravenous infusion of SVP</w:t>
      </w:r>
      <w:r>
        <w:rPr>
          <w:rFonts w:ascii="MS PGothic" w:cs="MS PGothic" w:eastAsia="MS PGothic" w:hAnsi="MS PGothic"/>
          <w:sz w:val="16"/>
          <w:szCs w:val="16"/>
          <w:color w:val="auto"/>
        </w:rPr>
        <w:t>‑</w:t>
      </w:r>
      <w:r>
        <w:rPr>
          <w:rFonts w:ascii="Arial" w:cs="Arial" w:eastAsia="Arial" w:hAnsi="Arial"/>
          <w:sz w:val="16"/>
          <w:szCs w:val="16"/>
          <w:color w:val="auto"/>
        </w:rPr>
        <w:t>Rapamycin alone at the following ascending dose levels: 0.03 mg/kg, 0.1 mg/kg, 0.3 mg/kg and 0.5 mg/kg, which we refer to collectively as the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21" w:lineRule="exact"/>
        <w:rPr>
          <w:sz w:val="20"/>
          <w:szCs w:val="20"/>
          <w:color w:val="auto"/>
        </w:rPr>
      </w:pPr>
      <w:r>
        <w:rPr>
          <w:rFonts w:ascii="Arial" w:cs="Arial" w:eastAsia="Arial" w:hAnsi="Arial"/>
          <w:sz w:val="18"/>
          <w:szCs w:val="18"/>
          <w:color w:val="auto"/>
        </w:rPr>
        <w:t>SVP</w:t>
      </w:r>
      <w:r>
        <w:rPr>
          <w:rFonts w:ascii="MS PGothic" w:cs="MS PGothic" w:eastAsia="MS PGothic" w:hAnsi="MS PGothic"/>
          <w:sz w:val="18"/>
          <w:szCs w:val="18"/>
          <w:color w:val="auto"/>
        </w:rPr>
        <w:t>‑</w:t>
      </w:r>
      <w:r>
        <w:rPr>
          <w:rFonts w:ascii="Arial" w:cs="Arial" w:eastAsia="Arial" w:hAnsi="Arial"/>
          <w:sz w:val="18"/>
          <w:szCs w:val="18"/>
          <w:color w:val="auto"/>
        </w:rPr>
        <w:t>Rapamycin Cohorts. Four groups of patients received a single intravenous infusion of SVP</w:t>
      </w:r>
      <w:r>
        <w:rPr>
          <w:rFonts w:ascii="MS PGothic" w:cs="MS PGothic" w:eastAsia="MS PGothic" w:hAnsi="MS PGothic"/>
          <w:sz w:val="18"/>
          <w:szCs w:val="18"/>
          <w:color w:val="auto"/>
        </w:rPr>
        <w:t>‑</w:t>
      </w:r>
      <w:r>
        <w:rPr>
          <w:rFonts w:ascii="Arial" w:cs="Arial" w:eastAsia="Arial" w:hAnsi="Arial"/>
          <w:sz w:val="18"/>
          <w:szCs w:val="18"/>
          <w:color w:val="auto"/>
        </w:rPr>
        <w:t>Rapamycin at ascending dose levels of 0.03 mg/kg (5 patients), 0.1 mg/kg (10 patients), 0.15 mg/kg (5 patients) or 0.3 mg/kg (5 patients) with a fixed dose of pegsiticase of 0.4 mg/kg, which we collectively call the SEL-212 cohorts. All patients were followed for at least 30 days after their initial dose.</w:t>
      </w:r>
    </w:p>
    <w:p>
      <w:pPr>
        <w:spacing w:after="0" w:line="20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Figure 9 below depicts the serum uric acid levels of Pegsiticase Cohort (depicted in red symbols), the SVP</w:t>
      </w:r>
      <w:r>
        <w:rPr>
          <w:rFonts w:ascii="MS PGothic" w:cs="MS PGothic" w:eastAsia="MS PGothic" w:hAnsi="MS PGothic"/>
          <w:sz w:val="16"/>
          <w:szCs w:val="16"/>
          <w:color w:val="auto"/>
        </w:rPr>
        <w:t>‑</w:t>
      </w:r>
      <w:r>
        <w:rPr>
          <w:rFonts w:ascii="Arial" w:cs="Arial" w:eastAsia="Arial" w:hAnsi="Arial"/>
          <w:sz w:val="16"/>
          <w:szCs w:val="16"/>
          <w:color w:val="auto"/>
        </w:rPr>
        <w:t>Rapamycin Cohorts (depicted in blue symbols),</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and the SEL</w:t>
      </w:r>
      <w:r>
        <w:rPr>
          <w:rFonts w:ascii="MS PGothic" w:cs="MS PGothic" w:eastAsia="MS PGothic" w:hAnsi="MS PGothic"/>
          <w:sz w:val="16"/>
          <w:szCs w:val="16"/>
          <w:color w:val="auto"/>
        </w:rPr>
        <w:t>‑</w:t>
      </w:r>
      <w:r>
        <w:rPr>
          <w:rFonts w:ascii="Arial" w:cs="Arial" w:eastAsia="Arial" w:hAnsi="Arial"/>
          <w:sz w:val="16"/>
          <w:szCs w:val="16"/>
          <w:color w:val="auto"/>
        </w:rPr>
        <w:t>212 Cohorts (depicted in green symbols) from the Phase 1b clinical trial. Serum uric acid levels were measured at baseline and days seven, 14,</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21, 30 and longer for some patients that maintained serum uric acid control at day 21. As expected, SVP</w:t>
      </w:r>
      <w:r>
        <w:rPr>
          <w:rFonts w:ascii="MS PGothic" w:cs="MS PGothic" w:eastAsia="MS PGothic" w:hAnsi="MS PGothic"/>
          <w:sz w:val="16"/>
          <w:szCs w:val="16"/>
          <w:color w:val="auto"/>
        </w:rPr>
        <w:t>‑</w:t>
      </w:r>
      <w:r>
        <w:rPr>
          <w:rFonts w:ascii="Arial" w:cs="Arial" w:eastAsia="Arial" w:hAnsi="Arial"/>
          <w:sz w:val="16"/>
          <w:szCs w:val="16"/>
          <w:color w:val="auto"/>
        </w:rPr>
        <w:t>Rapamycin alone had no relevant effect on reducing</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serum uric acid levels across the SVP</w:t>
      </w:r>
      <w:r>
        <w:rPr>
          <w:rFonts w:ascii="MS PGothic" w:cs="MS PGothic" w:eastAsia="MS PGothic" w:hAnsi="MS PGothic"/>
          <w:sz w:val="16"/>
          <w:szCs w:val="16"/>
          <w:color w:val="auto"/>
        </w:rPr>
        <w:t>‑</w:t>
      </w:r>
      <w:r>
        <w:rPr>
          <w:rFonts w:ascii="Arial" w:cs="Arial" w:eastAsia="Arial" w:hAnsi="Arial"/>
          <w:sz w:val="16"/>
          <w:szCs w:val="16"/>
          <w:color w:val="auto"/>
        </w:rPr>
        <w:t>Rapamycin Cohorts, as such levels remained relatively constant during the 30</w:t>
      </w:r>
      <w:r>
        <w:rPr>
          <w:rFonts w:ascii="MS PGothic" w:cs="MS PGothic" w:eastAsia="MS PGothic" w:hAnsi="MS PGothic"/>
          <w:sz w:val="16"/>
          <w:szCs w:val="16"/>
          <w:color w:val="auto"/>
        </w:rPr>
        <w:t>‑</w:t>
      </w:r>
      <w:r>
        <w:rPr>
          <w:rFonts w:ascii="Arial" w:cs="Arial" w:eastAsia="Arial" w:hAnsi="Arial"/>
          <w:sz w:val="16"/>
          <w:szCs w:val="16"/>
          <w:color w:val="auto"/>
        </w:rPr>
        <w:t>day period. Patients in the Pegsiticase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Cohort showed an immediate drop in uric acid levels after dosing, with uric acid levels returning close to or above baseline levels by day 21 in four of the five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patients, similar to what was observed in Cohort #3 in the Phase 1A study. In contrast, patients in the SEL-212 Cohort receiving the lowest dose of</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SVP</w:t>
      </w:r>
      <w:r>
        <w:rPr>
          <w:rFonts w:ascii="MS PGothic" w:cs="MS PGothic" w:eastAsia="MS PGothic" w:hAnsi="MS PGothic"/>
          <w:sz w:val="17"/>
          <w:szCs w:val="17"/>
          <w:color w:val="auto"/>
        </w:rPr>
        <w:t>‑</w:t>
      </w:r>
      <w:r>
        <w:rPr>
          <w:rFonts w:ascii="Arial" w:cs="Arial" w:eastAsia="Arial" w:hAnsi="Arial"/>
          <w:sz w:val="17"/>
          <w:szCs w:val="17"/>
          <w:color w:val="auto"/>
        </w:rPr>
        <w:t>Rapamycin (0.03 mg/kg) co-administered with pegsiticase (0.4 mg/kg), showed four out of five patients maintaining serum uric acid levels below 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mg/dL through day 21 after dosing. SEL-212 patients receiving SVP-Rapamycin at 0.1 mg/kg co-administered with 0.4 mg/kg of pegsiticase, showed seven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 of 10 patients maintained levels of serum uric acid of less than 0.1 mg/dl through day 30. SEL-212 patients receiving SVP-Rapamycin at 0.15 mg/kg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administered with 0.4 mg/kg of pegsiticase, showed all five patients maintaining levels of serum uric acid of less than 6 mg/dL through day 30. Finally, 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212 patients receiving SVP-Rapamycin at 0.3 mg/kg c- administered with 0.4 mg/kg of pegsiticase, showed all five patients maintaining levels of serum uric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acid of less than 0.1 mg/dL through day 30. These results indicate that SEL-212 showed a dose-dependent reduction in serum uric acid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9. Phase 1b Clinical Trial: Uric Acid Levels Across All Phase 1b Cohorts</w:t>
      </w:r>
    </w:p>
    <w:p>
      <w:pPr>
        <w:spacing w:after="0" w:line="2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Figure 10 below depicts the serum uric acid levels at day 30 next to the corresponding day 30 uricase-specific ADA titer for all patients in the Pegsiticase Cohort and in the SEL-212 Cohorts at the three higher dose levels. Four of the five patients treated with 0.4 mg/kg pegsiticase alone showed their serum uric return to baseline by day 30 and all five showed uricase specific ADA titers greater than 1000. Seven of 10 SEL-212 patients treated with 0.1 mg/kg SVP-Rapamycin and 0.4 mg/kg pegsiticase showed serum uric acid levels &lt;0.1 mg/dL with corresponding low or negative uricase specific ADA titers at day 30. All five SEL-212 patients treated with 0.15 mg/kg SVP-Rapamycin and 0.4 mg/kg pegsiticase showed serum uric acid below 6 mg/dL at day 30. One patient developed uricase specific ADA titers greater than 1000 but still maintained his serum uric acid below</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target threshold of 6 mg/dL at day 30. The other four patients showed no ADA titers and had serum uric acid levels &lt;0.1 mg/kg. Finally all five SEL-212 patients treated with 0.3 mg/kg SVP-Rapamycin and 0.4 mg/kg pegsiticase showed serum uric acid &lt;0.1mg/dL at day 30 with corresponding low or negative ADA titers. The one patient with an ADA titer of 120 at baseline showed the same titer at baseline and at each time point tested, indicating that this patient had pre-existing low titer of antibody that was cross-reactive with pegsiticase at baseline. These results indicate that SEL-212 can mitigate the formation of uricase-specific ADAs which correlates with sustained control of serum uric acid levels through at least day 30 after a single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109220</wp:posOffset>
            </wp:positionV>
            <wp:extent cx="5282565" cy="2898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10.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w:t>
      </w:r>
    </w:p>
    <w:p>
      <w:pPr>
        <w:spacing w:after="0" w:line="22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Certain patients in the SEL-212 Cohort were requested to return for additional visits on days 37, 44, and/or 51 because their serum uric acid levels were still under control (&lt; 6mg/dL) at day 21. Not all patients were able to return for the additional visits. The data for those who could return are in included in Figure 11 below. The data show that uric acid levels eventually return to baseline, as expected after a single dose of pegsiticase. Importantly, no emergence of ADAs was detected in those patients who exhibited low or no ADA titers at day 30. These data suggest that the treatment with SVP-Rapamycin could control immune responses to pegsiticase for up to 51 days after dosing. The data also support monthly dosing in the Phase 2 multiple dose trial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109220</wp:posOffset>
            </wp:positionV>
            <wp:extent cx="4913630" cy="2143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363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11.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w:t>
      </w:r>
    </w:p>
    <w:p>
      <w:pPr>
        <w:spacing w:after="0" w:line="222"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color w:val="auto"/>
        </w:rPr>
        <w:t>Figure 12 below presents a non-head-to-head comparison of the activity of selected dose levels of SEL-212 (0.1, 0.15, and 0.3 mg/kg SVP-Rapamycin + 0.4 mg/kg pegsiticase) and the Pegsiticase Cohort of the Phase 1b clinical trial with data from two replicate, randomized, double</w:t>
      </w:r>
      <w:r>
        <w:rPr>
          <w:rFonts w:ascii="MS PGothic" w:cs="MS PGothic" w:eastAsia="MS PGothic" w:hAnsi="MS PGothic"/>
          <w:sz w:val="18"/>
          <w:szCs w:val="18"/>
          <w:color w:val="auto"/>
        </w:rPr>
        <w:t>‑</w:t>
      </w:r>
      <w:r>
        <w:rPr>
          <w:rFonts w:ascii="Arial" w:cs="Arial" w:eastAsia="Arial" w:hAnsi="Arial"/>
          <w:sz w:val="18"/>
          <w:szCs w:val="18"/>
          <w:color w:val="auto"/>
        </w:rPr>
        <w:t>blind, placebo</w:t>
      </w:r>
      <w:r>
        <w:rPr>
          <w:rFonts w:ascii="MS PGothic" w:cs="MS PGothic" w:eastAsia="MS PGothic" w:hAnsi="MS PGothic"/>
          <w:sz w:val="18"/>
          <w:szCs w:val="18"/>
          <w:color w:val="auto"/>
        </w:rPr>
        <w:t>‑</w:t>
      </w:r>
      <w:r>
        <w:rPr>
          <w:rFonts w:ascii="Arial" w:cs="Arial" w:eastAsia="Arial" w:hAnsi="Arial"/>
          <w:sz w:val="18"/>
          <w:szCs w:val="18"/>
          <w:color w:val="auto"/>
        </w:rPr>
        <w:t>controlled clinical trials of Krystexxa as reported in the Journal of the American</w:t>
      </w:r>
    </w:p>
    <w:p>
      <w:pPr>
        <w:sectPr>
          <w:pgSz w:w="11900" w:h="16838" w:orient="portrait"/>
          <w:cols w:equalWidth="0" w:num="1">
            <w:col w:w="11360"/>
          </w:cols>
          <w:pgMar w:left="240" w:top="125" w:right="299" w:bottom="1440" w:gutter="0" w:footer="0" w:header="0"/>
        </w:sect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125" w:right="2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18" w:lineRule="exact"/>
        <w:rPr>
          <w:sz w:val="20"/>
          <w:szCs w:val="20"/>
          <w:color w:val="auto"/>
        </w:rPr>
      </w:pPr>
      <w:r>
        <w:rPr>
          <w:rFonts w:ascii="Arial" w:cs="Arial" w:eastAsia="Arial" w:hAnsi="Arial"/>
          <w:sz w:val="18"/>
          <w:szCs w:val="18"/>
          <w:color w:val="auto"/>
        </w:rPr>
        <w:t>Medical Association in 2011. These two Krystexxa clinical trials included 85 patients who received biweekly doses of Krystexxa, 84 patients who received monthly doses of Krystexxa and 43 patients who received a placebo. Of the Krystexxa</w:t>
      </w:r>
      <w:r>
        <w:rPr>
          <w:rFonts w:ascii="MS PGothic" w:cs="MS PGothic" w:eastAsia="MS PGothic" w:hAnsi="MS PGothic"/>
          <w:sz w:val="18"/>
          <w:szCs w:val="18"/>
          <w:color w:val="auto"/>
        </w:rPr>
        <w:t>‑</w:t>
      </w:r>
      <w:r>
        <w:rPr>
          <w:rFonts w:ascii="Arial" w:cs="Arial" w:eastAsia="Arial" w:hAnsi="Arial"/>
          <w:sz w:val="18"/>
          <w:szCs w:val="18"/>
          <w:color w:val="auto"/>
        </w:rPr>
        <w:t>treated patients that were considered responders, as defined by the maintenance of uric acid levels below 6 mg/dL for 80% of the time at months three and six, the mean uric acid levels in patients on the biweekly dose regimen were more meaningfully and consistently improved than patients on the monthly dose regimen. Krystexxa has been approved for the treatment of refractory gout on a biweekly dose regimen whereas the monthly dose regimen of Krystexxa has not been approved for marketing. The graph on the left in Figure 14 below depicts the data for the four-week period after the first dose of Krystexxa from the cohorts of patients in the Krystexxa clinical trials who received monthly doses.</w:t>
      </w:r>
    </w:p>
    <w:p>
      <w:pPr>
        <w:spacing w:after="0" w:line="20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placebo control patients, indicated in open circles in Figure 12 below, had uric acid levels above 6 mg/dl for the entire four weeks. The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that went on to become responders are indicated in black circles. The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that went on to become non</w:t>
      </w:r>
      <w:r>
        <w:rPr>
          <w:rFonts w:ascii="MS PGothic" w:cs="MS PGothic" w:eastAsia="MS PGothic" w:hAnsi="MS PGothic"/>
          <w:sz w:val="16"/>
          <w:szCs w:val="16"/>
          <w:color w:val="auto"/>
        </w:rPr>
        <w:t>‑</w:t>
      </w:r>
      <w:r>
        <w:rPr>
          <w:rFonts w:ascii="Arial" w:cs="Arial" w:eastAsia="Arial" w:hAnsi="Arial"/>
          <w:sz w:val="16"/>
          <w:szCs w:val="16"/>
          <w:color w:val="auto"/>
        </w:rPr>
        <w:t>responders, as defined by the inability to maintain uric acid levels below 6 mg/dl for 80% of the time at months three and six, are indicated in black triangles. Only 35% of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in the monthly dosing cohorts were classified as responders. Of the patients that received monthly doses, it is notable that, even at four weeks, the mean uric acid levels were above 6 mg/dl in the non</w:t>
      </w:r>
      <w:r>
        <w:rPr>
          <w:rFonts w:ascii="MS PGothic" w:cs="MS PGothic" w:eastAsia="MS PGothic" w:hAnsi="MS PGothic"/>
          <w:sz w:val="16"/>
          <w:szCs w:val="16"/>
          <w:color w:val="auto"/>
        </w:rPr>
        <w:t>‑</w:t>
      </w:r>
      <w:r>
        <w:rPr>
          <w:rFonts w:ascii="Arial" w:cs="Arial" w:eastAsia="Arial" w:hAnsi="Arial"/>
          <w:sz w:val="16"/>
          <w:szCs w:val="16"/>
          <w:color w:val="auto"/>
        </w:rPr>
        <w:t>responders, representing 65% of patients, and were above 4 mg/dL in the responders. While not depicted in Figure 12 below, 89% of all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developed ADAs. In comparison, the middle graph in Figure 12 below depicts data from patients treated with pegsiticase alone of the Phase 1b clinical trial, indicated in red. The overall kinetics of serum uric acid levels following a single dose of pegsiticase is qualitatively similar to that observed in the monthly Krystexxa study. In contrast, patients of the Phase 1b clinical trial treated with a single dose of SEL-212 (0.1, 0.15, or 0.3 mg/kg SVP-Rapamycin + 0.4 mg/kg pegsiticase), and indicated in green, maintained levels of serum uric acid well below the target threshold of 6.0 mg/dL through day 30. Patients in the Phase 1b clinical trial, treated with SVP</w:t>
      </w:r>
      <w:r>
        <w:rPr>
          <w:rFonts w:ascii="MS PGothic" w:cs="MS PGothic" w:eastAsia="MS PGothic" w:hAnsi="MS PGothic"/>
          <w:sz w:val="16"/>
          <w:szCs w:val="16"/>
          <w:color w:val="auto"/>
        </w:rPr>
        <w:t>‑</w:t>
      </w:r>
      <w:r>
        <w:rPr>
          <w:rFonts w:ascii="Arial" w:cs="Arial" w:eastAsia="Arial" w:hAnsi="Arial"/>
          <w:sz w:val="16"/>
          <w:szCs w:val="16"/>
          <w:color w:val="auto"/>
        </w:rPr>
        <w:t>Rapamycin alone and indicated in blue, experienced no significant reduction in uric acid levels, as such levels remained relatively constant over the 30-day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140335</wp:posOffset>
            </wp:positionV>
            <wp:extent cx="5120005" cy="2066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2000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12. Retrospective Comparison of the Activity of Krystexxa, Pegsiticase, and SEL</w:t>
      </w:r>
      <w:r>
        <w:rPr>
          <w:rFonts w:ascii="MS PGothic" w:cs="MS PGothic" w:eastAsia="MS PGothic" w:hAnsi="MS PGothic"/>
          <w:sz w:val="14"/>
          <w:szCs w:val="14"/>
          <w:color w:val="auto"/>
        </w:rPr>
        <w:t>‑</w:t>
      </w:r>
      <w:r>
        <w:rPr>
          <w:rFonts w:ascii="Arial" w:cs="Arial" w:eastAsia="Arial" w:hAnsi="Arial"/>
          <w:sz w:val="14"/>
          <w:szCs w:val="14"/>
          <w:i w:val="1"/>
          <w:iCs w:val="1"/>
          <w:color w:val="auto"/>
        </w:rPr>
        <w:t>212 After a Single Dose</w:t>
      </w:r>
    </w:p>
    <w:p>
      <w:pPr>
        <w:spacing w:after="0" w:line="222"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While we believe the above comparison is useful in evaluating the results of SEL-212 Cohorts of the Phase 1b clinical trial, our Phase 1b clinical trial and the Krystexxa clinical trials were separate trials conducted by different investigators at different sites. In addition, there were substantial differences, including, for example, that the Krystexxa clinical trials were double</w:t>
      </w:r>
      <w:r>
        <w:rPr>
          <w:rFonts w:ascii="MS PGothic" w:cs="MS PGothic" w:eastAsia="MS PGothic" w:hAnsi="MS PGothic"/>
          <w:sz w:val="16"/>
          <w:szCs w:val="16"/>
          <w:color w:val="auto"/>
        </w:rPr>
        <w:t>‑</w:t>
      </w:r>
      <w:r>
        <w:rPr>
          <w:rFonts w:ascii="Arial" w:cs="Arial" w:eastAsia="Arial" w:hAnsi="Arial"/>
          <w:sz w:val="16"/>
          <w:szCs w:val="16"/>
          <w:color w:val="auto"/>
        </w:rPr>
        <w:t>blind trials involving a substantial number of patients with refractory gout while our Phase 1b clinical trial evaluated SEL</w:t>
      </w:r>
      <w:r>
        <w:rPr>
          <w:rFonts w:ascii="MS PGothic" w:cs="MS PGothic" w:eastAsia="MS PGothic" w:hAnsi="MS PGothic"/>
          <w:sz w:val="16"/>
          <w:szCs w:val="16"/>
          <w:color w:val="auto"/>
        </w:rPr>
        <w:t>‑</w:t>
      </w:r>
      <w:r>
        <w:rPr>
          <w:rFonts w:ascii="Arial" w:cs="Arial" w:eastAsia="Arial" w:hAnsi="Arial"/>
          <w:sz w:val="16"/>
          <w:szCs w:val="16"/>
          <w:color w:val="auto"/>
        </w:rPr>
        <w:t>212 in an unblinded manner in a small number of patients with elevated uric acid levels. Moreover, we could only compare the efficacy of SEL-212 with the four</w:t>
      </w:r>
      <w:r>
        <w:rPr>
          <w:rFonts w:ascii="MS PGothic" w:cs="MS PGothic" w:eastAsia="MS PGothic" w:hAnsi="MS PGothic"/>
          <w:sz w:val="16"/>
          <w:szCs w:val="16"/>
          <w:color w:val="auto"/>
        </w:rPr>
        <w:t>‑</w:t>
      </w:r>
      <w:r>
        <w:rPr>
          <w:rFonts w:ascii="Arial" w:cs="Arial" w:eastAsia="Arial" w:hAnsi="Arial"/>
          <w:sz w:val="16"/>
          <w:szCs w:val="16"/>
          <w:color w:val="auto"/>
        </w:rPr>
        <w:t>week period following the first injection of Krystexxa as SEL-212 has not yet been evaluated in a multi-dose clinical trial. In this regard, we have not conducted a head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head comparison of SEL-212 and Krystexxa in a clinical trial. Results of a head-to-head comparison may differ significantly from those set forth in Figure 12 above. In addition, because our Phase 1b clinical trial and the Krystexxa clinical trials were separate trials and because Cohort #6 of our Phase 1b clinical trial involved only five patients, differences between the results of our Phase 1b clinical trial and the two Krystexxa clinical trials may not be statistically or clinically meaningful. For these reasons, investors should not place undue weight on the comparative information set forth above, including in Figure 12. Based on our observations from the Phase 1b clinical trial data that SEL</w:t>
      </w:r>
      <w:r>
        <w:rPr>
          <w:rFonts w:ascii="MS PGothic" w:cs="MS PGothic" w:eastAsia="MS PGothic" w:hAnsi="MS PGothic"/>
          <w:sz w:val="16"/>
          <w:szCs w:val="16"/>
          <w:color w:val="auto"/>
        </w:rPr>
        <w:t>‑</w:t>
      </w:r>
      <w:r>
        <w:rPr>
          <w:rFonts w:ascii="Arial" w:cs="Arial" w:eastAsia="Arial" w:hAnsi="Arial"/>
          <w:sz w:val="16"/>
          <w:szCs w:val="16"/>
          <w:color w:val="auto"/>
        </w:rPr>
        <w:t>212 was capable of controlling uric acid levels for at least 30 days in patients treated with SEL-212 at SVP-Rapamycin dose levels of 0.1, 0.15, and 0.3 mg/kg, we believe SEL</w:t>
      </w:r>
      <w:r>
        <w:rPr>
          <w:rFonts w:ascii="MS PGothic" w:cs="MS PGothic" w:eastAsia="MS PGothic" w:hAnsi="MS PGothic"/>
          <w:sz w:val="16"/>
          <w:szCs w:val="16"/>
          <w:color w:val="auto"/>
        </w:rPr>
        <w:t>‑</w:t>
      </w:r>
      <w:r>
        <w:rPr>
          <w:rFonts w:ascii="Arial" w:cs="Arial" w:eastAsia="Arial" w:hAnsi="Arial"/>
          <w:sz w:val="16"/>
          <w:szCs w:val="16"/>
          <w:color w:val="auto"/>
        </w:rPr>
        <w:t>212 has the potential to maintain low uric acid levels with monthly dosing, which we plan to test in the Phase 2 clinical trial.</w:t>
      </w:r>
    </w:p>
    <w:p>
      <w:pPr>
        <w:spacing w:after="0" w:line="206" w:lineRule="exact"/>
        <w:rPr>
          <w:sz w:val="20"/>
          <w:szCs w:val="20"/>
          <w:color w:val="auto"/>
        </w:rPr>
      </w:pPr>
    </w:p>
    <w:p>
      <w:pPr>
        <w:ind w:right="860"/>
        <w:spacing w:after="0" w:line="223" w:lineRule="exact"/>
        <w:rPr>
          <w:sz w:val="20"/>
          <w:szCs w:val="20"/>
          <w:color w:val="auto"/>
        </w:rPr>
      </w:pPr>
      <w:r>
        <w:rPr>
          <w:rFonts w:ascii="Arial" w:cs="Arial" w:eastAsia="Arial" w:hAnsi="Arial"/>
          <w:sz w:val="18"/>
          <w:szCs w:val="18"/>
          <w:color w:val="auto"/>
        </w:rPr>
        <w:t>At the completion of our Phase 1b program for SEL-212 we had dosed a total of 64 patients in the trial with either SEL-212 (SVP</w:t>
      </w:r>
      <w:r>
        <w:rPr>
          <w:rFonts w:ascii="MS PGothic" w:cs="MS PGothic" w:eastAsia="MS PGothic" w:hAnsi="MS PGothic"/>
          <w:sz w:val="18"/>
          <w:szCs w:val="18"/>
          <w:color w:val="auto"/>
        </w:rPr>
        <w:t>‑</w:t>
      </w:r>
      <w:r>
        <w:rPr>
          <w:rFonts w:ascii="Arial" w:cs="Arial" w:eastAsia="Arial" w:hAnsi="Arial"/>
          <w:sz w:val="18"/>
          <w:szCs w:val="18"/>
          <w:color w:val="auto"/>
        </w:rPr>
        <w:t>Rapamycin and pegsiticase), SVP</w:t>
      </w:r>
      <w:r>
        <w:rPr>
          <w:rFonts w:ascii="MS PGothic" w:cs="MS PGothic" w:eastAsia="MS PGothic" w:hAnsi="MS PGothic"/>
          <w:sz w:val="18"/>
          <w:szCs w:val="18"/>
          <w:color w:val="auto"/>
        </w:rPr>
        <w:t>‑</w:t>
      </w:r>
      <w:r>
        <w:rPr>
          <w:rFonts w:ascii="Arial" w:cs="Arial" w:eastAsia="Arial" w:hAnsi="Arial"/>
          <w:sz w:val="18"/>
          <w:szCs w:val="18"/>
          <w:color w:val="auto"/>
        </w:rPr>
        <w:t>Rapamycin alone, pegsiticase alone or placebo. The median serum acid level of</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patients enrolled was 7.3 mg/dL, with a mean of 7.4 mg/dL at baseline. Patients presented with an average of 5.3 co-morbidities, such as hypertension and diabetes.</w:t>
      </w:r>
    </w:p>
    <w:p>
      <w:pPr>
        <w:spacing w:after="0" w:line="170" w:lineRule="exact"/>
        <w:rPr>
          <w:sz w:val="20"/>
          <w:szCs w:val="20"/>
          <w:color w:val="auto"/>
        </w:rPr>
      </w:pPr>
    </w:p>
    <w:p>
      <w:pPr>
        <w:ind w:right="240"/>
        <w:spacing w:after="0" w:line="219" w:lineRule="exact"/>
        <w:rPr>
          <w:sz w:val="20"/>
          <w:szCs w:val="20"/>
          <w:color w:val="auto"/>
        </w:rPr>
      </w:pPr>
      <w:r>
        <w:rPr>
          <w:rFonts w:ascii="Arial" w:cs="Arial" w:eastAsia="Arial" w:hAnsi="Arial"/>
          <w:sz w:val="18"/>
          <w:szCs w:val="18"/>
          <w:color w:val="auto"/>
        </w:rPr>
        <w:t>We have generally observed that SEL</w:t>
      </w:r>
      <w:r>
        <w:rPr>
          <w:rFonts w:ascii="MS PGothic" w:cs="MS PGothic" w:eastAsia="MS PGothic" w:hAnsi="MS PGothic"/>
          <w:sz w:val="18"/>
          <w:szCs w:val="18"/>
          <w:color w:val="auto"/>
        </w:rPr>
        <w:t>‑</w:t>
      </w:r>
      <w:r>
        <w:rPr>
          <w:rFonts w:ascii="Arial" w:cs="Arial" w:eastAsia="Arial" w:hAnsi="Arial"/>
          <w:sz w:val="18"/>
          <w:szCs w:val="18"/>
          <w:color w:val="auto"/>
        </w:rPr>
        <w:t>212 and its components, SVP</w:t>
      </w:r>
      <w:r>
        <w:rPr>
          <w:rFonts w:ascii="MS PGothic" w:cs="MS PGothic" w:eastAsia="MS PGothic" w:hAnsi="MS PGothic"/>
          <w:sz w:val="18"/>
          <w:szCs w:val="18"/>
          <w:color w:val="auto"/>
        </w:rPr>
        <w:t>‑</w:t>
      </w:r>
      <w:r>
        <w:rPr>
          <w:rFonts w:ascii="Arial" w:cs="Arial" w:eastAsia="Arial" w:hAnsi="Arial"/>
          <w:sz w:val="18"/>
          <w:szCs w:val="18"/>
          <w:color w:val="auto"/>
        </w:rPr>
        <w:t>Rapamycin and pegsiticase, have been well tolerated in this patient population. There were a total of six SAEs in the Phase 1b trial. Of the six SAEs, three were determined to not to be related to study drug by investigators. Of the remaining three SAEs that were determined to possibly or likely be related to study drug, two were cases of stomatitis that occurred at the highest dose of SVP-Rapamycin tested (0.5 mg/kg), leading us to define 0.3 mg/kg as the maximum tolerated dose of SVP-Rapamycin in this patient population. The remaining SAE was a case of drug hypersensitivity that occurred at a dose of 0.1 mg/kg of SVP-rapamycin in combination with 0.4 mg/kg of pegsiticase. In all cases, the patient fully-recovered from the SAE without residual effects.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clinical trial</w:t>
      </w:r>
    </w:p>
    <w:p>
      <w:pPr>
        <w:spacing w:after="0" w:line="22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the fourth quarter of 2016, we began enrolling patients with symptomatic gout and elevated serum uric acid levels in an open-label, multiple ascending dose Phase 2 clinical trial of SEL-212. The primary and secondary endpoints for this trial include safety, tolerability, pharmacokinetics, and reduction of serum uric acid and ADA levels. We are also collecting data regarding flares and other patient-related observations. We are enrolling patients in multiple ascending dose cohorts with the primary goal of identifying the dose regimens to advance into our planned Phase 3 clinical program.</w:t>
      </w:r>
    </w:p>
    <w:p>
      <w:pPr>
        <w:spacing w:after="0" w:line="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March 9, 2018, a total of 111 patients had been dosed in the Phase 2 trial at 15 active U.S. clinical sites. Dosing had been completed in an initial eight cohorts in the trial. The following is a summary of clinical activity from the trial as defined by the primary clinical endpoint (i.e., serum uric acid levels below</w:t>
      </w:r>
    </w:p>
    <w:p>
      <w:pPr>
        <w:ind w:left="140" w:hanging="132"/>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mg/dL):</w:t>
      </w:r>
    </w:p>
    <w:p>
      <w:pPr>
        <w:spacing w:after="0" w:line="102" w:lineRule="exact"/>
        <w:rPr>
          <w:rFonts w:ascii="Arial" w:cs="Arial" w:eastAsia="Arial" w:hAnsi="Arial"/>
          <w:sz w:val="18"/>
          <w:szCs w:val="18"/>
          <w:color w:val="auto"/>
        </w:rPr>
      </w:pPr>
    </w:p>
    <w:p>
      <w:pPr>
        <w:ind w:left="660" w:right="60" w:hanging="328"/>
        <w:spacing w:after="0" w:line="30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Control and Low SVP-Rapamycin Dose Cohorts </w:t>
      </w:r>
      <w:r>
        <w:rPr>
          <w:rFonts w:ascii="Arial" w:cs="Arial" w:eastAsia="Arial" w:hAnsi="Arial"/>
          <w:sz w:val="16"/>
          <w:szCs w:val="16"/>
          <w:color w:val="auto"/>
        </w:rPr>
        <w:t>(cohorts receiving five monthly doses of pegsiticase alone or three monthly doses of 0.2 mg/kg or</w:t>
      </w:r>
      <w:r>
        <w:rPr>
          <w:rFonts w:ascii="Arial" w:cs="Arial" w:eastAsia="Arial" w:hAnsi="Arial"/>
          <w:sz w:val="16"/>
          <w:szCs w:val="16"/>
          <w:i w:val="1"/>
          <w:iCs w:val="1"/>
          <w:color w:val="auto"/>
        </w:rPr>
        <w:t xml:space="preserve"> </w:t>
      </w:r>
      <w:r>
        <w:rPr>
          <w:rFonts w:ascii="Arial" w:cs="Arial" w:eastAsia="Arial" w:hAnsi="Arial"/>
          <w:sz w:val="16"/>
          <w:szCs w:val="16"/>
          <w:color w:val="auto"/>
        </w:rPr>
        <w:t>0.4 mg/kg of pegsiticase + 0.05 mg/kg of SVP-Rapamycin followed by two monthly doses of pegsiticase alone): Dosing of patients in the control cohorts receiving pegsiticase alone was stopped early due to a loss of clinical activity caused by the immunogenicity of the enzyme. Clinical activity was lost by week 12 in the majority of patients receiving pegsiticase in combination with the 0.05 mg/kg dose of SVP-Rapamycin.</w:t>
      </w:r>
    </w:p>
    <w:p>
      <w:pPr>
        <w:spacing w:after="0" w:line="154" w:lineRule="exact"/>
        <w:rPr>
          <w:rFonts w:ascii="Arial" w:cs="Arial" w:eastAsia="Arial" w:hAnsi="Arial"/>
          <w:sz w:val="16"/>
          <w:szCs w:val="16"/>
          <w:color w:val="auto"/>
        </w:rPr>
      </w:pPr>
    </w:p>
    <w:p>
      <w:pPr>
        <w:ind w:left="660" w:right="80" w:hanging="328"/>
        <w:spacing w:after="0" w:line="25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Mid SVP-Rapamycin Dose Cohorts </w:t>
      </w:r>
      <w:r>
        <w:rPr>
          <w:rFonts w:ascii="Arial" w:cs="Arial" w:eastAsia="Arial" w:hAnsi="Arial"/>
          <w:sz w:val="18"/>
          <w:szCs w:val="18"/>
          <w:color w:val="auto"/>
        </w:rPr>
        <w:t>(cohorts receiving three monthly doses of 0.2 mg/kg or 0.4 mg/kg of pegsiticase + 0.08 or 0.10 mg/kg of SVP-Rapamycin followed by two monthly doses of pegsiticase alone): A majority of patients in these cohorts maintained clinical activity while receiving the combination therapy through week 12. These results are consistent with the level of clinical activity observed through day 30 at a similar SEL-212 dose level in our Phase 1b trial. At the 0.1 mg/kg dose level, half of the patients that maintained clinical activity through week 12 also maintained clinical activity through week 20.</w:t>
      </w:r>
    </w:p>
    <w:p>
      <w:pPr>
        <w:spacing w:after="0" w:line="188" w:lineRule="exact"/>
        <w:rPr>
          <w:rFonts w:ascii="Arial" w:cs="Arial" w:eastAsia="Arial" w:hAnsi="Arial"/>
          <w:sz w:val="18"/>
          <w:szCs w:val="18"/>
          <w:color w:val="auto"/>
        </w:rPr>
      </w:pPr>
    </w:p>
    <w:p>
      <w:pPr>
        <w:ind w:left="660" w:right="14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Higher SVP-Rapamycin Dose Cohorts </w:t>
      </w:r>
      <w:r>
        <w:rPr>
          <w:rFonts w:ascii="Arial" w:cs="Arial" w:eastAsia="Arial" w:hAnsi="Arial"/>
          <w:sz w:val="18"/>
          <w:szCs w:val="18"/>
          <w:color w:val="auto"/>
        </w:rPr>
        <w:t>(cohorts receiving three monthly doses of pegsiticase +0.125 or 0.15 mg/kg of SVP-Rapamycin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two monthly doses of pegsiticase alone): These cohorts were fully enrolled as of March 9, 2018, and we expect to present initial data at a medical conference in the first half of April 2018.</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Data from the ongoing trial suggest that ADA levels are strongly correlated with serum uric acid levels. We have observed that SVP-Rapamycin has reduced the formation of ADAs in a dose-dependent manner, which we believe enables pegsiticase to maintain its clinical activity for extended durations as compared to pegsiticase administered without SVP-Rapamycin.</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Approximately 24% of patients receiving SEL-212 reported a gout flare during their first month of the trial. This is followed by a decline in flare rates during the remainder of the therapy. By comparison, 50% of patients reported a flare during the first month in the control cohorts receiving pegsiticase alone before treatment was stopped due to loss of efficacy and safety.</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SEL-212 has been generally well tolerated at clinically active doses following repeated administrations in the trial. As of October 23, 2017, 11 SAEs had been reported, four of which were reported to be not related or unlikely related to study drug and seven of which were infusion reactions. All SAEs were successfully treated and resolved without further issues.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February 2018, we began enrolling patients in the current Phase 2 trial who are expected to receive five monthly doses of SVP-Rapamycin in combination with pegsiticase. The patients will be receiving SVP-Rapamycin doses ranging from 0.1mg/kg-0.15mg/kg in combination with 0.2mg/kg of pegsiticase. We expect to present data from these patients at a medical meeting in the third quarter of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SVP-Rapamycin program for immunotoxins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2016, we entered a research collaboration with NCI to investigate the ability of SVP-Rapamycin to mitigate ADAs to LMB-100, a second-generation immunotoxin being developed for the treatment of solid cancers. In 2017, we in-licensed LMB-100 from NCI. LMB-100 is a fusion protein comprised of an antibody fragment targeting mesothelin, a protein over-expressed in mesothelioma, pancreatic cancer, lung cancer, breast cancer, and other solid tumors fused via a cleavable linker to an engineered fragment of the Pseudomonas exotoxin A protein. Mesothelioma is a mesothelin-expressing cancer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predominantly affecting the layer of tissue lining the lungs and chest wall. This type of cancer has been linked to asbestos exposure. According to the American Cancer Society, approximately 3,000 people are diagnosed with this disease each year in the United States. The prognosis for mesothelioma is very poor, with an average life expectancy of 12-18 months following diagnosis.</w:t>
      </w:r>
    </w:p>
    <w:p>
      <w:pPr>
        <w:spacing w:after="0" w:line="18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 first-generation immunotoxin, termed SS1P, was highly immunogenic in mesothelioma patients, with most patients in a Phase 1 clinical trial limited to one or two cycles of treatment, even with concomitant immunosuppressive therapy [Hassan et al., Sci Trans Med 2013, 5:208ra147]. However, those patients that could tolerate more than two cycles showed major tumor regression. These data suggested that further mitigation of ADAs may be beneficial.</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NCI worked with external collaborators to reengineer SS1P in order to make the immunotoxin less immunogenic. This work resulted in LMB-100, which was then utilized in Phase 1 clinical trials in pancreatic cancer and malignant mesothelioma. In these trials, ADAs to the immunotoxin again prevented most patients from receiving the intended four treatment cycles.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Preclinical data generated at NCI showed that the addition of SVP-Rapamycin to the treatment cycles of LMB-100 inhibited the formation of ADAs and enabled dosing of at least four cycles of treatment in mice. Furthermore, therapeutic treatment of mice pre-sensitized with LMB-100 to induce ADAs showed a drop in ADA titers after being challenged with LMB-100 in combination with SVP-Rapamycin. In contrast, mice challenged with LMB-100 alone showed a dramatic boost in titers, while mice challenged with saline showed no significant change in ADA titers. Next, the effects of LMB-100 alone or in combination with SVP-Rapamycin were tested in immunocompetent mice with pre-existing ADAs and bearing syngeneic mesothelioma tumors expressing human mesothelin. LMB-100 alone had no effect on tumor growth whereas, SVP-Rapamycin administered with the first dose of each cycle of LMB-100 inhibited tumor growth. Importantly, SVP-Rapamycin alone did not enhance tumor growth in immunocompetent mice [Mazor et al., PNAS 2018, 10.1073/pnas. 1717063115].</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2018, we initiated a Phase 1 clinical trial of SVP-Rapamycin and LMB-100 in patients with malignant pleural or peritoneal mesothelioma who have undergone at least one regimen of chemotherapy.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SVP-Rapamycin programs for immune tolerance in gene therapy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Although gene therapy has made significant progress over the last several years, it faces certain limitations due to undesired immunogenicity to either the AAV vector or the encoded transgene. This undesired immunogenicity frequently exists prior to the gene therapy or is induced with the first dose. Once an antibody response to the AAV vector exists, it is likely to interfere with the efficacy of subsequent administration of the AAV vector. For naturally occurring types of AAV such as AAV1 to AAV10, patients can have prior exposure to the naturally occurring virus, which leads to the presence of pre-existing antibodies, or pre-existing immunity. The presence of pre-existing immunity is an exclusion criterion for most clinical gene therapy studies conducted with naturally occurring AAV vectors. Up to 50% of potential gene therapy patients can have pre-existing antibodies, depending on the treated patient population and the AAV strain.</w:t>
      </w:r>
    </w:p>
    <w:p>
      <w:pPr>
        <w:spacing w:after="0" w:line="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those patients who are able to receive a dose of gene therapy, gene vector-specific ADAs frequently occur and have been found to prevent the AAV vector from reaching its target cell. It is unknown exactly how long these neutralizing ADAs prevent redosing of gene therapy. However, it has been observed in studies with animals and humans that high titer AAV-specific ADAs develop and persist for more than 10 years, preventing vector readministration. In addition, cellular immune responses have been found to correlate with liver inflammation and loss of gene expression.</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Because of the induction of lasting antibodies against AAV, we believe many gene therapy companies have focused on the single localized dose in diseases of the eye and central nervous system for which immunogenicity is perceived to be less of an issue. We believe that many gene therapy applications may require or would benefit from multiple doses, especially therapies designed to treat diseases via intravenous administration. Some of these rare genetic deficiencies are best treated when patients are infants or small children in order to prevent developmental defects. However, pediatric patients may have a higher need for repeat dosing due to higher cell turnover as the patient grows. Accordingly, we believe that a solution enabling repeat dosing would significantly expand the number of diseases and patients that could be treated with gene therapies.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collaboration with Genethon, a not-for-profit company focusing on gene therapies, we have generated and presented preclinical data in mice in which we observed the ability of SVP-Rapamycin to mitigate the formation of ADAs to AAV-based gene therapy, thereby enabling repeat dosing of the AAV vector in these mice. Preclinical data generated in connection with this collaboration also suggest the ability of SVP-Rapamycin to mitigate the formation of ADAs to AAV capsids in nonhuman primates. We believe these results further indicate that SVP-Rapamycin may have the potential to mitigate undesired immune responses and enable repeat intravenous administration of gene therapies.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2016, we in-licensed Anc80, a gene therapy vector, from MEE. In preclinical studies, Anc80 has been observed to be a potent gene therapy vector that has demonstrated the capability of yielding superior gene expression levels in the liver compared to AAV8, a naturally occurring AAV vector that is currently being evaluated in clinical trials. Anc80 is an engineered vector that has been reported to have limited cross-reactivity to antibodies against wild type AAV serotypes and therefore has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potential to treat patients with pre-existing anti-AAV antibodies [Zinn et al, 2015, Cell Reports 12: 1056-1068].</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combining SVP-Rapamycin and Anc80, we intend to enable the development of highly differentiated gene therapies with the goal of (i) treating patients with pre-existing ADAs to naturally occurring AAV, (ii) improving gene therapy safety by mitigating cellular immune responses, and (iii) allowing for repeat gene therapy dosing.</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collaboration with the clinical and gene therapy laboratories at the NIH and MEE, we are developing SEL-302, a product candidate utilizing the Anc80 vector in combination with SVP-Rapamycin for the treatment of methylmalonic acidemia, or MMA, which can cause severe developmental defects and premature death as a result of an accumulation of toxic metabolites. Other than dietary and cofactor therapy, organ transplantation is the only existing option for patients with MMA, a severe organic acidemia most frequently caused by mutations in the enzyme methylmalonyl-CoA mutase, or MUT. In February 2017, we entered into a strategic manufacturing agreement with Lonza Houston, Inc. to scale up and manufacture an Anc80 AAV-based gene therapy product for our MMA program.</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our license agreement with MEE, we also have the exclusive option to develop gene therapies using Anc80 for several additional indications including lysosomal storage, muscular and genetic metabolic diseases.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our second gene therapy program, we plan to develop another product candidate for the treatment of OTC deficiency, which is another metabolic disorder.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pursuing this second indication through collaborations with third parties with preclinical and clinical experience in this area.</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 2016, or the Spark Signing Date, we entered into a License and Option Agreement, or the Spark License Agreement, with Spark Therapeutics, Inc., or Spark, to collaborate on the development of gene therapies for certain targets utilizing our SVP technology. Under the terms of the Spark License Agreement, we granted Spark certain exclusive, worldwide, royalty-bearing licenses to our intellectual property and know-how relating to our SVP technology to research, develop and commercialize gene therapies for Factor VIII, an essential blood clotting protein relevant to the treatment of hemophilia A, which is the initial target under the collaboration.</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Spark License Agreement, Spark has made aggregate payments of $15.0 million to date. On a target-by-target basis, we will be eligible to receive up to an aggregate of $430.0 million in milestone payments for each target, with up to $65.0 million being based on Spark’s achievement of specified development and regulatory milestones and up to $365.0 million for commercial milestones, as well as tiered royalties on global net sales at percentages ranging from mid-single to low-double digits. Until December 2019, Spark has the right to fund up to 50.0% of any development or regulatory milestone payable to us by issuing us shares of Spark’s common stock having a fair market value equal to the percentage of such development or regulatory milestone, as applicable.</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for a period of three years from the Spark Signing Date, Spark may exercise options to research, develop and commercialize gene therapies utilizing the SVP technology for up to four additional pre-specified targets, subject to Spark’s payment of the applicable option exercise fee, in a range of $1.4 million to $2.0 million depending on the incidence of the applicable indication, to us in each case.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Spark License Agreement, we also entered into a stock purchase agreement with Spark, or the Spark SPA, pursuant to which Spark purchased an aggregate of $15.0 million of our common stock including (i) 197,238 shares for an aggregate purchase price of $5.0 million on the Spark Signing Date, (ii) 324,362 shares for an aggregate purchase price of $5.0 million on June 8, 2017, and (iii) 205,254 shares for an aggregate purchase price of $5.0 million on October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Spark License Agreement and the Spark SPA, see the discussion under “Licenses and Collaborations”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IMMUNE STIMULATION PROGRAMS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believe our SVP technology, by encapsulating antigens and adjuvants, has the potential to be used for therapies that stimulate the immune system to treat cancer, infectious diseases and other diseases. We have early-stage programs for the therapeutic treatment of HPV-associated cancers and antibody-based vaccine programs for nicotine addiction and malaria. These programs have been primarily funded by grants and are the focus of our Russian operations.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SVP immune stimulation programs are designed to encapsulate an antigen and a toll-like receptor, or TLR, agonist as the immunomodulator. Humans possess 10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an advance in cancer immunotherapy.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HPV-associated cancer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HPV overview</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HPV is a sexually transmitted infection that can lead to the development of cancer. Cervical HPV infection often clears spontaneously. However, when it persists, it can lead to the development of cervical intraepithelial neoplasia, or CIN, and cervical cancer.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 to the World Health Organization, HPV infection results in an estimated 530,000 new cases of cervical cancer worldwide, with 270,000 deaths annually. The Centers for Disease Control and Prevention estimates that there are approximately 40,000 U.S.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cases worldwide.</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Gardasil and Cervarix are FDA-approved prophylactic vaccines for HPV-related cancers with aggregate worldwide sales reaching nearly $2.3 billion in 2016. While these vaccines can prevent tumor occurrence, Gardasil and Cervarix have not been approved for treatment of patients with existing HPV-related cancers.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According to the Centers for Disease Control and Prevention, in 2012, only 54% of women between the ages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program for HPV-associated cancer</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consists of a SVP encapsulating the E6 and E7 proteins, or SVP-E6/E7, co-administered with an SVP adjuvant that contains a TLR agonist. We refer to this co-administration as SVP-HPV. Both E6 and E7 present within the SVP are mutated in a targeted fashion and thus devoid of their oncogenic potential.</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were awarded a grant from the Skolkovo Foundation to support our program to develop an SVP immunotherapy to treat HPV-associated cancers. The grant has assisted us with advancing the program into preclinical toxicology studies.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OTHER IMMUNE STIMULATION PROGRAMS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other immune stimulation programs are a therapeutic vaccine for smoking cessation and relapse prevention, funded by a grant from the NIDA part of the National Institutes of Health; a prophylactic malaria vaccine, funded by a grant from The Bill and Melinda Gates Foundation; and a product candidate to treat peanut allergy, previously funded by Sanofi.</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smoking cessation and relapse prevention program aims to stimulate the immune system to produce nicotine-specific antibodies in smokers. We believe such antibodies have the potential to bind to the inhaled nicotine and prevent the inhaled nicotine from reaching the brain thereby reducing levels of nicotine in the brain to support smoking cessation and relapse prevention. We had a prior SVP-nicotine product candidate that was partly sponsored by a grant from NIDA, which entered clinical development. Results from a Phase 1 clinical trial conducted in smokers and non-smokers with this prior product candidate showed that it was well tolerated and that nicotine-specific antibodies were induced, but at sub-therapeutic levels. On the basis of the data from this Phase 1 trial, we obtained a new grant from NIDA to further optimize our SVP-nicotine product candidate. We initiated a Phase 1 clinical trial to assess the safety, tolerability and pharmacodynamic profile of our second-generation SVP-nicotine vaccine candidate, SELA-070, in 2017. This is a double-blind, placebo-controlled, dose escalation study enrolling smokers that is currently being conducted in Belgium. Patients receive three injections of SELA-070 or a placebo over a period of 18 weeks followed by eight weeks of monitoring. In addition to safety, the study is evaluating the vaccine’s potency through the measurement of concentrations of nicotine-specific antibodies.</w:t>
      </w:r>
    </w:p>
    <w:p>
      <w:pPr>
        <w:spacing w:after="0" w:line="17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malaria program was designed to be a dual action, immune-stimulating SVP nanoparticle vaccine that we believe may offer the potential to protect against malaria by preventing infection and transmission. This discovery-stage program was completed under a grant from The Bill and Melinda Gates Foundation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our strategic options to advance the development of our product candidate to treat peanut allergy.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hundreds of grams to multi-kilogram scale for commercial production. This well-defined process has been produced at multiple scales. We have also developed and executed the required detailed analytic characterization of our products. We have completed and released multiple cGMP batches of nanoparticles at the 50-gram scale for our SVP-Rapamycin program and at the 10- and 20- gram scale for our nicotine program.</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SEL-212 program, we have increased SVP-Rapamycin production to a 50-gram scale and have developed an approximately 400-gram scale process,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pegsiticase enzyme for SEL-212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also have selected a back-up supplier for pegsiticase in the United States.</w:t>
      </w:r>
    </w:p>
    <w:p>
      <w:pPr>
        <w:spacing w:after="0" w:line="1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January 2017 we entered into a manufacturing agreement with Lonza Houston, Inc., a leader in viral gene and cell therapy manufacturing. Under the terms of the agreement, Lonza has agreed to produce an Anc80-AAV-based gene therapy product for our proprietary program for MMA.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COLLABORATIONS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2016, we entered into the Spark License Agreement to develop gene therapies for certain targets utilizing our SVP technology.</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the terms of the Spark License Agreement, we granted Spark certain exclusive, worldwide, royalty-bearing licenses to our intellectual property and know-how relating to our SVP technology to research, develop and commercialize gene therapies for Factor VIII, an essential blood clotting protein relevant to the treatment of hemophilia A, which is the initial target under the license agreement.</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Spark License Agreement, Spark made payments to us of $30.0 million in the aggregate. On a target-by-target basis, we will be eligible to receive up to an aggregate of $430.0 million in milestone payments for each target, with up to $65.0 million being based on Spark’s achievement of specified development and regulatory milestones and up to $365.0 million for commercial milestones, as well as tiered royalties on global net sales at percentages ranging from mid-single to low-double digits. Until December 2019, Spark has the right to fund up to 50.0% of any development or regulatory milestone payable to us by issuing us shares of Spark’s common stock having a fair market value equal to the percentage of such development or regulatory milestone, as applicable.</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until December 2019, Spark may exercise options to research, develop and commercialize gene therapies utilizing our SVP technology for up to four additional targets, subject to Spark’s payment to us of the applicable option exercise fee, in a range of $1.4 million to $2.0 million depending on the incidence of the applicable indication.</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Each party is responsible for its own costs and expenses incurred in connection with its respective activities under the Spark License, except that Spark has agreed to reimburse us for FTE and out-of-pocket costs incurred in performing certain tasks or assistance specifically requested by Spark. We retain the responsibility to manufacture Spark’s preclinical, clinical and commercial requirements for the SVP technology, subject to the terms of the Spark License.</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Spark License Agreement will continue on a country-by-country and product-by-product basis until the expiration of Spark’s royalty payment obligations with respect to such product in such country unless earlier terminated by the parties. The Spark License Agreement may be terminated by Spark for convenience upon ninety days’ notice. Either party may terminate the Spark License Agreement on a target-by-target basis for material breach with respect to such target.</w:t>
      </w:r>
    </w:p>
    <w:p>
      <w:pPr>
        <w:spacing w:after="0" w:line="7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connection with the Spark License Agreement, we also entered into the Spark SPA, pursuant to which Spark has purchased in the aggregate $15.0 million of our common stock including (i) 197,238 shares for an aggregate purchase price of $5.0 million on the Spark Signing Date, (ii) 324,362 shares for an aggregate purchase price of $5.0 million on June 8, 2017, and (iii) 205,254 shares for an aggregate purchase price of $5.0 million on October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2008, we entered into a license agreement with MIT, which we refer to as the MIT License. We amended the MIT License in January 2010, November 2012, August 2013 and November 2016.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the Immune Disease Institute and the Children’s Medical Center Corporation. Our exclusivity is subject to certain retained rights of these institutions and other third parties.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creditable annual maintenance fees, low-single-digit running royalty on annual net sales, developmental milestones up to an aggregate of $1.5 million, a mid-single digit percentage of certain payments we receive from corporate partners and a specified percentage of certain income received from sublicensees after 2009 between 10% and 30%. 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we entered into a license agreement with 3SBio, as amended in May 2017,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In addition, the 3SBio License, as amended, permits us to utilize one or more third parties to provide up to 20% of our commercial supply of pegsiticase. Otherwise, except in the case of a supply shortage on the part of 3SBio, we are obligated to obtain at least 80% of our supply of such compounds for Phase 3 clinical trials and commercial use from 3SBio under the terms of supply agreements to be negotiated.</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3SBio License we have paid to 3SBio an aggregate of $1.0 million in upfront and milestone-based payments in 2015 and made an additional milestone payment totaling $2.0 million in 2016. We are required to make future payments to 3SBio contingent upon the occurrence of events related to the achievement of clinical and regulatory approval milestones of up to an aggregate of $21.0 million for products containing our SVP technology, and up to an aggregate of $41.5 million for products without our SVP technology. We are also required to pay 3SBio tiered royalties on annual worldwide net sales related to the pegsiticase component of products at percentages ranging from the low-to-mid single digits for products containing our SVP technology, and from the mid-single digits to low or low-to-mid teens for products without our SVP technology, subject to specified reductions. These royalties are payable,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3SBio License expires on the date of expiration of all of our royalty payment obligations unless earlier terminated by either party for an uncured material default or for the other party’s bankruptcy.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BIND</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8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BIND’s entry into bankruptcy proceeding in 2016, Pfizer purchased substantially all of the assets of BIND, including those pertaining to the BIND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2016, we entered into a license agreement with the Massachusetts Eye and Ear Infirmary and The Schepens Eye Research Institute, Inc., or, collectively, MEE, which we refer to as the MEE License. Under the MEE License, we were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MEE also granted us exclusive options to exclusively license certain of their intellectual property rights relating to several additional target sequences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variations thereof each linked to a specified disease. Pursuant to the MEE Agreement, we agreed to pay MEE a license fee in the low six figures,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maintenance fees ranging from the mid-twenty thousands to mid-seventy thousands and an option maintenance fee in the low five figures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exercisable option. We also agreed to pay development milestones on a licensed product-by-licensed product basis, totaling up to an aggregate of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million to $37.0 million and sales milestones on a licensed product-by-licensed product basis, totaling up to an aggregate of between $50.0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 million; tiered royalties equal to a percentage of net sales ranging from mid-single digits to mid-teens, subject to certain reductions; and a percentage,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range expected to be in the mid-teens depending on timing, of any sublicense income we receive from sublicensing our rights granted thereunder,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reductions and exclusions. The MEE License will continue until the expiration of the last to expire of the patent rights licensed thereunder. We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 the MEE License in whole or in part upon prior written notice. MEE may terminate the MEE License on a target sequence-by-target sequence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if we fail to make any scheduled payments in respect of such target sequence or if we materially breach a diligence obligation in respect of such target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sequence, in each case if we fail to cure within a specified time period. MEE may terminate the MEE License in its entirety if we materially breach certain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obligations related to diligence, representations and warranties, and maintenance of insurance; if we challenge the validity or enforceability of any patents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licensed thereunder; if any of our executive officers are convicted of a felony relating to manufacture, use, sale or importation of licensed products; or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insolvency or bankruptcy.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developed and in-licensed numerous patents and patent applications and possess substantial know-how and trade secrets relating to our SVP-based immunotherapy technology, program and product candidates. Our patent portfolio contains 10 issued patents in the United States and 82 foreign issued patents, in all cases, owned solely by us. We also have 62 pending patent applications in the United States as well as 407 foreign pending patent applications, in all cases, owned solely by us. These patents and patent applications include claims directed to:</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tolerance and cancer immunotherapy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immune stimulation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methods and compositions incorporating our proprietary SVP nanoparticle in a variety of tolerance applications, including: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mitigating or treating anti-drug antibodies association with protein drugs such as pegsiticase or LMB-100,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genetic therapies (such as viral delivery of genes).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4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methods and compositions incorporating our proprietary SVP nanoparticle in a variety of cancer immunotherapy applications, including: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creating various cancer vaccines,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combination treatments, including co-treatment with PD-1/PDL-1 checkpoint inhibitors.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Set forth below is a table indicating the expiration dates for our owned patent families, or expected expiration dates in the case of our owned patent application families, corresponding to each of our programs.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Patent</w:t>
            </w:r>
          </w:p>
        </w:tc>
        <w:tc>
          <w:tcPr>
            <w:tcW w:w="1380" w:type="dxa"/>
            <w:vAlign w:val="bottom"/>
          </w:tcPr>
          <w:p>
            <w:pPr>
              <w:spacing w:after="0"/>
              <w:rPr>
                <w:sz w:val="14"/>
                <w:szCs w:val="14"/>
                <w:color w:val="auto"/>
              </w:rPr>
            </w:pPr>
          </w:p>
        </w:tc>
      </w:tr>
      <w:tr>
        <w:trPr>
          <w:trHeight w:val="219"/>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9"/>
                <w:szCs w:val="19"/>
                <w:color w:val="auto"/>
              </w:rPr>
            </w:pPr>
          </w:p>
        </w:tc>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Family(1)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Expiration(2)</w:t>
            </w:r>
          </w:p>
        </w:tc>
      </w:tr>
      <w:tr>
        <w:trPr>
          <w:trHeight w:val="25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Refractory and chronic tophaceous gout (SEL-212)</w:t>
            </w:r>
          </w:p>
        </w:tc>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SVP-Rapamycin co-administered with pegsiticase</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2032-2037</w:t>
            </w:r>
          </w:p>
        </w:tc>
      </w:tr>
      <w:tr>
        <w:trPr>
          <w:trHeight w:val="264"/>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Mesothelioma/Pancreatic Cancer</w:t>
            </w:r>
          </w:p>
        </w:tc>
        <w:tc>
          <w:tcPr>
            <w:tcW w:w="4440" w:type="dxa"/>
            <w:vAlign w:val="bottom"/>
            <w:gridSpan w:val="2"/>
          </w:tcPr>
          <w:p>
            <w:pPr>
              <w:ind w:left="40"/>
              <w:spacing w:after="0"/>
              <w:rPr>
                <w:sz w:val="20"/>
                <w:szCs w:val="20"/>
                <w:color w:val="auto"/>
              </w:rPr>
            </w:pPr>
            <w:r>
              <w:rPr>
                <w:rFonts w:ascii="Arial" w:cs="Arial" w:eastAsia="Arial" w:hAnsi="Arial"/>
                <w:sz w:val="14"/>
                <w:szCs w:val="14"/>
                <w:color w:val="auto"/>
              </w:rPr>
              <w:t>SVP-Rapamycin co-administered with LMB-100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2032-2035</w:t>
            </w:r>
          </w:p>
        </w:tc>
      </w:tr>
      <w:tr>
        <w:trPr>
          <w:trHeight w:val="27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 therapy</w:t>
            </w:r>
          </w:p>
        </w:tc>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SVP-Rapamycin co-administered with AAV vector</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2032-2035</w:t>
            </w:r>
          </w:p>
        </w:tc>
      </w:tr>
      <w:tr>
        <w:trPr>
          <w:trHeight w:val="264"/>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Peanut allergy</w:t>
            </w:r>
          </w:p>
        </w:tc>
        <w:tc>
          <w:tcPr>
            <w:tcW w:w="4440" w:type="dxa"/>
            <w:vAlign w:val="bottom"/>
            <w:gridSpan w:val="2"/>
          </w:tcPr>
          <w:p>
            <w:pPr>
              <w:ind w:left="40"/>
              <w:spacing w:after="0"/>
              <w:rPr>
                <w:sz w:val="20"/>
                <w:szCs w:val="20"/>
                <w:color w:val="auto"/>
              </w:rPr>
            </w:pPr>
            <w:r>
              <w:rPr>
                <w:rFonts w:ascii="Arial" w:cs="Arial" w:eastAsia="Arial" w:hAnsi="Arial"/>
                <w:sz w:val="14"/>
                <w:szCs w:val="14"/>
                <w:color w:val="auto"/>
              </w:rPr>
              <w:t>SVP-adjuvant and SVP-food allergen</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2032-2035</w:t>
            </w:r>
          </w:p>
        </w:tc>
      </w:tr>
      <w:tr>
        <w:trPr>
          <w:trHeight w:val="27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Celiac disease</w:t>
            </w:r>
          </w:p>
        </w:tc>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SVP-Rapamycin and SVP-gluten</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2032-2035</w:t>
            </w:r>
          </w:p>
        </w:tc>
      </w:tr>
      <w:tr>
        <w:trPr>
          <w:trHeight w:val="264"/>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Type 1 diabetes</w:t>
            </w:r>
          </w:p>
        </w:tc>
        <w:tc>
          <w:tcPr>
            <w:tcW w:w="4440" w:type="dxa"/>
            <w:vAlign w:val="bottom"/>
            <w:gridSpan w:val="2"/>
          </w:tcPr>
          <w:p>
            <w:pPr>
              <w:ind w:left="40"/>
              <w:spacing w:after="0"/>
              <w:rPr>
                <w:sz w:val="20"/>
                <w:szCs w:val="20"/>
                <w:color w:val="auto"/>
              </w:rPr>
            </w:pPr>
            <w:r>
              <w:rPr>
                <w:rFonts w:ascii="Arial" w:cs="Arial" w:eastAsia="Arial" w:hAnsi="Arial"/>
                <w:sz w:val="14"/>
                <w:szCs w:val="14"/>
                <w:color w:val="auto"/>
              </w:rPr>
              <w:t>SVP-Rapamycin and SVP-gluten</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2032-2035</w:t>
            </w:r>
          </w:p>
        </w:tc>
      </w:tr>
      <w:tr>
        <w:trPr>
          <w:trHeight w:val="276"/>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Smoking cessation and relapse prevention (SELA-070)</w:t>
            </w:r>
          </w:p>
        </w:tc>
        <w:tc>
          <w:tcPr>
            <w:tcW w:w="4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SVP-adjuvant and SVP-nicotine</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2030-2032</w:t>
            </w:r>
          </w:p>
        </w:tc>
      </w:tr>
      <w:tr>
        <w:trPr>
          <w:trHeight w:val="258"/>
        </w:trPr>
        <w:tc>
          <w:tcPr>
            <w:tcW w:w="4460" w:type="dxa"/>
            <w:vAlign w:val="bottom"/>
            <w:gridSpan w:val="2"/>
          </w:tcPr>
          <w:p>
            <w:pPr>
              <w:ind w:left="40"/>
              <w:spacing w:after="0"/>
              <w:rPr>
                <w:sz w:val="20"/>
                <w:szCs w:val="20"/>
                <w:color w:val="auto"/>
              </w:rPr>
            </w:pPr>
            <w:r>
              <w:rPr>
                <w:rFonts w:ascii="Arial" w:cs="Arial" w:eastAsia="Arial" w:hAnsi="Arial"/>
                <w:sz w:val="14"/>
                <w:szCs w:val="14"/>
                <w:color w:val="auto"/>
              </w:rPr>
              <w:t>HPV-associated cancer (SEL-701)</w:t>
            </w:r>
          </w:p>
        </w:tc>
        <w:tc>
          <w:tcPr>
            <w:tcW w:w="4440" w:type="dxa"/>
            <w:vAlign w:val="bottom"/>
            <w:gridSpan w:val="2"/>
          </w:tcPr>
          <w:p>
            <w:pPr>
              <w:ind w:left="40"/>
              <w:spacing w:after="0"/>
              <w:rPr>
                <w:sz w:val="20"/>
                <w:szCs w:val="20"/>
                <w:color w:val="auto"/>
              </w:rPr>
            </w:pPr>
            <w:r>
              <w:rPr>
                <w:rFonts w:ascii="Arial" w:cs="Arial" w:eastAsia="Arial" w:hAnsi="Arial"/>
                <w:sz w:val="14"/>
                <w:szCs w:val="14"/>
                <w:color w:val="auto"/>
              </w:rPr>
              <w:t>SVP-adjuvant and SVP-HPV antigen</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2030-2032</w:t>
            </w:r>
          </w:p>
        </w:tc>
      </w:tr>
    </w:tbl>
    <w:p>
      <w:pPr>
        <w:spacing w:after="0" w:line="20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number of relevant patent and patent application families.</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expiration date and estimated expiration date ranges of issued patents and patent applications, respectively.</w:t>
      </w:r>
    </w:p>
    <w:p>
      <w:pPr>
        <w:spacing w:after="0" w:line="200" w:lineRule="exact"/>
        <w:rPr>
          <w:sz w:val="20"/>
          <w:szCs w:val="20"/>
          <w:color w:val="auto"/>
        </w:rPr>
      </w:pPr>
    </w:p>
    <w:p>
      <w:pPr>
        <w:spacing w:after="0" w:line="4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 have exclusively or non-exclusively licensed intellectual property, including the following patent portfolio: 37 U.S. issued patents; 149 foreign issued patents; 7 U.S. pending patent applications; and 112 foreign pending applications.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and Eurasia, including the Russian Federation, Europe, South Korea, Mexico, India, Israel and Japan.</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Horizon Pharma plc, whose affiliates own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immune tolerance include Anokion SA, AnTolRx Inc., Apitope International NV, Caladrius Biosciences, Cour Pharmaceutical Development Company, Inc., Dendright International, Inc., Parvus Therapeutics, REGiMMUNE Corporation, Rubius Therapeutics, Inc., Tolerion, Inc., Topas Therapeutics GmbH, and Txcell SA. However, we believe that most of these companies are focused on autoimmune and inflammatory diseases rather than immune tolerance to biologics.</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 development of cancer vaccines. There are a variety of vaccine approaches to treat HPV-associated cancer including the use of DNA vaccines, novel adjuvants, novel antigens and novel delivery vectors for the antigen. Companies with clinical-stage HPV-associated cancer candidates include, among others, Advaxis, in Phase 3 clinical development with Axalimogene Filolisbac; Inovio Pharmaceuticals, Inc., in Phase 2 clinical development with VGX3100; ISA Pharmaceuticals, B.V., in Phase 2 clinical development with ISA-101; AstraZeneca, in Phase 2 clinical development with Axalimogene Filolisbac, which it licensed from Advaxis, and in Phase 2 clinical development with MEDI0457 (previously known as INO-3112) in combination with durvalumab, which it licensed from Inovio Pharmaceuticals, Inc.; and BioNTech AG, in Phase 1/2 clinical development with HARE-40. While in the preclinical stage, we believe that our approach shares the safety of approved vaccine technologies that use antigens and adjuvants and could be synergistic with the use of checkpoint inhibitors such as PD-1 and PD-L1 inhibitors.</w:t>
      </w:r>
    </w:p>
    <w:p>
      <w:pPr>
        <w:spacing w:after="0" w:line="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also competing in the development of new prophylactic vaccines with large pharmaceutical companies such as Sanofi, Pfizer, Merck, GlaxoSmithKline Pharmaceuticals Ltd, Johnson &amp; Johnson, and AstraZeneca and smaller biopharmaceutical companies such as Genocea Biosciences, Inc. and Novavax Inc.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We expect to seek approval of SEL-212 through a single Biologics License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Application, or BLA, reviewed by CDER, and we do not expect that the FDA will require a separate marketing authorization for each constituent of SEL-212.</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biological products development process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biologic, including a gene therapy, may be marketed in the United States generally involves the following:</w:t>
      </w:r>
    </w:p>
    <w:p>
      <w:pPr>
        <w:spacing w:after="0" w:line="237" w:lineRule="exact"/>
        <w:rPr>
          <w:sz w:val="20"/>
          <w:szCs w:val="20"/>
          <w:color w:val="auto"/>
        </w:rPr>
      </w:pPr>
    </w:p>
    <w:p>
      <w:pPr>
        <w:jc w:val="both"/>
        <w:ind w:left="660" w:right="3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and potency from results of nonclinical testing and clinical trials;</w:t>
      </w:r>
    </w:p>
    <w:p>
      <w:pPr>
        <w:spacing w:after="0" w:line="170" w:lineRule="exact"/>
        <w:rPr>
          <w:rFonts w:ascii="Arial" w:cs="Arial" w:eastAsia="Arial" w:hAnsi="Arial"/>
          <w:sz w:val="18"/>
          <w:szCs w:val="18"/>
          <w:color w:val="auto"/>
        </w:rPr>
      </w:pPr>
    </w:p>
    <w:p>
      <w:pPr>
        <w:ind w:left="660" w:right="3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patient selection and exclusion criteria, and the parameters to be used to monitor patient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study must be reviewed and approved by an independent institutional review board, or IRB, at or servicing each institution at which the clinical study will be conducted. Human clinical trials are typically conducted in three sequential phases that may overlap or be combined:</w:t>
      </w:r>
    </w:p>
    <w:p>
      <w:pPr>
        <w:spacing w:after="0" w:line="179" w:lineRule="exact"/>
        <w:rPr>
          <w:sz w:val="20"/>
          <w:szCs w:val="20"/>
          <w:color w:val="auto"/>
        </w:rPr>
      </w:pPr>
    </w:p>
    <w:p>
      <w:pPr>
        <w:ind w:left="900" w:right="320" w:hanging="568"/>
        <w:spacing w:after="0" w:line="264" w:lineRule="auto"/>
        <w:tabs>
          <w:tab w:leader="none" w:pos="57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Phase I. </w:t>
      </w:r>
      <w:r>
        <w:rPr>
          <w:rFonts w:ascii="Arial" w:cs="Arial" w:eastAsia="Arial" w:hAnsi="Arial"/>
          <w:sz w:val="18"/>
          <w:szCs w:val="18"/>
          <w:color w:val="auto"/>
        </w:rPr>
        <w:t>The biological product candidate is initially introduced into healthy human patients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60" w:right="6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The biological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Phase III. </w:t>
      </w:r>
      <w:r>
        <w:rPr>
          <w:rFonts w:ascii="Arial" w:cs="Arial" w:eastAsia="Arial" w:hAnsi="Arial"/>
          <w:sz w:val="18"/>
          <w:szCs w:val="18"/>
          <w:color w:val="auto"/>
        </w:rPr>
        <w:t>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trials are intended to establish the overall risk/benefit ratio of the product and provide an adequate basis for product labeling.</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therapies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Where a gene therapy study is conducted at, or sponsored by, institutions receiving funding from the National Institute of Health, or NIH, for recombinant DNA research, prior to the submission of an IND to the FDA, study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recombinant DNA advisory committee, or RAC. Current NIH guidelines specify that RAC review of human gene transfer protocols should be limited to cases in which an oversight body, such as an Institutional Biosafety Committee or an IRB determines that a protocol would significantly benefit from RAC review, and has been determined to meet certain additional criteria. OBA will notify the FDA of the RAC’s decision regarding the necessity for full public review of a gene therapy protocol. RAC proceedings and reports are posted to the OBA web site and may be accessed by the public.</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review and approval processes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the submission is accepted for filing, the FDA begins an in-depth substantive review of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9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designation</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not requested orphan designation for our product candidates, but depending on the proposed indication for which we intend to develop our future products, we may in the future request such designation.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Expedited development and review programs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8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 and exclusivity</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Patient Protection and Affordable Care Act, or ACA,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BPCIA is complex and is continuing to be interpreted and implemented by the FDA. As a result, the ultimate impact, implementation and meaning of the BPCIA is subject to significant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outside of the United States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two types of MAs.</w:t>
      </w:r>
    </w:p>
    <w:p>
      <w:pPr>
        <w:spacing w:after="0" w:line="225" w:lineRule="exact"/>
        <w:rPr>
          <w:sz w:val="20"/>
          <w:szCs w:val="20"/>
          <w:color w:val="auto"/>
        </w:rPr>
      </w:pPr>
    </w:p>
    <w:p>
      <w:pPr>
        <w:ind w:left="660" w:right="40" w:hanging="328"/>
        <w:spacing w:after="0" w:line="26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82"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8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81" w:lineRule="exact"/>
        <w:rPr>
          <w:sz w:val="20"/>
          <w:szCs w:val="20"/>
          <w:color w:val="auto"/>
        </w:rPr>
      </w:pPr>
    </w:p>
    <w:p>
      <w:pPr>
        <w:ind w:left="5620" w:right="2120" w:hanging="5288"/>
        <w:spacing w:after="0" w:line="684"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second applicant can establish that its product, although similar, is safer, more effective or otherwise clinically superior; 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applicant consents to a second orphan medicinal product application;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applicant cannot supply enough orphan medicinal product.</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and drug pricing transparency laws.</w:t>
      </w:r>
    </w:p>
    <w:p>
      <w:pPr>
        <w:spacing w:after="0" w:line="18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The intent standard under the Anti-Kickback Statute was amended by the ACA to a stricter standard such that a person or entity does not need to have actual knowledge of the statute or specific intent to violate it in order to have committed a violation. Violation of the federal Anti-Kickback Statute may also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pricing information and marketing expenditure as well as gifts, compensation and other remuneration or items of value provided to physicians and other healthcare professionals and entities.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containment of healthcare costs is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among other things, increased the minimum Medicaid rebates owed by most manufacturers under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subjected drug manufacturers to new annual fees based on pharmaceutical companies’ share of sales to federal healthcare programs; and created a new Patient Centered Outcomes Research Institute to oversee, identify priorities in, and conduct comparative clinical effectiveness research, along with funding for such research.</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also expect that the new presidential administration and U.S. Congress will seek to modify, repeal, or otherwise invalidate all, or certain provisions of, the ACA. Most recently, the Tax Cuts and Jobs Acts was enacted, which, among other things, removes penalties for not complying with the individual mandate to carry health insurance.</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This included aggregate reductions of Medicare payments to providers of 2% per fiscal year, which went into effect on April 1, 2013 and, due to subsequent legislative amendments, will stay in effect through 2025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January 31, 2018, we had 64 full-time employees, 48 of whom were primarily engaged in research and development activities. A total of 23 employees have either one or both an M.D. or Ph.D. degree. None of our employees is represented by a labor union and we consider our employee relations to be good.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on Form 10-K.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inception, we have incurred significant operating losses in every year. Our net loss was $65.3 million, $36.2 million and $25.2 million for the years ended December 31, 2017, 2016 and 2015, respectively. As of December 31, 2017, we had an accumulated deficit of $216.9 million. To date, we have financed our operations primarily through our initial public offering of our common stock, a private placement of our common stock, issuances of preferred stock, debt, research grants and research collaborations.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SVP-enabled therapies. We expect to continue to incur significant expenses and operating losses for the foreseeable future. We expect that our expenses will increase substantially as we: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40" w:hanging="232"/>
        <w:spacing w:after="0" w:line="207" w:lineRule="exact"/>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clinical trials for our other product candidates, including SEL-403;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86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7" w:lineRule="exact"/>
        <w:rPr>
          <w:sz w:val="20"/>
          <w:szCs w:val="20"/>
          <w:color w:val="auto"/>
        </w:rPr>
      </w:pPr>
    </w:p>
    <w:p>
      <w:pPr>
        <w:ind w:left="340" w:right="140" w:hanging="25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1"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SEL-403 and SELA-070,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believe that our existing cash, cash equivalents and investments, and restricted cash as of December 31, 2017 will enable us to fund our operating expenses and capital expenditure requirements into mid-2019. We have based this estimate on assumptions that may prove to be wrong, and we could use our capital resources sooner than we currently expect. Our future capital requirements will depend on many factors, including:</w:t>
      </w:r>
    </w:p>
    <w:p>
      <w:pPr>
        <w:spacing w:after="0" w:line="166" w:lineRule="exact"/>
        <w:rPr>
          <w:sz w:val="20"/>
          <w:szCs w:val="20"/>
          <w:color w:val="auto"/>
        </w:rPr>
      </w:pPr>
    </w:p>
    <w:p>
      <w:pPr>
        <w:ind w:left="240" w:hanging="232"/>
        <w:spacing w:after="0" w:line="207" w:lineRule="exact"/>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and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ectPr>
          <w:pgSz w:w="11900" w:h="16838" w:orient="portrait"/>
          <w:cols w:equalWidth="0" w:num="1">
            <w:col w:w="11380"/>
          </w:cols>
          <w:pgMar w:left="240" w:top="125"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125" w:right="2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SEL-212, our lead product candidate, SEL-403, our product candidate utilizing LMB-100 in combination with SVP-Rapamycin, and SELA-070, our nicotine vaccine product candidate for smoking cessation and relapse prevention, our product candidates are still in preclinical development. While we have completed our Phase 1 clinical trial for SEL</w:t>
      </w:r>
      <w:r>
        <w:rPr>
          <w:rFonts w:ascii="MS PGothic" w:cs="MS PGothic" w:eastAsia="MS PGothic" w:hAnsi="MS PGothic"/>
          <w:sz w:val="17"/>
          <w:szCs w:val="17"/>
          <w:color w:val="auto"/>
        </w:rPr>
        <w:t>‑</w:t>
      </w:r>
      <w:r>
        <w:rPr>
          <w:rFonts w:ascii="Arial" w:cs="Arial" w:eastAsia="Arial" w:hAnsi="Arial"/>
          <w:sz w:val="17"/>
          <w:szCs w:val="17"/>
          <w:color w:val="auto"/>
        </w:rPr>
        <w:t>212, we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 We initiated our Phase 2 clinical trial of SEL</w:t>
      </w:r>
      <w:r>
        <w:rPr>
          <w:rFonts w:ascii="MS PGothic" w:cs="MS PGothic" w:eastAsia="MS PGothic" w:hAnsi="MS PGothic"/>
          <w:sz w:val="17"/>
          <w:szCs w:val="17"/>
          <w:color w:val="auto"/>
        </w:rPr>
        <w:t>‑</w:t>
      </w:r>
      <w:r>
        <w:rPr>
          <w:rFonts w:ascii="Arial" w:cs="Arial" w:eastAsia="Arial" w:hAnsi="Arial"/>
          <w:sz w:val="17"/>
          <w:szCs w:val="17"/>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w:t>
      </w:r>
    </w:p>
    <w:p>
      <w:pPr>
        <w:sectPr>
          <w:pgSz w:w="11900" w:h="16838" w:orient="portrait"/>
          <w:cols w:equalWidth="0" w:num="1">
            <w:col w:w="11400"/>
          </w:cols>
          <w:pgMar w:left="240" w:top="125" w:right="25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160"/>
        <w:spacing w:after="0" w:line="221" w:lineRule="exact"/>
        <w:rPr>
          <w:sz w:val="20"/>
          <w:szCs w:val="20"/>
          <w:color w:val="auto"/>
        </w:rPr>
      </w:pPr>
      <w:r>
        <w:rPr>
          <w:rFonts w:ascii="Arial" w:cs="Arial" w:eastAsia="Arial" w:hAnsi="Arial"/>
          <w:sz w:val="17"/>
          <w:szCs w:val="17"/>
          <w:b w:val="1"/>
          <w:bCs w:val="1"/>
          <w:i w:val="1"/>
          <w:iCs w:val="1"/>
          <w:color w:val="auto"/>
        </w:rPr>
        <w:t>Our product candidates are based on our SVP technology, which is an unproven approach designed to induce antigen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specific immune tolerance to biologic drugs or stimulate the immune system. We are very early in our clinical development efforts and may not be successful in our efforts to use our SVP technology to build a pipeline of product candidates and develop marketable drugs.</w:t>
      </w:r>
    </w:p>
    <w:p>
      <w:pPr>
        <w:spacing w:after="0" w:line="202"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All of our product candidates are derived from our SVP technology, which is an unproven approach to inducing antigen</w:t>
      </w:r>
      <w:r>
        <w:rPr>
          <w:rFonts w:ascii="MS PGothic" w:cs="MS PGothic" w:eastAsia="MS PGothic" w:hAnsi="MS PGothic"/>
          <w:sz w:val="16"/>
          <w:szCs w:val="16"/>
          <w:color w:val="auto"/>
        </w:rPr>
        <w:t>‑</w:t>
      </w:r>
      <w:r>
        <w:rPr>
          <w:rFonts w:ascii="Arial" w:cs="Arial" w:eastAsia="Arial" w:hAnsi="Arial"/>
          <w:sz w:val="16"/>
          <w:szCs w:val="16"/>
          <w:color w:val="auto"/>
        </w:rPr>
        <w:t>specific tolerance or stimulating the immune system. We are primarily using our SVP technology to improve and enable biologics that treat rare and serious diseases, with an initial focus on developing SEL</w:t>
      </w:r>
      <w:r>
        <w:rPr>
          <w:rFonts w:ascii="MS PGothic" w:cs="MS PGothic" w:eastAsia="MS PGothic" w:hAnsi="MS PGothic"/>
          <w:sz w:val="16"/>
          <w:szCs w:val="16"/>
          <w:color w:val="auto"/>
        </w:rPr>
        <w:t>‑</w:t>
      </w:r>
      <w:r>
        <w:rPr>
          <w:rFonts w:ascii="Arial" w:cs="Arial" w:eastAsia="Arial" w:hAnsi="Arial"/>
          <w:sz w:val="16"/>
          <w:szCs w:val="16"/>
          <w:color w:val="auto"/>
        </w:rPr>
        <w:t xml:space="preserve">212 for the treatment of chronic severe gout. We are also leveraging our SVP platform to pursue programs in additional therapeutic areas such as oncology and gene therapy. For instance, in May 2017 we licensed LMB-100, a potent anti-bacterial toxin, and in March 2018 initiated a Phase 1 trial of our product candidate SEL-403 to evaluate LMB-100 in combination with our SVP technology in patients with malignant pleural or peritoneal mesothelioma who have undergone at least one regimen of chemotherapy. In addition, we are developing two gene therapy product candidates for rare inborn errors of metabolism. Our lead gene therapy program is a potential treatment for </w:t>
      </w:r>
      <w:r>
        <w:rPr>
          <w:rFonts w:ascii="Arial" w:cs="Arial" w:eastAsia="Arial" w:hAnsi="Arial"/>
          <w:sz w:val="16"/>
          <w:szCs w:val="16"/>
          <w:color w:val="333333"/>
        </w:rPr>
        <w:t>methylmalonic acidemia</w:t>
      </w:r>
      <w:r>
        <w:rPr>
          <w:rFonts w:ascii="Arial" w:cs="Arial" w:eastAsia="Arial" w:hAnsi="Arial"/>
          <w:sz w:val="16"/>
          <w:szCs w:val="16"/>
          <w:color w:val="auto"/>
        </w:rPr>
        <w:t>. This product candidate is known as SEL-302. Our second gene therapy product candidate, or SEL-313, is intended to treat ornithine transcarbamylase deficiency.</w:t>
      </w:r>
    </w:p>
    <w:p>
      <w:pPr>
        <w:spacing w:after="0" w:line="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8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hanging="332"/>
        <w:spacing w:after="0" w:line="184" w:lineRule="exact"/>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14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have not received FDA approval for a therapeutic based on SVP or for a biologic product manufactured in China and we know of only one company who has received FDA approval for a therapeutic based on a biologic sourced from China. In addition, we may use biologics other than pegsiticase with our SVP technology.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6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the unproven nature of our SVP therapeutics, they may have different efficacy and safety rates in various indications;</w:t>
      </w:r>
    </w:p>
    <w:p>
      <w:pPr>
        <w:spacing w:after="0" w:line="225" w:lineRule="exact"/>
        <w:rPr>
          <w:rFonts w:ascii="Arial" w:cs="Arial" w:eastAsia="Arial" w:hAnsi="Arial"/>
          <w:sz w:val="18"/>
          <w:szCs w:val="18"/>
          <w:color w:val="auto"/>
        </w:rPr>
      </w:pPr>
    </w:p>
    <w:p>
      <w:pPr>
        <w:ind w:left="340" w:right="40" w:hanging="332"/>
        <w:spacing w:after="0" w:line="221" w:lineRule="exact"/>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1" w:lineRule="exact"/>
        <w:rPr>
          <w:rFonts w:ascii="Arial" w:cs="Arial" w:eastAsia="Arial" w:hAnsi="Arial"/>
          <w:sz w:val="18"/>
          <w:szCs w:val="18"/>
          <w:color w:val="auto"/>
        </w:rPr>
      </w:pPr>
    </w:p>
    <w:p>
      <w:pPr>
        <w:ind w:left="340" w:right="100" w:hanging="332"/>
        <w:spacing w:after="0" w:line="221" w:lineRule="exact"/>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 biologics license application for SEL</w:t>
      </w:r>
      <w:r>
        <w:rPr>
          <w:rFonts w:ascii="MS PGothic" w:cs="MS PGothic" w:eastAsia="MS PGothic" w:hAnsi="MS PGothic"/>
          <w:sz w:val="18"/>
          <w:szCs w:val="18"/>
          <w:color w:val="auto"/>
        </w:rPr>
        <w:t>‑</w:t>
      </w:r>
      <w:r>
        <w:rPr>
          <w:rFonts w:ascii="Arial" w:cs="Arial" w:eastAsia="Arial" w:hAnsi="Arial"/>
          <w:sz w:val="18"/>
          <w:szCs w:val="18"/>
          <w:color w:val="auto"/>
        </w:rPr>
        <w:t>212 or another product and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are applying our SVP technology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8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regulatory approval process and clinical trial requirements for novel product candidates can be more expensive and take longer than for other, better known or more extensively studied product candidates. 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and must be authorized by both an applicable Institutional Review Board (“IRB”) and an Institutional Biosafety Committee, which provides oversight of recombinant DNA research.</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synthetic nucleic acid molecules.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the IBC approves the protocol, and the IBC cannot approve the protocol until confirmation from the NIH that such registration is complete. In the event that RAC review is warranted, the protocol registration process cannot be completed until RAC review has taken place. 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if the study is not subject to in-depth, public RAC review.</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2012, the European Medicines Agency approved a gene therapy product called Glybera, which became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and to date only three gene therapy products have been approved for use in the United States by the FDA.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 Similarly, the EMA may issue new guidelines concerning the development and marketing authorization for gene therapy medicinal products and require that we comply with these new guidelines.</w:t>
      </w:r>
    </w:p>
    <w:p>
      <w:pPr>
        <w:spacing w:after="0" w:line="5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lead product candidate, SEL-212, is currently being evaluated in a Phase 2 clinical program that we initiated in October 2016 and that we expect will conclude in 2018. In May 2017, we in-licensed LMB-100, a next-generation immunotoxin that completed a Phase 1 clinical program at the Center for Cancer Research at the NCI, for pancreatic cancer, mesothelioma and other cancers in 2017. For this product candidate, known as SEL-403, we plan to co-administer LMB-100 with SVP-Rapamycin. In March 2018, we initiated a Phase 1 trial of SEL-403 in patients with malignant pleural or peritoneal mesothelioma who have undergone at least one regimen of chemotherapy under a CRADA at NCI. In May 2017, we commenced dosing for a Phase 1 clinical trial for SELA-070, a nicotine vaccine candidate in development for smoking cessation and relapse prevention, to assess its safety, tolerability and pharmacodynamic profile. 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to date from our Phase 2 trial of SEL-212 may not be predictive of future results as we continue to enroll patients in ascending dose cohorts to receive combination therapy for the entire treatment period. Moreover, we may not be able to complete, or may be required to deviate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from, currently planned dosing levels in the Phase 2 trial for a variety of reasons, including, but not limited to, feedback from the FDA.</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that we expect;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w:t>
      </w:r>
    </w:p>
    <w:p>
      <w:pPr>
        <w:spacing w:after="0" w:line="225"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87"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50,000 patients in the United States. Accordingly, there is a limited number of patients who could enroll in our clinical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ectPr>
          <w:pgSz w:w="11900" w:h="16838" w:orient="portrait"/>
          <w:cols w:equalWidth="0" w:num="1">
            <w:col w:w="11400"/>
          </w:cols>
          <w:pgMar w:left="240" w:top="125" w:right="259"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25" w:right="259" w:bottom="352"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3"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6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26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b w:val="1"/>
          <w:bCs w:val="1"/>
          <w:i w:val="1"/>
          <w:iCs w:val="1"/>
          <w:color w:val="auto"/>
        </w:rPr>
        <w:t>We rely on Shenyang Sunshine Pharmaceutical Co., Ltd., or 3SBio, in China as our primary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54"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We obtain the biologic pegsiticase,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 primarily from 3SBio in China. Under our license agreement with 3SBio, we have limited rights to manufacture pegsiticase and, while we have entered into a contract with a back-up supplier located outside of China, we expect to continue to rely on 3SBio as the primary supplier of pegsiticase for the foreseeable future. In addition, to our knowledge no company has received FDA approval for a therapeutic based on a biologic product manufactured in China.</w:t>
      </w:r>
    </w:p>
    <w:p>
      <w:pPr>
        <w:spacing w:after="0" w:line="204" w:lineRule="exact"/>
        <w:rPr>
          <w:sz w:val="20"/>
          <w:szCs w:val="20"/>
          <w:color w:val="auto"/>
        </w:rPr>
      </w:pPr>
    </w:p>
    <w:p>
      <w:pPr>
        <w:ind w:right="120"/>
        <w:spacing w:after="0" w:line="218" w:lineRule="exact"/>
        <w:rPr>
          <w:sz w:val="20"/>
          <w:szCs w:val="20"/>
          <w:color w:val="auto"/>
        </w:rPr>
      </w:pPr>
      <w:r>
        <w:rPr>
          <w:rFonts w:ascii="Arial" w:cs="Arial" w:eastAsia="Arial" w:hAnsi="Arial"/>
          <w:sz w:val="17"/>
          <w:szCs w:val="17"/>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third</w:t>
      </w:r>
      <w:r>
        <w:rPr>
          <w:rFonts w:ascii="MS PGothic" w:cs="MS PGothic" w:eastAsia="MS PGothic" w:hAnsi="MS PGothic"/>
          <w:sz w:val="18"/>
          <w:szCs w:val="18"/>
          <w:color w:val="auto"/>
        </w:rPr>
        <w:t>‑</w:t>
      </w:r>
      <w:r>
        <w:rPr>
          <w:rFonts w:ascii="Arial" w:cs="Arial" w:eastAsia="Arial" w:hAnsi="Arial"/>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4"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71"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80" w:hanging="332"/>
        <w:spacing w:after="0" w:line="223"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700" w:hanging="332"/>
        <w:spacing w:after="0" w:line="223"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100" w:hanging="332"/>
        <w:spacing w:after="0" w:line="221"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manufacturing organizations, or CMOs, or 3SBio, are unable to comply with cGMP regulations or if the FDA does not approve their facilities upon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5620" w:right="2140" w:hanging="5612"/>
        <w:spacing w:after="0" w:line="684"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60" w:hanging="332"/>
        <w:spacing w:after="0" w:line="221" w:lineRule="exact"/>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52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 and</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had elected to terminate in its entirety the Sanofi Agreement related to the development of product candidates to treat peanut allergy and celiac disease, and as a result we will not receive any future payments related in the Sanofi Agreement.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Annual Report also apply to the activities of our therapeutic program collaborators and there can be no assurance that our collaborations will produce positive results or successful products on a timely basis or at all.</w:t>
      </w:r>
    </w:p>
    <w:p>
      <w:pPr>
        <w:spacing w:after="0" w:line="1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may in the future collaborate with additional pharmaceutical and biotechnology companies for development and potential commercialization of therapeutic products. We face significant competition in seeking appropriate collaborators. If we are unable to reach agreements with suitable collaborators on a timely basis, on acceptable terms, or at all, we may not be able to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360"/>
        <w:spacing w:after="0" w:line="221"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clinical trial of SEL</w:t>
      </w:r>
      <w:r>
        <w:rPr>
          <w:rFonts w:ascii="MS PGothic" w:cs="MS PGothic" w:eastAsia="MS PGothic" w:hAnsi="MS PGothic"/>
          <w:sz w:val="18"/>
          <w:szCs w:val="18"/>
          <w:color w:val="auto"/>
        </w:rPr>
        <w:t>‑</w:t>
      </w:r>
      <w:r>
        <w:rPr>
          <w:rFonts w:ascii="Arial" w:cs="Arial" w:eastAsia="Arial" w:hAnsi="Arial"/>
          <w:sz w:val="18"/>
          <w:szCs w:val="18"/>
          <w:color w:val="auto"/>
        </w:rPr>
        <w:t>212. We also expect to rely on other third parties to store and distribute drug supplies for our clinical trials.</w:t>
      </w:r>
    </w:p>
    <w:p>
      <w:pPr>
        <w:spacing w:after="0" w:line="202" w:lineRule="exact"/>
        <w:rPr>
          <w:sz w:val="20"/>
          <w:szCs w:val="20"/>
          <w:color w:val="auto"/>
        </w:rPr>
      </w:pPr>
    </w:p>
    <w:p>
      <w:pPr>
        <w:ind w:right="140"/>
        <w:spacing w:after="0" w:line="218"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9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2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ectPr>
          <w:pgSz w:w="11900" w:h="16838" w:orient="portrait"/>
          <w:cols w:equalWidth="0" w:num="1">
            <w:col w:w="11380"/>
          </w:cols>
          <w:pgMar w:left="240" w:top="125" w:right="279" w:bottom="1440" w:gutter="0" w:footer="0" w:header="0"/>
        </w:sect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125" w:right="27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development and commercialization of new drug and biologic products and technologies is highly competitive and is characterized by rapid and substantial technological development and product innovations.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5"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that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203"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7"/>
          <w:szCs w:val="17"/>
          <w:color w:val="auto"/>
        </w:rPr>
        <w:t>‑</w:t>
      </w:r>
      <w:r>
        <w:rPr>
          <w:rFonts w:ascii="Arial" w:cs="Arial" w:eastAsia="Arial" w:hAnsi="Arial"/>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94"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21"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100" w:hanging="332"/>
        <w:spacing w:after="0" w:line="219"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203"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81"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6" w:lineRule="exact"/>
        <w:rPr>
          <w:rFonts w:ascii="Arial" w:cs="Arial" w:eastAsia="Arial" w:hAnsi="Arial"/>
          <w:sz w:val="16"/>
          <w:szCs w:val="16"/>
          <w:color w:val="auto"/>
        </w:rPr>
      </w:pPr>
    </w:p>
    <w:p>
      <w:pPr>
        <w:jc w:val="both"/>
        <w:ind w:left="340" w:right="2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 and</w:t>
      </w:r>
    </w:p>
    <w:p>
      <w:pPr>
        <w:spacing w:after="0" w:line="165" w:lineRule="exact"/>
        <w:rPr>
          <w:rFonts w:ascii="Arial" w:cs="Arial" w:eastAsia="Arial" w:hAnsi="Arial"/>
          <w:sz w:val="17"/>
          <w:szCs w:val="17"/>
          <w:color w:val="auto"/>
        </w:rPr>
      </w:pPr>
    </w:p>
    <w:p>
      <w:pPr>
        <w:ind w:left="340" w:right="80" w:hanging="332"/>
        <w:spacing w:after="0" w:line="220" w:lineRule="exact"/>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which may apply to sales or marketing arrangements and claims involving healthcare items or services reimbursed by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requirements to comply with federal and pharmaceutical industry compliance guidelines; state data privacy and price transparency laws, many of which differ from each other in significant ways and often are broader than and not preempted by HIPAA or the Sunshine Act, thus complicating compliance efforts.</w:t>
      </w:r>
    </w:p>
    <w:p>
      <w:pPr>
        <w:spacing w:after="0" w:line="20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to profitably sell any product candidates for which we obtain marketing approval.</w:t>
      </w: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The Trump Administration and the U.S. Congress may take further action regarding the Affordable Carte Act, including, but not limited to, repeal or replacement. Most recently, the Tax Cuts and Jobs Acts was enacted, which, among other things, removes penalties for not complying with the individual mandate to carry health insurance. We cannot predict the ultimate content, timing or effect of any healthcare reform legislation or the impact of potential legislation on us.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0"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20" w:lineRule="exact"/>
        <w:rPr>
          <w:sz w:val="20"/>
          <w:szCs w:val="20"/>
          <w:color w:val="auto"/>
        </w:rPr>
      </w:pPr>
      <w:r>
        <w:rPr>
          <w:rFonts w:ascii="Arial" w:cs="Arial" w:eastAsia="Arial" w:hAnsi="Arial"/>
          <w:sz w:val="16"/>
          <w:szCs w:val="16"/>
          <w:color w:val="auto"/>
        </w:rPr>
        <w:t>The FDA may also impose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clinical trials and surveillance to monitor the safety or efficacy of our approved products. The FDA closely regulates the post</w:t>
      </w:r>
      <w:r>
        <w:rPr>
          <w:rFonts w:ascii="MS PGothic" w:cs="MS PGothic" w:eastAsia="MS PGothic" w:hAnsi="MS PGothic"/>
          <w:sz w:val="16"/>
          <w:szCs w:val="16"/>
          <w:color w:val="auto"/>
        </w:rPr>
        <w:t>‑</w:t>
      </w:r>
      <w:r>
        <w:rPr>
          <w:rFonts w:ascii="Arial" w:cs="Arial" w:eastAsia="Arial" w:hAnsi="Arial"/>
          <w:sz w:val="16"/>
          <w:szCs w:val="16"/>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6"/>
          <w:szCs w:val="16"/>
          <w:color w:val="auto"/>
        </w:rPr>
        <w:t>‑</w:t>
      </w:r>
      <w:r>
        <w:rPr>
          <w:rFonts w:ascii="Arial" w:cs="Arial" w:eastAsia="Arial" w:hAnsi="Arial"/>
          <w:sz w:val="16"/>
          <w:szCs w:val="16"/>
          <w:color w:val="auto"/>
        </w:rPr>
        <w:t>label use, and if we market our products outside of their approved indications, we may be subject to enforcement action for off</w:t>
      </w:r>
      <w:r>
        <w:rPr>
          <w:rFonts w:ascii="MS PGothic" w:cs="MS PGothic" w:eastAsia="MS PGothic" w:hAnsi="MS PGothic"/>
          <w:sz w:val="16"/>
          <w:szCs w:val="16"/>
          <w:color w:val="auto"/>
        </w:rPr>
        <w:t>‑</w:t>
      </w:r>
      <w:r>
        <w:rPr>
          <w:rFonts w:ascii="Arial" w:cs="Arial" w:eastAsia="Arial" w:hAnsi="Arial"/>
          <w:sz w:val="16"/>
          <w:szCs w:val="16"/>
          <w:color w:val="auto"/>
        </w:rPr>
        <w:t>label marketing.</w:t>
      </w:r>
    </w:p>
    <w:p>
      <w:pPr>
        <w:sectPr>
          <w:pgSz w:w="11900" w:h="16838" w:orient="portrait"/>
          <w:cols w:equalWidth="0" w:num="1">
            <w:col w:w="11400"/>
          </w:cols>
          <w:pgMar w:left="240" w:top="125" w:right="25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25" w:right="2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Violations of the FDA’s restrictions relating to the promotion of prescription products may also lead to investigations alleging violations of federal and state health care fraud and abuse laws, as well as state consumer protection laws.</w:t>
      </w:r>
    </w:p>
    <w:p>
      <w:pPr>
        <w:spacing w:after="0" w:line="17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63"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140"/>
        <w:spacing w:after="0" w:line="219" w:lineRule="exact"/>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6"/>
          <w:szCs w:val="16"/>
          <w:color w:val="auto"/>
        </w:rPr>
        <w:t>‑</w:t>
      </w:r>
      <w:r>
        <w:rPr>
          <w:rFonts w:ascii="Arial" w:cs="Arial" w:eastAsia="Arial" w:hAnsi="Arial"/>
          <w:sz w:val="16"/>
          <w:szCs w:val="16"/>
          <w:color w:val="auto"/>
        </w:rPr>
        <w:t>bribery and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in the countries in which we conduct activities. Anti</w:t>
      </w:r>
      <w:r>
        <w:rPr>
          <w:rFonts w:ascii="MS PGothic" w:cs="MS PGothic" w:eastAsia="MS PGothic" w:hAnsi="MS PGothic"/>
          <w:sz w:val="16"/>
          <w:szCs w:val="16"/>
          <w:color w:val="auto"/>
        </w:rPr>
        <w:t>‑</w:t>
      </w:r>
      <w:r>
        <w:rPr>
          <w:rFonts w:ascii="Arial" w:cs="Arial" w:eastAsia="Arial" w:hAnsi="Arial"/>
          <w:sz w:val="16"/>
          <w:szCs w:val="16"/>
          <w:color w:val="auto"/>
        </w:rPr>
        <w:t>corruption laws are interpreted broadly and prohibit companies and their employees, agents, contractors and other partners from authorizing, promising, offering or</w:t>
      </w:r>
    </w:p>
    <w:p>
      <w:pPr>
        <w:sectPr>
          <w:pgSz w:w="11900" w:h="16838" w:orient="portrait"/>
          <w:cols w:equalWidth="0" w:num="1">
            <w:col w:w="11320"/>
          </w:cols>
          <w:pgMar w:left="240" w:top="125" w:right="339" w:bottom="1000" w:gutter="0" w:footer="0" w:header="0"/>
        </w:sect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20"/>
          </w:cols>
          <w:pgMar w:left="240" w:top="125" w:right="339" w:bottom="100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3"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currently own ten issued U.S. patents. We cannot provide any assurances that such patents,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20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some foreign countries do not protect proprietary rights to the same extent or in the same manner as the laws of the United States. As a result, we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encounter significant problems in protecting and defending our intellectual property globally. If we are unable to prevent unauthorized disclosure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related to our product candidates and technology to third parties, we may not be able to establish or maintain a competitive advantage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market, which could adversely affect our business and operations.</w:t>
      </w:r>
    </w:p>
    <w:p>
      <w:pPr>
        <w:spacing w:after="0" w:line="103"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9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our portfolio will be subject to examination under the law and regulations, as amended by the Leahy</w:t>
      </w:r>
      <w:r>
        <w:rPr>
          <w:rFonts w:ascii="MS PGothic" w:cs="MS PGothic" w:eastAsia="MS PGothic" w:hAnsi="MS PGothic"/>
          <w:sz w:val="18"/>
          <w:szCs w:val="18"/>
          <w:color w:val="auto"/>
        </w:rPr>
        <w:t>‑</w:t>
      </w:r>
      <w:r>
        <w:rPr>
          <w:rFonts w:ascii="Arial" w:cs="Arial" w:eastAsia="Arial" w:hAnsi="Arial"/>
          <w:sz w:val="18"/>
          <w:szCs w:val="18"/>
          <w:color w:val="auto"/>
        </w:rPr>
        <w:t>Smith Act. This introduces additional complexities into the prosecution and management of our portfolio.</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6"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3"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7"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24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6"/>
          <w:szCs w:val="16"/>
          <w:color w:val="auto"/>
        </w:rPr>
        <w:t>‑</w:t>
      </w:r>
      <w:r>
        <w:rPr>
          <w:rFonts w:ascii="Arial" w:cs="Arial" w:eastAsia="Arial" w:hAnsi="Arial"/>
          <w:sz w:val="16"/>
          <w:szCs w:val="16"/>
          <w:color w:val="auto"/>
        </w:rPr>
        <w:t>party infringement or unauthorized use. This can be expensive, particularly for a company of our size, and 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3"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2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20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highly dependent on Werner Cautreels, Ph.D., our President and Chief Executive Officer, as well as the other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January 2018, Dr. Cautreels announced his intention to retire effective December 31, 2018. Recruiting and retaining a new President and Chief Executive Officer will be critical to our success. We anticipate that we will experience a transitional period until our new Chief Executive Officer is hired and then fully integrated into his or her new role. Any delay or failure to recruit Dr. Cautreels’ successor may adversely affect our business and financial results. We cannot predict how long it will take to hire a new Chief Executive Officer and if we are not able to appoint a new President and Chief Executive Officer in a timely manner, or we are forced to operate with a transitional leadership team, our business, financial condition, and results of</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operations could be materially and adversely affected. Moreover, we cannot provide any assurance that the transition in leadership will not result in a disruption that adversely impacts our business and employee morale.</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w:t>
      </w:r>
    </w:p>
    <w:p>
      <w:pPr>
        <w:spacing w:after="0" w:line="203"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Pursuant to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continue to dedicate internal resources, engage outside consultants, developed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 Russia and internationally could adversely affect our business.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possible unfavorable regulatory, pricing and reimbursement, legal, political, tax and labor conditions, which could harm our business.</w:t>
      </w:r>
    </w:p>
    <w:p>
      <w:pPr>
        <w:spacing w:after="0" w:line="22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We may also rely on collaborators to commercialize any approved product candidates outside of the United States. Doing business in Russia and internationally involves a number of risks, including but not limited to:</w:t>
      </w:r>
    </w:p>
    <w:p>
      <w:pPr>
        <w:spacing w:after="0" w:line="170" w:lineRule="exact"/>
        <w:rPr>
          <w:sz w:val="20"/>
          <w:szCs w:val="20"/>
          <w:color w:val="auto"/>
        </w:rPr>
      </w:pPr>
    </w:p>
    <w:p>
      <w:pPr>
        <w:ind w:left="340" w:right="70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10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Sanctions relating to Russia, and Russia’s response to those sanctions, could adversely affect our business.</w:t>
      </w:r>
    </w:p>
    <w:p>
      <w:pPr>
        <w:spacing w:after="0" w:line="22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In response to the events in Crimea and other factors, the United States and the European Union have imposed sanctions on certain individuals, companies and financial institutions in Russia and additional sanctions could be forthcoming. In response, Russia has imposed entry bans on certain U.S. lawmakers and officials, and Russia has also announced that it is prepared to take additional retaliatory action in response to further Russia-related sanctions imposed by the United States in August 2017. If the United States and European Union were to impose additional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7"/>
          <w:szCs w:val="17"/>
          <w:color w:val="auto"/>
        </w:rPr>
        <w:t>‑</w:t>
      </w:r>
      <w:r>
        <w:rPr>
          <w:rFonts w:ascii="Arial" w:cs="Arial" w:eastAsia="Arial" w:hAnsi="Arial"/>
          <w:sz w:val="17"/>
          <w:szCs w:val="17"/>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ectPr>
          <w:pgSz w:w="11900" w:h="16838" w:orient="portrait"/>
          <w:cols w:equalWidth="0" w:num="1">
            <w:col w:w="11400"/>
          </w:cols>
          <w:pgMar w:left="240" w:top="125" w:right="25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125" w:right="25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8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2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ectPr>
          <w:pgSz w:w="11900" w:h="16838" w:orient="portrait"/>
          <w:cols w:equalWidth="0" w:num="1">
            <w:col w:w="11360"/>
          </w:cols>
          <w:pgMar w:left="240" w:top="125" w:right="299" w:bottom="784"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60"/>
          </w:cols>
          <w:pgMar w:left="240" w:top="125" w:right="299" w:bottom="784"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18% of our outstanding voting stock as of December 31, 2017.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12.3 million shares of our common stock as of the completion of the initial public offering of our common stock on June 27,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on June 27, 2017, we issued and sold in a private placement 3,088,791 shares of our common stock and a warrant to purchase 79,130 shares of our common stock.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140"/>
        <w:spacing w:after="0" w:line="216" w:lineRule="exact"/>
        <w:rPr>
          <w:sz w:val="20"/>
          <w:szCs w:val="20"/>
          <w:color w:val="auto"/>
        </w:rPr>
      </w:pPr>
      <w:r>
        <w:rPr>
          <w:rFonts w:ascii="Arial" w:cs="Arial" w:eastAsia="Arial" w:hAnsi="Arial"/>
          <w:sz w:val="16"/>
          <w:szCs w:val="16"/>
          <w:color w:val="auto"/>
        </w:rPr>
        <w:t>$1.07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125" w:right="2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U.S. government recently enacted comprehensive federal income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Notwithstanding the reduction in the corporate income tax rate, the overall impact of this tax reform is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uncertain, and our business and financial condition could be adversely affected. This annual report on Form 10-K does not discuss any such tax legislation or the manner in which it might affect holders of our common stock. We urge our stockholders to consult with their legal and tax advisors with respect to any such legislation and the potential tax consequences of investing in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corporate headquarters are located in Watertown, Massachusetts and consist of 32,933 total square feet of leased office and laboratory space. In October 2017, we entered into a lease for approximately 5,100 square feet of additional office space. The leases both expire on March 31, 2020. We also lease approximately 2,500 square feet of office and laboratory space in Moscow, Russia on a month to month basis. We believe that our existing facilities are sufficient for our needs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Directors of the Registrant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Werner Cautreels, Ph.D. </w:t>
      </w:r>
      <w:r>
        <w:rPr>
          <w:rFonts w:ascii="Arial" w:cs="Arial" w:eastAsia="Arial" w:hAnsi="Arial"/>
          <w:sz w:val="16"/>
          <w:szCs w:val="16"/>
          <w:color w:val="auto"/>
        </w:rPr>
        <w:t>has served as our President, Chief Executive Officer and member of our board of directors since July 2010. Prior to joining Selecta,</w:t>
      </w:r>
      <w:r>
        <w:rPr>
          <w:rFonts w:ascii="Arial" w:cs="Arial" w:eastAsia="Arial" w:hAnsi="Arial"/>
          <w:sz w:val="16"/>
          <w:szCs w:val="16"/>
          <w:i w:val="1"/>
          <w:iCs w:val="1"/>
          <w:color w:val="auto"/>
        </w:rPr>
        <w:t xml:space="preserve"> </w:t>
      </w:r>
      <w:r>
        <w:rPr>
          <w:rFonts w:ascii="Arial" w:cs="Arial" w:eastAsia="Arial" w:hAnsi="Arial"/>
          <w:sz w:val="16"/>
          <w:szCs w:val="16"/>
          <w:color w:val="auto"/>
        </w:rPr>
        <w:t>Dr. Cautreels was Chief Executive Officer of Solvay Pharmaceuticals, the pharmaceuticals division of the Solvay Group, in Brussels, Belgium, from 2005 until Solvay Pharmaceuticals was acquired by Abbott Laboratories in February 2010. Before becoming the CEO of Solvay Pharmaceuticals, Dr. Cautreels was their Global Head of R&amp;D from 1998. Prior to joining Solvay, he was with Nycomed-Amersham and spent 15 years at Sanofi, Sterling-Winthrop serving in a variety of R&amp;D management positions in Europe and in the United States. Dr. Cautreels is a director of Galapagos NV, in Mechelen, Belgium. He also previously held director positions at Seres Therapeutics, Inc., Innogenetics NV and ArQule, Inc. Additionally, Dr. Cautreels was previously the President of the Belgian-Luxemburg Chamber of Commerce for Russia and Belarus. Dr. Cautreels received his Ph.D. in Chemistry, specializing in Mass Spectrometry, from the University of Antwerp (Antwerp, Belgium), and his financial and business training from the Advanced Management Program at Harvard Business School. Dr. Cautreels’ extensive knowledge of our business and experience as a senior pharmaceutical executive and board member to numerous companies in the biotechnology industry contributed to our board of directors’ conclusion that he should serve as a director of our company.</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Timothy C. Barabe </w:t>
      </w:r>
      <w:r>
        <w:rPr>
          <w:rFonts w:ascii="Arial" w:cs="Arial" w:eastAsia="Arial" w:hAnsi="Arial"/>
          <w:sz w:val="17"/>
          <w:szCs w:val="17"/>
          <w:color w:val="auto"/>
        </w:rPr>
        <w:t>joined our board of directors in July 2016. Mr. Barabe also serves on the boards of ArQule, Inc., Veeva Systems Inc., and Vigilant</w:t>
      </w:r>
      <w:r>
        <w:rPr>
          <w:rFonts w:ascii="Arial" w:cs="Arial" w:eastAsia="Arial" w:hAnsi="Arial"/>
          <w:sz w:val="17"/>
          <w:szCs w:val="17"/>
          <w:i w:val="1"/>
          <w:iCs w:val="1"/>
          <w:color w:val="auto"/>
        </w:rPr>
        <w:t xml:space="preserve"> </w:t>
      </w:r>
      <w:r>
        <w:rPr>
          <w:rFonts w:ascii="Arial" w:cs="Arial" w:eastAsia="Arial" w:hAnsi="Arial"/>
          <w:sz w:val="17"/>
          <w:szCs w:val="17"/>
          <w:color w:val="auto"/>
        </w:rPr>
        <w:t>Biosciences, Inc., a private company.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18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Omid Farokhzad, M.D. </w:t>
      </w:r>
      <w:r>
        <w:rPr>
          <w:rFonts w:ascii="Arial" w:cs="Arial" w:eastAsia="Arial" w:hAnsi="Arial"/>
          <w:sz w:val="17"/>
          <w:szCs w:val="17"/>
          <w:color w:val="auto"/>
        </w:rPr>
        <w:t>is one of our co-founders and has served as a member of our board of directors since 2007. Dr. Farokhzad is the CEO and founder of</w:t>
      </w:r>
      <w:r>
        <w:rPr>
          <w:rFonts w:ascii="Arial" w:cs="Arial" w:eastAsia="Arial" w:hAnsi="Arial"/>
          <w:sz w:val="17"/>
          <w:szCs w:val="17"/>
          <w:i w:val="1"/>
          <w:iCs w:val="1"/>
          <w:color w:val="auto"/>
        </w:rPr>
        <w:t xml:space="preserve"> </w:t>
      </w:r>
      <w:r>
        <w:rPr>
          <w:rFonts w:ascii="Arial" w:cs="Arial" w:eastAsia="Arial" w:hAnsi="Arial"/>
          <w:sz w:val="17"/>
          <w:szCs w:val="17"/>
          <w:color w:val="auto"/>
        </w:rPr>
        <w:t>Seer Biosciences. Previously, he was a Professor at Harvard Medical School, or HMS, and a physician-scientist at Brigham and Women’s Hospital, or BWH, where he established and directed the BWH Center of Nanomedicine. He currently maintains an unpaid faculty position at HMS and BWH. Prior to joining the HMS faculty, Dr. Farokhzad completed his postgraduate clinical and postdoctoral research trainings, respectively, at BWH/HMS and MIT. In 2016, he was among the recipients of the Ellis Island Medal of Honor, and in 2014, the Golden Door Award from the International Institute of New England, for his scientific, societal, and economic contributions to America as an immigrant. Dr. Farokhzad was elected to the College of the Fellows of the American Institute of Medical and Biological Engineering. He is the</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5"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recipient of the 2013 RUSNANOPRIZE, and was named an Ernst &amp; Young 2012 New England Entrepreneur of the Year. Dr. Farokhzad has been directly involved in the launch and development of four biotechnology companies and, on occasion, has assumed additional roles in support of management. Dr. Farokhzad currently serves on the Board of Directors of Seer Biosciences, Tarveda Therapeutics and Placon Therapeutics.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9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Peter Barton Hutt, LL.B., LL.M. </w:t>
      </w:r>
      <w:r>
        <w:rPr>
          <w:rFonts w:ascii="Arial" w:cs="Arial" w:eastAsia="Arial" w:hAnsi="Arial"/>
          <w:sz w:val="17"/>
          <w:szCs w:val="17"/>
          <w:color w:val="auto"/>
        </w:rPr>
        <w:t>has served as a member of our board of directors since 2010. Mr. Hutt is a senior counsel in the Washington, D.C. law firm</w:t>
      </w:r>
      <w:r>
        <w:rPr>
          <w:rFonts w:ascii="Arial" w:cs="Arial" w:eastAsia="Arial" w:hAnsi="Arial"/>
          <w:sz w:val="17"/>
          <w:szCs w:val="17"/>
          <w:i w:val="1"/>
          <w:iCs w:val="1"/>
          <w:color w:val="auto"/>
        </w:rPr>
        <w:t xml:space="preserve"> </w:t>
      </w:r>
      <w:r>
        <w:rPr>
          <w:rFonts w:ascii="Arial" w:cs="Arial" w:eastAsia="Arial" w:hAnsi="Arial"/>
          <w:sz w:val="17"/>
          <w:szCs w:val="17"/>
          <w:color w:val="auto"/>
        </w:rPr>
        <w:t>of Covington &amp; Burling 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Concert Pharmaceuticals, Inc., Flex Pharma, Inc. and Q Therapeutics, Inc. From 2013 to 2017, Mr. Hutt served on the board of directors of Seres Therapeutics, Inc., from 2005 to 2017 he served on the board of directors of Xoma Corp., from 2008 to 2016, he served on the board of directors of BIND Therapeutics, Inc., from 2009 to 2015 he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8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Amir Nashat, Ph.D. </w:t>
      </w:r>
      <w:r>
        <w:rPr>
          <w:rFonts w:ascii="Arial" w:cs="Arial" w:eastAsia="Arial" w:hAnsi="Arial"/>
          <w:sz w:val="17"/>
          <w:szCs w:val="17"/>
          <w:color w:val="auto"/>
        </w:rPr>
        <w:t>has served as a member of our board of directors since 2008. Dr. Nashat has been a Partner at Polaris Partners, a venture capital firm,</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2009 and focuses on investments in the life sciences. He currently serves on the board of directors of Fate Therapeutics, Inc., aTyr Pharma, Inc., Syros Pharmaceuticals and several private companies. Dr. Nashat has also served as a director of Receptos, Inc., BIND Therapeutics, Inc., as well as Adnexus Therapeutics, Inc. (acquired by Bristol-Myers Squibb Company) and other private companies. Dr. Nashat completed his Ph.D. as a Hertz Fellow in Chemical Engineering at MIT with a minor in biology.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Aymeric Sallin, M.S. </w:t>
      </w:r>
      <w:r>
        <w:rPr>
          <w:rFonts w:ascii="Arial" w:cs="Arial" w:eastAsia="Arial" w:hAnsi="Arial"/>
          <w:sz w:val="17"/>
          <w:szCs w:val="17"/>
          <w:color w:val="auto"/>
        </w:rPr>
        <w:t>has served as a member of our board of directors since 2008. Mr. Sallin has served as the Chief Executive Officer of NanoDimension,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Mr. Sallin has worked to generate and close investments of hundreds of millions of dollars into several of NanoDimension’s portfolio companies. He currently serves as a board member of H55, Inc.,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17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i w:val="1"/>
          <w:iCs w:val="1"/>
          <w:color w:val="auto"/>
        </w:rPr>
        <w:t xml:space="preserve">Timothy A. Springer, Ph.D. </w:t>
      </w:r>
      <w:r>
        <w:rPr>
          <w:rFonts w:ascii="Arial" w:cs="Arial" w:eastAsia="Arial" w:hAnsi="Arial"/>
          <w:sz w:val="16"/>
          <w:szCs w:val="16"/>
          <w:color w:val="auto"/>
        </w:rPr>
        <w:t>has served as a member of our board of directors since June 2016 and as a scientific advisor to us since December 2008.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6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i w:val="1"/>
          <w:iCs w:val="1"/>
          <w:color w:val="auto"/>
        </w:rPr>
        <w:t xml:space="preserve">Patrick Zenner </w:t>
      </w:r>
      <w:r>
        <w:rPr>
          <w:rFonts w:ascii="Arial" w:cs="Arial" w:eastAsia="Arial" w:hAnsi="Arial"/>
          <w:sz w:val="16"/>
          <w:szCs w:val="16"/>
          <w:color w:val="auto"/>
        </w:rPr>
        <w:t>has served as a member of our board of directors since June 2017. Mr. Zenner retired in 2001 from the position of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both ArQule, Inc. and West Pharmaceutical Services, Inc. Until its sale in 2012, Mr. Zenner was a director of Par Pharmaceuticals, Inc. In 2010, he resigned from the boards of Geron Corporation, Xoma</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David Abraham, J.D. </w:t>
      </w:r>
      <w:r>
        <w:rPr>
          <w:rFonts w:ascii="Arial" w:cs="Arial" w:eastAsia="Arial" w:hAnsi="Arial"/>
          <w:sz w:val="16"/>
          <w:szCs w:val="16"/>
          <w:color w:val="auto"/>
        </w:rPr>
        <w:t>has served as our General Counsel and Corporate Secretary since he joined Selecta in May 2011. From January 2009 to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Mr. Abraham was a member of 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 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Lloyd Johnston, Ph.D. </w:t>
      </w:r>
      <w:r>
        <w:rPr>
          <w:rFonts w:ascii="Arial" w:cs="Arial" w:eastAsia="Arial" w:hAnsi="Arial"/>
          <w:sz w:val="18"/>
          <w:szCs w:val="18"/>
          <w:color w:val="auto"/>
        </w:rPr>
        <w:t>has served as our Chief Operating Officer and Senior Vice President, Research and Development since January 2014. Dr. Johnston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Takashi Kei Kishimoto, Ph.D. </w:t>
      </w:r>
      <w:r>
        <w:rPr>
          <w:rFonts w:ascii="Arial" w:cs="Arial" w:eastAsia="Arial" w:hAnsi="Arial"/>
          <w:sz w:val="17"/>
          <w:szCs w:val="17"/>
          <w:color w:val="auto"/>
        </w:rPr>
        <w:t>has served as our Chief Scientific Officer since June 2011. Prior to joining Selecta, Dr. Kishimoto was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John Leaman, M.D. </w:t>
      </w:r>
      <w:r>
        <w:rPr>
          <w:rFonts w:ascii="Arial" w:cs="Arial" w:eastAsia="Arial" w:hAnsi="Arial"/>
          <w:sz w:val="16"/>
          <w:szCs w:val="16"/>
          <w:color w:val="auto"/>
        </w:rPr>
        <w:t>has served as our Chief Financial Officer, Head of Corporate Strategy since October 2017. Dr. Leaman previously served as Head of</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Development at InfaCare Pharmaceutical Corp., a specialty pharmaceutical company that was recently acquired by Mallinckrodt plc., from 2016 to 2017. Prior to this, Dr. Leaman was Chief Financial Officer of Medgenics, Inc., a publicly traded biotech company from 2014 to 2016. He also previously held senior roles at Shire plc from 2012 to 2014 and Devon Park Bioventures, a venture capital fund targeting investments in therapeutics companies from 2007 to 2012. Dr. Leaman brings to Selecta extensive licensing, merger and acquisition experience and began his career serving a range of life sciences companies as an Associate Principal at McKinsey &amp; Company from 2002 to 2007. Dr. Leaman received an M.D. from the Perelman School of Medicine at the University of Pennsylvania, an M.B.A. from the Wharton School at the University of Pennsylvania, a B.A. in psychology, philosophy and physiology from Oriel College, University of Oxford while completing a Rhodes Scholarship, and a B.S. in biology from Elizabethtown College.</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 xml:space="preserve">Earl Sands, M.D. </w:t>
      </w:r>
      <w:r>
        <w:rPr>
          <w:rFonts w:ascii="Arial" w:cs="Arial" w:eastAsia="Arial" w:hAnsi="Arial"/>
          <w:sz w:val="17"/>
          <w:szCs w:val="17"/>
          <w:color w:val="auto"/>
        </w:rPr>
        <w:t>has served as our Chief Medical Officer since July 2015. From July 2014 to May 2015, Dr. Sands served as the Chief Medical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Targacept, Inc., now part of 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Stephen Smolinski </w:t>
      </w:r>
      <w:r>
        <w:rPr>
          <w:rFonts w:ascii="Arial" w:cs="Arial" w:eastAsia="Arial" w:hAnsi="Arial"/>
          <w:sz w:val="16"/>
          <w:szCs w:val="16"/>
          <w:color w:val="auto"/>
        </w:rPr>
        <w:t>has served as our Chief Commercial Officer since October 2017. Mr. Smolinski previously served as the Vice President and Head of</w:t>
      </w:r>
      <w:r>
        <w:rPr>
          <w:rFonts w:ascii="Arial" w:cs="Arial" w:eastAsia="Arial" w:hAnsi="Arial"/>
          <w:sz w:val="16"/>
          <w:szCs w:val="16"/>
          <w:i w:val="1"/>
          <w:iCs w:val="1"/>
          <w:color w:val="auto"/>
        </w:rPr>
        <w:t xml:space="preserve"> </w:t>
      </w:r>
      <w:r>
        <w:rPr>
          <w:rFonts w:ascii="Arial" w:cs="Arial" w:eastAsia="Arial" w:hAnsi="Arial"/>
          <w:sz w:val="16"/>
          <w:szCs w:val="16"/>
          <w:color w:val="auto"/>
        </w:rPr>
        <w:t>Sanofi/Genzyme’s North American Rheumatology Business Unit from 2015 to 2017, where he led the development of the company’s commercialization plans for the rheumatoid arthritis medicine KEVZARA®. Prior to this, he served as Group Vice President of Immunology &amp; Inflammation, Global Strategic Unit at Sanofi from 2013 to 2015. Mr. Smolinski also previously held senior commercial roles at Roche-Genentech, Bristol-Myers Squibb, Johnson &amp; Johnson and Savient Pharmaceuticals. Mr. Smolinski received a B.S. in health care administration from Oregon State University.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common stock has been traded on The Nasdaq Global Market under the symbol “SELB” since our initial public offering on June 21, 2016. Prior to our initial public offering, there was no public market for our common stock. The following table sets forth, for the periods indicated, the high and low intraday sale prices of our common stock as reported by The Nasdaq Global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Low</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First Quarter</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18.50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10.27</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Second Quarter</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20.39</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11.17</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 Quarter</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21.42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14.72</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Fourth Quarter</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24.02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8.70</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Second Quarter (beginning June 21, 2016)</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16.32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11.16</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 Quarter</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18.88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w:t>
            </w:r>
          </w:p>
        </w:tc>
      </w:tr>
      <w:tr>
        <w:trPr>
          <w:trHeight w:val="258"/>
        </w:trPr>
        <w:tc>
          <w:tcPr>
            <w:tcW w:w="8660" w:type="dxa"/>
            <w:vAlign w:val="bottom"/>
          </w:tcPr>
          <w:p>
            <w:pPr>
              <w:ind w:left="40"/>
              <w:spacing w:after="0"/>
              <w:rPr>
                <w:sz w:val="20"/>
                <w:szCs w:val="20"/>
                <w:color w:val="auto"/>
              </w:rPr>
            </w:pPr>
            <w:r>
              <w:rPr>
                <w:rFonts w:ascii="Arial" w:cs="Arial" w:eastAsia="Arial" w:hAnsi="Arial"/>
                <w:sz w:val="14"/>
                <w:szCs w:val="14"/>
                <w:color w:val="auto"/>
              </w:rPr>
              <w:t>Fourth Quarter</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28.00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13.69</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March 9, 2018, the last reported sale price for our common stock on the Nasdaq Global Market was $11.07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March 9, 2018, there were approximately 22,349,840 shares of our common stock outstanding held by approximately 54 holders of record.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or the Exchange Act.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June 21, 2016 (the date of our initial public offering) and December 31, 2017, with the cumulative total return of (a) the Nasdaq Biotechnology Index and (b) the Nasdaq Composite Index, over the same period. This graph assumes the investment of $100 at the market close on June 21, 2016 in our common stock, the Nasdaq Biotechnology Index and the Nasdaq Composite Index and assumes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 reinvestment of dividends, if any.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556885" cy="3095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688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Company/Index</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6/21/2016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9/30/2016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9"/>
              </w:rPr>
              <w:t>12/31/2016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3/31/2017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6/30/2017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9/30/2017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12/31/2017</w:t>
            </w:r>
          </w:p>
        </w:tc>
      </w:tr>
      <w:tr>
        <w:trPr>
          <w:trHeight w:val="121"/>
        </w:trPr>
        <w:tc>
          <w:tcPr>
            <w:tcW w:w="2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Selecta Biosciences, Inc.</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70.07</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b w:val="1"/>
                <w:bCs w:val="1"/>
                <w:color w:val="auto"/>
              </w:rPr>
              <w:t>Nasdaq Composite Index</w:t>
            </w:r>
          </w:p>
        </w:tc>
        <w:tc>
          <w:tcPr>
            <w:tcW w:w="6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110.25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112.08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123.43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128.57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136.36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145.29</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Nasdaq Biotechnology Index</w:t>
            </w: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did not repurchase any of our equity securities during the quarter ended December 31, 2017, nor issue any securities that were not registered under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21, 2016, we completed the initial public offering of our common stock and issued and sold 5,000,000 shares of our common stock at a public offering price of $14.00 per share for net proceeds of $60.8 million after deducting underwriting discounts, commissions and offering expenses. On July 25, 2016, we closed the underwriters’ over-allotment option, and we sold 289,633 shares at a price to the public of $14.00 per share resulting in additional net proceeds of approximately $3.7 million after deducting underwriting discounts, commissions and offering expenses. As of December 31, 2017, we had used all of the net proceeds from our IPO. There has been no change in our prior disclosure regarding our use of proceeds from our IPO contained in our Quarterly Report on Form 10-Q for the quarter ended September 30,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and with the “Management’s Discussion and Analysis of Financial Condition and Results of Operations” section of this Annual Report on Form 10-K. 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derived the consolidated statement of operations and comprehensive loss data for the years ended December 31, 2017, 2016 and 2015 and the consolidated balance sheet data as of December 31, 2017 and 2016 from our audited consolidated financial statements included elsewhere in this Annual Report on Form 10-K. The consolidated statement of operations and comprehensive loss for the year ended December 31, 2014 and the consolidated balance sheet data as of December 31, 2015</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2014 are derived from our audited consolidated financial statements that are not included in this Annual Report. Our historical results are not necessarily indicative of the results that should be expected in the future.</w:t>
      </w:r>
    </w:p>
    <w:p>
      <w:pPr>
        <w:sectPr>
          <w:pgSz w:w="11900" w:h="16838" w:orient="portrait"/>
          <w:cols w:equalWidth="0" w:num="1">
            <w:col w:w="11420"/>
          </w:cols>
          <w:pgMar w:left="240" w:top="125" w:right="239" w:bottom="1440" w:gutter="0" w:footer="0" w:header="0"/>
        </w:sect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 except share and per share data)</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Consolidated Statement of Operations Data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Grant and collaboration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on extinguishment of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per share:</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Basic and 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common shares outstanding:</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Consolidated Balance Sheet Data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cash equivalents and short-term deposits and investments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Loans payable, net of current portion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Redeemable convertible preferred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stockholders' equity (deficit)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23495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528"/>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8,083</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6,011</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3,040</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63,991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42,753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31,315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18,439</w:t>
            </w:r>
          </w:p>
        </w:tc>
      </w:tr>
      <w:tr>
        <w:trPr>
          <w:trHeight w:val="244"/>
        </w:trPr>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(63,784)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(15,399)</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2,519</w:t>
            </w:r>
          </w:p>
        </w:tc>
      </w:tr>
      <w:tr>
        <w:trPr>
          <w:trHeight w:val="237"/>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(36,210)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7"/>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(7.84)</w:t>
            </w:r>
          </w:p>
        </w:tc>
      </w:tr>
      <w:tr>
        <w:trPr>
          <w:trHeight w:val="540"/>
        </w:trPr>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20,425,050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10,493,939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2,150,422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2,090,677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-1681480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-1337945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-995045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-652145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-292100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50800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23495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46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96,562</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84,141</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36,462</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16,592</w:t>
            </w:r>
          </w:p>
        </w:tc>
      </w:tr>
      <w:tr>
        <w:trPr>
          <w:trHeight w:val="27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89,301</w:t>
            </w:r>
          </w:p>
        </w:tc>
        <w:tc>
          <w:tcPr>
            <w:tcW w:w="1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42,824</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22,228</w:t>
            </w:r>
          </w:p>
        </w:tc>
      </w:tr>
      <w:tr>
        <w:trPr>
          <w:trHeight w:val="27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21,042</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7,977</w:t>
            </w:r>
          </w:p>
        </w:tc>
        <w:tc>
          <w:tcPr>
            <w:tcW w:w="1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11,855</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4,824</w:t>
            </w:r>
          </w:p>
        </w:tc>
      </w:tr>
      <w:tr>
        <w:trPr>
          <w:trHeight w:val="27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137,482</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94,033</w:t>
            </w:r>
          </w:p>
        </w:tc>
      </w:tr>
      <w:tr>
        <w:trPr>
          <w:trHeight w:val="27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51,814</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54,957</w:t>
            </w:r>
          </w:p>
        </w:tc>
        <w:tc>
          <w:tcPr>
            <w:tcW w:w="1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(116,493)</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(87,755)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-806450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-463550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-120650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4900" w:space="720"/>
            <w:col w:w="5800"/>
          </w:cols>
          <w:pgMar w:left="240" w:top="125"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“Item 6. Selected Consolidated Financial Data” and our consolidated financial statements and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proprietary tolerogenic SVP technology, SVP-Rapamycin, encapsulates an immunomodulator in biodegradable nanoparticles to mitigate the formation of anti-drug antibodies, or ADAs, and induce antigen-specific immune tolerance to life-sustaining biologic drugs. We believe our SVP-Rapamycin has potential to enhance the efficacy and safety of existing approved biologic drugs, improve product candidates under development and enable novel therapies. Our lead product candidate, SEL-212, is a combination of a therapeutic uricase enzyme and our SVP technology that is designed to be the first biologic treatment that durably controls uric acid while also dissolving harmful deposits of uric acid in patients with chronic severe gout, a debilitating rare disease with an unmet medical need. We have submitted to the FDA two investigational new drug, or IND, applications for SEL-212, both of which are active. Each IND lists us as the named sponsor and is indicated for the treatment of chronic gout in adult patients refractory to conventional therapy. SEL-212 is currently in a Phase 2 clinical program in multiple clinical sites in the United States. Based on our Phase 1/2 clinical data, we believe that SEL-212 has the potential to control serum uric acid levels and mitigate the formation of ADAs in response to the therapeutic enzyme.</w:t>
      </w:r>
    </w:p>
    <w:p>
      <w:pPr>
        <w:spacing w:after="0" w:line="5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SEL-212 is designed as a monthly treatment for chronic severe gout consisting of SVP-Rapamycin co-administered with pegsiticase, our proprietary pegylated uricase. Our preclinical data indicate that SVP-Rapamycin, when co-administered with pegsiticase, induces antigen-specific immune tolerance to pegsiticase and substantially reduces the formation of associated ADAs. Our Phase 1 data shows that SVP-Rapamycin mitigated the formation of ADAs against pegsiticase after a single dose of</w:t>
      </w:r>
    </w:p>
    <w:p>
      <w:pPr>
        <w:sectPr>
          <w:pgSz w:w="11900" w:h="16838" w:orient="portrait"/>
          <w:cols w:equalWidth="0" w:num="1">
            <w:col w:w="11420"/>
          </w:cols>
          <w:pgMar w:left="240" w:top="125"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SEL-212. We believe that SEL-212 has the potential to offer a uniquely effective treatment for patients with chronic severe gout, while also demonstrating the clinical effectiveness of our SVP technology. We expect our clinical and marketing strategy for SEL-212 to initially focus on the estimated 160,000 patients in the United States with chronic severe gout that are being treated by rheumatologists.</w:t>
      </w:r>
    </w:p>
    <w:p>
      <w:pPr>
        <w:spacing w:after="0" w:line="7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addition to SEL-212, we have two other product candidates in clinical development: SEL-403 and SELA-070. We are developing SEL-403, which is a combination of LMB-100 and SVP-Rapamycin, for the treatment of mesothelioma. In May 2017, we in-licensed LMB-100 from the Center for Cancer Research at the NCI. In March 2018, we initiated a Phase I trial of SEL-403 in patients with malignant pleural or peritoneal mesothelioma who have undergone at least one regimen of chemotherapy under a CRADA at NCI. We are also developing SELA-070, a nicotine vaccine product candidate for smoking cessation and relapse prevention. In May 2017, we commenced dosing of SELA-070 in a Phase 1 clinical trial assessing safety, tolerability and pharmacodynamic profile.</w:t>
      </w:r>
    </w:p>
    <w:p>
      <w:pPr>
        <w:spacing w:after="0" w:line="1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developing two gene therapy product candidates in preclinical development for rare inborn errors of metabolism. SEL-302, our lead gene therapy product candidate, is a potential treatment for methylmalonic acidemia, which can cause severe developmental defects and premature death as a result of an accumulation of toxic metabolites. Our second gene therapy product candidate, SEL-313, is being developed to treat ornithine transcarbamylase deficiency.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Since inception, we have incurred significant operating losses. We incurred net losses of $65.3 million, $36.2 million and $25.2 million for the years ended December 31, 2017, 2016 and 2015, respectively. As of December 31, 2017, we had an accumulated deficit of $216.9 million. We expect to continue incurring significant expenses and operating losses for at least the next several years as we:</w:t>
      </w:r>
    </w:p>
    <w:p>
      <w:pPr>
        <w:spacing w:after="0" w:line="181" w:lineRule="exact"/>
        <w:rPr>
          <w:sz w:val="20"/>
          <w:szCs w:val="20"/>
          <w:color w:val="auto"/>
        </w:rPr>
      </w:pPr>
    </w:p>
    <w:p>
      <w:pPr>
        <w:ind w:left="240" w:hanging="232"/>
        <w:spacing w:after="0" w:line="207" w:lineRule="exact"/>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8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expect that our existing cash, cash equivalents, short-term investments and restricted cash as of December 31, 2017, will enable us to fund our operating expenses and capital expenditure requirements into mid-2019. For additional information, see “Liquidity and Capital Resources.”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10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13 to our consolidated financial statements included elsewhere in this Annual Report on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research and development costs are often devoted to expanding our programs and are not necessarily allocable to a specific target.</w:t>
      </w:r>
    </w:p>
    <w:p>
      <w:pPr>
        <w:spacing w:after="0" w:line="206"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We have incurred a total of $150.3 million in research and development expenses from inception through December 31, 2017,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and the remainder being spent on our various discovery and preclinical stage product candidate programs and the general expansion of our technology.</w:t>
      </w:r>
    </w:p>
    <w:p>
      <w:pPr>
        <w:spacing w:after="0" w:line="202" w:lineRule="exact"/>
        <w:rPr>
          <w:sz w:val="20"/>
          <w:szCs w:val="20"/>
          <w:color w:val="auto"/>
        </w:rPr>
      </w:pPr>
    </w:p>
    <w:p>
      <w:pPr>
        <w:jc w:val="both"/>
        <w:ind w:right="60"/>
        <w:spacing w:after="0" w:line="220" w:lineRule="exact"/>
        <w:rPr>
          <w:sz w:val="20"/>
          <w:szCs w:val="20"/>
          <w:color w:val="auto"/>
        </w:rPr>
      </w:pPr>
      <w:r>
        <w:rPr>
          <w:rFonts w:ascii="Arial" w:cs="Arial" w:eastAsia="Arial" w:hAnsi="Arial"/>
          <w:sz w:val="16"/>
          <w:szCs w:val="16"/>
          <w:color w:val="auto"/>
        </w:rPr>
        <w:t>As we expand the clinical development of SEL</w:t>
      </w:r>
      <w:r>
        <w:rPr>
          <w:rFonts w:ascii="MS PGothic" w:cs="MS PGothic" w:eastAsia="MS PGothic" w:hAnsi="MS PGothic"/>
          <w:sz w:val="16"/>
          <w:szCs w:val="16"/>
          <w:color w:val="auto"/>
        </w:rPr>
        <w:t>‑</w:t>
      </w:r>
      <w:r>
        <w:rPr>
          <w:rFonts w:ascii="Arial" w:cs="Arial" w:eastAsia="Arial" w:hAnsi="Arial"/>
          <w:sz w:val="16"/>
          <w:szCs w:val="16"/>
          <w:color w:val="auto"/>
        </w:rPr>
        <w:t>212,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Sanofi Agreement.</w:t>
      </w:r>
    </w:p>
    <w:p>
      <w:pPr>
        <w:spacing w:after="0" w:line="203"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research and development expenses during the periods indicated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280"/>
              <w:spacing w:after="0"/>
              <w:rPr>
                <w:sz w:val="20"/>
                <w:szCs w:val="20"/>
                <w:color w:val="auto"/>
              </w:rPr>
            </w:pPr>
            <w:r>
              <w:rPr>
                <w:rFonts w:ascii="Arial" w:cs="Arial" w:eastAsia="Arial" w:hAnsi="Arial"/>
                <w:sz w:val="14"/>
                <w:szCs w:val="14"/>
                <w:color w:val="auto"/>
              </w:rPr>
              <w:t>SEL-212</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19,593</w:t>
            </w:r>
          </w:p>
        </w:tc>
        <w:tc>
          <w:tcPr>
            <w:tcW w:w="5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9,936</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11,407</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SELA-070 (i)</w:t>
            </w: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2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6,933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1,521</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8,387</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45,165</w:t>
            </w: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29,702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22,980</w:t>
            </w:r>
          </w:p>
        </w:tc>
        <w:tc>
          <w:tcPr>
            <w:tcW w:w="0" w:type="dxa"/>
            <w:vAlign w:val="bottom"/>
          </w:tcPr>
          <w:p>
            <w:pPr>
              <w:spacing w:after="0"/>
              <w:rPr>
                <w:sz w:val="1"/>
                <w:szCs w:val="1"/>
                <w:color w:val="auto"/>
              </w:rPr>
            </w:pPr>
          </w:p>
        </w:tc>
      </w:tr>
      <w:tr>
        <w:trPr>
          <w:trHeight w:val="53"/>
        </w:trPr>
        <w:tc>
          <w:tcPr>
            <w:tcW w:w="77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160" w:firstLine="8"/>
        <w:spacing w:after="0" w:line="273" w:lineRule="auto"/>
        <w:tabs>
          <w:tab w:leader="none" w:pos="1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Beginning in the third quarter of 2017, we began presenting research and development costs incurred on SELA-070, our SVP-nicotine vaccine candidate. As a result, prior period amounts were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recognized a loss on extinguishment of debt of $0.7 million for the year ended December 31, 2017.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for the years ended December 31, 2017, 2016 and 2015 was de minimis.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December 31, 2017 and December 31, 2016, we maintained cash of $1.3 million and $2.5 million, respectively, in Russian banks, of which $1.2 million and $1.6 million was denominated in U.S. dollars for the years ended December 31, 2017 and 2016, respectively. The amounts denominated in U.S. dollars and used in transacting the day-to-day operations of our Russian subsidiary are subject to transaction gains and losses, which are reported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We have recognized the impact of the Tax Reform Act in our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we recorded provisional amounts reflecting the impact of the Tax Reform Act in our consolidated financial statements and related disclosures. The impact of the remeasurement of our U.S. deferred tax assets and liabilities to 21% resulted in the reduction of deferred tax assets of approximately $23.4 million, which is offset by a full valuation allowance, thus there is no net effect. We recorded no tax expense related to the deemed repatriation tax because its foreign entity, Selecta (RUS) is a foreign disregarded entity, which is not subject to the repatriation tax.</w:t>
      </w:r>
    </w:p>
    <w:p>
      <w:pPr>
        <w:spacing w:after="0" w:line="16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preliminary estimate of the Tax Reform Act and the remeasurement of our deferred tax assets and liabilities is subject to the finalization of management’s analysis related to certain matters, such as developing interpretations of the provisions of the Tax Reform Act, changes to certain estimates and the filing of our tax returns. U.S. Treasury regulations, administrative interpretations or court decisions interpreting the Tax Reform Act may require further adjustments and changes in our estimates. The final determination of the Tax Reform Act and the remeasurement of our deferred assets and liabilities will be completed as additional information becomes available, but no later than one year from the enactment of the Tax Reform Act.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December 31, 2017, we had net operating loss carryforwards, or NOLs, for federal and state income tax purposes of $162.9 million and $157.9 million, respectively, which expire at various dates through 2037. In 2014, our wholly owned subsidiary, Selecta RUS, was granted a “Skolkovo designated” resident status in Russia. As a result, the subsidiary operates as a corporate tax-exempt entity, with lower employee and employment taxes. All foreign net operating loss carryforwards have been eliminated. The state NOLs began expiring in 2015 and will continue to expire through 2037. At December 31, 2017, we had available federal and state research and development income tax credits of approximately $2.5 million and $2.0 million respectively, which may be available to reduce future income taxes, if any, at various times through 2037.</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Utilization of the NOLs and credits may be subject to a substantial annual limitation due to ownership change limitations provided by Section 382 of the Internal Revenue Code of 1986, as amended. The annual limitation may result in the expiration of our NOLs and credits before we can use them. We have recorded a valuation allowance on our deferred tax assets, including our deferred tax assets related to our NOLs and research and development tax credit carryforwards. We commissioned a study to analyze and determine if any historical ownership changes have occurred to determine if there are any permanent limitations on our ability to utilize NOLs and other tax attributes in the future. However, we may experience ownership changes as a result of subsequent shifts in our stock ownership. As a result, we are unable to estimate the effect of these limitations, if any, on our ability to utilize NOLs and other tax attributes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consolidated financial statements included elsewhere in this Annual Report,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research and development and multiple-deliverable arrangements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enter into collaborative arrangements for the development and commercialization of product candidates utilizing our SVP technology. The terms of these agreements contain multiple deliverables which may include (i) licenses, or options to obtain licenses, to our technology platforms, (ii) rights to future technological improvements, (iii) research and development activities to be performed on behalf of the collaborative partner or as part of the collaboration,</w:t>
      </w:r>
    </w:p>
    <w:p>
      <w:pPr>
        <w:ind w:right="20" w:firstLine="8"/>
        <w:spacing w:after="0" w:line="302" w:lineRule="auto"/>
        <w:tabs>
          <w:tab w:leader="none" w:pos="3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manufacture of pre-clinical or clinical materials for the collaborative partner, (v) options to acquire licenses for additional therapeutic areas. Payments to us under these agreements may include nonrefundable license fees, option fees, exercise fees, payments for research and development activities, payments for the manufacture of preclinical or clinical materials, payments based upon the achievement of certain milestones and royalties on product sales.</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evaluating multiple element arrangements such as the agreements discussed in Note 13, we consider whether the deliverables under the arrangement represent separate units of accounting. This evaluation requires subjective determinations and requires us to make judgments about the individual deliverables and whether such deliverables are separable from the other aspects of the contractual relationship. In determining the units of accounting, we evaluate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If deliverables have no standalone value, they are grouped together and revenue is recognized over the estimated performance period.</w:t>
      </w:r>
    </w:p>
    <w:p>
      <w:pPr>
        <w:spacing w:after="0" w:line="189" w:lineRule="exact"/>
        <w:rPr>
          <w:sz w:val="20"/>
          <w:szCs w:val="20"/>
          <w:color w:val="auto"/>
        </w:rPr>
      </w:pPr>
    </w:p>
    <w:p>
      <w:pPr>
        <w:ind w:right="240"/>
        <w:spacing w:after="0" w:line="220" w:lineRule="exact"/>
        <w:rPr>
          <w:sz w:val="20"/>
          <w:szCs w:val="20"/>
          <w:color w:val="auto"/>
        </w:rPr>
      </w:pPr>
      <w:r>
        <w:rPr>
          <w:rFonts w:ascii="Arial" w:cs="Arial" w:eastAsia="Arial" w:hAnsi="Arial"/>
          <w:sz w:val="16"/>
          <w:szCs w:val="16"/>
          <w:color w:val="auto"/>
        </w:rPr>
        <w:t>We determine the estimated selling price for deliverables within each agreement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if neither VSOE nor TPE is available. Determining the best estimate of selling price for a deliverable requires significant judgment. Since we are a clinical stage company without a marketable product, and currently there is no technologically comparative product on the market, to determine either VSOE or TPE, we have used our best estimate of</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selling price to estimate the selling price for licenses and deliverables related to our proprietary technology. Under the circumstances, we consider market conditions as well as entity</w:t>
      </w:r>
      <w:r>
        <w:rPr>
          <w:rFonts w:ascii="MS PGothic" w:cs="MS PGothic" w:eastAsia="MS PGothic" w:hAnsi="MS PGothic"/>
          <w:sz w:val="18"/>
          <w:szCs w:val="18"/>
          <w:color w:val="auto"/>
        </w:rPr>
        <w:t>‑</w:t>
      </w:r>
      <w:r>
        <w:rPr>
          <w:rFonts w:ascii="Arial" w:cs="Arial" w:eastAsia="Arial" w:hAnsi="Arial"/>
          <w:sz w:val="18"/>
          <w:szCs w:val="18"/>
          <w:color w:val="auto"/>
        </w:rPr>
        <w:t>specific factors, including those factors contemplated in negotiating the agreements, estimated development costs, probability of success and the time needed to commercialize a product candidate pursuant to the license. In validating our best estimate of selling price, we evaluate whether changes in the key assumptions used to determine the best estimate of selling price will have a significant effect on the allocation of arrangement consideration between multiple deliverables.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Options for future deliverables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would be considered a deliverable at the inception of the arrangement and a corresponding amount would be included in the initial consideration.</w:t>
      </w:r>
    </w:p>
    <w:p>
      <w:pPr>
        <w:spacing w:after="0" w:line="189"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We may receive upfront payments when licensing our intellectual property in conjunction with a manufacturing or a research and development agreement. When we believe the license to our intellectual property does not have stand</w:t>
      </w:r>
      <w:r>
        <w:rPr>
          <w:rFonts w:ascii="MS PGothic" w:cs="MS PGothic" w:eastAsia="MS PGothic" w:hAnsi="MS PGothic"/>
          <w:sz w:val="17"/>
          <w:szCs w:val="17"/>
          <w:color w:val="auto"/>
        </w:rPr>
        <w:t>‑</w:t>
      </w:r>
      <w:r>
        <w:rPr>
          <w:rFonts w:ascii="Arial" w:cs="Arial" w:eastAsia="Arial" w:hAnsi="Arial"/>
          <w:sz w:val="17"/>
          <w:szCs w:val="17"/>
          <w:color w:val="auto"/>
        </w:rPr>
        <w:t>alone value from the other deliverables to be provided in the arrangement, we generally recognize revenue attributed to the license over our contractual or estimated performance period. When we believe the license to our intellectual property has stand</w:t>
      </w:r>
      <w:r>
        <w:rPr>
          <w:rFonts w:ascii="MS PGothic" w:cs="MS PGothic" w:eastAsia="MS PGothic" w:hAnsi="MS PGothic"/>
          <w:sz w:val="17"/>
          <w:szCs w:val="17"/>
          <w:color w:val="auto"/>
        </w:rPr>
        <w:t>‑</w:t>
      </w:r>
      <w:r>
        <w:rPr>
          <w:rFonts w:ascii="Arial" w:cs="Arial" w:eastAsia="Arial" w:hAnsi="Arial"/>
          <w:sz w:val="17"/>
          <w:szCs w:val="17"/>
          <w:color w:val="auto"/>
        </w:rPr>
        <w:t>alone value, we generally recognize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we record in future periods. Payments or reimbursements resulting from our deliveries of manufactured products and research and development efforts are recognized as the services are performed.</w:t>
      </w:r>
    </w:p>
    <w:p>
      <w:pPr>
        <w:spacing w:after="0" w:line="206"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At the inception of each agreement that includes milestone payments, we evaluate whether each milestone is substantive and at risk to both parties on the basis of the contingent nature of the milestone, specifically reviewing factors such as the scientific and other risks that must be overcome to achieve the milestone, whether the milestone consideration is reasonable relative to all deliverables and payment terms,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78" w:lineRule="exact"/>
        <w:rPr>
          <w:sz w:val="20"/>
          <w:szCs w:val="20"/>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payable to CROs and other third parties;</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payable to vendors in connection with preclinical or clinical development activities; and</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payable to vendors related to product manufacturing, development and distribution of clinical supplies.</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the actual status and timing of services performed may vary and may result in our reporting changes in estimates in any particular period. We have not experienced any significant adjustments to our estimates to date.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issue stock-based awards to employees and non-employees, generally in the form of stock options and restricted stock. We account for our stock-based awards in accordance with the ASC 718, Compensation-Stock Compensation, or ASC 718. We account for stock-based awards to non-employees in accordance with ASC 505-50, Equity-Based Payments to Non-Employees, or ASC 505-50.</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Prior to our IPO, we estimated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Effective upon our IPO in June 2016, the fair value of each stock option grant is determined using the Nasdaq market closing price of our common stock on the date the option is granted. The fair value of awards granted to consultants and non-employees is based on the Nasdaq market price of our common stock as of the close of trading on the end date of the valuation period.</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2017, we had $10.8 million of total unrecognized compensation expense, net of related forfeiture estimates, which is expected to be recognized over a weighted average remaining vesting period of approximately 2.84 years. We expect stock-based compensation expense relating to share-based payment awards to fluctuate based upon our headcount and the price of our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valuation</w:t>
      </w:r>
    </w:p>
    <w:p>
      <w:pPr>
        <w:spacing w:after="0" w:line="225"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granted warrants to purchase shares of our Series D preferred stock and Series E preferred stock to the lenders under our loan and security agreement dated August 9, 2013, as amended on May 9, 2014, and as amended and restated on December 31, 2015. Prior to our IPO, these warrants were classified as a liability as the warrants are free</w:t>
      </w:r>
      <w:r>
        <w:rPr>
          <w:rFonts w:ascii="MS PGothic" w:cs="MS PGothic" w:eastAsia="MS PGothic" w:hAnsi="MS PGothic"/>
          <w:sz w:val="17"/>
          <w:szCs w:val="17"/>
          <w:color w:val="auto"/>
        </w:rPr>
        <w:t>‑</w:t>
      </w:r>
      <w:r>
        <w:rPr>
          <w:rFonts w:ascii="Arial" w:cs="Arial" w:eastAsia="Arial" w:hAnsi="Arial"/>
          <w:sz w:val="17"/>
          <w:szCs w:val="17"/>
          <w:color w:val="auto"/>
        </w:rPr>
        <w:t>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w:t>
      </w:r>
    </w:p>
    <w:p>
      <w:pPr>
        <w:spacing w:after="0" w:line="205"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The fair value of the warrants are estimated using Black</w:t>
      </w:r>
      <w:r>
        <w:rPr>
          <w:rFonts w:ascii="MS PGothic" w:cs="MS PGothic" w:eastAsia="MS PGothic" w:hAnsi="MS PGothic"/>
          <w:sz w:val="16"/>
          <w:szCs w:val="16"/>
          <w:color w:val="auto"/>
        </w:rPr>
        <w:t>‑</w:t>
      </w:r>
      <w:r>
        <w:rPr>
          <w:rFonts w:ascii="Arial" w:cs="Arial" w:eastAsia="Arial" w:hAnsi="Arial"/>
          <w:sz w:val="16"/>
          <w:szCs w:val="16"/>
          <w:color w:val="auto"/>
        </w:rPr>
        <w:t>Scholes,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w:t>
      </w:r>
      <w:r>
        <w:rPr>
          <w:rFonts w:ascii="MS PGothic" w:cs="MS PGothic" w:eastAsia="MS PGothic" w:hAnsi="MS PGothic"/>
          <w:sz w:val="16"/>
          <w:szCs w:val="16"/>
          <w:color w:val="auto"/>
        </w:rPr>
        <w:t>‑</w:t>
      </w:r>
      <w:r>
        <w:rPr>
          <w:rFonts w:ascii="Arial" w:cs="Arial" w:eastAsia="Arial" w:hAnsi="Arial"/>
          <w:sz w:val="16"/>
          <w:szCs w:val="16"/>
          <w:color w:val="auto"/>
        </w:rPr>
        <w:t>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w:t>
      </w:r>
      <w:r>
        <w:rPr>
          <w:rFonts w:ascii="MS PGothic" w:cs="MS PGothic" w:eastAsia="MS PGothic" w:hAnsi="MS PGothic"/>
          <w:sz w:val="16"/>
          <w:szCs w:val="16"/>
          <w:color w:val="auto"/>
        </w:rPr>
        <w:t>‑</w:t>
      </w:r>
      <w:r>
        <w:rPr>
          <w:rFonts w:ascii="Arial" w:cs="Arial" w:eastAsia="Arial" w:hAnsi="Arial"/>
          <w:sz w:val="16"/>
          <w:szCs w:val="16"/>
          <w:color w:val="auto"/>
        </w:rPr>
        <w:t>party valuations and additional factors that we deem relevant. We have historically been a private company and lack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of our stock. Therefore, we estimate expected stock volatility based on the historical volatility of publicly traded comparable companies for a term equal to the remaining contractual term of the warrants.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24" w:lineRule="exact"/>
        <w:rPr>
          <w:sz w:val="20"/>
          <w:szCs w:val="20"/>
          <w:color w:val="auto"/>
        </w:rPr>
      </w:pPr>
      <w:r>
        <w:rPr>
          <w:rFonts w:ascii="Arial" w:cs="Arial" w:eastAsia="Arial" w:hAnsi="Arial"/>
          <w:sz w:val="17"/>
          <w:szCs w:val="17"/>
          <w:color w:val="auto"/>
        </w:rPr>
        <w:t>Effective upon the IPO, the underlying redeemable convertible preferred stock were converted to common stock. The preferred warrants became exercisable into common stock instead of preferred stock and the fair value of the warrant liability was reclassified to additional paid</w:t>
      </w:r>
      <w:r>
        <w:rPr>
          <w:rFonts w:ascii="MS PGothic" w:cs="MS PGothic" w:eastAsia="MS PGothic" w:hAnsi="MS PGothic"/>
          <w:sz w:val="17"/>
          <w:szCs w:val="17"/>
          <w:color w:val="auto"/>
        </w:rPr>
        <w:t>‑</w:t>
      </w:r>
      <w:r>
        <w:rPr>
          <w:rFonts w:ascii="Arial" w:cs="Arial" w:eastAsia="Arial" w:hAnsi="Arial"/>
          <w:sz w:val="17"/>
          <w:szCs w:val="17"/>
          <w:color w:val="auto"/>
        </w:rPr>
        <w:t>in capital.</w:t>
      </w: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years ended December 31, 2017 and 2016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vMerge w:val="restart"/>
          </w:tcPr>
          <w:p>
            <w:pPr>
              <w:jc w:val="center"/>
              <w:ind w:left="248"/>
              <w:spacing w:after="0"/>
              <w:rPr>
                <w:sz w:val="20"/>
                <w:szCs w:val="20"/>
                <w:color w:val="auto"/>
              </w:rPr>
            </w:pPr>
            <w:r>
              <w:rPr>
                <w:rFonts w:ascii="Arial" w:cs="Arial" w:eastAsia="Arial" w:hAnsi="Arial"/>
                <w:sz w:val="14"/>
                <w:szCs w:val="14"/>
                <w:b w:val="1"/>
                <w:bCs w:val="1"/>
                <w:color w:val="auto"/>
                <w:w w:val="91"/>
              </w:rPr>
              <w:t>Increase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88"/>
              </w:rPr>
              <w:t>(decrease)</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5,243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2,840</w:t>
            </w: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w:t>
            </w:r>
          </w:p>
        </w:tc>
        <w:tc>
          <w:tcPr>
            <w:tcW w:w="2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8,083</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year ended December 31, 2017, total revenue decreased by $7.9 million, or 97%, as compared to 2016. The decrease in grant revenue was the result of a $4.1 million reduction in the nicotine vaccine candidate grant award from NIDA, as well as a $1.0 million decrease in other grant revenues, all resulting from the wind down of the grant terms. The decrease in collaboration revenues was due to the termination of the Sanofi collaboration agreement in November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years ended December 31, 2017 and 2016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45,165</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29,702</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15,463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During the </w:t>
      </w:r>
      <w:r>
        <w:rPr>
          <w:rFonts w:ascii="Arial" w:cs="Arial" w:eastAsia="Arial" w:hAnsi="Arial"/>
          <w:sz w:val="16"/>
          <w:szCs w:val="16"/>
          <w:color w:val="2C2C2C"/>
        </w:rPr>
        <w:t>year ended December 31, 2017, our research and development expenses increased by $15.5 million, or 52%, as compared to 2016,</w:t>
      </w:r>
      <w:r>
        <w:rPr>
          <w:rFonts w:ascii="Arial" w:cs="Arial" w:eastAsia="Arial" w:hAnsi="Arial"/>
          <w:sz w:val="16"/>
          <w:szCs w:val="16"/>
          <w:color w:val="auto"/>
        </w:rPr>
        <w:t xml:space="preserve"> reflecting increases of (i) $9.7 million relating to our Phase 2 trial of SEL-212 and planning for the SEL-212 Phase 3 program (ii) $5.4 million relating to discovery and preclinical stage product programs, (iii) $0.9 million for facilities and office costs, (iv) $0.6 million of stock compensation expense, (v) $0.8 million of compensation costs related to headcount growth to support the clinical trial programs and pipeline advancements and (vii) $3.0 million of depreciation and other expenses, offset by decreases of $2.6 million relating to our Nicotine product candidate and $2.3 million for licenses and permits.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years ended December 31, 2017 and 2016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18,826</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13,051</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5,775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 our general and administrative expenses increased $5.8 million, or 44%, as compared to 2016, primarily due to (i)</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$1.9 million related to growth in headcount to support public company filings and control processes, (ii) a $0.6 million increase in professional fees related to the universal shelf registration filing, (iii) $1.5 million of stock compensation expense, (iv) $0.8 million relating to contract licensing fees associated with collaborations, (v) $0.5 million of office and facilities expense and (vi) $0.6 million in consulting fees, offset by a $0.3 million reduction in patent costs.</w:t>
      </w:r>
    </w:p>
    <w:p>
      <w:pPr>
        <w:sectPr>
          <w:pgSz w:w="11900" w:h="16838" w:orient="portrait"/>
          <w:cols w:equalWidth="0" w:num="1">
            <w:col w:w="11420"/>
          </w:cols>
          <w:pgMar w:left="240" w:top="125" w:right="239"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income increased by $0.4 million during the year ended December 31, 2017 as compared to 2016. This increase was due to the mix of investments and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recognized a loss on extinguishment of debt of $0.7 million for the year ended December 31, 2017. There was no extinguishment of debt during the year ended December 31, 2016. The loss on extinguishment of debt consists of the unamortized portion of the final fee payment, a loan prepayment fee, the write-off of unamortized debt issuance costs, unamortized warrant valuation discount and miscellaneous costs incurred as a result of our repayment of the 2015 Term Loan totaling $10.0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recognized foreign currency losses of $0.1 million and $0.5 million during the years ended December 31, 2017 and 2016, respectively, reflecting the fluctuation of the U.S. dollar to the Russian ruble from the beginning to the end of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Interest expense was $1.2 million and $1.3 million for the years ended December 31, 2017 and 2016,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years ended December 31, 2016 and 2015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3"/>
            <w:vMerge w:val="restart"/>
          </w:tcPr>
          <w:p>
            <w:pPr>
              <w:jc w:val="center"/>
              <w:ind w:left="18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5,243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2,840</w:t>
            </w: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2,390</w:t>
            </w:r>
          </w:p>
        </w:tc>
        <w:tc>
          <w:tcPr>
            <w:tcW w:w="2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w:t>
            </w:r>
          </w:p>
        </w:tc>
        <w:tc>
          <w:tcPr>
            <w:tcW w:w="2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8,083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6,011</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2,072</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During the year ended December 31, 2016, total revenue increased by $2.1 million, or 34%, as compared to 2015. The increase was primarily the result of increased research and development activities, resulting in an increase of $1.7 million of revenue recognized during 2016 from the NIDA grant, and $0.6 million from the Sanofi Celiac collaboration, offset by $0.2 million in reduced revenues resulting from the wind down of other collaborations.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years ended December 31, 2016 and 2015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29,702</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22,980</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6,722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During the year ended December 31, 2016, our research and development expenses increased by $6.7 million, or 29%, as compared to 2015, reflecting (i) $2.1 million of compensation costs related to headcount growth to support the clinical trial programs and pipeline advancements, (ii) $2.0 million for a milestone payment to 3SBio, (iii) $2.2 million of costs related to the NIDA grant, (iv) $0.8 million for facilities and office costs, (v) $0.7 million of stock compensation expense, (vi) $0.6 million for lab supplies and external costs associated with our other pipeline projects and (vii) $0.2 million of other expenses, offset by a decrease of $1.9 million of external costs as the Phase 1 trial came to a close in the latter half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ectPr>
          <w:pgSz w:w="11900" w:h="16838" w:orient="portrait"/>
          <w:cols w:equalWidth="0" w:num="1">
            <w:col w:w="11420"/>
          </w:cols>
          <w:pgMar w:left="240" w:top="125"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years ended December 31, 2016 and 2015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8,335</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4,716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the year ended December 31, 2016, our general and administrative expenses increased $4.7 million, or 57%, as compared to 2015, primarily due to (i) $2.1 million in license costs mainly driven by a $1.7 million sublicensing fee paid to MIT associated with licensing our core technology to Spark Therapeutics, (ii) $0.7 million increase in consulting fees for market research and investor relations, (iii) $0.6 million increase in accounting fees associated with implementing quarterly reviews and filings of our consolidated financial statements, (iv) $0.7 million for growth in headcount to support public company filings, (v) $0.2 million increase for travel costs for IPO roadshows, (vi) $0.2 million of stock compensation costs and (vii) $0.2 million of other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changed less than $0.1 million during the year ended December 31, 2016 as compared to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recognized a foreign currency loss of $0.5 million during the year ended December 31, 2016 and a foreign currency gain of $0.9 million during the year ended December 31, 2015, reflecting the fluctuation of the U.S. dollar to the Russian ruble from the beginning to the end of each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Interest expense was $1.2 million and $0.9 million for the years ended December 31, 2016 and 2015, respectively, representing interest expense and amortization of the carrying costs of our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years ended December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From our inception through December 31, 2017, we have raised an aggregate of $309.6 million to fund our operations, of which $118.5 million was from the sale of preferred stock, $9.9 million was from government grants, $25.3 million was from borrowings under our credit facility, $44.3 million was through our collaborations and license agreements, $64.5 million in combined net proceeds was raised from our initial public offering in June 2016 and the underwriters' exercise in part of their option to purchase additional shares of our common stock in July 2016, and $47.1 million in combined net proceeds was raised from our private placement of common stock in June 2017, or the 2017 PIPE.</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board of directors.</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Pursuant to the Institutional Purchase Agreement, we agreed to sell an aggregate of 2,750,000 shares of our common stock to the Institutional Investors for aggregate gross proceeds of $44.0 million, at a purchase price equal to $16.00 per share. Pursuant to the Springer Purchase Agreement, we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or the Warrant Shares, exercisable at $17.71 per Warrant Share. The purchase price for each warrant was equal to $0.125 for each Warrant Share, consistent with Nasdaq Global Market requirements for an “at the market” offering. The Springer Offering resulted in additional aggregate gross proceeds to us of approximately $6.0 million for total aggregate gross proceeds to us of $50.0 million. On June 27, 2017, in connection with issuance of the Warrant Shares, we entered into a Common Stock Purchase Warrant with Dr. Springer, or the Warrant. The Warrant has a term of five years. We closed under the Institutional Purchase Agreement and the Springer Purchase Agreement on June 27, 2017.</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10, 2017, we entered into a sales agreement with Jefferies LLC, as sales agent, or the Sales Agreement, pursuant to which we may, from time to time, issue and sell common stock with an aggregate value of up to $50 million in an at-the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market, or ATM, offering. During the third and fourth quarters of 2017, there were no sales of common stock pursuant to the Sales Agreement.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2017, our cash, cash equivalents, short-term deposits and short-term investments were $96.6 million, of which $1.3 million was held by our Russian subsidiary designated solely for use in its operations including $0.1 million of restricted cash. Our Russian subsidiary cash is consolidated for financial reporting purposes.</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to our existing cash equivalents and short-term investments, we receive research and development funding pursuant to our research grants and collaboration agreements. In November 2016, we received written notice from Sanofi that Sanofi had elected to terminate in its entirety the Sanofi Agreement. The termination of the Sanofi Agreement was effective on May 8, 2017. Currently, funding from research grants and payments under our remaining collaboration agreements represent our only source of committed external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the date of this Annual Report on Form 10-K,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 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on the current operating plan, we expect that our cash, cash equivalents, short-term investments and restricted cash as of December 31, 2017, will fund our operating expenses and capital expenditure requirements into mid-2019.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40" w:hanging="232"/>
        <w:spacing w:after="0"/>
        <w:tabs>
          <w:tab w:leader="none" w:pos="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license and collaboration arrangements with partners, and research grants.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(52,037)</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(22,463)</w:t>
            </w: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(4,679)</w:t>
            </w: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43,906</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cash used in operating activities was $52.0 million for the year ended December 31, 2017 as compared to $19.7 million in the same period in 2016, an increase of $32.4 million year over year. The increase in net cash used in operating activities is primarily due to a $29.1 million recorded net loss associated with the increased research and development expenses as we advanced from Phase 1 to Phase 2 clinical trials, an increase of $5.0 million to accounts payable and a decrease in recorded deferred revenues of $7.5 million. This was offset by increases in cash from operating activities as follows: (i) an increase in recorded accrued expenses and other liabilities of $4.9 million (ii) a $2.0 million reduction in restricted cash, prepaid expenses and other assets (iii) an increase in stock-based compensation expense of $2.0 million and (iv) a $0.7 million loss on early extinguishment of debt.</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used in operating activities was $19.7 million for the year ended December 31, 2016 compared to $22.5 million in the same period in 2015. The decrease in net cash used in operating activities of $2.8 million reflects an increase in the net loss of</w:t>
      </w:r>
    </w:p>
    <w:p>
      <w:pPr>
        <w:sectPr>
          <w:pgSz w:w="11900" w:h="16838" w:orient="portrait"/>
          <w:cols w:equalWidth="0" w:num="1">
            <w:col w:w="11380"/>
          </w:cols>
          <w:pgMar w:left="240" w:top="125" w:right="27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80"/>
          </w:cols>
          <w:pgMar w:left="240" w:top="125" w:right="27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$11.0 million offset by (i) an increase in deferred revenues of $10.7 million, (ii) a net increase in accounts payable and other liabilities of $1.8 million, (iii) additional (non-cash) stock-based compensation expense of $0.9 million, and (vi) a net increase in other assets and liabilities of $0.2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used in investing activities was $2.1 million for the year ended December 31, 2017, as compared to $22.1 million in the same period in 2016. The net decrease in cash used in investing activities of $20.0 million for the year ended December 31, 2017 resulted from the purchase of additional short-term investments totaling $33.1 million combined with additional equipment purchases of $0.2 million, offset by an increase in the maturity of short-term investments of $53.3 million.</w:t>
      </w:r>
    </w:p>
    <w:p>
      <w:pPr>
        <w:spacing w:after="0" w:line="79" w:lineRule="exact"/>
        <w:rPr>
          <w:sz w:val="20"/>
          <w:szCs w:val="20"/>
          <w:color w:val="auto"/>
        </w:rPr>
      </w:pPr>
    </w:p>
    <w:p>
      <w:pPr>
        <w:jc w:val="both"/>
        <w:ind w:right="220"/>
        <w:spacing w:after="0" w:line="221" w:lineRule="exact"/>
        <w:rPr>
          <w:sz w:val="20"/>
          <w:szCs w:val="20"/>
          <w:color w:val="auto"/>
        </w:rPr>
      </w:pPr>
      <w:r>
        <w:rPr>
          <w:rFonts w:ascii="Arial" w:cs="Arial" w:eastAsia="Arial" w:hAnsi="Arial"/>
          <w:sz w:val="18"/>
          <w:szCs w:val="18"/>
          <w:color w:val="auto"/>
        </w:rPr>
        <w:t>Net cash used in investing activities was $22.1 million for the year ended December 31, 2016, as compared to $4.7 million in the same period in 2015. The net change in cash of $17.4 million for the year ended December 31, 2016 resulted from the purchase of $24.9 million in short term investments, offset by maturity of $6.9 million of short</w:t>
      </w:r>
      <w:r>
        <w:rPr>
          <w:rFonts w:ascii="MS PGothic" w:cs="MS PGothic" w:eastAsia="MS PGothic" w:hAnsi="MS PGothic"/>
          <w:sz w:val="18"/>
          <w:szCs w:val="18"/>
          <w:color w:val="auto"/>
        </w:rPr>
        <w:t>‑</w:t>
      </w:r>
      <w:r>
        <w:rPr>
          <w:rFonts w:ascii="Arial" w:cs="Arial" w:eastAsia="Arial" w:hAnsi="Arial"/>
          <w:sz w:val="18"/>
          <w:szCs w:val="18"/>
          <w:color w:val="auto"/>
        </w:rPr>
        <w:t>term investments, and a $0.6 million investment in property and equipment.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provided by financing activities was $66.0 million for the year ended December 31, 2017 as compared to $67.6 million in the same period in 2016. The net change in cash of $1.6 million resulted from (i) $47.1 million of net cash derived from the 2017 PIPE, (ii) $20.9 million from the issuance of the 2017 Term Loan, (iii) $10.0 million received in connection with the issuance of common stock to Spark pursuant to contractual equity acquisition rights, (iv) $0.7 million from the exercise of employee stock options and (v) $0.2 million in proceeds from the issuance of common stock under the ESPP, offset by $12.9 million of loan repayments, as compared to our 2016 cash inflows relating to net cash of $64.8 million received in connection with our IPO and $2.7 million received from the issuance of common stock to Spark.</w:t>
      </w:r>
    </w:p>
    <w:p>
      <w:pPr>
        <w:spacing w:after="0" w:line="85"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Net cash provided by financing activities was $67.7 million for the year ended December 31, 2016 as compared to $43.9 million in the same period in 2015. The increase of $23.8 million provided by financing activities is the result of the net cash of $64.8 million derived from our IPO related activities combined with the $2.7 million issuance of common stock in conjunction with our license agreement with Spark during the year ended December 31, 2016, compared to the year ended December 31, 2015 whereby we generated net cash of $39.8 million from the issuance of Series E Preferred Stock and the issuance of debt totaling $6.7 million, which was reduced by the $2.4 million of loan principle payments made.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principal contractual obligations as of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Later</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 obligations (1)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Research and development contract obligations (2)</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4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obligations (3)</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9,093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0"/>
              <w:spacing w:after="0"/>
              <w:rPr>
                <w:sz w:val="20"/>
                <w:szCs w:val="20"/>
                <w:color w:val="auto"/>
              </w:rPr>
            </w:pPr>
            <w:r>
              <w:rPr>
                <w:rFonts w:ascii="Arial" w:cs="Arial" w:eastAsia="Arial" w:hAnsi="Arial"/>
                <w:sz w:val="14"/>
                <w:szCs w:val="14"/>
                <w:color w:val="auto"/>
              </w:rPr>
              <w:t>Total contractual obligations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28,525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2208"/>
              <w:spacing w:after="0"/>
              <w:rPr>
                <w:sz w:val="20"/>
                <w:szCs w:val="20"/>
                <w:color w:val="auto"/>
              </w:rPr>
            </w:pPr>
            <w:r>
              <w:rPr>
                <w:rFonts w:ascii="Arial" w:cs="Arial" w:eastAsia="Arial" w:hAnsi="Arial"/>
                <w:sz w:val="14"/>
                <w:szCs w:val="14"/>
                <w:color w:val="auto"/>
                <w:w w:val="91"/>
              </w:rPr>
              <w:t>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right="40" w:firstLine="8"/>
        <w:spacing w:after="0" w:line="166" w:lineRule="exact"/>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Operating lease obligations represent future minimum lease payments under non</w:t>
      </w:r>
      <w:r>
        <w:rPr>
          <w:rFonts w:ascii="MS PGothic" w:cs="MS PGothic" w:eastAsia="MS PGothic" w:hAnsi="MS PGothic"/>
          <w:sz w:val="14"/>
          <w:szCs w:val="14"/>
          <w:color w:val="auto"/>
        </w:rPr>
        <w:t>‑</w:t>
      </w:r>
      <w:r>
        <w:rPr>
          <w:rFonts w:ascii="Arial" w:cs="Arial" w:eastAsia="Arial" w:hAnsi="Arial"/>
          <w:sz w:val="14"/>
          <w:szCs w:val="14"/>
          <w:color w:val="auto"/>
        </w:rPr>
        <w:t>cancellable property leases in Watertown, Massachusetts. The minimum lease payments do not include common area maintenance charges, real estate taxes or any sublease income we may earn.</w:t>
      </w:r>
    </w:p>
    <w:p>
      <w:pPr>
        <w:spacing w:after="0" w:line="142" w:lineRule="exact"/>
        <w:rPr>
          <w:rFonts w:ascii="Arial" w:cs="Arial" w:eastAsia="Arial" w:hAnsi="Arial"/>
          <w:sz w:val="14"/>
          <w:szCs w:val="14"/>
          <w:color w:val="auto"/>
        </w:rPr>
      </w:pPr>
    </w:p>
    <w:p>
      <w:pPr>
        <w:jc w:val="both"/>
        <w:ind w:right="240" w:firstLine="8"/>
        <w:spacing w:after="0" w:line="286" w:lineRule="auto"/>
        <w:tabs>
          <w:tab w:leader="none" w:pos="204"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Research and development contract obligations represent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purposes of presenting our contractual obligations under the MIT agreement, we have assumed license payments are fully offset by royalty payments in 2020.</w:t>
      </w:r>
    </w:p>
    <w:p>
      <w:pPr>
        <w:spacing w:after="0" w:line="113" w:lineRule="exact"/>
        <w:rPr>
          <w:rFonts w:ascii="Arial" w:cs="Arial" w:eastAsia="Arial" w:hAnsi="Arial"/>
          <w:sz w:val="13"/>
          <w:szCs w:val="13"/>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Debt obligations include principal and interest due under our credit facility.</w:t>
      </w:r>
    </w:p>
    <w:p>
      <w:pPr>
        <w:spacing w:after="0" w:line="222"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certain intellectual property, including our license agreement with MIT. We have excluded these potential payments in the contractual obligations table because the timing and likelihood of these contingent payments are not known.</w:t>
      </w:r>
    </w:p>
    <w:p>
      <w:pPr>
        <w:spacing w:after="0" w:line="20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enter into agreements in the normal course of business with manufacturers and CROs for clinical trials, preclinical research studies and testing, manufacturing and other services and products for operating purposes. As of December 31, 2017, we had approximately $20.2 million of purchase orders under these agreements. However, these agreements generally provide for termination upon notice. As a result, we have excluded payments under these agreements because (i) the timing of these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23" w:lineRule="exact"/>
        <w:rPr>
          <w:sz w:val="20"/>
          <w:szCs w:val="20"/>
          <w:color w:val="auto"/>
        </w:rPr>
      </w:pPr>
      <w:r>
        <w:rPr>
          <w:rFonts w:ascii="Arial" w:cs="Arial" w:eastAsia="Arial" w:hAnsi="Arial"/>
          <w:sz w:val="18"/>
          <w:szCs w:val="18"/>
          <w:color w:val="auto"/>
        </w:rPr>
        <w:t>payments is uncertain and contingent upon completion of future activities and (ii) we believe that our non</w:t>
      </w:r>
      <w:r>
        <w:rPr>
          <w:rFonts w:ascii="MS PGothic" w:cs="MS PGothic" w:eastAsia="MS PGothic" w:hAnsi="MS PGothic"/>
          <w:sz w:val="18"/>
          <w:szCs w:val="18"/>
          <w:color w:val="auto"/>
        </w:rPr>
        <w:t>‑</w:t>
      </w:r>
      <w:r>
        <w:rPr>
          <w:rFonts w:ascii="Arial" w:cs="Arial" w:eastAsia="Arial" w:hAnsi="Arial"/>
          <w:sz w:val="18"/>
          <w:szCs w:val="18"/>
          <w:color w:val="auto"/>
        </w:rPr>
        <w:t>cancellable obligations under these agreements would not be significant.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2017, we did not have any off-balance sheet arrangements as defined in the rules and regulations of the Securities and Exchange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December 31, 2017 and December 31, 2016, we had cash, cash equivalents and short-term deposits and investments of $96.6 million and $84.1 million, respectively, consisting of non</w:t>
      </w:r>
      <w:r>
        <w:rPr>
          <w:rFonts w:ascii="MS PGothic" w:cs="MS PGothic" w:eastAsia="MS PGothic" w:hAnsi="MS PGothic"/>
          <w:sz w:val="16"/>
          <w:szCs w:val="16"/>
          <w:color w:val="auto"/>
        </w:rPr>
        <w:t>‑</w:t>
      </w:r>
      <w:r>
        <w:rPr>
          <w:rFonts w:ascii="Arial" w:cs="Arial" w:eastAsia="Arial" w:hAnsi="Arial"/>
          <w:sz w:val="16"/>
          <w:szCs w:val="16"/>
          <w:color w:val="auto"/>
        </w:rPr>
        <w:t>interest and interest</w:t>
      </w:r>
      <w:r>
        <w:rPr>
          <w:rFonts w:ascii="MS PGothic" w:cs="MS PGothic" w:eastAsia="MS PGothic" w:hAnsi="MS PGothic"/>
          <w:sz w:val="16"/>
          <w:szCs w:val="16"/>
          <w:color w:val="auto"/>
        </w:rPr>
        <w:t>‑</w:t>
      </w:r>
      <w:r>
        <w:rPr>
          <w:rFonts w:ascii="Arial" w:cs="Arial" w:eastAsia="Arial" w:hAnsi="Arial"/>
          <w:sz w:val="16"/>
          <w:szCs w:val="16"/>
          <w:color w:val="auto"/>
        </w:rPr>
        <w:t>bearing money market accounts, corporate bonds, U.S. government agency bonds and tri-party repurchase agreements. Our primary exposure to market risk is interest rate sensitivity, which is affected by changes in the general level of U.S. interest rates. Due to the short</w:t>
      </w:r>
      <w:r>
        <w:rPr>
          <w:rFonts w:ascii="MS PGothic" w:cs="MS PGothic" w:eastAsia="MS PGothic" w:hAnsi="MS PGothic"/>
          <w:sz w:val="16"/>
          <w:szCs w:val="16"/>
          <w:color w:val="auto"/>
        </w:rPr>
        <w:t>‑</w:t>
      </w:r>
      <w:r>
        <w:rPr>
          <w:rFonts w:ascii="Arial" w:cs="Arial" w:eastAsia="Arial" w:hAnsi="Arial"/>
          <w:sz w:val="16"/>
          <w:szCs w:val="16"/>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December 31, 2017, we held $1.3 million of total cash in Russian banks to support our Russian subsidiary, which includes $1.2 million of cash and cash equivalents and $0.1 million of restricted cash, of which $1.2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8"/>
          <w:szCs w:val="18"/>
          <w:b w:val="1"/>
          <w:bCs w:val="1"/>
          <w:color w:val="auto"/>
        </w:rPr>
        <w:t>tem 8. Financial Statements and Supplementary Data</w:t>
      </w:r>
    </w:p>
    <w:p>
      <w:pPr>
        <w:spacing w:after="0" w:line="2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consolidated financial statements together with the report of our independent registered public company accounting firm, required to be filed pursuant to this Item 8 are appended to this Annual Report on Form 10-K. An index of those consolidated financial statements is found in Item 15 of this Annual Report on Form 10-K.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Exchange Act.</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ectPr>
          <w:pgSz w:w="11900" w:h="16838" w:orient="portrait"/>
          <w:cols w:equalWidth="0" w:num="1">
            <w:col w:w="11400"/>
          </w:cols>
          <w:pgMar w:left="240" w:top="125" w:right="25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125" w:right="2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Based on this assessment, our management concluded that, as of December 31, 2017, our internal control over financial reporting was effective.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during our most recent fiscal quarter that have materially affected, or are reasonably likely to materially affect, our internal control over financial reporting.</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20"/>
          </w:cols>
          <w:pgMar w:left="24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at www.selectabio.com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response to this item is contained in part under the caption “Executive Officers of the Registrant” at the end of Part I of this Annual Report on Form 10-K. The remainder of the response to this item is contained in the Proxy Statement for our Annual Meeting of Stockholders scheduled to be held on June 15, 2018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11 of Form 10-K regarding executive compensation will be included in the Proxy Statement for our Annual Meeting of Stockholders scheduled to be held on June 15, 2018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required by this Item 12 of Form 10-K regarding security ownership of certain beneficial owners and management and related stockholder matters will be included in the Proxy Statement for our Annual Meeting of Stockholders scheduled to be held on June 15, 2018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information required by this Item 13 of Form 10-K regarding certain relationships and related transactions, and director independence will be included in the Proxy Statement for our Annual Meeting of Stockholders scheduled to be held on June 15, 2018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required by this Item 14 of Form 10-K regarding principal accountant fees and services will be included in the Proxy Statement for our Annual Meeting of Stockholders scheduled to be held on June 15, 2018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4"/>
          </w:tcPr>
          <w:p>
            <w:pPr>
              <w:ind w:left="68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864"/>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64"/>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(a)(1) Financial Statements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10100" w:type="dxa"/>
            <w:vAlign w:val="bottom"/>
            <w:gridSpan w:val="8"/>
          </w:tcPr>
          <w:p>
            <w:pPr>
              <w:spacing w:after="0"/>
              <w:rPr>
                <w:sz w:val="20"/>
                <w:szCs w:val="20"/>
                <w:color w:val="auto"/>
              </w:rPr>
            </w:pPr>
            <w:r>
              <w:rPr>
                <w:rFonts w:ascii="Arial" w:cs="Arial" w:eastAsia="Arial" w:hAnsi="Arial"/>
                <w:sz w:val="18"/>
                <w:szCs w:val="18"/>
                <w:color w:val="auto"/>
              </w:rPr>
              <w:t>The financial statements listed below are filed as part of this Annual Report on Form 10-K.</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64"/>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113DFF"/>
                <w:w w:val="90"/>
              </w:rPr>
              <w:t>Report of Independent Registered Public Accounting Firm</w:t>
            </w:r>
          </w:p>
        </w:tc>
        <w:tc>
          <w:tcPr>
            <w:tcW w:w="5540" w:type="dxa"/>
            <w:vAlign w:val="bottom"/>
            <w:gridSpan w:val="5"/>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b w:val="1"/>
                <w:bCs w:val="1"/>
                <w:color w:val="113DFF"/>
                <w:w w:val="88"/>
              </w:rPr>
              <w:t>F-1</w:t>
            </w:r>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113DFF"/>
          </w:tcPr>
          <w:p>
            <w:pPr>
              <w:spacing w:after="0" w:line="20" w:lineRule="exact"/>
              <w:rPr>
                <w:sz w:val="1"/>
                <w:szCs w:val="1"/>
                <w:color w:val="auto"/>
              </w:rPr>
            </w:pPr>
          </w:p>
        </w:tc>
        <w:tc>
          <w:tcPr>
            <w:tcW w:w="1180" w:type="dxa"/>
            <w:vAlign w:val="bottom"/>
            <w:shd w:val="clear" w:color="auto" w:fill="113D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b w:val="1"/>
                <w:bCs w:val="1"/>
                <w:color w:val="113DFF"/>
              </w:rPr>
              <w:t>Consolidated Balance Sheets at December 31, 2017 and 2016</w:t>
            </w:r>
          </w:p>
        </w:tc>
        <w:tc>
          <w:tcPr>
            <w:tcW w:w="760" w:type="dxa"/>
            <w:vAlign w:val="bottom"/>
            <w:gridSpan w:val="2"/>
          </w:tcPr>
          <w:p>
            <w:pPr>
              <w:ind w:left="500"/>
              <w:spacing w:after="0"/>
              <w:rPr>
                <w:sz w:val="20"/>
                <w:szCs w:val="20"/>
                <w:color w:val="auto"/>
              </w:rPr>
            </w:pPr>
            <w:r>
              <w:rPr>
                <w:rFonts w:ascii="Arial" w:cs="Arial" w:eastAsia="Arial" w:hAnsi="Arial"/>
                <w:sz w:val="18"/>
                <w:szCs w:val="18"/>
                <w:b w:val="1"/>
                <w:bCs w:val="1"/>
                <w:color w:val="113DFF"/>
                <w:w w:val="88"/>
              </w:rPr>
              <w:t>F-2</w:t>
            </w:r>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113DFF"/>
          </w:tcPr>
          <w:p>
            <w:pPr>
              <w:spacing w:after="0" w:line="20" w:lineRule="exact"/>
              <w:rPr>
                <w:sz w:val="1"/>
                <w:szCs w:val="1"/>
                <w:color w:val="auto"/>
              </w:rPr>
            </w:pPr>
          </w:p>
        </w:tc>
        <w:tc>
          <w:tcPr>
            <w:tcW w:w="1300" w:type="dxa"/>
            <w:vAlign w:val="bottom"/>
            <w:gridSpan w:val="2"/>
            <w:shd w:val="clear" w:color="auto" w:fill="113D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0" w:type="dxa"/>
            <w:vAlign w:val="bottom"/>
            <w:gridSpan w:val="5"/>
          </w:tcPr>
          <w:p>
            <w:pPr>
              <w:spacing w:after="0"/>
              <w:rPr>
                <w:sz w:val="20"/>
                <w:szCs w:val="20"/>
                <w:color w:val="auto"/>
              </w:rPr>
            </w:pPr>
            <w:r>
              <w:rPr>
                <w:rFonts w:ascii="Arial" w:cs="Arial" w:eastAsia="Arial" w:hAnsi="Arial"/>
                <w:sz w:val="18"/>
                <w:szCs w:val="18"/>
                <w:b w:val="1"/>
                <w:bCs w:val="1"/>
                <w:color w:val="113DFF"/>
                <w:w w:val="88"/>
              </w:rPr>
              <w:t>Consolidated Statements of Operations and Comprehensive Loss for the years ended December 31, 2017, 2016 and 2015</w:t>
            </w:r>
          </w:p>
        </w:tc>
        <w:tc>
          <w:tcPr>
            <w:tcW w:w="860" w:type="dxa"/>
            <w:vAlign w:val="bottom"/>
            <w:gridSpan w:val="2"/>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b w:val="1"/>
                <w:bCs w:val="1"/>
                <w:color w:val="113DFF"/>
                <w:w w:val="88"/>
              </w:rPr>
              <w:t>F-3</w:t>
            </w:r>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113DFF"/>
          </w:tcPr>
          <w:p>
            <w:pPr>
              <w:spacing w:after="0" w:line="20" w:lineRule="exact"/>
              <w:rPr>
                <w:sz w:val="1"/>
                <w:szCs w:val="1"/>
                <w:color w:val="auto"/>
              </w:rPr>
            </w:pPr>
          </w:p>
        </w:tc>
        <w:tc>
          <w:tcPr>
            <w:tcW w:w="3900" w:type="dxa"/>
            <w:vAlign w:val="bottom"/>
            <w:gridSpan w:val="3"/>
            <w:shd w:val="clear" w:color="auto" w:fill="113DFF"/>
          </w:tcPr>
          <w:p>
            <w:pPr>
              <w:spacing w:after="0" w:line="20" w:lineRule="exact"/>
              <w:rPr>
                <w:sz w:val="1"/>
                <w:szCs w:val="1"/>
                <w:color w:val="auto"/>
              </w:rPr>
            </w:pPr>
          </w:p>
        </w:tc>
        <w:tc>
          <w:tcPr>
            <w:tcW w:w="1960" w:type="dxa"/>
            <w:vAlign w:val="bottom"/>
            <w:shd w:val="clear" w:color="auto" w:fill="113D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b w:val="1"/>
                <w:bCs w:val="1"/>
                <w:color w:val="113DFF"/>
                <w:w w:val="89"/>
              </w:rPr>
              <w:t>Consolidated Statements of Changes in Stockholders' Equity (Deficit) for the years ended December 31, 2017, 2016 and 2015</w:t>
            </w:r>
          </w:p>
        </w:tc>
        <w:tc>
          <w:tcPr>
            <w:tcW w:w="50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b w:val="1"/>
                <w:bCs w:val="1"/>
                <w:color w:val="113DFF"/>
                <w:w w:val="88"/>
              </w:rPr>
              <w:t>F-4</w:t>
            </w:r>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113DFF"/>
          </w:tcPr>
          <w:p>
            <w:pPr>
              <w:spacing w:after="0" w:line="20" w:lineRule="exact"/>
              <w:rPr>
                <w:sz w:val="1"/>
                <w:szCs w:val="1"/>
                <w:color w:val="auto"/>
              </w:rPr>
            </w:pPr>
          </w:p>
        </w:tc>
        <w:tc>
          <w:tcPr>
            <w:tcW w:w="3900" w:type="dxa"/>
            <w:vAlign w:val="bottom"/>
            <w:gridSpan w:val="3"/>
            <w:shd w:val="clear" w:color="auto" w:fill="113DFF"/>
          </w:tcPr>
          <w:p>
            <w:pPr>
              <w:spacing w:after="0" w:line="20" w:lineRule="exact"/>
              <w:rPr>
                <w:sz w:val="1"/>
                <w:szCs w:val="1"/>
                <w:color w:val="auto"/>
              </w:rPr>
            </w:pPr>
          </w:p>
        </w:tc>
        <w:tc>
          <w:tcPr>
            <w:tcW w:w="2320" w:type="dxa"/>
            <w:vAlign w:val="bottom"/>
            <w:gridSpan w:val="2"/>
            <w:shd w:val="clear" w:color="auto" w:fill="113D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b w:val="1"/>
                <w:bCs w:val="1"/>
                <w:color w:val="113DFF"/>
              </w:rPr>
              <w:t>Consolidated Statements of Cash Flows for the years ended December 31, 2017, 2016 and 2015</w:t>
            </w:r>
          </w:p>
        </w:tc>
        <w:tc>
          <w:tcPr>
            <w:tcW w:w="50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b w:val="1"/>
                <w:bCs w:val="1"/>
                <w:color w:val="113DFF"/>
                <w:w w:val="88"/>
              </w:rPr>
              <w:t>F-5</w:t>
            </w:r>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113DFF"/>
          </w:tcPr>
          <w:p>
            <w:pPr>
              <w:spacing w:after="0" w:line="20" w:lineRule="exact"/>
              <w:rPr>
                <w:sz w:val="1"/>
                <w:szCs w:val="1"/>
                <w:color w:val="auto"/>
              </w:rPr>
            </w:pPr>
          </w:p>
        </w:tc>
        <w:tc>
          <w:tcPr>
            <w:tcW w:w="3900" w:type="dxa"/>
            <w:vAlign w:val="bottom"/>
            <w:gridSpan w:val="3"/>
            <w:shd w:val="clear" w:color="auto" w:fill="113D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40" w:type="dxa"/>
            <w:vAlign w:val="bottom"/>
            <w:gridSpan w:val="4"/>
          </w:tcPr>
          <w:p>
            <w:pPr>
              <w:spacing w:after="0"/>
              <w:rPr>
                <w:sz w:val="20"/>
                <w:szCs w:val="20"/>
                <w:color w:val="auto"/>
              </w:rPr>
            </w:pPr>
            <w:r>
              <w:rPr>
                <w:rFonts w:ascii="Arial" w:cs="Arial" w:eastAsia="Arial" w:hAnsi="Arial"/>
                <w:sz w:val="18"/>
                <w:szCs w:val="18"/>
                <w:b w:val="1"/>
                <w:bCs w:val="1"/>
                <w:color w:val="113DFF"/>
              </w:rPr>
              <w:t>Notes to Consolidated Financial Statements</w:t>
            </w:r>
          </w:p>
        </w:tc>
        <w:tc>
          <w:tcPr>
            <w:tcW w:w="2820" w:type="dxa"/>
            <w:vAlign w:val="bottom"/>
            <w:gridSpan w:val="3"/>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b w:val="1"/>
                <w:bCs w:val="1"/>
                <w:color w:val="113DFF"/>
                <w:w w:val="88"/>
              </w:rPr>
              <w:t>F-6</w:t>
            </w:r>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113D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0" w:type="dxa"/>
            <w:vAlign w:val="bottom"/>
            <w:gridSpan w:val="12"/>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1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Filing</w:t>
            </w:r>
          </w:p>
        </w:tc>
        <w:tc>
          <w:tcPr>
            <w:tcW w:w="11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0" w:type="dxa"/>
            <w:vAlign w:val="bottom"/>
            <w:tcBorders>
              <w:bottom w:val="single" w:sz="8" w:color="0000FF"/>
            </w:tcBorders>
            <w:gridSpan w:val="11"/>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Restated Certificate of Incorporation of Selecta</w:t>
              </w:r>
            </w:hyperlink>
          </w:p>
        </w:tc>
        <w:tc>
          <w:tcPr>
            <w:tcW w:w="220" w:type="dxa"/>
            <w:vAlign w:val="bottom"/>
            <w:gridSpan w:val="3"/>
          </w:tcPr>
          <w:p>
            <w:pPr>
              <w:spacing w:after="0"/>
              <w:rPr>
                <w:sz w:val="17"/>
                <w:szCs w:val="17"/>
                <w:color w:val="auto"/>
              </w:rPr>
            </w:pPr>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rPr>
              <w:t>8-K</w:t>
            </w:r>
          </w:p>
        </w:tc>
        <w:tc>
          <w:tcPr>
            <w:tcW w:w="206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32">
              <w:r>
                <w:rPr>
                  <w:rFonts w:ascii="Arial" w:cs="Arial" w:eastAsia="Arial" w:hAnsi="Arial"/>
                  <w:sz w:val="18"/>
                  <w:szCs w:val="18"/>
                  <w:color w:val="0000FF"/>
                  <w:w w:val="88"/>
                </w:rPr>
                <w:t>Biosciences, Inc.</w:t>
              </w:r>
            </w:hyperlink>
          </w:p>
        </w:tc>
        <w:tc>
          <w:tcPr>
            <w:tcW w:w="240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tcBorders>
              <w:bottom w:val="single" w:sz="8" w:color="0000FF"/>
            </w:tcBorders>
            <w:gridSpan w:val="8"/>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Amended and Restated By-laws of Selecta</w:t>
              </w:r>
            </w:hyperlink>
          </w:p>
        </w:tc>
        <w:tc>
          <w:tcPr>
            <w:tcW w:w="540" w:type="dxa"/>
            <w:vAlign w:val="bottom"/>
            <w:gridSpan w:val="6"/>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8-K</w:t>
            </w:r>
          </w:p>
        </w:tc>
        <w:tc>
          <w:tcPr>
            <w:tcW w:w="2060" w:type="dxa"/>
            <w:vAlign w:val="bottom"/>
            <w:gridSpan w:val="3"/>
          </w:tcPr>
          <w:p>
            <w:pPr>
              <w:ind w:left="6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33">
              <w:r>
                <w:rPr>
                  <w:rFonts w:ascii="Arial" w:cs="Arial" w:eastAsia="Arial" w:hAnsi="Arial"/>
                  <w:sz w:val="18"/>
                  <w:szCs w:val="18"/>
                  <w:color w:val="0000FF"/>
                  <w:w w:val="88"/>
                </w:rPr>
                <w:t>Biosciences, Inc.</w:t>
              </w:r>
            </w:hyperlink>
          </w:p>
        </w:tc>
        <w:tc>
          <w:tcPr>
            <w:tcW w:w="240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20" w:type="dxa"/>
            <w:vAlign w:val="bottom"/>
            <w:tcBorders>
              <w:bottom w:val="single" w:sz="8" w:color="0000FF"/>
            </w:tcBorders>
            <w:gridSpan w:val="9"/>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Fifth Amended and Restated Investors' Rights</w:t>
              </w:r>
            </w:hyperlink>
          </w:p>
        </w:tc>
        <w:tc>
          <w:tcPr>
            <w:tcW w:w="300" w:type="dxa"/>
            <w:vAlign w:val="bottom"/>
            <w:gridSpan w:val="5"/>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S-1/A</w:t>
            </w:r>
          </w:p>
        </w:tc>
        <w:tc>
          <w:tcPr>
            <w:tcW w:w="2060" w:type="dxa"/>
            <w:vAlign w:val="bottom"/>
            <w:gridSpan w:val="3"/>
          </w:tcPr>
          <w:p>
            <w:pPr>
              <w:ind w:left="62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6/8/2016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8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Agreement, dated as of August 26, 2015, by and</w:t>
              </w:r>
            </w:hyperlink>
          </w:p>
        </w:tc>
        <w:tc>
          <w:tcPr>
            <w:tcW w:w="1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between the Registrant and each of the</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stockholders party thereto, as amended by</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Amendment No. 1 to Fifth Amended and</w:t>
              </w:r>
            </w:hyperlink>
          </w:p>
        </w:tc>
        <w:tc>
          <w:tcPr>
            <w:tcW w:w="60" w:type="dxa"/>
            <w:vAlign w:val="bottom"/>
            <w:tcBorders>
              <w:top w:val="single" w:sz="8" w:color="0000FF"/>
            </w:tcBorders>
          </w:tcPr>
          <w:p>
            <w:pPr>
              <w:spacing w:after="0"/>
              <w:rPr>
                <w:sz w:val="17"/>
                <w:szCs w:val="17"/>
                <w:color w:val="auto"/>
              </w:rPr>
            </w:pPr>
          </w:p>
        </w:tc>
        <w:tc>
          <w:tcPr>
            <w:tcW w:w="60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34">
              <w:r>
                <w:rPr>
                  <w:rFonts w:ascii="Arial" w:cs="Arial" w:eastAsia="Arial" w:hAnsi="Arial"/>
                  <w:sz w:val="18"/>
                  <w:szCs w:val="18"/>
                  <w:color w:val="0000FF"/>
                  <w:w w:val="88"/>
                </w:rPr>
                <w:t>Restated Investors Rights Agreement, dated as</w:t>
              </w:r>
            </w:hyperlink>
          </w:p>
        </w:tc>
        <w:tc>
          <w:tcPr>
            <w:tcW w:w="2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gridSpan w:val="1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of June 7, 2016</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gridSpan w:val="14"/>
          </w:tcPr>
          <w:p>
            <w:pPr>
              <w:spacing w:after="0"/>
              <w:rPr>
                <w:rFonts w:ascii="Arial" w:cs="Arial" w:eastAsia="Arial" w:hAnsi="Arial"/>
                <w:sz w:val="18"/>
                <w:szCs w:val="18"/>
                <w:color w:val="0000FF"/>
              </w:rPr>
            </w:pPr>
            <w:hyperlink r:id="rId35">
              <w:r>
                <w:rPr>
                  <w:rFonts w:ascii="Arial" w:cs="Arial" w:eastAsia="Arial" w:hAnsi="Arial"/>
                  <w:sz w:val="18"/>
                  <w:szCs w:val="18"/>
                  <w:color w:val="0000FF"/>
                </w:rPr>
                <w:t>Specimen Stock Certificate evidencing the</w:t>
              </w:r>
            </w:hyperlink>
          </w:p>
        </w:tc>
        <w:tc>
          <w:tcPr>
            <w:tcW w:w="460" w:type="dxa"/>
            <w:vAlign w:val="bottom"/>
          </w:tcPr>
          <w:p>
            <w:pPr>
              <w:ind w:left="40"/>
              <w:spacing w:after="0"/>
              <w:rPr>
                <w:sz w:val="20"/>
                <w:szCs w:val="20"/>
                <w:color w:val="auto"/>
              </w:rPr>
            </w:pPr>
            <w:r>
              <w:rPr>
                <w:rFonts w:ascii="Arial" w:cs="Arial" w:eastAsia="Arial" w:hAnsi="Arial"/>
                <w:sz w:val="18"/>
                <w:szCs w:val="18"/>
                <w:color w:val="auto"/>
              </w:rPr>
              <w:t>S-1</w:t>
            </w:r>
          </w:p>
        </w:tc>
        <w:tc>
          <w:tcPr>
            <w:tcW w:w="2060" w:type="dxa"/>
            <w:vAlign w:val="bottom"/>
            <w:gridSpan w:val="3"/>
          </w:tcPr>
          <w:p>
            <w:pPr>
              <w:ind w:left="62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shares of common stock</w:t>
              </w:r>
            </w:hyperlink>
          </w:p>
        </w:tc>
        <w:tc>
          <w:tcPr>
            <w:tcW w:w="56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79"/>
              </w:rPr>
              <w:t>88</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color w:val="auto"/>
                <w:w w:val="87"/>
              </w:rPr>
              <w:t>4.3</w:t>
            </w:r>
          </w:p>
        </w:tc>
        <w:tc>
          <w:tcPr>
            <w:tcW w:w="260" w:type="dxa"/>
            <w:vAlign w:val="bottom"/>
          </w:tcPr>
          <w:p>
            <w:pPr>
              <w:spacing w:after="0"/>
              <w:rPr>
                <w:sz w:val="24"/>
                <w:szCs w:val="24"/>
                <w:color w:val="auto"/>
              </w:rPr>
            </w:pPr>
          </w:p>
        </w:tc>
        <w:tc>
          <w:tcPr>
            <w:tcW w:w="3460" w:type="dxa"/>
            <w:vAlign w:val="bottom"/>
            <w:tcBorders>
              <w:bottom w:val="single" w:sz="8" w:color="0000FF"/>
            </w:tcBorders>
            <w:gridSpan w:val="32"/>
          </w:tcPr>
          <w:p>
            <w:pPr>
              <w:spacing w:after="0"/>
              <w:rPr>
                <w:rFonts w:ascii="Arial" w:cs="Arial" w:eastAsia="Arial" w:hAnsi="Arial"/>
                <w:sz w:val="18"/>
                <w:szCs w:val="18"/>
                <w:color w:val="0000FF"/>
                <w:w w:val="88"/>
              </w:rPr>
            </w:pPr>
            <w:hyperlink r:id="rId35">
              <w:r>
                <w:rPr>
                  <w:rFonts w:ascii="Arial" w:cs="Arial" w:eastAsia="Arial" w:hAnsi="Arial"/>
                  <w:sz w:val="18"/>
                  <w:szCs w:val="18"/>
                  <w:color w:val="0000FF"/>
                  <w:w w:val="88"/>
                </w:rPr>
                <w:t>Form of Warrant to Purchase Shares of Series 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Preferred Stock, dated August 9, 2013 or July</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25, 2014, issued by the Registrant to Oxford</w:t>
              </w:r>
            </w:hyperlink>
          </w:p>
        </w:tc>
        <w:tc>
          <w:tcPr>
            <w:tcW w:w="80" w:type="dxa"/>
            <w:vAlign w:val="bottom"/>
            <w:tcBorders>
              <w:top w:val="single" w:sz="8" w:color="0000FF"/>
            </w:tcBorders>
            <w:gridSpan w:val="4"/>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Finance LLC and Square One Bank, together</w:t>
              </w:r>
            </w:hyperlink>
          </w:p>
        </w:tc>
        <w:tc>
          <w:tcPr>
            <w:tcW w:w="1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with a schedule of warrant holders</w:t>
              </w:r>
            </w:hyperlink>
          </w:p>
        </w:tc>
        <w:tc>
          <w:tcPr>
            <w:tcW w:w="980" w:type="dxa"/>
            <w:vAlign w:val="bottom"/>
            <w:gridSpan w:val="24"/>
          </w:tcPr>
          <w:p>
            <w:pPr>
              <w:spacing w:after="0"/>
              <w:rPr>
                <w:sz w:val="17"/>
                <w:szCs w:val="17"/>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87"/>
              </w:rPr>
              <w:t>4.4</w:t>
            </w:r>
          </w:p>
        </w:tc>
        <w:tc>
          <w:tcPr>
            <w:tcW w:w="260" w:type="dxa"/>
            <w:vAlign w:val="bottom"/>
          </w:tcPr>
          <w:p>
            <w:pPr>
              <w:spacing w:after="0"/>
              <w:rPr>
                <w:sz w:val="21"/>
                <w:szCs w:val="21"/>
                <w:color w:val="auto"/>
              </w:rPr>
            </w:pPr>
          </w:p>
        </w:tc>
        <w:tc>
          <w:tcPr>
            <w:tcW w:w="3440" w:type="dxa"/>
            <w:vAlign w:val="bottom"/>
            <w:tcBorders>
              <w:bottom w:val="single" w:sz="8" w:color="0000FF"/>
            </w:tcBorders>
            <w:gridSpan w:val="31"/>
          </w:tcPr>
          <w:p>
            <w:pPr>
              <w:spacing w:after="0"/>
              <w:rPr>
                <w:rFonts w:ascii="Arial" w:cs="Arial" w:eastAsia="Arial" w:hAnsi="Arial"/>
                <w:sz w:val="18"/>
                <w:szCs w:val="18"/>
                <w:color w:val="0000FF"/>
                <w:w w:val="88"/>
              </w:rPr>
            </w:pPr>
            <w:hyperlink r:id="rId35">
              <w:r>
                <w:rPr>
                  <w:rFonts w:ascii="Arial" w:cs="Arial" w:eastAsia="Arial" w:hAnsi="Arial"/>
                  <w:sz w:val="18"/>
                  <w:szCs w:val="18"/>
                  <w:color w:val="0000FF"/>
                  <w:w w:val="88"/>
                </w:rPr>
                <w:t>Form of Warrant to Purchase Shares of Series E</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w w:val="98"/>
              </w:rPr>
            </w:pPr>
            <w:hyperlink r:id="rId35">
              <w:r>
                <w:rPr>
                  <w:rFonts w:ascii="Arial" w:cs="Arial" w:eastAsia="Arial" w:hAnsi="Arial"/>
                  <w:sz w:val="18"/>
                  <w:szCs w:val="18"/>
                  <w:color w:val="0000FF"/>
                  <w:w w:val="98"/>
                </w:rPr>
                <w:t>Preferred Stock, dated December 31, 2015,</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issued by the Registrant to Oxford Finance LLC</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tcBorders>
              <w:bottom w:val="single" w:sz="8" w:color="0000FF"/>
            </w:tcBorders>
            <w:gridSpan w:val="30"/>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and Square One Bank, together with a schedule</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of warrant holders</w:t>
              </w:r>
            </w:hyperlink>
          </w:p>
        </w:tc>
        <w:tc>
          <w:tcPr>
            <w:tcW w:w="2140" w:type="dxa"/>
            <w:vAlign w:val="bottom"/>
            <w:gridSpan w:val="27"/>
          </w:tcPr>
          <w:p>
            <w:pPr>
              <w:spacing w:after="0"/>
              <w:rPr>
                <w:sz w:val="17"/>
                <w:szCs w:val="17"/>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87"/>
              </w:rPr>
              <w:t>4.5</w:t>
            </w:r>
          </w:p>
        </w:tc>
        <w:tc>
          <w:tcPr>
            <w:tcW w:w="260" w:type="dxa"/>
            <w:vAlign w:val="bottom"/>
          </w:tcPr>
          <w:p>
            <w:pPr>
              <w:spacing w:after="0"/>
              <w:rPr>
                <w:sz w:val="21"/>
                <w:szCs w:val="21"/>
                <w:color w:val="auto"/>
              </w:rPr>
            </w:pPr>
          </w:p>
        </w:tc>
        <w:tc>
          <w:tcPr>
            <w:tcW w:w="3460" w:type="dxa"/>
            <w:vAlign w:val="bottom"/>
            <w:gridSpan w:val="32"/>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Common Stock Purchase Warrant, dated June</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27, 2017, by and between the Registrant and</w:t>
              </w:r>
            </w:hyperlink>
          </w:p>
        </w:tc>
        <w:tc>
          <w:tcPr>
            <w:tcW w:w="60" w:type="dxa"/>
            <w:vAlign w:val="bottom"/>
            <w:tcBorders>
              <w:top w:val="single" w:sz="8" w:color="0000FF"/>
            </w:tcBorders>
            <w:gridSpan w:val="3"/>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Timothy Springer, Ph.D.</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87"/>
              </w:rPr>
              <w:t>4.6</w:t>
            </w:r>
          </w:p>
        </w:tc>
        <w:tc>
          <w:tcPr>
            <w:tcW w:w="260" w:type="dxa"/>
            <w:vAlign w:val="bottom"/>
          </w:tcPr>
          <w:p>
            <w:pPr>
              <w:spacing w:after="0"/>
              <w:rPr>
                <w:sz w:val="21"/>
                <w:szCs w:val="21"/>
                <w:color w:val="auto"/>
              </w:rPr>
            </w:pPr>
          </w:p>
        </w:tc>
        <w:tc>
          <w:tcPr>
            <w:tcW w:w="3360" w:type="dxa"/>
            <w:vAlign w:val="bottom"/>
            <w:tcBorders>
              <w:bottom w:val="single" w:sz="8" w:color="0000FF"/>
            </w:tcBorders>
            <w:gridSpan w:val="28"/>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Registration Rights Agreement, dated June 27,</w:t>
              </w:r>
            </w:hyperlink>
          </w:p>
        </w:tc>
        <w:tc>
          <w:tcPr>
            <w:tcW w:w="10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2017, by and among the Registrant and the</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Investors named therein.</w:t>
              </w:r>
            </w:hyperlink>
          </w:p>
        </w:tc>
        <w:tc>
          <w:tcPr>
            <w:tcW w:w="360" w:type="dxa"/>
            <w:vAlign w:val="bottom"/>
            <w:gridSpan w:val="1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w:t>
            </w:r>
          </w:p>
        </w:tc>
        <w:tc>
          <w:tcPr>
            <w:tcW w:w="260" w:type="dxa"/>
            <w:vAlign w:val="bottom"/>
          </w:tcPr>
          <w:p>
            <w:pPr>
              <w:spacing w:after="0"/>
              <w:rPr>
                <w:sz w:val="21"/>
                <w:szCs w:val="21"/>
                <w:color w:val="auto"/>
              </w:rPr>
            </w:pPr>
          </w:p>
        </w:tc>
        <w:tc>
          <w:tcPr>
            <w:tcW w:w="3340" w:type="dxa"/>
            <w:vAlign w:val="bottom"/>
            <w:tcBorders>
              <w:bottom w:val="single" w:sz="8" w:color="0000FF"/>
            </w:tcBorders>
            <w:gridSpan w:val="27"/>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2016 Incentive Award Plan and form of award</w:t>
              </w:r>
            </w:hyperlink>
          </w:p>
        </w:tc>
        <w:tc>
          <w:tcPr>
            <w:tcW w:w="12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agreements thereunder</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w:t>
            </w:r>
          </w:p>
        </w:tc>
        <w:tc>
          <w:tcPr>
            <w:tcW w:w="260" w:type="dxa"/>
            <w:vAlign w:val="bottom"/>
          </w:tcPr>
          <w:p>
            <w:pPr>
              <w:spacing w:after="0"/>
              <w:rPr>
                <w:sz w:val="21"/>
                <w:szCs w:val="21"/>
                <w:color w:val="auto"/>
              </w:rPr>
            </w:pPr>
          </w:p>
        </w:tc>
        <w:tc>
          <w:tcPr>
            <w:tcW w:w="3460" w:type="dxa"/>
            <w:vAlign w:val="bottom"/>
            <w:gridSpan w:val="32"/>
          </w:tcPr>
          <w:p>
            <w:pPr>
              <w:spacing w:after="0"/>
              <w:rPr>
                <w:rFonts w:ascii="Arial" w:cs="Arial" w:eastAsia="Arial" w:hAnsi="Arial"/>
                <w:sz w:val="18"/>
                <w:szCs w:val="18"/>
                <w:color w:val="0000FF"/>
              </w:rPr>
            </w:pPr>
            <w:hyperlink r:id="rId34">
              <w:r>
                <w:rPr>
                  <w:rFonts w:ascii="Arial" w:cs="Arial" w:eastAsia="Arial" w:hAnsi="Arial"/>
                  <w:sz w:val="18"/>
                  <w:szCs w:val="18"/>
                  <w:color w:val="0000FF"/>
                </w:rPr>
                <w:t>2016 Employee Stock Purchase Plan</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10.3#</w:t>
            </w:r>
          </w:p>
        </w:tc>
        <w:tc>
          <w:tcPr>
            <w:tcW w:w="260" w:type="dxa"/>
            <w:vAlign w:val="bottom"/>
          </w:tcPr>
          <w:p>
            <w:pPr>
              <w:spacing w:after="0"/>
              <w:rPr>
                <w:sz w:val="21"/>
                <w:szCs w:val="21"/>
                <w:color w:val="auto"/>
              </w:rPr>
            </w:pPr>
          </w:p>
        </w:tc>
        <w:tc>
          <w:tcPr>
            <w:tcW w:w="3460" w:type="dxa"/>
            <w:vAlign w:val="bottom"/>
            <w:gridSpan w:val="32"/>
          </w:tcPr>
          <w:p>
            <w:pPr>
              <w:spacing w:after="0"/>
              <w:rPr>
                <w:rFonts w:ascii="Arial" w:cs="Arial" w:eastAsia="Arial" w:hAnsi="Arial"/>
                <w:sz w:val="18"/>
                <w:szCs w:val="18"/>
                <w:color w:val="0000FF"/>
              </w:rPr>
            </w:pPr>
            <w:hyperlink r:id="rId34">
              <w:r>
                <w:rPr>
                  <w:rFonts w:ascii="Arial" w:cs="Arial" w:eastAsia="Arial" w:hAnsi="Arial"/>
                  <w:sz w:val="18"/>
                  <w:szCs w:val="18"/>
                  <w:color w:val="0000FF"/>
                </w:rPr>
                <w:t>Non-Employee Director Compensation</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34">
              <w:r>
                <w:rPr>
                  <w:rFonts w:ascii="Arial" w:cs="Arial" w:eastAsia="Arial" w:hAnsi="Arial"/>
                  <w:sz w:val="18"/>
                  <w:szCs w:val="18"/>
                  <w:color w:val="0000FF"/>
                  <w:w w:val="86"/>
                </w:rPr>
                <w:t>Program</w:t>
              </w:r>
            </w:hyperlink>
          </w:p>
        </w:tc>
        <w:tc>
          <w:tcPr>
            <w:tcW w:w="2200" w:type="dxa"/>
            <w:vAlign w:val="bottom"/>
            <w:tcBorders>
              <w:top w:val="single" w:sz="8" w:color="0000FF"/>
            </w:tcBorders>
            <w:gridSpan w:val="11"/>
          </w:tcPr>
          <w:p>
            <w:pPr>
              <w:spacing w:after="0"/>
              <w:rPr>
                <w:sz w:val="17"/>
                <w:szCs w:val="17"/>
                <w:color w:val="auto"/>
              </w:rPr>
            </w:pPr>
          </w:p>
        </w:tc>
        <w:tc>
          <w:tcPr>
            <w:tcW w:w="640" w:type="dxa"/>
            <w:vAlign w:val="bottom"/>
            <w:gridSpan w:val="19"/>
          </w:tcPr>
          <w:p>
            <w:pPr>
              <w:spacing w:after="0"/>
              <w:rPr>
                <w:sz w:val="17"/>
                <w:szCs w:val="17"/>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10.4#</w:t>
            </w:r>
          </w:p>
        </w:tc>
        <w:tc>
          <w:tcPr>
            <w:tcW w:w="260" w:type="dxa"/>
            <w:vAlign w:val="bottom"/>
          </w:tcPr>
          <w:p>
            <w:pPr>
              <w:spacing w:after="0"/>
              <w:rPr>
                <w:sz w:val="21"/>
                <w:szCs w:val="21"/>
                <w:color w:val="auto"/>
              </w:rPr>
            </w:pPr>
          </w:p>
        </w:tc>
        <w:tc>
          <w:tcPr>
            <w:tcW w:w="2880" w:type="dxa"/>
            <w:vAlign w:val="bottom"/>
            <w:tcBorders>
              <w:bottom w:val="single" w:sz="8" w:color="0000FF"/>
            </w:tcBorders>
            <w:gridSpan w:val="14"/>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Form of Indemnification Agreement for</w:t>
              </w:r>
            </w:hyperlink>
          </w:p>
        </w:tc>
        <w:tc>
          <w:tcPr>
            <w:tcW w:w="580" w:type="dxa"/>
            <w:vAlign w:val="bottom"/>
            <w:gridSpan w:val="1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Directors and Officers</w:t>
              </w:r>
            </w:hyperlink>
          </w:p>
        </w:tc>
      </w:tr>
      <w:tr>
        <w:trPr>
          <w:trHeight w:val="20"/>
        </w:trPr>
        <w:tc>
          <w:tcPr>
            <w:tcW w:w="154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10.6(a)†</w:t>
            </w:r>
          </w:p>
        </w:tc>
        <w:tc>
          <w:tcPr>
            <w:tcW w:w="3460" w:type="dxa"/>
            <w:vAlign w:val="bottom"/>
            <w:gridSpan w:val="32"/>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Exclusive Patent License Agreement, dated as</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of November 25, 2008, by and between the</w:t>
              </w:r>
            </w:hyperlink>
          </w:p>
        </w:tc>
        <w:tc>
          <w:tcPr>
            <w:tcW w:w="200" w:type="dxa"/>
            <w:vAlign w:val="bottom"/>
            <w:tcBorders>
              <w:top w:val="single" w:sz="8" w:color="0000FF"/>
            </w:tcBorders>
            <w:gridSpan w:val="8"/>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Registrant and the Massachusetts Institute of</w:t>
              </w:r>
            </w:hyperlink>
          </w:p>
        </w:tc>
        <w:tc>
          <w:tcPr>
            <w:tcW w:w="20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Technology</w:t>
              </w:r>
            </w:hyperlink>
          </w:p>
        </w:tc>
      </w:tr>
      <w:tr>
        <w:trPr>
          <w:trHeight w:val="20"/>
        </w:trPr>
        <w:tc>
          <w:tcPr>
            <w:tcW w:w="154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10.6(b)†</w:t>
            </w:r>
          </w:p>
        </w:tc>
        <w:tc>
          <w:tcPr>
            <w:tcW w:w="3300" w:type="dxa"/>
            <w:vAlign w:val="bottom"/>
            <w:tcBorders>
              <w:bottom w:val="single" w:sz="8" w:color="0000FF"/>
            </w:tcBorders>
            <w:gridSpan w:val="25"/>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First Amendment to Exclusive Patent License</w:t>
              </w:r>
            </w:hyperlink>
          </w:p>
        </w:tc>
        <w:tc>
          <w:tcPr>
            <w:tcW w:w="160" w:type="dxa"/>
            <w:vAlign w:val="bottom"/>
            <w:gridSpan w:val="7"/>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Agreement, dated as of January 12, 2010, by</w:t>
              </w:r>
            </w:hyperlink>
          </w:p>
        </w:tc>
        <w:tc>
          <w:tcPr>
            <w:tcW w:w="22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Borders>
              <w:bottom w:val="single" w:sz="8" w:color="0000FF"/>
            </w:tcBorders>
            <w:gridSpan w:val="9"/>
          </w:tcPr>
          <w:p>
            <w:pPr>
              <w:spacing w:after="0" w:line="196"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and between the Registrant and the</w:t>
              </w:r>
            </w:hyperlink>
          </w:p>
        </w:tc>
        <w:tc>
          <w:tcPr>
            <w:tcW w:w="940" w:type="dxa"/>
            <w:vAlign w:val="bottom"/>
            <w:gridSpan w:val="2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Massachusetts Institute of Technology</w:t>
              </w:r>
            </w:hyperlink>
          </w:p>
        </w:tc>
        <w:tc>
          <w:tcPr>
            <w:tcW w:w="700" w:type="dxa"/>
            <w:vAlign w:val="bottom"/>
            <w:gridSpan w:val="20"/>
          </w:tcPr>
          <w:p>
            <w:pPr>
              <w:spacing w:after="0"/>
              <w:rPr>
                <w:sz w:val="17"/>
                <w:szCs w:val="17"/>
                <w:color w:val="auto"/>
              </w:rPr>
            </w:pPr>
          </w:p>
        </w:tc>
      </w:tr>
      <w:tr>
        <w:trPr>
          <w:trHeight w:val="250"/>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10.6(c)†</w:t>
            </w:r>
          </w:p>
        </w:tc>
        <w:tc>
          <w:tcPr>
            <w:tcW w:w="3220" w:type="dxa"/>
            <w:vAlign w:val="bottom"/>
            <w:tcBorders>
              <w:bottom w:val="single" w:sz="8" w:color="0000FF"/>
            </w:tcBorders>
            <w:gridSpan w:val="21"/>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Letter Agreement, dated as of November 27,</w:t>
              </w:r>
            </w:hyperlink>
          </w:p>
        </w:tc>
        <w:tc>
          <w:tcPr>
            <w:tcW w:w="240" w:type="dxa"/>
            <w:vAlign w:val="bottom"/>
            <w:gridSpan w:val="1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2012, by and among the Registrant,</w:t>
              </w:r>
            </w:hyperlink>
          </w:p>
        </w:tc>
        <w:tc>
          <w:tcPr>
            <w:tcW w:w="900" w:type="dxa"/>
            <w:vAlign w:val="bottom"/>
            <w:gridSpan w:val="2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Massachusetts Institute of Technology and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Sanofi</w:t>
              </w:r>
            </w:hyperlink>
          </w:p>
        </w:tc>
        <w:tc>
          <w:tcPr>
            <w:tcW w:w="400" w:type="dxa"/>
            <w:vAlign w:val="bottom"/>
            <w:gridSpan w:val="16"/>
          </w:tcPr>
          <w:p>
            <w:pPr>
              <w:spacing w:after="0"/>
              <w:rPr>
                <w:sz w:val="17"/>
                <w:szCs w:val="17"/>
                <w:color w:val="auto"/>
              </w:rPr>
            </w:pPr>
          </w:p>
        </w:tc>
      </w:tr>
      <w:tr>
        <w:trPr>
          <w:trHeight w:val="20"/>
        </w:trPr>
        <w:tc>
          <w:tcPr>
            <w:tcW w:w="154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10.6(d)†</w:t>
            </w:r>
          </w:p>
        </w:tc>
        <w:tc>
          <w:tcPr>
            <w:tcW w:w="3460" w:type="dxa"/>
            <w:vAlign w:val="bottom"/>
            <w:gridSpan w:val="32"/>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Letter Amendment, dated as of November 27,</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2012, by and between the Registrant and the</w:t>
              </w:r>
            </w:hyperlink>
          </w:p>
        </w:tc>
        <w:tc>
          <w:tcPr>
            <w:tcW w:w="100" w:type="dxa"/>
            <w:vAlign w:val="bottom"/>
            <w:tcBorders>
              <w:top w:val="single" w:sz="8" w:color="0000FF"/>
            </w:tcBorders>
            <w:gridSpan w:val="5"/>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Massachusetts Institute of Technology</w:t>
              </w:r>
            </w:hyperlink>
          </w:p>
        </w:tc>
        <w:tc>
          <w:tcPr>
            <w:tcW w:w="700" w:type="dxa"/>
            <w:vAlign w:val="bottom"/>
            <w:gridSpan w:val="20"/>
          </w:tcPr>
          <w:p>
            <w:pPr>
              <w:spacing w:after="0"/>
              <w:rPr>
                <w:sz w:val="17"/>
                <w:szCs w:val="17"/>
                <w:color w:val="auto"/>
              </w:rPr>
            </w:pPr>
          </w:p>
        </w:tc>
      </w:tr>
      <w:tr>
        <w:trPr>
          <w:trHeight w:val="250"/>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10.6(e)†</w:t>
            </w:r>
          </w:p>
        </w:tc>
        <w:tc>
          <w:tcPr>
            <w:tcW w:w="2900" w:type="dxa"/>
            <w:vAlign w:val="bottom"/>
            <w:tcBorders>
              <w:bottom w:val="single" w:sz="8" w:color="0000FF"/>
            </w:tcBorders>
            <w:gridSpan w:val="15"/>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Second Amendment to Exclusive Patent</w:t>
              </w:r>
            </w:hyperlink>
          </w:p>
        </w:tc>
        <w:tc>
          <w:tcPr>
            <w:tcW w:w="560" w:type="dxa"/>
            <w:vAlign w:val="bottom"/>
            <w:gridSpan w:val="17"/>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License Agreement, dated as of August 29,</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8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tcBorders>
              <w:bottom w:val="single" w:sz="8" w:color="0000FF"/>
            </w:tcBorders>
            <w:gridSpan w:val="20"/>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2013, by and between the Registrant and the</w:t>
              </w:r>
            </w:hyperlink>
          </w:p>
        </w:tc>
        <w:tc>
          <w:tcPr>
            <w:tcW w:w="26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Massachusetts Institute of Technology</w:t>
              </w:r>
            </w:hyperlink>
          </w:p>
        </w:tc>
        <w:tc>
          <w:tcPr>
            <w:tcW w:w="700" w:type="dxa"/>
            <w:vAlign w:val="bottom"/>
            <w:gridSpan w:val="20"/>
          </w:tcPr>
          <w:p>
            <w:pPr>
              <w:spacing w:after="0"/>
              <w:rPr>
                <w:sz w:val="17"/>
                <w:szCs w:val="17"/>
                <w:color w:val="auto"/>
              </w:rPr>
            </w:pPr>
          </w:p>
        </w:tc>
      </w:tr>
      <w:tr>
        <w:trPr>
          <w:trHeight w:val="250"/>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10.7(a)†</w:t>
            </w:r>
          </w:p>
        </w:tc>
        <w:tc>
          <w:tcPr>
            <w:tcW w:w="2640" w:type="dxa"/>
            <w:vAlign w:val="bottom"/>
            <w:tcBorders>
              <w:bottom w:val="single" w:sz="8" w:color="0000FF"/>
            </w:tcBorders>
            <w:gridSpan w:val="11"/>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License and Research Collaboration</w:t>
              </w:r>
            </w:hyperlink>
          </w:p>
        </w:tc>
        <w:tc>
          <w:tcPr>
            <w:tcW w:w="820" w:type="dxa"/>
            <w:vAlign w:val="bottom"/>
            <w:gridSpan w:val="2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Agreement, dated as of November 27, 2012, by</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and between the Registrant and Sanofi</w:t>
              </w:r>
            </w:hyperlink>
          </w:p>
        </w:tc>
      </w:tr>
      <w:tr>
        <w:trPr>
          <w:trHeight w:val="20"/>
        </w:trPr>
        <w:tc>
          <w:tcPr>
            <w:tcW w:w="154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10.7(b)†</w:t>
            </w:r>
          </w:p>
        </w:tc>
        <w:tc>
          <w:tcPr>
            <w:tcW w:w="3460" w:type="dxa"/>
            <w:vAlign w:val="bottom"/>
            <w:gridSpan w:val="32"/>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Supplemental Agreement No. 1 to License and</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20" w:type="dxa"/>
            <w:vAlign w:val="bottom"/>
            <w:gridSpan w:val="16"/>
            <w:shd w:val="clear" w:color="auto" w:fill="0000FF"/>
          </w:tcPr>
          <w:p>
            <w:pPr>
              <w:spacing w:after="0" w:line="20" w:lineRule="exact"/>
              <w:rPr>
                <w:sz w:val="1"/>
                <w:szCs w:val="1"/>
                <w:color w:val="auto"/>
              </w:rPr>
            </w:pPr>
          </w:p>
        </w:tc>
        <w:tc>
          <w:tcPr>
            <w:tcW w:w="18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Research Collaboration Agreement, dated as of</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May 7, 2015, by and between the Registrant</w:t>
              </w:r>
            </w:hyperlink>
          </w:p>
        </w:tc>
        <w:tc>
          <w:tcPr>
            <w:tcW w:w="220" w:type="dxa"/>
            <w:vAlign w:val="bottom"/>
            <w:tcBorders>
              <w:top w:val="single" w:sz="8" w:color="0000FF"/>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3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and Sanofi</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4.5</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1134"/>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4.6</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1134"/>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840" w:type="dxa"/>
            <w:vAlign w:val="bottom"/>
          </w:tcPr>
          <w:p>
            <w:pPr>
              <w:ind w:left="6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4.1</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6/28/2017</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1840" w:type="dxa"/>
            <w:vAlign w:val="bottom"/>
          </w:tcPr>
          <w:p>
            <w:pPr>
              <w:ind w:left="6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6/28/2017</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10.2</w:t>
            </w:r>
          </w:p>
        </w:tc>
        <w:tc>
          <w:tcPr>
            <w:tcW w:w="1020" w:type="dxa"/>
            <w:vAlign w:val="bottom"/>
          </w:tcPr>
          <w:p>
            <w:pPr>
              <w:ind w:left="300"/>
              <w:spacing w:after="0"/>
              <w:rPr>
                <w:sz w:val="20"/>
                <w:szCs w:val="20"/>
                <w:color w:val="auto"/>
              </w:rPr>
            </w:pPr>
            <w:r>
              <w:rPr>
                <w:rFonts w:ascii="Arial" w:cs="Arial" w:eastAsia="Arial" w:hAnsi="Arial"/>
                <w:sz w:val="18"/>
                <w:szCs w:val="18"/>
                <w:color w:val="auto"/>
                <w:w w:val="99"/>
              </w:rPr>
              <w:t>6/8/2016</w:t>
            </w:r>
          </w:p>
        </w:tc>
      </w:tr>
      <w:tr>
        <w:trPr>
          <w:trHeight w:val="486"/>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10.3</w:t>
            </w:r>
          </w:p>
        </w:tc>
        <w:tc>
          <w:tcPr>
            <w:tcW w:w="1020" w:type="dxa"/>
            <w:vAlign w:val="bottom"/>
          </w:tcPr>
          <w:p>
            <w:pPr>
              <w:ind w:left="300"/>
              <w:spacing w:after="0"/>
              <w:rPr>
                <w:sz w:val="20"/>
                <w:szCs w:val="20"/>
                <w:color w:val="auto"/>
              </w:rPr>
            </w:pPr>
            <w:r>
              <w:rPr>
                <w:rFonts w:ascii="Arial" w:cs="Arial" w:eastAsia="Arial" w:hAnsi="Arial"/>
                <w:sz w:val="18"/>
                <w:szCs w:val="18"/>
                <w:color w:val="auto"/>
                <w:w w:val="99"/>
              </w:rPr>
              <w:t>6/8/2016</w:t>
            </w:r>
          </w:p>
        </w:tc>
      </w:tr>
      <w:tr>
        <w:trPr>
          <w:trHeight w:val="270"/>
        </w:trPr>
        <w:tc>
          <w:tcPr>
            <w:tcW w:w="420" w:type="dxa"/>
            <w:vAlign w:val="bottom"/>
          </w:tcPr>
          <w:p>
            <w:pPr>
              <w:spacing w:after="0"/>
              <w:rPr>
                <w:sz w:val="20"/>
                <w:szCs w:val="20"/>
                <w:color w:val="auto"/>
              </w:rPr>
            </w:pPr>
            <w:r>
              <w:rPr>
                <w:rFonts w:ascii="Arial" w:cs="Arial" w:eastAsia="Arial" w:hAnsi="Arial"/>
                <w:sz w:val="18"/>
                <w:szCs w:val="18"/>
                <w:color w:val="auto"/>
                <w:w w:val="88"/>
              </w:rPr>
              <w:t>S-1/A</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10.4</w:t>
            </w:r>
          </w:p>
        </w:tc>
        <w:tc>
          <w:tcPr>
            <w:tcW w:w="1020" w:type="dxa"/>
            <w:vAlign w:val="bottom"/>
          </w:tcPr>
          <w:p>
            <w:pPr>
              <w:ind w:left="300"/>
              <w:spacing w:after="0"/>
              <w:rPr>
                <w:sz w:val="20"/>
                <w:szCs w:val="20"/>
                <w:color w:val="auto"/>
              </w:rPr>
            </w:pPr>
            <w:r>
              <w:rPr>
                <w:rFonts w:ascii="Arial" w:cs="Arial" w:eastAsia="Arial" w:hAnsi="Arial"/>
                <w:sz w:val="18"/>
                <w:szCs w:val="18"/>
                <w:color w:val="auto"/>
                <w:w w:val="99"/>
              </w:rPr>
              <w:t>6/8/2016</w:t>
            </w:r>
          </w:p>
        </w:tc>
      </w:tr>
      <w:tr>
        <w:trPr>
          <w:trHeight w:val="486"/>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10.5</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486"/>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10.7(a)</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918"/>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10.7(b)</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918"/>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10.7(c)</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918"/>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10.7(d)</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10.7(e)</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918"/>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10.8(a)</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702"/>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840" w:type="dxa"/>
            <w:vAlign w:val="bottom"/>
          </w:tcPr>
          <w:p>
            <w:pPr>
              <w:ind w:left="6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10.8(b)</w:t>
            </w: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5/24/2016</w:t>
            </w:r>
          </w:p>
        </w:tc>
      </w:tr>
      <w:tr>
        <w:trPr>
          <w:trHeight w:val="1242"/>
        </w:trPr>
        <w:tc>
          <w:tcPr>
            <w:tcW w:w="42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89</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2">
            <w:col w:w="5000" w:space="200"/>
            <w:col w:w="5019"/>
          </w:cols>
          <w:pgMar w:left="240" w:top="108"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jc w:val="center"/>
              <w:ind w:left="30"/>
              <w:spacing w:after="0"/>
              <w:rPr>
                <w:sz w:val="20"/>
                <w:szCs w:val="20"/>
                <w:color w:val="auto"/>
              </w:rPr>
            </w:pPr>
            <w:r>
              <w:rPr>
                <w:rFonts w:ascii="Arial" w:cs="Arial" w:eastAsia="Arial" w:hAnsi="Arial"/>
                <w:sz w:val="18"/>
                <w:szCs w:val="18"/>
                <w:color w:val="auto"/>
                <w:w w:val="88"/>
              </w:rPr>
              <w:t>10.8†</w:t>
            </w:r>
          </w:p>
        </w:tc>
        <w:tc>
          <w:tcPr>
            <w:tcW w:w="260" w:type="dxa"/>
            <w:vAlign w:val="bottom"/>
          </w:tcPr>
          <w:p>
            <w:pPr>
              <w:spacing w:after="0"/>
              <w:rPr>
                <w:sz w:val="24"/>
                <w:szCs w:val="24"/>
                <w:color w:val="auto"/>
              </w:rPr>
            </w:pPr>
          </w:p>
        </w:tc>
        <w:tc>
          <w:tcPr>
            <w:tcW w:w="3480" w:type="dxa"/>
            <w:vAlign w:val="bottom"/>
            <w:gridSpan w:val="31"/>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License Agreement, dated as of May 12, 2014,</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by and between the Registrant and Shenyang</w:t>
              </w:r>
            </w:hyperlink>
          </w:p>
        </w:tc>
        <w:tc>
          <w:tcPr>
            <w:tcW w:w="120" w:type="dxa"/>
            <w:vAlign w:val="bottom"/>
            <w:tcBorders>
              <w:top w:val="single" w:sz="8" w:color="0000FF"/>
            </w:tcBorders>
            <w:gridSpan w:val="5"/>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Sunshine Pharmaceutical Co., Ltd.</w:t>
              </w:r>
            </w:hyperlink>
          </w:p>
        </w:tc>
        <w:tc>
          <w:tcPr>
            <w:tcW w:w="980" w:type="dxa"/>
            <w:vAlign w:val="bottom"/>
            <w:gridSpan w:val="21"/>
          </w:tcPr>
          <w:p>
            <w:pPr>
              <w:spacing w:after="0"/>
              <w:rPr>
                <w:sz w:val="17"/>
                <w:szCs w:val="17"/>
                <w:color w:val="auto"/>
              </w:rPr>
            </w:pPr>
          </w:p>
        </w:tc>
      </w:tr>
      <w:tr>
        <w:trPr>
          <w:trHeight w:val="250"/>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10.9†</w:t>
            </w:r>
          </w:p>
        </w:tc>
        <w:tc>
          <w:tcPr>
            <w:tcW w:w="3460" w:type="dxa"/>
            <w:vAlign w:val="bottom"/>
            <w:tcBorders>
              <w:bottom w:val="single" w:sz="8" w:color="0000FF"/>
            </w:tcBorders>
            <w:gridSpan w:val="30"/>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Manufacturing Services Agreement, dated as of</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August 1, 2014, by and between the Registrant</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and Shenyang Sunshine Pharmaceutical Co.,</w:t>
              </w:r>
            </w:hyperlink>
          </w:p>
        </w:tc>
        <w:tc>
          <w:tcPr>
            <w:tcW w:w="140" w:type="dxa"/>
            <w:vAlign w:val="bottom"/>
            <w:tcBorders>
              <w:top w:val="single" w:sz="8" w:color="0000FF"/>
            </w:tcBorders>
            <w:gridSpan w:val="6"/>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Ltd.</w:t>
              </w:r>
            </w:hyperlink>
          </w:p>
        </w:tc>
      </w:tr>
      <w:tr>
        <w:trPr>
          <w:trHeight w:val="20"/>
        </w:trPr>
        <w:tc>
          <w:tcPr>
            <w:tcW w:w="15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10.10†</w:t>
            </w:r>
          </w:p>
        </w:tc>
        <w:tc>
          <w:tcPr>
            <w:tcW w:w="3240" w:type="dxa"/>
            <w:vAlign w:val="bottom"/>
            <w:tcBorders>
              <w:bottom w:val="single" w:sz="8" w:color="0000FF"/>
            </w:tcBorders>
            <w:gridSpan w:val="20"/>
          </w:tcPr>
          <w:p>
            <w:pPr>
              <w:spacing w:after="0"/>
              <w:rPr>
                <w:rFonts w:ascii="Arial" w:cs="Arial" w:eastAsia="Arial" w:hAnsi="Arial"/>
                <w:sz w:val="18"/>
                <w:szCs w:val="18"/>
                <w:color w:val="0000FF"/>
                <w:w w:val="88"/>
              </w:rPr>
            </w:pPr>
            <w:hyperlink r:id="rId35">
              <w:r>
                <w:rPr>
                  <w:rFonts w:ascii="Arial" w:cs="Arial" w:eastAsia="Arial" w:hAnsi="Arial"/>
                  <w:sz w:val="18"/>
                  <w:szCs w:val="18"/>
                  <w:color w:val="0000FF"/>
                  <w:w w:val="88"/>
                </w:rPr>
                <w:t>Patent Cross-License Agreement, dated as of</w:t>
              </w:r>
            </w:hyperlink>
          </w:p>
        </w:tc>
        <w:tc>
          <w:tcPr>
            <w:tcW w:w="240" w:type="dxa"/>
            <w:vAlign w:val="bottom"/>
            <w:gridSpan w:val="1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tcBorders>
              <w:bottom w:val="single" w:sz="8" w:color="0000FF"/>
            </w:tcBorders>
            <w:gridSpan w:val="14"/>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December 18, 2008, by and between the</w:t>
              </w:r>
            </w:hyperlink>
          </w:p>
        </w:tc>
        <w:tc>
          <w:tcPr>
            <w:tcW w:w="58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Registrant and BIND Therapeutics, Inc.</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(formerly BIND Biosciences, Inc.)</w:t>
              </w:r>
            </w:hyperlink>
          </w:p>
        </w:tc>
        <w:tc>
          <w:tcPr>
            <w:tcW w:w="360" w:type="dxa"/>
            <w:vAlign w:val="bottom"/>
            <w:tcBorders>
              <w:top w:val="single" w:sz="8" w:color="0000FF"/>
            </w:tcBorders>
            <w:gridSpan w:val="3"/>
          </w:tcPr>
          <w:p>
            <w:pPr>
              <w:spacing w:after="0"/>
              <w:rPr>
                <w:sz w:val="17"/>
                <w:szCs w:val="17"/>
                <w:color w:val="auto"/>
              </w:rPr>
            </w:pPr>
          </w:p>
        </w:tc>
        <w:tc>
          <w:tcPr>
            <w:tcW w:w="620" w:type="dxa"/>
            <w:vAlign w:val="bottom"/>
            <w:gridSpan w:val="18"/>
          </w:tcPr>
          <w:p>
            <w:pPr>
              <w:spacing w:after="0"/>
              <w:rPr>
                <w:sz w:val="17"/>
                <w:szCs w:val="17"/>
                <w:color w:val="auto"/>
              </w:rPr>
            </w:pPr>
          </w:p>
        </w:tc>
      </w:tr>
      <w:tr>
        <w:trPr>
          <w:trHeight w:val="250"/>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10.11†</w:t>
            </w:r>
          </w:p>
        </w:tc>
        <w:tc>
          <w:tcPr>
            <w:tcW w:w="3400" w:type="dxa"/>
            <w:vAlign w:val="bottom"/>
            <w:tcBorders>
              <w:bottom w:val="single" w:sz="8" w:color="0000FF"/>
            </w:tcBorders>
            <w:gridSpan w:val="27"/>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Exclusive License Agreement, dated as of May</w:t>
              </w:r>
            </w:hyperlink>
          </w:p>
        </w:tc>
        <w:tc>
          <w:tcPr>
            <w:tcW w:w="8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17, 2016, by and among the Registrant, the</w:t>
              </w:r>
            </w:hyperlink>
          </w:p>
        </w:tc>
        <w:tc>
          <w:tcPr>
            <w:tcW w:w="3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Massachusetts Eye and Ear Infirmary and The</w:t>
              </w:r>
            </w:hyperlink>
          </w:p>
        </w:tc>
        <w:tc>
          <w:tcPr>
            <w:tcW w:w="14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Schepens Eye Research Institute, Inc.</w:t>
              </w:r>
            </w:hyperlink>
          </w:p>
        </w:tc>
      </w:tr>
      <w:tr>
        <w:trPr>
          <w:trHeight w:val="20"/>
        </w:trPr>
        <w:tc>
          <w:tcPr>
            <w:tcW w:w="1540" w:type="dxa"/>
            <w:vAlign w:val="bottom"/>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10.12†</w:t>
            </w:r>
          </w:p>
        </w:tc>
        <w:tc>
          <w:tcPr>
            <w:tcW w:w="3020" w:type="dxa"/>
            <w:vAlign w:val="bottom"/>
            <w:tcBorders>
              <w:bottom w:val="single" w:sz="8" w:color="0000FF"/>
            </w:tcBorders>
            <w:gridSpan w:val="16"/>
          </w:tcPr>
          <w:p>
            <w:pPr>
              <w:spacing w:after="0"/>
              <w:rPr>
                <w:rFonts w:ascii="Arial" w:cs="Arial" w:eastAsia="Arial" w:hAnsi="Arial"/>
                <w:sz w:val="18"/>
                <w:szCs w:val="18"/>
                <w:color w:val="0000FF"/>
                <w:w w:val="86"/>
              </w:rPr>
            </w:pPr>
            <w:hyperlink r:id="rId35">
              <w:r>
                <w:rPr>
                  <w:rFonts w:ascii="Arial" w:cs="Arial" w:eastAsia="Arial" w:hAnsi="Arial"/>
                  <w:sz w:val="18"/>
                  <w:szCs w:val="18"/>
                  <w:color w:val="0000FF"/>
                  <w:w w:val="86"/>
                </w:rPr>
                <w:t>Lease, dated as of September 30, 2008, as</w:t>
              </w:r>
            </w:hyperlink>
          </w:p>
        </w:tc>
        <w:tc>
          <w:tcPr>
            <w:tcW w:w="460" w:type="dxa"/>
            <w:vAlign w:val="bottom"/>
            <w:gridSpan w:val="1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amended by the First Amendment, dated as of</w:t>
              </w:r>
            </w:hyperlink>
          </w:p>
        </w:tc>
        <w:tc>
          <w:tcPr>
            <w:tcW w:w="16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bottom w:val="single" w:sz="8" w:color="0000FF"/>
            </w:tcBorders>
            <w:gridSpan w:val="30"/>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July 12, 2011, the Second Amendment, dated as</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of October 11, 2011 and the Third Amendment,</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dated as of April 6, 2015, by and between the</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Registrant and ARE-480 Arsenal Street, LLC</w:t>
              </w:r>
            </w:hyperlink>
          </w:p>
        </w:tc>
        <w:tc>
          <w:tcPr>
            <w:tcW w:w="200" w:type="dxa"/>
            <w:vAlign w:val="bottom"/>
            <w:gridSpan w:val="9"/>
          </w:tcPr>
          <w:p>
            <w:pPr>
              <w:spacing w:after="0"/>
              <w:rPr>
                <w:sz w:val="17"/>
                <w:szCs w:val="17"/>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10.13</w:t>
            </w:r>
          </w:p>
        </w:tc>
        <w:tc>
          <w:tcPr>
            <w:tcW w:w="260" w:type="dxa"/>
            <w:vAlign w:val="bottom"/>
          </w:tcPr>
          <w:p>
            <w:pPr>
              <w:spacing w:after="0"/>
              <w:rPr>
                <w:sz w:val="21"/>
                <w:szCs w:val="21"/>
                <w:color w:val="auto"/>
              </w:rPr>
            </w:pPr>
          </w:p>
        </w:tc>
        <w:tc>
          <w:tcPr>
            <w:tcW w:w="3380" w:type="dxa"/>
            <w:vAlign w:val="bottom"/>
            <w:tcBorders>
              <w:bottom w:val="single" w:sz="8" w:color="0000FF"/>
            </w:tcBorders>
            <w:gridSpan w:val="26"/>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Fourth Amendment to Lease, dated August 21,</w:t>
              </w:r>
            </w:hyperlink>
          </w:p>
        </w:tc>
        <w:tc>
          <w:tcPr>
            <w:tcW w:w="10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2016, by and between ARE-480 Arsenal Street</w:t>
              </w:r>
            </w:hyperlink>
          </w:p>
        </w:tc>
        <w:tc>
          <w:tcPr>
            <w:tcW w:w="1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LLC and Selecta Biosciences, Inc.</w:t>
              </w:r>
            </w:hyperlink>
          </w:p>
        </w:tc>
        <w:tc>
          <w:tcPr>
            <w:tcW w:w="1000" w:type="dxa"/>
            <w:vAlign w:val="bottom"/>
            <w:gridSpan w:val="22"/>
          </w:tcPr>
          <w:p>
            <w:pPr>
              <w:spacing w:after="0"/>
              <w:rPr>
                <w:sz w:val="17"/>
                <w:szCs w:val="17"/>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10.14#</w:t>
            </w:r>
          </w:p>
        </w:tc>
        <w:tc>
          <w:tcPr>
            <w:tcW w:w="260" w:type="dxa"/>
            <w:vAlign w:val="bottom"/>
          </w:tcPr>
          <w:p>
            <w:pPr>
              <w:spacing w:after="0"/>
              <w:rPr>
                <w:sz w:val="21"/>
                <w:szCs w:val="21"/>
                <w:color w:val="auto"/>
              </w:rPr>
            </w:pPr>
          </w:p>
        </w:tc>
        <w:tc>
          <w:tcPr>
            <w:tcW w:w="3480" w:type="dxa"/>
            <w:vAlign w:val="bottom"/>
            <w:gridSpan w:val="31"/>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Consulting Agreement, dated as of March 10,</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2008, as amended by the First Amendment to</w:t>
              </w:r>
            </w:hyperlink>
          </w:p>
        </w:tc>
        <w:tc>
          <w:tcPr>
            <w:tcW w:w="20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Consulting Agreement, dated as of January 1,</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2012, by and between the Registrant and Omid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6"/>
              </w:rPr>
            </w:pPr>
            <w:hyperlink r:id="rId35">
              <w:r>
                <w:rPr>
                  <w:rFonts w:ascii="Arial" w:cs="Arial" w:eastAsia="Arial" w:hAnsi="Arial"/>
                  <w:sz w:val="18"/>
                  <w:szCs w:val="18"/>
                  <w:color w:val="0000FF"/>
                  <w:w w:val="86"/>
                </w:rPr>
                <w:t>Farokhzad</w:t>
              </w:r>
            </w:hyperlink>
          </w:p>
        </w:tc>
        <w:tc>
          <w:tcPr>
            <w:tcW w:w="2620" w:type="dxa"/>
            <w:vAlign w:val="bottom"/>
            <w:tcBorders>
              <w:top w:val="single" w:sz="8" w:color="0000FF"/>
            </w:tcBorders>
            <w:gridSpan w:val="21"/>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10.15#</w:t>
            </w:r>
          </w:p>
        </w:tc>
        <w:tc>
          <w:tcPr>
            <w:tcW w:w="260" w:type="dxa"/>
            <w:vAlign w:val="bottom"/>
          </w:tcPr>
          <w:p>
            <w:pPr>
              <w:spacing w:after="0"/>
              <w:rPr>
                <w:sz w:val="21"/>
                <w:szCs w:val="21"/>
                <w:color w:val="auto"/>
              </w:rPr>
            </w:pPr>
          </w:p>
        </w:tc>
        <w:tc>
          <w:tcPr>
            <w:tcW w:w="3320" w:type="dxa"/>
            <w:vAlign w:val="bottom"/>
            <w:tcBorders>
              <w:bottom w:val="single" w:sz="8" w:color="0000FF"/>
            </w:tcBorders>
            <w:gridSpan w:val="23"/>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Summary of Oral Agreement, by and between</w:t>
              </w:r>
            </w:hyperlink>
          </w:p>
        </w:tc>
        <w:tc>
          <w:tcPr>
            <w:tcW w:w="160" w:type="dxa"/>
            <w:vAlign w:val="bottom"/>
            <w:gridSpan w:val="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the Registrant and Omid Farokhzad</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10.16#</w:t>
            </w:r>
          </w:p>
        </w:tc>
        <w:tc>
          <w:tcPr>
            <w:tcW w:w="260" w:type="dxa"/>
            <w:vAlign w:val="bottom"/>
          </w:tcPr>
          <w:p>
            <w:pPr>
              <w:spacing w:after="0"/>
              <w:rPr>
                <w:sz w:val="21"/>
                <w:szCs w:val="21"/>
                <w:color w:val="auto"/>
              </w:rPr>
            </w:pPr>
          </w:p>
        </w:tc>
        <w:tc>
          <w:tcPr>
            <w:tcW w:w="320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Employment Agreement, dated as of June 6,</w:t>
              </w:r>
            </w:hyperlink>
          </w:p>
        </w:tc>
        <w:tc>
          <w:tcPr>
            <w:tcW w:w="28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2016, by and between the Registrant and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Werner Cautreels</w:t>
              </w:r>
            </w:hyperlink>
          </w:p>
        </w:tc>
        <w:tc>
          <w:tcPr>
            <w:tcW w:w="5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10.17#</w:t>
            </w:r>
          </w:p>
        </w:tc>
        <w:tc>
          <w:tcPr>
            <w:tcW w:w="260" w:type="dxa"/>
            <w:vAlign w:val="bottom"/>
          </w:tcPr>
          <w:p>
            <w:pPr>
              <w:spacing w:after="0"/>
              <w:rPr>
                <w:sz w:val="21"/>
                <w:szCs w:val="21"/>
                <w:color w:val="auto"/>
              </w:rPr>
            </w:pPr>
          </w:p>
        </w:tc>
        <w:tc>
          <w:tcPr>
            <w:tcW w:w="320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Employment Agreement, dated as of June 6,</w:t>
              </w:r>
            </w:hyperlink>
          </w:p>
        </w:tc>
        <w:tc>
          <w:tcPr>
            <w:tcW w:w="28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2016, by and between the Registrant and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Takashi Kei Kishimoto</w:t>
              </w:r>
            </w:hyperlink>
          </w:p>
        </w:tc>
        <w:tc>
          <w:tcPr>
            <w:tcW w:w="5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10.18#</w:t>
            </w:r>
          </w:p>
        </w:tc>
        <w:tc>
          <w:tcPr>
            <w:tcW w:w="260" w:type="dxa"/>
            <w:vAlign w:val="bottom"/>
          </w:tcPr>
          <w:p>
            <w:pPr>
              <w:spacing w:after="0"/>
              <w:rPr>
                <w:sz w:val="21"/>
                <w:szCs w:val="21"/>
                <w:color w:val="auto"/>
              </w:rPr>
            </w:pPr>
          </w:p>
        </w:tc>
        <w:tc>
          <w:tcPr>
            <w:tcW w:w="320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Employment Agreement, dated as of June 6,</w:t>
              </w:r>
            </w:hyperlink>
          </w:p>
        </w:tc>
        <w:tc>
          <w:tcPr>
            <w:tcW w:w="28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2016, by and between the Registrant and Peter</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Keller</w:t>
              </w:r>
            </w:hyperlink>
          </w:p>
        </w:tc>
        <w:tc>
          <w:tcPr>
            <w:tcW w:w="14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4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10.19#</w:t>
            </w:r>
          </w:p>
        </w:tc>
        <w:tc>
          <w:tcPr>
            <w:tcW w:w="260" w:type="dxa"/>
            <w:vAlign w:val="bottom"/>
          </w:tcPr>
          <w:p>
            <w:pPr>
              <w:spacing w:after="0"/>
              <w:rPr>
                <w:sz w:val="21"/>
                <w:szCs w:val="21"/>
                <w:color w:val="auto"/>
              </w:rPr>
            </w:pPr>
          </w:p>
        </w:tc>
        <w:tc>
          <w:tcPr>
            <w:tcW w:w="320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Employment Agreement, dated as of June 6,</w:t>
              </w:r>
            </w:hyperlink>
          </w:p>
        </w:tc>
        <w:tc>
          <w:tcPr>
            <w:tcW w:w="28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tcBorders>
              <w:bottom w:val="single" w:sz="8" w:color="0000FF"/>
            </w:tcBorders>
            <w:gridSpan w:val="31"/>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2016, by and between the Registrant and Earl E.</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Sands</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4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10.20#</w:t>
            </w:r>
          </w:p>
        </w:tc>
        <w:tc>
          <w:tcPr>
            <w:tcW w:w="260" w:type="dxa"/>
            <w:vAlign w:val="bottom"/>
          </w:tcPr>
          <w:p>
            <w:pPr>
              <w:spacing w:after="0"/>
              <w:rPr>
                <w:sz w:val="21"/>
                <w:szCs w:val="21"/>
                <w:color w:val="auto"/>
              </w:rPr>
            </w:pPr>
          </w:p>
        </w:tc>
        <w:tc>
          <w:tcPr>
            <w:tcW w:w="320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Employment Agreement, dated as of June 6,</w:t>
              </w:r>
            </w:hyperlink>
          </w:p>
        </w:tc>
        <w:tc>
          <w:tcPr>
            <w:tcW w:w="28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2016, by and between the Registrant and Lloyd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P. M. Johnston, Ph.D.</w:t>
              </w:r>
            </w:hyperlink>
          </w:p>
        </w:tc>
        <w:tc>
          <w:tcPr>
            <w:tcW w:w="1840" w:type="dxa"/>
            <w:vAlign w:val="bottom"/>
            <w:tcBorders>
              <w:top w:val="single" w:sz="8" w:color="0000FF"/>
            </w:tcBorders>
            <w:gridSpan w:val="20"/>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10.21#</w:t>
            </w:r>
          </w:p>
        </w:tc>
        <w:tc>
          <w:tcPr>
            <w:tcW w:w="260" w:type="dxa"/>
            <w:vAlign w:val="bottom"/>
          </w:tcPr>
          <w:p>
            <w:pPr>
              <w:spacing w:after="0"/>
              <w:rPr>
                <w:sz w:val="21"/>
                <w:szCs w:val="21"/>
                <w:color w:val="auto"/>
              </w:rPr>
            </w:pPr>
          </w:p>
        </w:tc>
        <w:tc>
          <w:tcPr>
            <w:tcW w:w="320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Employment Agreement, dated as of June 6,</w:t>
              </w:r>
            </w:hyperlink>
          </w:p>
        </w:tc>
        <w:tc>
          <w:tcPr>
            <w:tcW w:w="28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2016, by and between the Registrant and David</w:t>
              </w:r>
            </w:hyperlink>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Abraham</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20" w:type="dxa"/>
            <w:vAlign w:val="bottom"/>
            <w:gridSpan w:val="27"/>
          </w:tcPr>
          <w:p>
            <w:pPr>
              <w:spacing w:after="0" w:line="20" w:lineRule="exact"/>
              <w:rPr>
                <w:sz w:val="1"/>
                <w:szCs w:val="1"/>
                <w:color w:val="auto"/>
              </w:rPr>
            </w:pPr>
          </w:p>
        </w:tc>
      </w:tr>
      <w:tr>
        <w:trPr>
          <w:trHeight w:val="250"/>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10.22#</w:t>
            </w:r>
          </w:p>
        </w:tc>
        <w:tc>
          <w:tcPr>
            <w:tcW w:w="260" w:type="dxa"/>
            <w:vAlign w:val="bottom"/>
          </w:tcPr>
          <w:p>
            <w:pPr>
              <w:spacing w:after="0"/>
              <w:rPr>
                <w:sz w:val="21"/>
                <w:szCs w:val="21"/>
                <w:color w:val="auto"/>
              </w:rPr>
            </w:pPr>
          </w:p>
        </w:tc>
        <w:tc>
          <w:tcPr>
            <w:tcW w:w="3200" w:type="dxa"/>
            <w:vAlign w:val="bottom"/>
            <w:tcBorders>
              <w:bottom w:val="single" w:sz="8" w:color="0000FF"/>
            </w:tcBorders>
            <w:gridSpan w:val="18"/>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Employment Agreement, dated as of June 6,</w:t>
              </w:r>
            </w:hyperlink>
          </w:p>
        </w:tc>
        <w:tc>
          <w:tcPr>
            <w:tcW w:w="28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2016, by and between the Registrant and David</w:t>
              </w:r>
            </w:hyperlink>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31"/>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Siewers</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10.9</w:t>
            </w:r>
          </w:p>
        </w:tc>
        <w:tc>
          <w:tcPr>
            <w:tcW w:w="108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702"/>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10.10</w:t>
            </w:r>
          </w:p>
        </w:tc>
        <w:tc>
          <w:tcPr>
            <w:tcW w:w="108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10.11</w:t>
            </w:r>
          </w:p>
        </w:tc>
        <w:tc>
          <w:tcPr>
            <w:tcW w:w="108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10.12</w:t>
            </w:r>
          </w:p>
        </w:tc>
        <w:tc>
          <w:tcPr>
            <w:tcW w:w="108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10.13</w:t>
            </w:r>
          </w:p>
        </w:tc>
        <w:tc>
          <w:tcPr>
            <w:tcW w:w="1080" w:type="dxa"/>
            <w:vAlign w:val="bottom"/>
          </w:tcPr>
          <w:p>
            <w:pPr>
              <w:jc w:val="right"/>
              <w:spacing w:after="0"/>
              <w:rPr>
                <w:sz w:val="20"/>
                <w:szCs w:val="20"/>
                <w:color w:val="auto"/>
              </w:rPr>
            </w:pPr>
            <w:r>
              <w:rPr>
                <w:rFonts w:ascii="Arial" w:cs="Arial" w:eastAsia="Arial" w:hAnsi="Arial"/>
                <w:sz w:val="18"/>
                <w:szCs w:val="18"/>
                <w:color w:val="auto"/>
              </w:rPr>
              <w:t>5/24/2016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1600" w:type="dxa"/>
            <w:vAlign w:val="bottom"/>
          </w:tcPr>
          <w:p>
            <w:pPr>
              <w:ind w:left="380"/>
              <w:spacing w:after="0"/>
              <w:rPr>
                <w:sz w:val="20"/>
                <w:szCs w:val="20"/>
                <w:color w:val="auto"/>
              </w:rPr>
            </w:pPr>
            <w:r>
              <w:rPr>
                <w:rFonts w:ascii="Arial" w:cs="Arial" w:eastAsia="Arial" w:hAnsi="Arial"/>
                <w:sz w:val="18"/>
                <w:szCs w:val="18"/>
                <w:color w:val="auto"/>
              </w:rPr>
              <w:t>001-37798</w:t>
            </w:r>
          </w:p>
        </w:tc>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9/14/2016</w:t>
            </w:r>
          </w:p>
        </w:tc>
      </w:tr>
      <w:tr>
        <w:trPr>
          <w:trHeight w:val="702"/>
        </w:trPr>
        <w:tc>
          <w:tcPr>
            <w:tcW w:w="660" w:type="dxa"/>
            <w:vAlign w:val="bottom"/>
          </w:tcPr>
          <w:p>
            <w:pPr>
              <w:spacing w:after="0"/>
              <w:rPr>
                <w:sz w:val="20"/>
                <w:szCs w:val="20"/>
                <w:color w:val="auto"/>
              </w:rPr>
            </w:pPr>
            <w:r>
              <w:rPr>
                <w:rFonts w:ascii="Arial" w:cs="Arial" w:eastAsia="Arial" w:hAnsi="Arial"/>
                <w:sz w:val="18"/>
                <w:szCs w:val="18"/>
                <w:color w:val="auto"/>
              </w:rPr>
              <w:t>S-1</w:t>
            </w:r>
          </w:p>
        </w:tc>
        <w:tc>
          <w:tcPr>
            <w:tcW w:w="1600" w:type="dxa"/>
            <w:vAlign w:val="bottom"/>
          </w:tcPr>
          <w:p>
            <w:pPr>
              <w:ind w:left="380"/>
              <w:spacing w:after="0"/>
              <w:rPr>
                <w:sz w:val="20"/>
                <w:szCs w:val="20"/>
                <w:color w:val="auto"/>
              </w:rPr>
            </w:pPr>
            <w:r>
              <w:rPr>
                <w:rFonts w:ascii="Arial" w:cs="Arial" w:eastAsia="Arial" w:hAnsi="Arial"/>
                <w:sz w:val="18"/>
                <w:szCs w:val="18"/>
                <w:color w:val="auto"/>
              </w:rPr>
              <w:t>333-211555</w:t>
            </w:r>
          </w:p>
        </w:tc>
        <w:tc>
          <w:tcPr>
            <w:tcW w:w="1120" w:type="dxa"/>
            <w:vAlign w:val="bottom"/>
          </w:tcPr>
          <w:p>
            <w:pPr>
              <w:ind w:left="360"/>
              <w:spacing w:after="0"/>
              <w:rPr>
                <w:sz w:val="20"/>
                <w:szCs w:val="20"/>
                <w:color w:val="auto"/>
              </w:rPr>
            </w:pPr>
            <w:r>
              <w:rPr>
                <w:rFonts w:ascii="Arial" w:cs="Arial" w:eastAsia="Arial" w:hAnsi="Arial"/>
                <w:sz w:val="18"/>
                <w:szCs w:val="18"/>
                <w:color w:val="auto"/>
              </w:rPr>
              <w:t>10.15</w:t>
            </w:r>
          </w:p>
        </w:tc>
        <w:tc>
          <w:tcPr>
            <w:tcW w:w="1080" w:type="dxa"/>
            <w:vAlign w:val="bottom"/>
          </w:tcPr>
          <w:p>
            <w:pPr>
              <w:jc w:val="right"/>
              <w:spacing w:after="0"/>
              <w:rPr>
                <w:sz w:val="20"/>
                <w:szCs w:val="20"/>
                <w:color w:val="auto"/>
              </w:rPr>
            </w:pPr>
            <w:r>
              <w:rPr>
                <w:rFonts w:ascii="Arial" w:cs="Arial" w:eastAsia="Arial" w:hAnsi="Arial"/>
                <w:sz w:val="18"/>
                <w:szCs w:val="18"/>
                <w:color w:val="auto"/>
              </w:rPr>
              <w:t>5/24/2016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10.16</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10.17</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10.18</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10.19</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10.20</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10.21</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10.22</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10.23</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90</w:t>
      </w:r>
    </w:p>
    <w:p>
      <w:pPr>
        <w:sectPr>
          <w:pgSz w:w="11900" w:h="16838" w:orient="portrait"/>
          <w:cols w:equalWidth="0" w:num="2">
            <w:col w:w="5020" w:space="180"/>
            <w:col w:w="5019"/>
          </w:cols>
          <w:pgMar w:left="240" w:top="108"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color w:val="auto"/>
                <w:w w:val="90"/>
              </w:rPr>
              <w:t>10.23†</w:t>
            </w:r>
          </w:p>
        </w:tc>
        <w:tc>
          <w:tcPr>
            <w:tcW w:w="260" w:type="dxa"/>
            <w:vAlign w:val="bottom"/>
          </w:tcPr>
          <w:p>
            <w:pPr>
              <w:spacing w:after="0"/>
              <w:rPr>
                <w:sz w:val="24"/>
                <w:szCs w:val="24"/>
                <w:color w:val="auto"/>
              </w:rPr>
            </w:pPr>
          </w:p>
        </w:tc>
        <w:tc>
          <w:tcPr>
            <w:tcW w:w="3120" w:type="dxa"/>
            <w:vAlign w:val="bottom"/>
            <w:tcBorders>
              <w:bottom w:val="single" w:sz="8" w:color="0000FF"/>
            </w:tcBorders>
            <w:gridSpan w:val="20"/>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License and Option Agreement, dated as of</w:t>
              </w:r>
            </w:hyperlink>
          </w:p>
        </w:tc>
        <w:tc>
          <w:tcPr>
            <w:tcW w:w="440" w:type="dxa"/>
            <w:vAlign w:val="bottom"/>
            <w:gridSpan w:val="13"/>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2/14/2017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33"/>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December 2, 2016, by and between Spark</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Therapeutics, Inc. and the Registrant</w:t>
              </w:r>
            </w:hyperlink>
          </w:p>
        </w:tc>
        <w:tc>
          <w:tcPr>
            <w:tcW w:w="56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5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10.24†</w:t>
            </w:r>
          </w:p>
        </w:tc>
        <w:tc>
          <w:tcPr>
            <w:tcW w:w="2820" w:type="dxa"/>
            <w:vAlign w:val="bottom"/>
            <w:tcBorders>
              <w:bottom w:val="single" w:sz="8" w:color="0000FF"/>
            </w:tcBorders>
            <w:gridSpan w:val="14"/>
          </w:tcPr>
          <w:p>
            <w:pPr>
              <w:spacing w:after="0"/>
              <w:rPr>
                <w:rFonts w:ascii="Arial" w:cs="Arial" w:eastAsia="Arial" w:hAnsi="Arial"/>
                <w:sz w:val="18"/>
                <w:szCs w:val="18"/>
                <w:color w:val="0000FF"/>
                <w:w w:val="87"/>
              </w:rPr>
            </w:pPr>
            <w:hyperlink r:id="rId39">
              <w:r>
                <w:rPr>
                  <w:rFonts w:ascii="Arial" w:cs="Arial" w:eastAsia="Arial" w:hAnsi="Arial"/>
                  <w:sz w:val="18"/>
                  <w:szCs w:val="18"/>
                  <w:color w:val="0000FF"/>
                  <w:w w:val="87"/>
                </w:rPr>
                <w:t>Stock Purchase Agreement, dated as of</w:t>
              </w:r>
            </w:hyperlink>
          </w:p>
        </w:tc>
        <w:tc>
          <w:tcPr>
            <w:tcW w:w="740" w:type="dxa"/>
            <w:vAlign w:val="bottom"/>
            <w:gridSpan w:val="19"/>
          </w:tcPr>
          <w:p>
            <w:pPr>
              <w:spacing w:after="0"/>
              <w:rPr>
                <w:sz w:val="21"/>
                <w:szCs w:val="21"/>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10.2</w:t>
            </w:r>
          </w:p>
        </w:tc>
        <w:tc>
          <w:tcPr>
            <w:tcW w:w="1120" w:type="dxa"/>
            <w:vAlign w:val="bottom"/>
          </w:tcPr>
          <w:p>
            <w:pPr>
              <w:ind w:left="300"/>
              <w:spacing w:after="0"/>
              <w:rPr>
                <w:sz w:val="20"/>
                <w:szCs w:val="20"/>
                <w:color w:val="auto"/>
              </w:rPr>
            </w:pPr>
            <w:r>
              <w:rPr>
                <w:rFonts w:ascii="Arial" w:cs="Arial" w:eastAsia="Arial" w:hAnsi="Arial"/>
                <w:sz w:val="18"/>
                <w:szCs w:val="18"/>
                <w:color w:val="auto"/>
                <w:w w:val="88"/>
              </w:rPr>
              <w:t>12/14/2016</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3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December 2, 2016, by and between Spark</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Therapeutics, Inc. and the Registrant</w:t>
              </w:r>
            </w:hyperlink>
          </w:p>
        </w:tc>
        <w:tc>
          <w:tcPr>
            <w:tcW w:w="56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5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10.25(a)†</w:t>
            </w:r>
          </w:p>
        </w:tc>
        <w:tc>
          <w:tcPr>
            <w:tcW w:w="3380" w:type="dxa"/>
            <w:vAlign w:val="bottom"/>
            <w:tcBorders>
              <w:bottom w:val="single" w:sz="8" w:color="0000FF"/>
            </w:tcBorders>
            <w:gridSpan w:val="29"/>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Third Amendment to Exclusive Patent License</w:t>
              </w:r>
            </w:hyperlink>
          </w:p>
        </w:tc>
        <w:tc>
          <w:tcPr>
            <w:tcW w:w="180" w:type="dxa"/>
            <w:vAlign w:val="bottom"/>
            <w:gridSpan w:val="4"/>
          </w:tcPr>
          <w:p>
            <w:pPr>
              <w:spacing w:after="0"/>
              <w:rPr>
                <w:sz w:val="21"/>
                <w:szCs w:val="21"/>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10.3(a)</w:t>
            </w:r>
          </w:p>
        </w:tc>
        <w:tc>
          <w:tcPr>
            <w:tcW w:w="1120" w:type="dxa"/>
            <w:vAlign w:val="bottom"/>
          </w:tcPr>
          <w:p>
            <w:pPr>
              <w:ind w:left="300"/>
              <w:spacing w:after="0"/>
              <w:rPr>
                <w:sz w:val="20"/>
                <w:szCs w:val="20"/>
                <w:color w:val="auto"/>
              </w:rPr>
            </w:pPr>
            <w:r>
              <w:rPr>
                <w:rFonts w:ascii="Arial" w:cs="Arial" w:eastAsia="Arial" w:hAnsi="Arial"/>
                <w:sz w:val="18"/>
                <w:szCs w:val="18"/>
                <w:color w:val="auto"/>
                <w:w w:val="88"/>
              </w:rPr>
              <w:t>12/14/2016</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Agreement, entered into on November 21, 2016</w:t>
              </w:r>
            </w:hyperlink>
          </w:p>
        </w:tc>
        <w:tc>
          <w:tcPr>
            <w:tcW w:w="1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and effective as of November 18, 2016, by and</w:t>
              </w:r>
            </w:hyperlink>
          </w:p>
        </w:tc>
        <w:tc>
          <w:tcPr>
            <w:tcW w:w="18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r:id="rId39">
              <w:r>
                <w:rPr>
                  <w:rFonts w:ascii="Arial" w:cs="Arial" w:eastAsia="Arial" w:hAnsi="Arial"/>
                  <w:sz w:val="18"/>
                  <w:szCs w:val="18"/>
                  <w:color w:val="0000FF"/>
                  <w:w w:val="88"/>
                </w:rPr>
                <w:t>between the Massachusetts Institute of</w:t>
              </w:r>
            </w:hyperlink>
          </w:p>
        </w:tc>
        <w:tc>
          <w:tcPr>
            <w:tcW w:w="78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39">
              <w:r>
                <w:rPr>
                  <w:rFonts w:ascii="Arial" w:cs="Arial" w:eastAsia="Arial" w:hAnsi="Arial"/>
                  <w:sz w:val="18"/>
                  <w:szCs w:val="18"/>
                  <w:color w:val="0000FF"/>
                  <w:w w:val="88"/>
                </w:rPr>
                <w:t>Technology and the Registrant</w:t>
              </w:r>
            </w:hyperlink>
          </w:p>
        </w:tc>
        <w:tc>
          <w:tcPr>
            <w:tcW w:w="136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10.25(b)†</w:t>
            </w:r>
          </w:p>
        </w:tc>
        <w:tc>
          <w:tcPr>
            <w:tcW w:w="3560" w:type="dxa"/>
            <w:vAlign w:val="bottom"/>
            <w:gridSpan w:val="33"/>
          </w:tcPr>
          <w:p>
            <w:pPr>
              <w:spacing w:after="0"/>
              <w:rPr>
                <w:rFonts w:ascii="Arial" w:cs="Arial" w:eastAsia="Arial" w:hAnsi="Arial"/>
                <w:sz w:val="18"/>
                <w:szCs w:val="18"/>
                <w:color w:val="0000FF"/>
              </w:rPr>
            </w:pPr>
            <w:hyperlink r:id="rId39">
              <w:r>
                <w:rPr>
                  <w:rFonts w:ascii="Arial" w:cs="Arial" w:eastAsia="Arial" w:hAnsi="Arial"/>
                  <w:sz w:val="18"/>
                  <w:szCs w:val="18"/>
                  <w:color w:val="0000FF"/>
                </w:rPr>
                <w:t>Letter Agreement, dated as of December 2,</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10.3(b)</w:t>
            </w:r>
          </w:p>
        </w:tc>
        <w:tc>
          <w:tcPr>
            <w:tcW w:w="1120" w:type="dxa"/>
            <w:vAlign w:val="bottom"/>
          </w:tcPr>
          <w:p>
            <w:pPr>
              <w:ind w:left="300"/>
              <w:spacing w:after="0"/>
              <w:rPr>
                <w:sz w:val="20"/>
                <w:szCs w:val="20"/>
                <w:color w:val="auto"/>
              </w:rPr>
            </w:pPr>
            <w:r>
              <w:rPr>
                <w:rFonts w:ascii="Arial" w:cs="Arial" w:eastAsia="Arial" w:hAnsi="Arial"/>
                <w:sz w:val="18"/>
                <w:szCs w:val="18"/>
                <w:color w:val="auto"/>
                <w:w w:val="88"/>
              </w:rPr>
              <w:t>12/14/2016</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tcBorders>
              <w:top w:val="single" w:sz="8" w:color="0000FF"/>
            </w:tcBorders>
            <w:gridSpan w:val="19"/>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2016, by and between the Massachusetts</w:t>
              </w:r>
            </w:hyperlink>
          </w:p>
        </w:tc>
        <w:tc>
          <w:tcPr>
            <w:tcW w:w="46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3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Institute of Technology and the Registrant</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5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10.25(c)†</w:t>
            </w:r>
          </w:p>
        </w:tc>
        <w:tc>
          <w:tcPr>
            <w:tcW w:w="3560" w:type="dxa"/>
            <w:vAlign w:val="bottom"/>
            <w:gridSpan w:val="33"/>
          </w:tcPr>
          <w:p>
            <w:pPr>
              <w:spacing w:after="0"/>
              <w:rPr>
                <w:rFonts w:ascii="Arial" w:cs="Arial" w:eastAsia="Arial" w:hAnsi="Arial"/>
                <w:sz w:val="18"/>
                <w:szCs w:val="18"/>
                <w:color w:val="0000FF"/>
              </w:rPr>
            </w:pPr>
            <w:hyperlink r:id="rId39">
              <w:r>
                <w:rPr>
                  <w:rFonts w:ascii="Arial" w:cs="Arial" w:eastAsia="Arial" w:hAnsi="Arial"/>
                  <w:sz w:val="18"/>
                  <w:szCs w:val="18"/>
                  <w:color w:val="0000FF"/>
                </w:rPr>
                <w:t>Letter Agreement, dated as of December 2,</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10.3(c)</w:t>
            </w:r>
          </w:p>
        </w:tc>
        <w:tc>
          <w:tcPr>
            <w:tcW w:w="1120" w:type="dxa"/>
            <w:vAlign w:val="bottom"/>
          </w:tcPr>
          <w:p>
            <w:pPr>
              <w:ind w:left="300"/>
              <w:spacing w:after="0"/>
              <w:rPr>
                <w:sz w:val="20"/>
                <w:szCs w:val="20"/>
                <w:color w:val="auto"/>
              </w:rPr>
            </w:pPr>
            <w:r>
              <w:rPr>
                <w:rFonts w:ascii="Arial" w:cs="Arial" w:eastAsia="Arial" w:hAnsi="Arial"/>
                <w:sz w:val="18"/>
                <w:szCs w:val="18"/>
                <w:color w:val="auto"/>
                <w:w w:val="88"/>
              </w:rPr>
              <w:t>12/14/2016</w:t>
            </w: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2016, by and among Spark Therapeutics, Inc.,</w:t>
              </w:r>
            </w:hyperlink>
          </w:p>
        </w:tc>
        <w:tc>
          <w:tcPr>
            <w:tcW w:w="2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the Massachusetts Institute of Technology and</w:t>
              </w:r>
            </w:hyperlink>
          </w:p>
        </w:tc>
        <w:tc>
          <w:tcPr>
            <w:tcW w:w="2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39">
              <w:r>
                <w:rPr>
                  <w:rFonts w:ascii="Arial" w:cs="Arial" w:eastAsia="Arial" w:hAnsi="Arial"/>
                  <w:sz w:val="18"/>
                  <w:szCs w:val="18"/>
                  <w:color w:val="0000FF"/>
                  <w:w w:val="87"/>
                </w:rPr>
                <w:t>the Registrant</w:t>
              </w:r>
            </w:hyperlink>
          </w:p>
        </w:tc>
        <w:tc>
          <w:tcPr>
            <w:tcW w:w="2560" w:type="dxa"/>
            <w:vAlign w:val="bottom"/>
            <w:gridSpan w:val="31"/>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10.26†</w:t>
            </w:r>
          </w:p>
        </w:tc>
        <w:tc>
          <w:tcPr>
            <w:tcW w:w="3560" w:type="dxa"/>
            <w:vAlign w:val="bottom"/>
            <w:gridSpan w:val="33"/>
          </w:tcPr>
          <w:p>
            <w:pPr>
              <w:spacing w:after="0"/>
              <w:rPr>
                <w:rFonts w:ascii="Arial" w:cs="Arial" w:eastAsia="Arial" w:hAnsi="Arial"/>
                <w:sz w:val="18"/>
                <w:szCs w:val="18"/>
                <w:color w:val="0000FF"/>
                <w:w w:val="97"/>
              </w:rPr>
            </w:pPr>
            <w:hyperlink r:id="rId40">
              <w:r>
                <w:rPr>
                  <w:rFonts w:ascii="Arial" w:cs="Arial" w:eastAsia="Arial" w:hAnsi="Arial"/>
                  <w:sz w:val="18"/>
                  <w:szCs w:val="18"/>
                  <w:color w:val="0000FF"/>
                  <w:w w:val="97"/>
                </w:rPr>
                <w:t>Patent License Agreement, entered into as of</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5/11/2017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April 27, 2017, by and between the U.S.</w:t>
              </w:r>
            </w:hyperlink>
          </w:p>
        </w:tc>
        <w:tc>
          <w:tcPr>
            <w:tcW w:w="300" w:type="dxa"/>
            <w:vAlign w:val="bottom"/>
            <w:tcBorders>
              <w:top w:val="single" w:sz="8" w:color="0000FF"/>
            </w:tcBorders>
            <w:gridSpan w:val="8"/>
          </w:tcPr>
          <w:p>
            <w:pPr>
              <w:spacing w:after="0"/>
              <w:rPr>
                <w:sz w:val="17"/>
                <w:szCs w:val="17"/>
                <w:color w:val="auto"/>
              </w:rPr>
            </w:pPr>
          </w:p>
        </w:tc>
        <w:tc>
          <w:tcPr>
            <w:tcW w:w="34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Department of Health and Human Services, as</w:t>
              </w:r>
            </w:hyperlink>
          </w:p>
        </w:tc>
        <w:tc>
          <w:tcPr>
            <w:tcW w:w="20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bottom w:val="single" w:sz="8" w:color="0000FF"/>
            </w:tcBorders>
            <w:gridSpan w:val="31"/>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represented by The National Cancer Institute an</w:t>
              </w:r>
            </w:hyperlink>
          </w:p>
        </w:tc>
        <w:tc>
          <w:tcPr>
            <w:tcW w:w="1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Institute or Center of the National Institutes of</w:t>
              </w:r>
            </w:hyperlink>
          </w:p>
        </w:tc>
        <w:tc>
          <w:tcPr>
            <w:tcW w:w="2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33"/>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Health and the Registrant</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10.28</w:t>
            </w:r>
          </w:p>
        </w:tc>
        <w:tc>
          <w:tcPr>
            <w:tcW w:w="260" w:type="dxa"/>
            <w:vAlign w:val="bottom"/>
          </w:tcPr>
          <w:p>
            <w:pPr>
              <w:spacing w:after="0"/>
              <w:rPr>
                <w:sz w:val="21"/>
                <w:szCs w:val="21"/>
                <w:color w:val="auto"/>
              </w:rPr>
            </w:pPr>
          </w:p>
        </w:tc>
        <w:tc>
          <w:tcPr>
            <w:tcW w:w="3560" w:type="dxa"/>
            <w:vAlign w:val="bottom"/>
            <w:gridSpan w:val="33"/>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Securities Purchase Agreement, dated June 26,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6/28/2017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Borders>
              <w:top w:val="single" w:sz="8" w:color="0000FF"/>
            </w:tcBorders>
            <w:gridSpan w:val="28"/>
          </w:tcPr>
          <w:p>
            <w:pPr>
              <w:spacing w:after="0" w:line="196" w:lineRule="exact"/>
              <w:rPr>
                <w:rFonts w:ascii="Arial" w:cs="Arial" w:eastAsia="Arial" w:hAnsi="Arial"/>
                <w:sz w:val="18"/>
                <w:szCs w:val="18"/>
                <w:color w:val="0000FF"/>
                <w:w w:val="96"/>
              </w:rPr>
            </w:pPr>
            <w:hyperlink r:id="rId36">
              <w:r>
                <w:rPr>
                  <w:rFonts w:ascii="Arial" w:cs="Arial" w:eastAsia="Arial" w:hAnsi="Arial"/>
                  <w:sz w:val="18"/>
                  <w:szCs w:val="18"/>
                  <w:color w:val="0000FF"/>
                  <w:w w:val="96"/>
                </w:rPr>
                <w:t>2017, by and among the Registrant and the</w:t>
              </w:r>
            </w:hyperlink>
          </w:p>
        </w:tc>
        <w:tc>
          <w:tcPr>
            <w:tcW w:w="20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Investors named therein</w:t>
              </w:r>
            </w:hyperlink>
          </w:p>
        </w:tc>
        <w:tc>
          <w:tcPr>
            <w:tcW w:w="46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6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10.29</w:t>
            </w:r>
          </w:p>
        </w:tc>
        <w:tc>
          <w:tcPr>
            <w:tcW w:w="260" w:type="dxa"/>
            <w:vAlign w:val="bottom"/>
          </w:tcPr>
          <w:p>
            <w:pPr>
              <w:spacing w:after="0"/>
              <w:rPr>
                <w:sz w:val="24"/>
                <w:szCs w:val="24"/>
                <w:color w:val="auto"/>
              </w:rPr>
            </w:pPr>
          </w:p>
        </w:tc>
        <w:tc>
          <w:tcPr>
            <w:tcW w:w="3560" w:type="dxa"/>
            <w:vAlign w:val="bottom"/>
            <w:gridSpan w:val="33"/>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Securities Purchase Agreement, dated June 26,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10.2</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6/28/2017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2017, by and between the Registrant and</w:t>
              </w:r>
            </w:hyperlink>
          </w:p>
        </w:tc>
        <w:tc>
          <w:tcPr>
            <w:tcW w:w="20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Timothy Springer, Ph.D.</w:t>
              </w:r>
            </w:hyperlink>
          </w:p>
        </w:tc>
        <w:tc>
          <w:tcPr>
            <w:tcW w:w="64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5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66"/>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10.31†</w:t>
            </w:r>
          </w:p>
        </w:tc>
        <w:tc>
          <w:tcPr>
            <w:tcW w:w="3480" w:type="dxa"/>
            <w:vAlign w:val="bottom"/>
            <w:tcBorders>
              <w:bottom w:val="single" w:sz="8" w:color="0000FF"/>
            </w:tcBorders>
            <w:gridSpan w:val="32"/>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Amended &amp; Restated License Agreement, dated</w:t>
              </w:r>
            </w:hyperlink>
          </w:p>
        </w:tc>
        <w:tc>
          <w:tcPr>
            <w:tcW w:w="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10.6</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8/11/2017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as of May 31, 2017, by and between the</w:t>
              </w:r>
            </w:hyperlink>
          </w:p>
        </w:tc>
        <w:tc>
          <w:tcPr>
            <w:tcW w:w="68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Borders>
              <w:bottom w:val="single" w:sz="8" w:color="0000FF"/>
            </w:tcBorders>
            <w:gridSpan w:val="11"/>
          </w:tcPr>
          <w:p>
            <w:pPr>
              <w:spacing w:after="0" w:line="196" w:lineRule="exact"/>
              <w:rPr>
                <w:rFonts w:ascii="Arial" w:cs="Arial" w:eastAsia="Arial" w:hAnsi="Arial"/>
                <w:sz w:val="18"/>
                <w:szCs w:val="18"/>
                <w:color w:val="0000FF"/>
                <w:w w:val="87"/>
              </w:rPr>
            </w:pPr>
            <w:hyperlink r:id="rId41">
              <w:r>
                <w:rPr>
                  <w:rFonts w:ascii="Arial" w:cs="Arial" w:eastAsia="Arial" w:hAnsi="Arial"/>
                  <w:sz w:val="18"/>
                  <w:szCs w:val="18"/>
                  <w:color w:val="0000FF"/>
                  <w:w w:val="87"/>
                </w:rPr>
                <w:t>Registrant and Shenyang Sunshine</w:t>
              </w:r>
            </w:hyperlink>
          </w:p>
        </w:tc>
        <w:tc>
          <w:tcPr>
            <w:tcW w:w="1060" w:type="dxa"/>
            <w:vAlign w:val="bottom"/>
            <w:gridSpan w:val="2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3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Pharmaceutical Co., Ltd.</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5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66"/>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10.32†</w:t>
            </w:r>
          </w:p>
        </w:tc>
        <w:tc>
          <w:tcPr>
            <w:tcW w:w="3560" w:type="dxa"/>
            <w:vAlign w:val="bottom"/>
            <w:gridSpan w:val="33"/>
          </w:tcPr>
          <w:p>
            <w:pPr>
              <w:spacing w:after="0"/>
              <w:rPr>
                <w:rFonts w:ascii="Arial" w:cs="Arial" w:eastAsia="Arial" w:hAnsi="Arial"/>
                <w:sz w:val="18"/>
                <w:szCs w:val="18"/>
                <w:color w:val="0000FF"/>
                <w:w w:val="96"/>
              </w:rPr>
            </w:pPr>
            <w:hyperlink r:id="rId41">
              <w:r>
                <w:rPr>
                  <w:rFonts w:ascii="Arial" w:cs="Arial" w:eastAsia="Arial" w:hAnsi="Arial"/>
                  <w:sz w:val="18"/>
                  <w:szCs w:val="18"/>
                  <w:color w:val="0000FF"/>
                  <w:w w:val="96"/>
                </w:rPr>
                <w:t>Letter Agreement, dated June 6, 2017, by and</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10.7</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8/11/2017</w:t>
            </w: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tcBorders>
              <w:bottom w:val="single" w:sz="8" w:color="0000FF"/>
            </w:tcBorders>
            <w:gridSpan w:val="30"/>
          </w:tcPr>
          <w:p>
            <w:pPr>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between the Registrant and Spark Therapeutics,</w:t>
              </w:r>
            </w:hyperlink>
          </w:p>
        </w:tc>
        <w:tc>
          <w:tcPr>
            <w:tcW w:w="1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3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Inc.</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10.33</w:t>
            </w:r>
          </w:p>
        </w:tc>
        <w:tc>
          <w:tcPr>
            <w:tcW w:w="260" w:type="dxa"/>
            <w:vAlign w:val="bottom"/>
          </w:tcPr>
          <w:p>
            <w:pPr>
              <w:spacing w:after="0"/>
              <w:rPr>
                <w:sz w:val="21"/>
                <w:szCs w:val="21"/>
                <w:color w:val="auto"/>
              </w:rPr>
            </w:pPr>
          </w:p>
        </w:tc>
        <w:tc>
          <w:tcPr>
            <w:tcW w:w="3460" w:type="dxa"/>
            <w:vAlign w:val="bottom"/>
            <w:tcBorders>
              <w:bottom w:val="single" w:sz="8" w:color="0000FF"/>
            </w:tcBorders>
            <w:gridSpan w:val="31"/>
          </w:tcPr>
          <w:p>
            <w:pPr>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Loan and Security Agreement, dated September</w:t>
              </w:r>
            </w:hyperlink>
          </w:p>
        </w:tc>
        <w:tc>
          <w:tcPr>
            <w:tcW w:w="100" w:type="dxa"/>
            <w:vAlign w:val="bottom"/>
            <w:gridSpan w:val="2"/>
          </w:tcPr>
          <w:p>
            <w:pPr>
              <w:spacing w:after="0"/>
              <w:rPr>
                <w:sz w:val="21"/>
                <w:szCs w:val="21"/>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9/13/2017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12, 2017, by and between the Registrant and</w:t>
              </w:r>
            </w:hyperlink>
          </w:p>
        </w:tc>
        <w:tc>
          <w:tcPr>
            <w:tcW w:w="36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Silicon Valley Bank</w:t>
              </w:r>
            </w:hyperlink>
          </w:p>
        </w:tc>
        <w:tc>
          <w:tcPr>
            <w:tcW w:w="2120" w:type="dxa"/>
            <w:vAlign w:val="bottom"/>
            <w:gridSpan w:val="28"/>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10.34</w:t>
            </w:r>
          </w:p>
        </w:tc>
        <w:tc>
          <w:tcPr>
            <w:tcW w:w="260" w:type="dxa"/>
            <w:vAlign w:val="bottom"/>
          </w:tcPr>
          <w:p>
            <w:pPr>
              <w:spacing w:after="0"/>
              <w:rPr>
                <w:sz w:val="21"/>
                <w:szCs w:val="21"/>
                <w:color w:val="auto"/>
              </w:rPr>
            </w:pPr>
          </w:p>
        </w:tc>
        <w:tc>
          <w:tcPr>
            <w:tcW w:w="3160" w:type="dxa"/>
            <w:vAlign w:val="bottom"/>
            <w:tcBorders>
              <w:bottom w:val="single" w:sz="8" w:color="0000FF"/>
            </w:tcBorders>
            <w:gridSpan w:val="22"/>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Employment Agreement, dated October 26,</w:t>
              </w:r>
            </w:hyperlink>
          </w:p>
        </w:tc>
        <w:tc>
          <w:tcPr>
            <w:tcW w:w="400" w:type="dxa"/>
            <w:vAlign w:val="bottom"/>
            <w:gridSpan w:val="11"/>
          </w:tcPr>
          <w:p>
            <w:pPr>
              <w:spacing w:after="0"/>
              <w:rPr>
                <w:sz w:val="21"/>
                <w:szCs w:val="21"/>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88"/>
              </w:rPr>
              <w:t>10/26/2017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Borders>
              <w:bottom w:val="single" w:sz="8" w:color="0000FF"/>
            </w:tcBorders>
            <w:gridSpan w:val="26"/>
          </w:tcPr>
          <w:p>
            <w:pPr>
              <w:spacing w:after="0" w:line="19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2017, by and between the Registrant and John</w:t>
              </w:r>
            </w:hyperlink>
          </w:p>
        </w:tc>
        <w:tc>
          <w:tcPr>
            <w:tcW w:w="2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3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H. Leaman, M.D.</w:t>
              </w:r>
            </w:hyperlink>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gridSpan w:val="1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10.35</w:t>
            </w:r>
          </w:p>
        </w:tc>
        <w:tc>
          <w:tcPr>
            <w:tcW w:w="260" w:type="dxa"/>
            <w:vAlign w:val="bottom"/>
          </w:tcPr>
          <w:p>
            <w:pPr>
              <w:spacing w:after="0"/>
              <w:rPr>
                <w:sz w:val="21"/>
                <w:szCs w:val="21"/>
                <w:color w:val="auto"/>
              </w:rPr>
            </w:pPr>
          </w:p>
        </w:tc>
        <w:tc>
          <w:tcPr>
            <w:tcW w:w="3560" w:type="dxa"/>
            <w:vAlign w:val="bottom"/>
            <w:gridSpan w:val="33"/>
          </w:tcPr>
          <w:p>
            <w:pPr>
              <w:spacing w:after="0"/>
              <w:rPr>
                <w:rFonts w:ascii="Arial" w:cs="Arial" w:eastAsia="Arial" w:hAnsi="Arial"/>
                <w:sz w:val="18"/>
                <w:szCs w:val="18"/>
                <w:color w:val="0000FF"/>
              </w:rPr>
            </w:pPr>
            <w:hyperlink r:id="rId44">
              <w:r>
                <w:rPr>
                  <w:rFonts w:ascii="Arial" w:cs="Arial" w:eastAsia="Arial" w:hAnsi="Arial"/>
                  <w:sz w:val="18"/>
                  <w:szCs w:val="18"/>
                  <w:color w:val="0000FF"/>
                </w:rPr>
                <w:t>Employment Agreement, dated October 26,</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80" w:type="dxa"/>
            <w:vAlign w:val="bottom"/>
          </w:tcPr>
          <w:p>
            <w:pPr>
              <w:ind w:left="360"/>
              <w:spacing w:after="0"/>
              <w:rPr>
                <w:sz w:val="20"/>
                <w:szCs w:val="20"/>
                <w:color w:val="auto"/>
              </w:rPr>
            </w:pPr>
            <w:r>
              <w:rPr>
                <w:rFonts w:ascii="Arial" w:cs="Arial" w:eastAsia="Arial" w:hAnsi="Arial"/>
                <w:sz w:val="18"/>
                <w:szCs w:val="18"/>
                <w:color w:val="auto"/>
              </w:rPr>
              <w:t>10.3</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11/7/2017</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tcBorders>
              <w:top w:val="single" w:sz="8" w:color="0000FF"/>
            </w:tcBorders>
            <w:gridSpan w:val="21"/>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2017, by and between the Registrant and</w:t>
              </w:r>
            </w:hyperlink>
          </w:p>
        </w:tc>
        <w:tc>
          <w:tcPr>
            <w:tcW w:w="42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Stephen Smolinski</w:t>
              </w:r>
            </w:hyperlink>
          </w:p>
        </w:tc>
        <w:tc>
          <w:tcPr>
            <w:tcW w:w="64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60" w:type="dxa"/>
            <w:vAlign w:val="bottom"/>
            <w:gridSpan w:val="19"/>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10.4</w:t>
            </w:r>
          </w:p>
        </w:tc>
        <w:tc>
          <w:tcPr>
            <w:tcW w:w="260" w:type="dxa"/>
            <w:vAlign w:val="bottom"/>
          </w:tcPr>
          <w:p>
            <w:pPr>
              <w:spacing w:after="0"/>
              <w:rPr>
                <w:sz w:val="21"/>
                <w:szCs w:val="21"/>
                <w:color w:val="auto"/>
              </w:rPr>
            </w:pPr>
          </w:p>
        </w:tc>
        <w:tc>
          <w:tcPr>
            <w:tcW w:w="3560" w:type="dxa"/>
            <w:vAlign w:val="bottom"/>
            <w:gridSpan w:val="33"/>
          </w:tcPr>
          <w:p>
            <w:pPr>
              <w:spacing w:after="0"/>
              <w:rPr>
                <w:rFonts w:ascii="Arial" w:cs="Arial" w:eastAsia="Arial" w:hAnsi="Arial"/>
                <w:sz w:val="18"/>
                <w:szCs w:val="18"/>
                <w:color w:val="0000FF"/>
                <w:w w:val="98"/>
              </w:rPr>
            </w:pPr>
            <w:hyperlink r:id="rId45">
              <w:r>
                <w:rPr>
                  <w:rFonts w:ascii="Arial" w:cs="Arial" w:eastAsia="Arial" w:hAnsi="Arial"/>
                  <w:sz w:val="18"/>
                  <w:szCs w:val="18"/>
                  <w:color w:val="0000FF"/>
                  <w:w w:val="98"/>
                </w:rPr>
                <w:t>2008 Stock Incentive Plan and form of award</w:t>
              </w:r>
            </w:hyperlink>
          </w:p>
        </w:tc>
        <w:tc>
          <w:tcPr>
            <w:tcW w:w="920" w:type="dxa"/>
            <w:vAlign w:val="bottom"/>
          </w:tcPr>
          <w:p>
            <w:pPr>
              <w:ind w:left="100"/>
              <w:spacing w:after="0"/>
              <w:rPr>
                <w:sz w:val="20"/>
                <w:szCs w:val="20"/>
                <w:color w:val="auto"/>
              </w:rPr>
            </w:pPr>
            <w:r>
              <w:rPr>
                <w:rFonts w:ascii="Arial" w:cs="Arial" w:eastAsia="Arial" w:hAnsi="Arial"/>
                <w:sz w:val="18"/>
                <w:szCs w:val="18"/>
                <w:color w:val="auto"/>
              </w:rPr>
              <w:t>S-1/A</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80" w:type="dxa"/>
            <w:vAlign w:val="bottom"/>
          </w:tcPr>
          <w:p>
            <w:pPr>
              <w:ind w:left="360"/>
              <w:spacing w:after="0"/>
              <w:rPr>
                <w:sz w:val="20"/>
                <w:szCs w:val="20"/>
                <w:color w:val="auto"/>
              </w:rPr>
            </w:pPr>
            <w:r>
              <w:rPr>
                <w:rFonts w:ascii="Arial" w:cs="Arial" w:eastAsia="Arial" w:hAnsi="Arial"/>
                <w:sz w:val="18"/>
                <w:szCs w:val="18"/>
                <w:color w:val="auto"/>
              </w:rPr>
              <w:t>10.1</w:t>
            </w:r>
          </w:p>
        </w:tc>
        <w:tc>
          <w:tcPr>
            <w:tcW w:w="1120" w:type="dxa"/>
            <w:vAlign w:val="bottom"/>
          </w:tcPr>
          <w:p>
            <w:pPr>
              <w:ind w:left="300"/>
              <w:spacing w:after="0"/>
              <w:rPr>
                <w:sz w:val="20"/>
                <w:szCs w:val="20"/>
                <w:color w:val="auto"/>
              </w:rPr>
            </w:pPr>
            <w:r>
              <w:rPr>
                <w:rFonts w:ascii="Arial" w:cs="Arial" w:eastAsia="Arial" w:hAnsi="Arial"/>
                <w:sz w:val="18"/>
                <w:szCs w:val="18"/>
                <w:color w:val="auto"/>
                <w:w w:val="99"/>
              </w:rPr>
              <w:t>6/20/2016</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agreements thereunder</w:t>
              </w:r>
            </w:hyperlink>
          </w:p>
        </w:tc>
        <w:tc>
          <w:tcPr>
            <w:tcW w:w="28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15"/>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91</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jc w:val="center"/>
              <w:ind w:left="30"/>
              <w:spacing w:after="0"/>
              <w:rPr>
                <w:sz w:val="20"/>
                <w:szCs w:val="20"/>
                <w:color w:val="auto"/>
              </w:rPr>
            </w:pPr>
            <w:r>
              <w:rPr>
                <w:rFonts w:ascii="Arial" w:cs="Arial" w:eastAsia="Arial" w:hAnsi="Arial"/>
                <w:sz w:val="18"/>
                <w:szCs w:val="18"/>
                <w:color w:val="auto"/>
                <w:w w:val="91"/>
              </w:rPr>
              <w:t>21.1</w:t>
            </w:r>
          </w:p>
        </w:tc>
        <w:tc>
          <w:tcPr>
            <w:tcW w:w="260" w:type="dxa"/>
            <w:vAlign w:val="bottom"/>
          </w:tcPr>
          <w:p>
            <w:pPr>
              <w:spacing w:after="0"/>
              <w:rPr>
                <w:sz w:val="24"/>
                <w:szCs w:val="24"/>
                <w:color w:val="auto"/>
              </w:rPr>
            </w:pPr>
          </w:p>
        </w:tc>
        <w:tc>
          <w:tcPr>
            <w:tcW w:w="3560" w:type="dxa"/>
            <w:vAlign w:val="bottom"/>
            <w:gridSpan w:val="10"/>
          </w:tcPr>
          <w:p>
            <w:pPr>
              <w:spacing w:after="0"/>
              <w:rPr>
                <w:rFonts w:ascii="Arial" w:cs="Arial" w:eastAsia="Arial" w:hAnsi="Arial"/>
                <w:sz w:val="18"/>
                <w:szCs w:val="18"/>
                <w:color w:val="0000FF"/>
              </w:rPr>
            </w:pPr>
            <w:hyperlink r:id="rId35">
              <w:r>
                <w:rPr>
                  <w:rFonts w:ascii="Arial" w:cs="Arial" w:eastAsia="Arial" w:hAnsi="Arial"/>
                  <w:sz w:val="18"/>
                  <w:szCs w:val="18"/>
                  <w:color w:val="0000FF"/>
                </w:rPr>
                <w:t>Subsidiaries of Selecta Biosciences, Inc.</w:t>
              </w:r>
            </w:hyperlink>
          </w:p>
        </w:tc>
        <w:tc>
          <w:tcPr>
            <w:tcW w:w="740" w:type="dxa"/>
            <w:vAlign w:val="bottom"/>
          </w:tcPr>
          <w:p>
            <w:pPr>
              <w:ind w:left="100"/>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21.1</w:t>
            </w:r>
          </w:p>
        </w:tc>
        <w:tc>
          <w:tcPr>
            <w:tcW w:w="2820" w:type="dxa"/>
            <w:vAlign w:val="bottom"/>
          </w:tcPr>
          <w:p>
            <w:pPr>
              <w:jc w:val="right"/>
              <w:ind w:right="1610"/>
              <w:spacing w:after="0"/>
              <w:rPr>
                <w:sz w:val="20"/>
                <w:szCs w:val="20"/>
                <w:color w:val="auto"/>
              </w:rPr>
            </w:pPr>
            <w:r>
              <w:rPr>
                <w:rFonts w:ascii="Arial" w:cs="Arial" w:eastAsia="Arial" w:hAnsi="Arial"/>
                <w:sz w:val="18"/>
                <w:szCs w:val="18"/>
                <w:color w:val="auto"/>
              </w:rPr>
              <w:t>5/24/2016</w:t>
            </w: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23.1</w:t>
            </w:r>
          </w:p>
        </w:tc>
        <w:tc>
          <w:tcPr>
            <w:tcW w:w="260" w:type="dxa"/>
            <w:vAlign w:val="bottom"/>
          </w:tcPr>
          <w:p>
            <w:pPr>
              <w:spacing w:after="0"/>
              <w:rPr>
                <w:sz w:val="21"/>
                <w:szCs w:val="21"/>
                <w:color w:val="auto"/>
              </w:rPr>
            </w:pPr>
          </w:p>
        </w:tc>
        <w:tc>
          <w:tcPr>
            <w:tcW w:w="32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31">
              <w:r>
                <w:rPr>
                  <w:rFonts w:ascii="Arial" w:cs="Arial" w:eastAsia="Arial" w:hAnsi="Arial"/>
                  <w:sz w:val="18"/>
                  <w:szCs w:val="18"/>
                  <w:color w:val="0000FF"/>
                  <w:w w:val="90"/>
                </w:rPr>
                <w:t>Consent of Ernst &amp; Young LLP, Independent</w:t>
              </w:r>
            </w:hyperlink>
          </w:p>
        </w:tc>
        <w:tc>
          <w:tcPr>
            <w:tcW w:w="32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10"/>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Registered Public Accounting Firm</w:t>
              </w:r>
            </w:hyperlink>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31.1</w:t>
            </w:r>
          </w:p>
        </w:tc>
        <w:tc>
          <w:tcPr>
            <w:tcW w:w="260" w:type="dxa"/>
            <w:vAlign w:val="bottom"/>
          </w:tcPr>
          <w:p>
            <w:pPr>
              <w:spacing w:after="0"/>
              <w:rPr>
                <w:sz w:val="21"/>
                <w:szCs w:val="21"/>
                <w:color w:val="auto"/>
              </w:rPr>
            </w:pPr>
          </w:p>
        </w:tc>
        <w:tc>
          <w:tcPr>
            <w:tcW w:w="30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32">
              <w:r>
                <w:rPr>
                  <w:rFonts w:ascii="Arial" w:cs="Arial" w:eastAsia="Arial" w:hAnsi="Arial"/>
                  <w:sz w:val="18"/>
                  <w:szCs w:val="18"/>
                  <w:color w:val="0000FF"/>
                  <w:w w:val="91"/>
                </w:rPr>
                <w:t>Rule 13a-14(a) / 15d-14(a) Certification of</w:t>
              </w:r>
            </w:hyperlink>
          </w:p>
        </w:tc>
        <w:tc>
          <w:tcPr>
            <w:tcW w:w="48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132">
              <w:r>
                <w:rPr>
                  <w:rFonts w:ascii="Arial" w:cs="Arial" w:eastAsia="Arial" w:hAnsi="Arial"/>
                  <w:sz w:val="18"/>
                  <w:szCs w:val="18"/>
                  <w:color w:val="0000FF"/>
                  <w:w w:val="92"/>
                </w:rPr>
                <w:t>Chief Executive Officer</w:t>
              </w:r>
            </w:hyperlink>
          </w:p>
        </w:tc>
        <w:tc>
          <w:tcPr>
            <w:tcW w:w="18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31.2</w:t>
            </w:r>
          </w:p>
        </w:tc>
        <w:tc>
          <w:tcPr>
            <w:tcW w:w="260" w:type="dxa"/>
            <w:vAlign w:val="bottom"/>
          </w:tcPr>
          <w:p>
            <w:pPr>
              <w:spacing w:after="0"/>
              <w:rPr>
                <w:sz w:val="21"/>
                <w:szCs w:val="21"/>
                <w:color w:val="auto"/>
              </w:rPr>
            </w:pPr>
          </w:p>
        </w:tc>
        <w:tc>
          <w:tcPr>
            <w:tcW w:w="30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33">
              <w:r>
                <w:rPr>
                  <w:rFonts w:ascii="Arial" w:cs="Arial" w:eastAsia="Arial" w:hAnsi="Arial"/>
                  <w:sz w:val="18"/>
                  <w:szCs w:val="18"/>
                  <w:color w:val="0000FF"/>
                  <w:w w:val="91"/>
                </w:rPr>
                <w:t>Rule 13a-14(a) / 15d-14(a) Certification of</w:t>
              </w:r>
            </w:hyperlink>
          </w:p>
        </w:tc>
        <w:tc>
          <w:tcPr>
            <w:tcW w:w="48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w:anchor="page133">
              <w:r>
                <w:rPr>
                  <w:rFonts w:ascii="Arial" w:cs="Arial" w:eastAsia="Arial" w:hAnsi="Arial"/>
                  <w:sz w:val="18"/>
                  <w:szCs w:val="18"/>
                  <w:color w:val="0000FF"/>
                  <w:w w:val="93"/>
                </w:rPr>
                <w:t>Chief Financial Officer</w:t>
              </w:r>
            </w:hyperlink>
          </w:p>
        </w:tc>
        <w:tc>
          <w:tcPr>
            <w:tcW w:w="188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32.1</w:t>
            </w:r>
          </w:p>
        </w:tc>
        <w:tc>
          <w:tcPr>
            <w:tcW w:w="260" w:type="dxa"/>
            <w:vAlign w:val="bottom"/>
          </w:tcPr>
          <w:p>
            <w:pPr>
              <w:spacing w:after="0"/>
              <w:rPr>
                <w:sz w:val="21"/>
                <w:szCs w:val="21"/>
                <w:color w:val="auto"/>
              </w:rPr>
            </w:pPr>
          </w:p>
        </w:tc>
        <w:tc>
          <w:tcPr>
            <w:tcW w:w="330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34">
              <w:r>
                <w:rPr>
                  <w:rFonts w:ascii="Arial" w:cs="Arial" w:eastAsia="Arial" w:hAnsi="Arial"/>
                  <w:sz w:val="18"/>
                  <w:szCs w:val="18"/>
                  <w:color w:val="0000FF"/>
                  <w:w w:val="92"/>
                </w:rPr>
                <w:t>Section 1350 Certification of Chief Executive</w:t>
              </w:r>
            </w:hyperlink>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bottom w:val="single" w:sz="8" w:color="0000FF"/>
            </w:tcBorders>
            <w:gridSpan w:val="2"/>
          </w:tcPr>
          <w:p>
            <w:pPr>
              <w:spacing w:after="0" w:line="196" w:lineRule="exact"/>
              <w:rPr>
                <w:rFonts w:ascii="Arial" w:cs="Arial" w:eastAsia="Arial" w:hAnsi="Arial"/>
                <w:sz w:val="18"/>
                <w:szCs w:val="18"/>
                <w:color w:val="0000FF"/>
                <w:w w:val="97"/>
              </w:rPr>
            </w:pPr>
            <w:hyperlink w:anchor="page134">
              <w:r>
                <w:rPr>
                  <w:rFonts w:ascii="Arial" w:cs="Arial" w:eastAsia="Arial" w:hAnsi="Arial"/>
                  <w:sz w:val="18"/>
                  <w:szCs w:val="18"/>
                  <w:color w:val="0000FF"/>
                  <w:w w:val="97"/>
                </w:rPr>
                <w:t>Officer</w:t>
              </w:r>
            </w:hyperlink>
          </w:p>
        </w:tc>
        <w:tc>
          <w:tcPr>
            <w:tcW w:w="302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5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32.2</w:t>
            </w:r>
          </w:p>
        </w:tc>
        <w:tc>
          <w:tcPr>
            <w:tcW w:w="260" w:type="dxa"/>
            <w:vAlign w:val="bottom"/>
          </w:tcPr>
          <w:p>
            <w:pPr>
              <w:spacing w:after="0"/>
              <w:rPr>
                <w:sz w:val="21"/>
                <w:szCs w:val="21"/>
                <w:color w:val="auto"/>
              </w:rPr>
            </w:pPr>
          </w:p>
        </w:tc>
        <w:tc>
          <w:tcPr>
            <w:tcW w:w="3560" w:type="dxa"/>
            <w:vAlign w:val="bottom"/>
            <w:gridSpan w:val="10"/>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Section 1350 Certification of Chief Financial</w:t>
              </w:r>
            </w:hyperlink>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135">
              <w:r>
                <w:rPr>
                  <w:rFonts w:ascii="Arial" w:cs="Arial" w:eastAsia="Arial" w:hAnsi="Arial"/>
                  <w:sz w:val="18"/>
                  <w:szCs w:val="18"/>
                  <w:color w:val="0000FF"/>
                  <w:w w:val="94"/>
                </w:rPr>
                <w:t>Officer</w:t>
              </w:r>
            </w:hyperlink>
          </w:p>
        </w:tc>
        <w:tc>
          <w:tcPr>
            <w:tcW w:w="2720" w:type="dxa"/>
            <w:vAlign w:val="bottom"/>
            <w:tcBorders>
              <w:top w:val="single" w:sz="8" w:color="0000FF"/>
            </w:tcBorders>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91"/>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101.INS</w:t>
            </w:r>
          </w:p>
        </w:tc>
        <w:tc>
          <w:tcPr>
            <w:tcW w:w="35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101.SCH</w:t>
            </w:r>
          </w:p>
        </w:tc>
        <w:tc>
          <w:tcPr>
            <w:tcW w:w="3560" w:type="dxa"/>
            <w:vAlign w:val="bottom"/>
            <w:gridSpan w:val="10"/>
          </w:tcPr>
          <w:p>
            <w:pPr>
              <w:spacing w:after="0"/>
              <w:rPr>
                <w:sz w:val="20"/>
                <w:szCs w:val="20"/>
                <w:color w:val="auto"/>
              </w:rPr>
            </w:pPr>
            <w:r>
              <w:rPr>
                <w:rFonts w:ascii="Arial" w:cs="Arial" w:eastAsia="Arial" w:hAnsi="Arial"/>
                <w:sz w:val="18"/>
                <w:szCs w:val="18"/>
                <w:color w:val="auto"/>
                <w:w w:val="93"/>
              </w:rPr>
              <w:t>XBRL Taxonomy Extension Schema Document</w:t>
            </w:r>
          </w:p>
        </w:tc>
        <w:tc>
          <w:tcPr>
            <w:tcW w:w="7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101.CAL</w:t>
            </w:r>
          </w:p>
        </w:tc>
        <w:tc>
          <w:tcPr>
            <w:tcW w:w="35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w:t>
            </w: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56"/>
        </w:trPr>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101.DEF</w:t>
            </w:r>
          </w:p>
        </w:tc>
        <w:tc>
          <w:tcPr>
            <w:tcW w:w="3560" w:type="dxa"/>
            <w:vAlign w:val="bottom"/>
            <w:gridSpan w:val="10"/>
          </w:tcPr>
          <w:p>
            <w:pPr>
              <w:spacing w:after="0"/>
              <w:rPr>
                <w:sz w:val="20"/>
                <w:szCs w:val="20"/>
                <w:color w:val="auto"/>
              </w:rPr>
            </w:pPr>
            <w:r>
              <w:rPr>
                <w:rFonts w:ascii="Arial" w:cs="Arial" w:eastAsia="Arial" w:hAnsi="Arial"/>
                <w:sz w:val="18"/>
                <w:szCs w:val="18"/>
                <w:color w:val="auto"/>
              </w:rPr>
              <w:t>XBRL Taxonomy Extension Definition</w:t>
            </w: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56"/>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101.LAB</w:t>
            </w:r>
          </w:p>
        </w:tc>
        <w:tc>
          <w:tcPr>
            <w:tcW w:w="35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56"/>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101.PRE</w:t>
            </w:r>
          </w:p>
        </w:tc>
        <w:tc>
          <w:tcPr>
            <w:tcW w:w="35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w:t>
            </w:r>
          </w:p>
        </w:tc>
        <w:tc>
          <w:tcPr>
            <w:tcW w:w="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40"/>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Indicates management contract or compensatory plan.</w:t>
      </w:r>
    </w:p>
    <w:p>
      <w:pPr>
        <w:spacing w:after="0" w:line="225" w:lineRule="exact"/>
        <w:rPr>
          <w:sz w:val="20"/>
          <w:szCs w:val="20"/>
          <w:color w:val="auto"/>
        </w:rPr>
      </w:pPr>
    </w:p>
    <w:p>
      <w:pPr>
        <w:ind w:left="1140" w:firstLine="2"/>
        <w:spacing w:after="0" w:line="277" w:lineRule="auto"/>
        <w:tabs>
          <w:tab w:leader="none" w:pos="13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24h-2 under the Securities Exchange Act of 1934.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08"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The Stockholders and the Board of Directors of Selecta Biosciences, Inc.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audited the accompanying consolidated balance sheets of Selecta Biosciences, Inc. and subsidiaries (the Company) as of December 31, 2017 and 2016, and the related consolidated statements of operations and comprehensive loss, changes in stockholders’ equity (deficit),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March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20"/>
        <w:spacing w:after="0"/>
        <w:tabs>
          <w:tab w:leader="none" w:pos="1036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9300"/>
        <w:spacing w:after="0"/>
        <w:tabs>
          <w:tab w:leader="none" w:pos="106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Current assets: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70,622</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58,656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25,485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86,816</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and other deposits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16"/>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8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3,921</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Loans payable, current portion</w:t>
            </w:r>
          </w:p>
        </w:tc>
        <w:tc>
          <w:tcPr>
            <w:tcW w:w="3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10,973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13,706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rent and lease incentive</w:t>
            </w: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payable, net of current portion</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3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15,919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12,439</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34,344</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(Notes 8 and 13)</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December 31, 2017 and December 31, 2016,</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2"/>
              </w:rPr>
              <w:t>Common stock, $0.0001 par value; 200,000,000 shares authorized; 22,343,254 and 18,438,742 shares issued and outstanding as of December 31, 2017</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and December 31, 2016, respectively</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273,128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211,125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Receivable from stock option exercises</w:t>
            </w:r>
          </w:p>
        </w:tc>
        <w:tc>
          <w:tcPr>
            <w:tcW w:w="3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(151,576)</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51,814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54,957</w:t>
            </w:r>
          </w:p>
        </w:tc>
        <w:tc>
          <w:tcPr>
            <w:tcW w:w="0" w:type="dxa"/>
            <w:vAlign w:val="bottom"/>
          </w:tcPr>
          <w:p>
            <w:pPr>
              <w:spacing w:after="0"/>
              <w:rPr>
                <w:sz w:val="1"/>
                <w:szCs w:val="1"/>
                <w:color w:val="auto"/>
              </w:rPr>
            </w:pPr>
          </w:p>
        </w:tc>
      </w:tr>
      <w:tr>
        <w:trPr>
          <w:trHeight w:val="216"/>
        </w:trPr>
        <w:tc>
          <w:tcPr>
            <w:tcW w:w="880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101,100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83"/>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8,083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6,011</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45,165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29,702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22,980</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18,826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63,991</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42,753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31,315</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(63,784)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(25,304)</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(25,174)</w:t>
            </w:r>
          </w:p>
        </w:tc>
        <w:tc>
          <w:tcPr>
            <w:tcW w:w="0" w:type="dxa"/>
            <w:vAlign w:val="bottom"/>
          </w:tcPr>
          <w:p>
            <w:pPr>
              <w:spacing w:after="0"/>
              <w:rPr>
                <w:sz w:val="1"/>
                <w:szCs w:val="1"/>
                <w:color w:val="auto"/>
              </w:rPr>
            </w:pP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91"/>
        </w:trPr>
        <w:tc>
          <w:tcPr>
            <w:tcW w:w="7080" w:type="dxa"/>
            <w:vAlign w:val="bottom"/>
          </w:tcPr>
          <w:p>
            <w:pPr>
              <w:ind w:left="280"/>
              <w:spacing w:after="0"/>
              <w:rPr>
                <w:sz w:val="20"/>
                <w:szCs w:val="20"/>
                <w:color w:val="auto"/>
              </w:rPr>
            </w:pPr>
            <w:r>
              <w:rPr>
                <w:rFonts w:ascii="Arial" w:cs="Arial" w:eastAsia="Arial" w:hAnsi="Arial"/>
                <w:sz w:val="14"/>
                <w:szCs w:val="14"/>
                <w:color w:val="auto"/>
              </w:rPr>
              <w:t>Unrealized gain (loss) on securities</w:t>
            </w:r>
          </w:p>
        </w:tc>
        <w:tc>
          <w:tcPr>
            <w:tcW w:w="3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(65,223)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(25,174)</w:t>
            </w:r>
          </w:p>
        </w:tc>
        <w:tc>
          <w:tcPr>
            <w:tcW w:w="0" w:type="dxa"/>
            <w:vAlign w:val="bottom"/>
          </w:tcPr>
          <w:p>
            <w:pPr>
              <w:spacing w:after="0"/>
              <w:rPr>
                <w:sz w:val="1"/>
                <w:szCs w:val="1"/>
                <w:color w:val="auto"/>
              </w:rPr>
            </w:pPr>
          </w:p>
        </w:tc>
      </w:tr>
      <w:tr>
        <w:trPr>
          <w:trHeight w:val="191"/>
        </w:trPr>
        <w:tc>
          <w:tcPr>
            <w:tcW w:w="7080" w:type="dxa"/>
            <w:vAlign w:val="bottom"/>
          </w:tcPr>
          <w:p>
            <w:pPr>
              <w:ind w:left="280"/>
              <w:spacing w:after="0"/>
              <w:rPr>
                <w:sz w:val="20"/>
                <w:szCs w:val="20"/>
                <w:color w:val="auto"/>
              </w:rPr>
            </w:pPr>
            <w:r>
              <w:rPr>
                <w:rFonts w:ascii="Arial" w:cs="Arial" w:eastAsia="Arial" w:hAnsi="Arial"/>
                <w:sz w:val="14"/>
                <w:szCs w:val="14"/>
                <w:color w:val="auto"/>
              </w:rPr>
              <w:t>Accretion of redeemable convertible preferred stock</w:t>
            </w:r>
          </w:p>
        </w:tc>
        <w:tc>
          <w:tcPr>
            <w:tcW w:w="34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(4,566)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(7,335)</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080" w:type="dxa"/>
            <w:vAlign w:val="bottom"/>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(3.20)</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20,425,050</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10,493,939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2,150,422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97" w:name="page98"/>
    <w:bookmarkEnd w:id="9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 w:type="dxa"/>
            <w:vAlign w:val="bottom"/>
          </w:tcPr>
          <w:p>
            <w:pPr>
              <w:spacing w:after="0"/>
              <w:rPr>
                <w:sz w:val="10"/>
                <w:szCs w:val="10"/>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4"/>
              </w:rPr>
              <w:t>Series A</w:t>
            </w:r>
          </w:p>
        </w:tc>
        <w:tc>
          <w:tcPr>
            <w:tcW w:w="10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4"/>
              </w:rPr>
              <w:t>Series B</w:t>
            </w:r>
          </w:p>
        </w:tc>
        <w:tc>
          <w:tcPr>
            <w:tcW w:w="10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4"/>
              </w:rPr>
              <w:t>Series C</w:t>
            </w:r>
          </w:p>
        </w:tc>
        <w:tc>
          <w:tcPr>
            <w:tcW w:w="106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9"/>
              </w:rPr>
              <w:t>Series D</w:t>
            </w:r>
          </w:p>
        </w:tc>
        <w:tc>
          <w:tcPr>
            <w:tcW w:w="10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8"/>
              </w:rPr>
              <w:t>Series SRN</w:t>
            </w:r>
          </w:p>
        </w:tc>
        <w:tc>
          <w:tcPr>
            <w:tcW w:w="106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Series 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10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10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redeemable</w:t>
            </w:r>
          </w:p>
        </w:tc>
        <w:tc>
          <w:tcPr>
            <w:tcW w:w="106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6"/>
              </w:rPr>
              <w:t>redeemable</w:t>
            </w:r>
          </w:p>
        </w:tc>
        <w:tc>
          <w:tcPr>
            <w:tcW w:w="10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106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redeemable</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10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10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convertible</w:t>
            </w:r>
          </w:p>
        </w:tc>
        <w:tc>
          <w:tcPr>
            <w:tcW w:w="106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9"/>
              </w:rPr>
              <w:t>convertible</w:t>
            </w:r>
          </w:p>
        </w:tc>
        <w:tc>
          <w:tcPr>
            <w:tcW w:w="10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106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convertible</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3"/>
          </w:tcPr>
          <w:p>
            <w:pPr>
              <w:ind w:left="40"/>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23"/>
                <w:szCs w:val="23"/>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0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0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0"/>
              </w:rPr>
              <w:t>preferred stock</w:t>
            </w:r>
          </w:p>
        </w:tc>
        <w:tc>
          <w:tcPr>
            <w:tcW w:w="106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preferred stock</w:t>
            </w:r>
          </w:p>
        </w:tc>
        <w:tc>
          <w:tcPr>
            <w:tcW w:w="10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06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0"/>
              </w:rPr>
              <w:t>preferred stock</w:t>
            </w:r>
          </w:p>
        </w:tc>
        <w:tc>
          <w:tcPr>
            <w:tcW w:w="980" w:type="dxa"/>
            <w:vAlign w:val="bottom"/>
            <w:gridSpan w:val="4"/>
          </w:tcPr>
          <w:p>
            <w:pPr>
              <w:ind w:left="14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23"/>
                <w:szCs w:val="23"/>
                <w:color w:val="auto"/>
              </w:rPr>
            </w:pPr>
          </w:p>
        </w:tc>
        <w:tc>
          <w:tcPr>
            <w:tcW w:w="540" w:type="dxa"/>
            <w:vAlign w:val="bottom"/>
            <w:gridSpan w:val="2"/>
          </w:tcPr>
          <w:p>
            <w:pPr>
              <w:spacing w:after="0" w:line="115" w:lineRule="exact"/>
              <w:rPr>
                <w:sz w:val="20"/>
                <w:szCs w:val="20"/>
                <w:color w:val="auto"/>
              </w:rPr>
            </w:pPr>
            <w:r>
              <w:rPr>
                <w:rFonts w:ascii="Arial" w:cs="Arial" w:eastAsia="Arial" w:hAnsi="Arial"/>
                <w:sz w:val="10"/>
                <w:szCs w:val="10"/>
                <w:b w:val="1"/>
                <w:bCs w:val="1"/>
                <w:color w:val="auto"/>
              </w:rPr>
              <w:t>paid</w:t>
            </w:r>
            <w:r>
              <w:rPr>
                <w:rFonts w:ascii="MS PGothic" w:cs="MS PGothic" w:eastAsia="MS PGothic" w:hAnsi="MS PGothic"/>
                <w:sz w:val="10"/>
                <w:szCs w:val="10"/>
                <w:b w:val="1"/>
                <w:bCs w:val="1"/>
                <w:color w:val="auto"/>
              </w:rPr>
              <w:t>‑</w:t>
            </w:r>
            <w:r>
              <w:rPr>
                <w:rFonts w:ascii="Arial" w:cs="Arial" w:eastAsia="Arial" w:hAnsi="Arial"/>
                <w:sz w:val="10"/>
                <w:szCs w:val="10"/>
                <w:b w:val="1"/>
                <w:bCs w:val="1"/>
                <w:color w:val="auto"/>
              </w:rPr>
              <w:t>In</w:t>
            </w:r>
          </w:p>
        </w:tc>
        <w:tc>
          <w:tcPr>
            <w:tcW w:w="100" w:type="dxa"/>
            <w:vAlign w:val="bottom"/>
          </w:tcPr>
          <w:p>
            <w:pPr>
              <w:spacing w:after="0"/>
              <w:rPr>
                <w:sz w:val="23"/>
                <w:szCs w:val="23"/>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b w:val="1"/>
                <w:bCs w:val="1"/>
                <w:color w:val="auto"/>
              </w:rPr>
              <w:t>option</w:t>
            </w:r>
          </w:p>
        </w:tc>
        <w:tc>
          <w:tcPr>
            <w:tcW w:w="700" w:type="dxa"/>
            <w:vAlign w:val="bottom"/>
            <w:gridSpan w:val="3"/>
          </w:tcPr>
          <w:p>
            <w:pPr>
              <w:ind w:left="20"/>
              <w:spacing w:after="0"/>
              <w:rPr>
                <w:sz w:val="20"/>
                <w:szCs w:val="20"/>
                <w:color w:val="auto"/>
              </w:rPr>
            </w:pPr>
            <w:r>
              <w:rPr>
                <w:rFonts w:ascii="Arial" w:cs="Arial" w:eastAsia="Arial" w:hAnsi="Arial"/>
                <w:sz w:val="10"/>
                <w:szCs w:val="10"/>
                <w:b w:val="1"/>
                <w:bCs w:val="1"/>
                <w:color w:val="auto"/>
              </w:rPr>
              <w:t>Accumulated</w:t>
            </w:r>
          </w:p>
        </w:tc>
        <w:tc>
          <w:tcPr>
            <w:tcW w:w="8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4"/>
              </w:rPr>
              <w:t>comprehensive</w:t>
            </w: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w w:val="90"/>
              </w:rPr>
              <w:t>Stockholders’</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restart"/>
          </w:tcPr>
          <w:p>
            <w:pPr>
              <w:jc w:val="right"/>
              <w:ind w:right="151"/>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52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50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Capital</w:t>
            </w:r>
          </w:p>
        </w:tc>
        <w:tc>
          <w:tcPr>
            <w:tcW w:w="620" w:type="dxa"/>
            <w:vAlign w:val="bottom"/>
            <w:gridSpan w:val="3"/>
          </w:tcPr>
          <w:p>
            <w:pPr>
              <w:ind w:left="40"/>
              <w:spacing w:after="0"/>
              <w:rPr>
                <w:sz w:val="20"/>
                <w:szCs w:val="20"/>
                <w:color w:val="auto"/>
              </w:rPr>
            </w:pPr>
            <w:r>
              <w:rPr>
                <w:rFonts w:ascii="Arial" w:cs="Arial" w:eastAsia="Arial" w:hAnsi="Arial"/>
                <w:sz w:val="10"/>
                <w:szCs w:val="10"/>
                <w:b w:val="1"/>
                <w:bCs w:val="1"/>
                <w:color w:val="auto"/>
              </w:rPr>
              <w:t>receivable</w:t>
            </w:r>
          </w:p>
        </w:tc>
        <w:tc>
          <w:tcPr>
            <w:tcW w:w="10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160" w:type="dxa"/>
            <w:vAlign w:val="bottom"/>
          </w:tcPr>
          <w:p>
            <w:pPr>
              <w:spacing w:after="0"/>
              <w:rPr>
                <w:sz w:val="10"/>
                <w:szCs w:val="10"/>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79"/>
              </w:rPr>
              <w:t>loss</w:t>
            </w:r>
          </w:p>
        </w:tc>
        <w:tc>
          <w:tcPr>
            <w:tcW w:w="100" w:type="dxa"/>
            <w:vAlign w:val="bottom"/>
          </w:tcPr>
          <w:p>
            <w:pPr>
              <w:spacing w:after="0"/>
              <w:rPr>
                <w:sz w:val="10"/>
                <w:szCs w:val="10"/>
                <w:color w:val="auto"/>
              </w:rPr>
            </w:pPr>
          </w:p>
        </w:tc>
        <w:tc>
          <w:tcPr>
            <w:tcW w:w="560" w:type="dxa"/>
            <w:vAlign w:val="bottom"/>
          </w:tcPr>
          <w:p>
            <w:pPr>
              <w:jc w:val="right"/>
              <w:ind w:right="111"/>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26"/>
        </w:trPr>
        <w:tc>
          <w:tcPr>
            <w:tcW w:w="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Balance at</w:t>
            </w: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December</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31, 2014</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8"/>
              </w:rPr>
              <w:t>2,589,868</w:t>
            </w: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89"/>
              </w:rPr>
              <w:t>$ 3,493</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98"/>
              </w:rPr>
              <w:t>7,437,325</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87"/>
              </w:rPr>
              <w:t>$ 20,533</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8"/>
              </w:rPr>
              <w:t>5,000,002</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87"/>
              </w:rPr>
              <w:t>$ 19,270</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8"/>
              </w:rPr>
              <w:t>8,099,994</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2"/>
              </w:rPr>
              <w:t>$ 40,570</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98"/>
              </w:rPr>
              <w:t>2,111,109</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87"/>
              </w:rPr>
              <w:t>$ 10,167</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2,123,997</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(83,880)</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(3,876)</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(87,755)</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Vesting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restricted</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7,688</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upon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exercise of</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options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41,714</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86</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86</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89"/>
              </w:rPr>
              <w:t>compensation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expense</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1,125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1,125</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Accretion of</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to</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redemption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value</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151</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915</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908</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2,332</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1,915</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1,114</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(4,881)</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(2,454)</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(7,335)</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Series 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redeemable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convertible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net of</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issuance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costs of</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$213,469</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w w:val="98"/>
              </w:rPr>
              <w:t>8,888,888</w:t>
            </w:r>
          </w:p>
        </w:tc>
        <w:tc>
          <w:tcPr>
            <w:tcW w:w="8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w w:val="84"/>
              </w:rPr>
              <w:t>36,114</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warrants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3,647</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3,647</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Currency</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translation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adjustment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(1,110)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(1,110)</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Net loss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(25,174)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(25,174)</w:t>
            </w:r>
          </w:p>
        </w:tc>
        <w:tc>
          <w:tcPr>
            <w:tcW w:w="0" w:type="dxa"/>
            <w:vAlign w:val="bottom"/>
          </w:tcPr>
          <w:p>
            <w:pPr>
              <w:spacing w:after="0"/>
              <w:rPr>
                <w:sz w:val="1"/>
                <w:szCs w:val="1"/>
                <w:color w:val="auto"/>
              </w:rPr>
            </w:pPr>
          </w:p>
        </w:tc>
      </w:tr>
      <w:tr>
        <w:trPr>
          <w:trHeight w:val="127"/>
        </w:trPr>
        <w:tc>
          <w:tcPr>
            <w:tcW w:w="620" w:type="dxa"/>
            <w:vAlign w:val="bottom"/>
          </w:tcPr>
          <w:p>
            <w:pPr>
              <w:ind w:left="40"/>
              <w:spacing w:after="0"/>
              <w:rPr>
                <w:sz w:val="20"/>
                <w:szCs w:val="20"/>
                <w:color w:val="auto"/>
              </w:rPr>
            </w:pPr>
            <w:r>
              <w:rPr>
                <w:rFonts w:ascii="Arial" w:cs="Arial" w:eastAsia="Arial" w:hAnsi="Arial"/>
                <w:sz w:val="10"/>
                <w:szCs w:val="10"/>
                <w:color w:val="auto"/>
              </w:rPr>
              <w:t>Balance at</w:t>
            </w:r>
          </w:p>
        </w:tc>
        <w:tc>
          <w:tcPr>
            <w:tcW w:w="5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December</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31, 2015</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w w:val="98"/>
              </w:rPr>
              <w:t>2,589,868</w:t>
            </w:r>
          </w:p>
        </w:tc>
        <w:tc>
          <w:tcPr>
            <w:tcW w:w="420" w:type="dxa"/>
            <w:vAlign w:val="bottom"/>
          </w:tcPr>
          <w:p>
            <w:pPr>
              <w:jc w:val="right"/>
              <w:ind w:right="51"/>
              <w:spacing w:after="0"/>
              <w:rPr>
                <w:sz w:val="20"/>
                <w:szCs w:val="20"/>
                <w:color w:val="auto"/>
              </w:rPr>
            </w:pPr>
            <w:r>
              <w:rPr>
                <w:rFonts w:ascii="Arial" w:cs="Arial" w:eastAsia="Arial" w:hAnsi="Arial"/>
                <w:sz w:val="10"/>
                <w:szCs w:val="10"/>
                <w:color w:val="auto"/>
                <w:w w:val="89"/>
              </w:rPr>
              <w:t>$ 3,644</w:t>
            </w:r>
          </w:p>
        </w:tc>
        <w:tc>
          <w:tcPr>
            <w:tcW w:w="100" w:type="dxa"/>
            <w:vAlign w:val="bottom"/>
          </w:tcPr>
          <w:p>
            <w:pPr>
              <w:spacing w:after="0"/>
              <w:rPr>
                <w:sz w:val="10"/>
                <w:szCs w:val="10"/>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w w:val="98"/>
              </w:rPr>
              <w:t>7,437,325</w:t>
            </w:r>
          </w:p>
        </w:tc>
        <w:tc>
          <w:tcPr>
            <w:tcW w:w="420" w:type="dxa"/>
            <w:vAlign w:val="bottom"/>
          </w:tcPr>
          <w:p>
            <w:pPr>
              <w:jc w:val="right"/>
              <w:ind w:right="11"/>
              <w:spacing w:after="0"/>
              <w:rPr>
                <w:sz w:val="20"/>
                <w:szCs w:val="20"/>
                <w:color w:val="auto"/>
              </w:rPr>
            </w:pPr>
            <w:r>
              <w:rPr>
                <w:rFonts w:ascii="Arial" w:cs="Arial" w:eastAsia="Arial" w:hAnsi="Arial"/>
                <w:sz w:val="10"/>
                <w:szCs w:val="10"/>
                <w:color w:val="auto"/>
                <w:w w:val="87"/>
              </w:rPr>
              <w:t>$ 21,448</w:t>
            </w: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w w:val="98"/>
              </w:rPr>
              <w:t>5,000,002</w:t>
            </w:r>
          </w:p>
        </w:tc>
        <w:tc>
          <w:tcPr>
            <w:tcW w:w="440" w:type="dxa"/>
            <w:vAlign w:val="bottom"/>
          </w:tcPr>
          <w:p>
            <w:pPr>
              <w:jc w:val="right"/>
              <w:ind w:right="31"/>
              <w:spacing w:after="0"/>
              <w:rPr>
                <w:sz w:val="20"/>
                <w:szCs w:val="20"/>
                <w:color w:val="auto"/>
              </w:rPr>
            </w:pPr>
            <w:r>
              <w:rPr>
                <w:rFonts w:ascii="Arial" w:cs="Arial" w:eastAsia="Arial" w:hAnsi="Arial"/>
                <w:sz w:val="10"/>
                <w:szCs w:val="10"/>
                <w:color w:val="auto"/>
                <w:w w:val="87"/>
              </w:rPr>
              <w:t>$ 20,178</w:t>
            </w:r>
          </w:p>
        </w:tc>
        <w:tc>
          <w:tcPr>
            <w:tcW w:w="10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w w:val="98"/>
              </w:rPr>
              <w:t>8,099,994</w:t>
            </w:r>
          </w:p>
        </w:tc>
        <w:tc>
          <w:tcPr>
            <w:tcW w:w="440" w:type="dxa"/>
            <w:vAlign w:val="bottom"/>
          </w:tcPr>
          <w:p>
            <w:pPr>
              <w:jc w:val="right"/>
              <w:ind w:right="11"/>
              <w:spacing w:after="0"/>
              <w:rPr>
                <w:sz w:val="20"/>
                <w:szCs w:val="20"/>
                <w:color w:val="auto"/>
              </w:rPr>
            </w:pPr>
            <w:r>
              <w:rPr>
                <w:rFonts w:ascii="Arial" w:cs="Arial" w:eastAsia="Arial" w:hAnsi="Arial"/>
                <w:sz w:val="10"/>
                <w:szCs w:val="10"/>
                <w:color w:val="auto"/>
                <w:w w:val="92"/>
              </w:rPr>
              <w:t>$ 42,902</w:t>
            </w:r>
          </w:p>
        </w:tc>
        <w:tc>
          <w:tcPr>
            <w:tcW w:w="100" w:type="dxa"/>
            <w:vAlign w:val="bottom"/>
          </w:tcPr>
          <w:p>
            <w:pPr>
              <w:spacing w:after="0"/>
              <w:rPr>
                <w:sz w:val="10"/>
                <w:szCs w:val="10"/>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w w:val="98"/>
              </w:rPr>
              <w:t>2,111,109</w:t>
            </w:r>
          </w:p>
        </w:tc>
        <w:tc>
          <w:tcPr>
            <w:tcW w:w="420" w:type="dxa"/>
            <w:vAlign w:val="bottom"/>
          </w:tcPr>
          <w:p>
            <w:pPr>
              <w:jc w:val="right"/>
              <w:ind w:right="11"/>
              <w:spacing w:after="0"/>
              <w:rPr>
                <w:sz w:val="20"/>
                <w:szCs w:val="20"/>
                <w:color w:val="auto"/>
              </w:rPr>
            </w:pPr>
            <w:r>
              <w:rPr>
                <w:rFonts w:ascii="Arial" w:cs="Arial" w:eastAsia="Arial" w:hAnsi="Arial"/>
                <w:sz w:val="10"/>
                <w:szCs w:val="10"/>
                <w:color w:val="auto"/>
                <w:w w:val="87"/>
              </w:rPr>
              <w:t>$ 12,082</w:t>
            </w: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w w:val="98"/>
              </w:rPr>
              <w:t>8,888,888</w:t>
            </w:r>
          </w:p>
        </w:tc>
        <w:tc>
          <w:tcPr>
            <w:tcW w:w="80" w:type="dxa"/>
            <w:vAlign w:val="bottom"/>
          </w:tcPr>
          <w:p>
            <w:pPr>
              <w:ind w:left="40"/>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ind w:right="31"/>
              <w:spacing w:after="0"/>
              <w:rPr>
                <w:sz w:val="20"/>
                <w:szCs w:val="20"/>
                <w:color w:val="auto"/>
              </w:rPr>
            </w:pPr>
            <w:r>
              <w:rPr>
                <w:rFonts w:ascii="Arial" w:cs="Arial" w:eastAsia="Arial" w:hAnsi="Arial"/>
                <w:sz w:val="10"/>
                <w:szCs w:val="10"/>
                <w:color w:val="auto"/>
                <w:w w:val="84"/>
              </w:rPr>
              <w:t>37,228</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2,173,399</w:t>
            </w:r>
          </w:p>
        </w:tc>
        <w:tc>
          <w:tcPr>
            <w:tcW w:w="120" w:type="dxa"/>
            <w:vAlign w:val="bottom"/>
          </w:tcPr>
          <w:p>
            <w:pPr>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0"/>
                <w:szCs w:val="10"/>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31"/>
              <w:spacing w:after="0"/>
              <w:rPr>
                <w:sz w:val="20"/>
                <w:szCs w:val="20"/>
                <w:color w:val="auto"/>
              </w:rPr>
            </w:pPr>
            <w:r>
              <w:rPr>
                <w:rFonts w:ascii="Arial" w:cs="Arial" w:eastAsia="Arial" w:hAnsi="Arial"/>
                <w:sz w:val="10"/>
                <w:szCs w:val="10"/>
                <w:color w:val="auto"/>
                <w:w w:val="93"/>
              </w:rPr>
              <w:t>(111,508)</w:t>
            </w:r>
          </w:p>
        </w:tc>
        <w:tc>
          <w:tcPr>
            <w:tcW w:w="100" w:type="dxa"/>
            <w:vAlign w:val="bottom"/>
          </w:tcPr>
          <w:p>
            <w:pPr>
              <w:spacing w:after="0"/>
              <w:rPr>
                <w:sz w:val="10"/>
                <w:szCs w:val="10"/>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(4,986)</w:t>
            </w:r>
          </w:p>
        </w:tc>
        <w:tc>
          <w:tcPr>
            <w:tcW w:w="120" w:type="dxa"/>
            <w:vAlign w:val="bottom"/>
          </w:tcPr>
          <w:p>
            <w:pPr>
              <w:spacing w:after="0"/>
              <w:rPr>
                <w:sz w:val="10"/>
                <w:szCs w:val="10"/>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(116,493)</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Vesting of</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restricted</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8,535</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21</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upon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exercise of</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options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71,816</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224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31"/>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149</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compensation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expense</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2,030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2,030</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Accretion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to</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redemption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value</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0"/>
                <w:szCs w:val="10"/>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449</w:t>
            </w: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31"/>
              <w:spacing w:after="0"/>
              <w:rPr>
                <w:sz w:val="20"/>
                <w:szCs w:val="20"/>
                <w:color w:val="auto"/>
              </w:rPr>
            </w:pPr>
            <w:r>
              <w:rPr>
                <w:rFonts w:ascii="Arial" w:cs="Arial" w:eastAsia="Arial" w:hAnsi="Arial"/>
                <w:sz w:val="10"/>
                <w:szCs w:val="10"/>
                <w:color w:val="auto"/>
              </w:rPr>
              <w:t>446</w:t>
            </w:r>
          </w:p>
        </w:tc>
        <w:tc>
          <w:tcPr>
            <w:tcW w:w="10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1,131</w:t>
            </w:r>
          </w:p>
        </w:tc>
        <w:tc>
          <w:tcPr>
            <w:tcW w:w="100" w:type="dxa"/>
            <w:vAlign w:val="bottom"/>
          </w:tcPr>
          <w:p>
            <w:pPr>
              <w:spacing w:after="0"/>
              <w:rPr>
                <w:sz w:val="10"/>
                <w:szCs w:val="10"/>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913</w:t>
            </w: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rPr>
              <w:t>1,552</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(708)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(3,858)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(4,566)</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Exercise of</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warrants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572,003</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Conversion</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4"/>
              </w:rPr>
              <w:t>of convertible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upon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listing</w:t>
            </w:r>
          </w:p>
        </w:tc>
        <w:tc>
          <w:tcPr>
            <w:tcW w:w="520" w:type="dxa"/>
            <w:vAlign w:val="bottom"/>
          </w:tcPr>
          <w:p>
            <w:pPr>
              <w:jc w:val="right"/>
              <w:spacing w:after="0"/>
              <w:rPr>
                <w:sz w:val="20"/>
                <w:szCs w:val="20"/>
                <w:color w:val="auto"/>
              </w:rPr>
            </w:pPr>
            <w:r>
              <w:rPr>
                <w:rFonts w:ascii="Arial" w:cs="Arial" w:eastAsia="Arial" w:hAnsi="Arial"/>
                <w:sz w:val="10"/>
                <w:szCs w:val="10"/>
                <w:color w:val="auto"/>
                <w:w w:val="89"/>
              </w:rPr>
              <w:t>(2,589,868)</w:t>
            </w: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(3,719)</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3"/>
              </w:rPr>
              <w:t>(7,437,325)</w:t>
            </w:r>
          </w:p>
        </w:tc>
        <w:tc>
          <w:tcPr>
            <w:tcW w:w="420" w:type="dxa"/>
            <w:vAlign w:val="bottom"/>
          </w:tcPr>
          <w:p>
            <w:pPr>
              <w:jc w:val="right"/>
              <w:spacing w:after="0"/>
              <w:rPr>
                <w:sz w:val="20"/>
                <w:szCs w:val="20"/>
                <w:color w:val="auto"/>
              </w:rPr>
            </w:pPr>
            <w:r>
              <w:rPr>
                <w:rFonts w:ascii="Arial" w:cs="Arial" w:eastAsia="Arial" w:hAnsi="Arial"/>
                <w:sz w:val="10"/>
                <w:szCs w:val="10"/>
                <w:color w:val="auto"/>
              </w:rPr>
              <w:t>(21,897)</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89"/>
              </w:rPr>
              <w:t>(5,000,002)</w:t>
            </w:r>
          </w:p>
        </w:tc>
        <w:tc>
          <w:tcPr>
            <w:tcW w:w="440" w:type="dxa"/>
            <w:vAlign w:val="bottom"/>
          </w:tcPr>
          <w:p>
            <w:pPr>
              <w:jc w:val="right"/>
              <w:spacing w:after="0"/>
              <w:rPr>
                <w:sz w:val="20"/>
                <w:szCs w:val="20"/>
                <w:color w:val="auto"/>
              </w:rPr>
            </w:pPr>
            <w:r>
              <w:rPr>
                <w:rFonts w:ascii="Arial" w:cs="Arial" w:eastAsia="Arial" w:hAnsi="Arial"/>
                <w:sz w:val="10"/>
                <w:szCs w:val="10"/>
                <w:color w:val="auto"/>
              </w:rPr>
              <w:t>(20,624)</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93"/>
              </w:rPr>
              <w:t>(8,099,994)</w:t>
            </w:r>
          </w:p>
        </w:tc>
        <w:tc>
          <w:tcPr>
            <w:tcW w:w="440" w:type="dxa"/>
            <w:vAlign w:val="bottom"/>
          </w:tcPr>
          <w:p>
            <w:pPr>
              <w:jc w:val="right"/>
              <w:spacing w:after="0"/>
              <w:rPr>
                <w:sz w:val="20"/>
                <w:szCs w:val="20"/>
                <w:color w:val="auto"/>
              </w:rPr>
            </w:pPr>
            <w:r>
              <w:rPr>
                <w:rFonts w:ascii="Arial" w:cs="Arial" w:eastAsia="Arial" w:hAnsi="Arial"/>
                <w:sz w:val="10"/>
                <w:szCs w:val="10"/>
                <w:color w:val="auto"/>
              </w:rPr>
              <w:t>(44,033)</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3"/>
              </w:rPr>
              <w:t>(2,111,109)</w:t>
            </w:r>
          </w:p>
        </w:tc>
        <w:tc>
          <w:tcPr>
            <w:tcW w:w="420" w:type="dxa"/>
            <w:vAlign w:val="bottom"/>
          </w:tcPr>
          <w:p>
            <w:pPr>
              <w:jc w:val="right"/>
              <w:spacing w:after="0"/>
              <w:rPr>
                <w:sz w:val="20"/>
                <w:szCs w:val="20"/>
                <w:color w:val="auto"/>
              </w:rPr>
            </w:pPr>
            <w:r>
              <w:rPr>
                <w:rFonts w:ascii="Arial" w:cs="Arial" w:eastAsia="Arial" w:hAnsi="Arial"/>
                <w:sz w:val="10"/>
                <w:szCs w:val="10"/>
                <w:color w:val="auto"/>
              </w:rPr>
              <w:t>(12,995)</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89"/>
              </w:rPr>
              <w:t>(8,888,888)</w:t>
            </w:r>
          </w:p>
        </w:tc>
        <w:tc>
          <w:tcPr>
            <w:tcW w:w="440" w:type="dxa"/>
            <w:vAlign w:val="bottom"/>
            <w:gridSpan w:val="2"/>
          </w:tcPr>
          <w:p>
            <w:pPr>
              <w:jc w:val="right"/>
              <w:spacing w:after="0"/>
              <w:rPr>
                <w:sz w:val="20"/>
                <w:szCs w:val="20"/>
                <w:color w:val="auto"/>
              </w:rPr>
            </w:pPr>
            <w:r>
              <w:rPr>
                <w:rFonts w:ascii="Arial" w:cs="Arial" w:eastAsia="Arial" w:hAnsi="Arial"/>
                <w:sz w:val="10"/>
                <w:szCs w:val="10"/>
                <w:color w:val="auto"/>
              </w:rPr>
              <w:t>(38,780)</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w w:val="91"/>
              </w:rPr>
              <w:t>10,126,118</w:t>
            </w:r>
          </w:p>
        </w:tc>
        <w:tc>
          <w:tcPr>
            <w:tcW w:w="120" w:type="dxa"/>
            <w:vAlign w:val="bottom"/>
          </w:tcPr>
          <w:p>
            <w:pPr>
              <w:spacing w:after="0"/>
              <w:rPr>
                <w:sz w:val="10"/>
                <w:szCs w:val="10"/>
                <w:color w:val="auto"/>
              </w:rPr>
            </w:pPr>
          </w:p>
        </w:tc>
        <w:tc>
          <w:tcPr>
            <w:tcW w:w="260" w:type="dxa"/>
            <w:vAlign w:val="bottom"/>
          </w:tcPr>
          <w:p>
            <w:pPr>
              <w:jc w:val="right"/>
              <w:ind w:right="3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w w:val="82"/>
              </w:rPr>
              <w:t>142,047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142,048</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Initial</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public</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offering net</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of issuance</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costs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5,289,633</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97"/>
              </w:rPr>
              <w:t>64,465</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64,465</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3"/>
              </w:rPr>
              <w:t>stock, license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agreement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197,238</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2,743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2,743</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Conversion</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of series D</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7"/>
              </w:rPr>
              <w:t>warrants into</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warrants for</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6"/>
              </w:rPr>
              <w:t>the purchase</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of common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189</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Conversion</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of series 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preferred</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7"/>
              </w:rPr>
              <w:t>warrants into</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warrants for</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6"/>
              </w:rPr>
              <w:t>the purchase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of common</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stock</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Currency</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translation</w:t>
            </w: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adjustment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504</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504</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Unrealized</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0"/>
              </w:rPr>
              <w:t>gains (losses)</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w w:val="99"/>
              </w:rPr>
              <w:t>on securities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Net loss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(36,210)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(36,210)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40" w:top="125" w:right="25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Balance at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20" w:type="dxa"/>
            <w:vAlign w:val="bottom"/>
          </w:tcPr>
          <w:p>
            <w:pPr>
              <w:ind w:left="38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1"/>
              </w:rPr>
              <w:t>18,438,742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ind w:right="3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520" w:type="dxa"/>
            <w:vAlign w:val="bottom"/>
          </w:tcPr>
          <w:p>
            <w:pPr>
              <w:jc w:val="right"/>
              <w:ind w:right="51"/>
              <w:spacing w:after="0"/>
              <w:rPr>
                <w:sz w:val="20"/>
                <w:szCs w:val="20"/>
                <w:color w:val="auto"/>
              </w:rPr>
            </w:pPr>
            <w:r>
              <w:rPr>
                <w:rFonts w:ascii="Arial" w:cs="Arial" w:eastAsia="Arial" w:hAnsi="Arial"/>
                <w:sz w:val="10"/>
                <w:szCs w:val="10"/>
                <w:color w:val="auto"/>
                <w:w w:val="89"/>
              </w:rPr>
              <w:t>$ 211,125</w:t>
            </w:r>
          </w:p>
        </w:tc>
        <w:tc>
          <w:tcPr>
            <w:tcW w:w="12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ind w:right="31"/>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31"/>
              <w:spacing w:after="0"/>
              <w:rPr>
                <w:sz w:val="20"/>
                <w:szCs w:val="20"/>
                <w:color w:val="auto"/>
              </w:rPr>
            </w:pPr>
            <w:r>
              <w:rPr>
                <w:rFonts w:ascii="Arial" w:cs="Arial" w:eastAsia="Arial" w:hAnsi="Arial"/>
                <w:sz w:val="10"/>
                <w:szCs w:val="10"/>
                <w:color w:val="auto"/>
                <w:w w:val="93"/>
              </w:rPr>
              <w:t>(151,576)</w:t>
            </w:r>
          </w:p>
        </w:tc>
        <w:tc>
          <w:tcPr>
            <w:tcW w:w="10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31"/>
              <w:spacing w:after="0"/>
              <w:rPr>
                <w:sz w:val="20"/>
                <w:szCs w:val="20"/>
                <w:color w:val="auto"/>
              </w:rPr>
            </w:pPr>
            <w:r>
              <w:rPr>
                <w:rFonts w:ascii="Arial" w:cs="Arial" w:eastAsia="Arial" w:hAnsi="Arial"/>
                <w:sz w:val="10"/>
                <w:szCs w:val="10"/>
                <w:color w:val="auto"/>
              </w:rPr>
              <w:t>(4,518)</w:t>
            </w:r>
          </w:p>
        </w:tc>
        <w:tc>
          <w:tcPr>
            <w:tcW w:w="120" w:type="dxa"/>
            <w:vAlign w:val="bottom"/>
          </w:tcPr>
          <w:p>
            <w:pPr>
              <w:spacing w:after="0"/>
              <w:rPr>
                <w:sz w:val="10"/>
                <w:szCs w:val="10"/>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54,957</w:t>
            </w: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December</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31, 2016</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under</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Employee</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Purchase</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Plan</w:t>
            </w:r>
          </w:p>
        </w:tc>
        <w:tc>
          <w:tcPr>
            <w:tcW w:w="5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16,263</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180</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180</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stock upon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exercise of</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options</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20" w:type="dxa"/>
            <w:vAlign w:val="bottom"/>
          </w:tcPr>
          <w:p>
            <w:pPr>
              <w:ind w:left="3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269,842</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1"/>
              <w:spacing w:after="0"/>
              <w:rPr>
                <w:sz w:val="20"/>
                <w:szCs w:val="20"/>
                <w:color w:val="auto"/>
              </w:rPr>
            </w:pPr>
            <w:r>
              <w:rPr>
                <w:rFonts w:ascii="Arial" w:cs="Arial" w:eastAsia="Arial" w:hAnsi="Arial"/>
                <w:sz w:val="10"/>
                <w:szCs w:val="10"/>
                <w:color w:val="auto"/>
              </w:rPr>
              <w:t>630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jc w:val="right"/>
              <w:ind w:right="51"/>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705</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compensation</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expense</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4,080</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4,080</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common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w w:val="93"/>
              </w:rPr>
              <w:t>stock, license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agreement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20" w:type="dxa"/>
            <w:vAlign w:val="bottom"/>
          </w:tcPr>
          <w:p>
            <w:pPr>
              <w:ind w:left="3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529,616</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1"/>
              <w:spacing w:after="0"/>
              <w:rPr>
                <w:sz w:val="20"/>
                <w:szCs w:val="20"/>
                <w:color w:val="auto"/>
              </w:rPr>
            </w:pPr>
            <w:r>
              <w:rPr>
                <w:rFonts w:ascii="Arial" w:cs="Arial" w:eastAsia="Arial" w:hAnsi="Arial"/>
                <w:sz w:val="10"/>
                <w:szCs w:val="10"/>
                <w:color w:val="auto"/>
              </w:rPr>
              <w:t>10,000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3"/>
              </w:rPr>
              <w:t>stock, Private</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placement net</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of issuance</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costs</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3,088,791</w:t>
            </w: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47,113</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47,115</w:t>
            </w:r>
          </w:p>
        </w:tc>
        <w:tc>
          <w:tcPr>
            <w:tcW w:w="0" w:type="dxa"/>
            <w:vAlign w:val="bottom"/>
          </w:tcPr>
          <w:p>
            <w:pPr>
              <w:spacing w:after="0"/>
              <w:rPr>
                <w:sz w:val="1"/>
                <w:szCs w:val="1"/>
                <w:color w:val="auto"/>
              </w:rPr>
            </w:pPr>
          </w:p>
        </w:tc>
      </w:tr>
      <w:tr>
        <w:trPr>
          <w:trHeight w:val="147"/>
        </w:trPr>
        <w:tc>
          <w:tcPr>
            <w:tcW w:w="620" w:type="dxa"/>
            <w:vAlign w:val="bottom"/>
          </w:tcPr>
          <w:p>
            <w:pPr>
              <w:ind w:left="40"/>
              <w:spacing w:after="0"/>
              <w:rPr>
                <w:sz w:val="20"/>
                <w:szCs w:val="20"/>
                <w:color w:val="auto"/>
              </w:rPr>
            </w:pPr>
            <w:r>
              <w:rPr>
                <w:rFonts w:ascii="Arial" w:cs="Arial" w:eastAsia="Arial" w:hAnsi="Arial"/>
                <w:sz w:val="10"/>
                <w:szCs w:val="10"/>
                <w:color w:val="auto"/>
              </w:rPr>
              <w:t>Currency</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ind w:left="40"/>
              <w:spacing w:after="0"/>
              <w:rPr>
                <w:sz w:val="20"/>
                <w:szCs w:val="20"/>
                <w:color w:val="auto"/>
              </w:rPr>
            </w:pPr>
            <w:r>
              <w:rPr>
                <w:rFonts w:ascii="Arial" w:cs="Arial" w:eastAsia="Arial" w:hAnsi="Arial"/>
                <w:sz w:val="10"/>
                <w:szCs w:val="10"/>
                <w:color w:val="auto"/>
              </w:rPr>
              <w:t>translation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40"/>
              <w:spacing w:after="0"/>
              <w:rPr>
                <w:sz w:val="20"/>
                <w:szCs w:val="20"/>
                <w:color w:val="auto"/>
              </w:rPr>
            </w:pPr>
            <w:r>
              <w:rPr>
                <w:rFonts w:ascii="Arial" w:cs="Arial" w:eastAsia="Arial" w:hAnsi="Arial"/>
                <w:sz w:val="10"/>
                <w:szCs w:val="10"/>
                <w:color w:val="auto"/>
              </w:rPr>
              <w:t>adjustment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20" w:type="dxa"/>
            <w:vAlign w:val="bottom"/>
          </w:tcPr>
          <w:p>
            <w:pPr>
              <w:ind w:left="3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480" w:type="dxa"/>
            <w:vAlign w:val="bottom"/>
          </w:tcPr>
          <w:p>
            <w:pPr>
              <w:jc w:val="right"/>
              <w:ind w:right="51"/>
              <w:spacing w:after="0"/>
              <w:rPr>
                <w:sz w:val="20"/>
                <w:szCs w:val="20"/>
                <w:color w:val="auto"/>
              </w:rPr>
            </w:pPr>
            <w:r>
              <w:rPr>
                <w:rFonts w:ascii="Arial" w:cs="Arial" w:eastAsia="Arial" w:hAnsi="Arial"/>
                <w:sz w:val="10"/>
                <w:szCs w:val="10"/>
                <w:color w:val="auto"/>
              </w:rPr>
              <w:t>78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71"/>
              <w:spacing w:after="0"/>
              <w:rPr>
                <w:sz w:val="20"/>
                <w:szCs w:val="20"/>
                <w:color w:val="auto"/>
              </w:rPr>
            </w:pPr>
            <w:r>
              <w:rPr>
                <w:rFonts w:ascii="Arial" w:cs="Arial" w:eastAsia="Arial" w:hAnsi="Arial"/>
                <w:sz w:val="10"/>
                <w:szCs w:val="10"/>
                <w:color w:val="auto"/>
              </w:rPr>
              <w:t>78</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Unrealized</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w w:val="90"/>
              </w:rPr>
              <w:t>gains (losses)</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9"/>
              </w:rPr>
              <w:t>on securities</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20</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244"/>
        </w:trPr>
        <w:tc>
          <w:tcPr>
            <w:tcW w:w="620" w:type="dxa"/>
            <w:vAlign w:val="bottom"/>
          </w:tcPr>
          <w:p>
            <w:pPr>
              <w:ind w:left="40"/>
              <w:spacing w:after="0"/>
              <w:rPr>
                <w:sz w:val="20"/>
                <w:szCs w:val="20"/>
                <w:color w:val="auto"/>
              </w:rPr>
            </w:pPr>
            <w:r>
              <w:rPr>
                <w:rFonts w:ascii="Arial" w:cs="Arial" w:eastAsia="Arial" w:hAnsi="Arial"/>
                <w:sz w:val="10"/>
                <w:szCs w:val="10"/>
                <w:color w:val="auto"/>
              </w:rPr>
              <w:t>Net loss</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3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36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20" w:type="dxa"/>
            <w:vAlign w:val="bottom"/>
          </w:tcPr>
          <w:p>
            <w:pPr>
              <w:ind w:left="3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3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500" w:type="dxa"/>
            <w:vAlign w:val="bottom"/>
          </w:tcPr>
          <w:p>
            <w:pPr>
              <w:ind w:left="3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3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(65,321)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(65,321)</w:t>
            </w:r>
          </w:p>
        </w:tc>
        <w:tc>
          <w:tcPr>
            <w:tcW w:w="0" w:type="dxa"/>
            <w:vAlign w:val="bottom"/>
          </w:tcPr>
          <w:p>
            <w:pPr>
              <w:spacing w:after="0"/>
              <w:rPr>
                <w:sz w:val="1"/>
                <w:szCs w:val="1"/>
                <w:color w:val="auto"/>
              </w:rPr>
            </w:pPr>
          </w:p>
        </w:tc>
      </w:tr>
      <w:tr>
        <w:trPr>
          <w:trHeight w:val="26"/>
        </w:trPr>
        <w:tc>
          <w:tcPr>
            <w:tcW w:w="6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Balance at</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December</w:t>
            </w:r>
          </w:p>
        </w:tc>
        <w:tc>
          <w:tcPr>
            <w:tcW w:w="500" w:type="dxa"/>
            <w:vAlign w:val="bottom"/>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1"/>
              </w:rPr>
              <w:t>22,343,254</w:t>
            </w:r>
          </w:p>
        </w:tc>
        <w:tc>
          <w:tcPr>
            <w:tcW w:w="1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26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89"/>
              </w:rPr>
              <w:t>$ 273,128</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93"/>
              </w:rPr>
              <w:t>(216,897)</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4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(4,420)</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51,814</w:t>
            </w:r>
          </w:p>
        </w:tc>
        <w:tc>
          <w:tcPr>
            <w:tcW w:w="0" w:type="dxa"/>
            <w:vAlign w:val="bottom"/>
          </w:tcPr>
          <w:p>
            <w:pPr>
              <w:spacing w:after="0"/>
              <w:rPr>
                <w:sz w:val="1"/>
                <w:szCs w:val="1"/>
                <w:color w:val="auto"/>
              </w:rPr>
            </w:pPr>
          </w:p>
        </w:tc>
      </w:tr>
      <w:tr>
        <w:trPr>
          <w:trHeight w:val="130"/>
        </w:trPr>
        <w:tc>
          <w:tcPr>
            <w:tcW w:w="620" w:type="dxa"/>
            <w:vAlign w:val="bottom"/>
            <w:shd w:val="clear" w:color="auto" w:fill="CCEEFF"/>
          </w:tcPr>
          <w:p>
            <w:pPr>
              <w:ind w:left="40"/>
              <w:spacing w:after="0"/>
              <w:rPr>
                <w:sz w:val="20"/>
                <w:szCs w:val="20"/>
                <w:color w:val="auto"/>
              </w:rPr>
            </w:pPr>
            <w:r>
              <w:rPr>
                <w:rFonts w:ascii="Arial" w:cs="Arial" w:eastAsia="Arial" w:hAnsi="Arial"/>
                <w:sz w:val="10"/>
                <w:szCs w:val="10"/>
                <w:color w:val="auto"/>
              </w:rPr>
              <w:t>31, 2017</w:t>
            </w:r>
          </w:p>
        </w:tc>
        <w:tc>
          <w:tcPr>
            <w:tcW w:w="50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6"/>
          <w:szCs w:val="16"/>
          <w:color w:val="auto"/>
        </w:rPr>
        <w: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p>
    <w:p>
      <w:pPr>
        <w:sectPr>
          <w:pgSz w:w="11900" w:h="16838" w:orient="portrait"/>
          <w:cols w:equalWidth="0" w:num="1">
            <w:col w:w="11400"/>
          </w:cols>
          <w:pgMar w:left="240" w:top="15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(65,321)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(25,174)</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197"/>
        </w:trPr>
        <w:tc>
          <w:tcPr>
            <w:tcW w:w="67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260"/>
              <w:spacing w:after="0"/>
              <w:rPr>
                <w:sz w:val="20"/>
                <w:szCs w:val="20"/>
                <w:color w:val="auto"/>
              </w:rPr>
            </w:pPr>
            <w:r>
              <w:rPr>
                <w:rFonts w:ascii="Arial" w:cs="Arial" w:eastAsia="Arial" w:hAnsi="Arial"/>
                <w:sz w:val="14"/>
                <w:szCs w:val="14"/>
                <w:color w:val="auto"/>
              </w:rPr>
              <w:t>Loss on disposal of fixed assets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26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64"/>
        </w:trPr>
        <w:tc>
          <w:tcPr>
            <w:tcW w:w="6740" w:type="dxa"/>
            <w:vAlign w:val="bottom"/>
          </w:tcPr>
          <w:p>
            <w:pPr>
              <w:ind w:left="2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extinguishment of debt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Change in fair value of redeemable convertible preferred stock warrant</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Restricted cash and other deposits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10,409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Contingently repayable grant funding</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used in operating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(52,037)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(22,463)</w:t>
            </w: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Maturities of short-term government obligations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60,158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Purchase of short-term investments</w:t>
            </w:r>
          </w:p>
        </w:tc>
        <w:tc>
          <w:tcPr>
            <w:tcW w:w="9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5"/>
              </w:rPr>
              <w:t>(61,527)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(28,416)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the sale of property and equipment</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long-term debt, net of expenses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6,674</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Repayments of long-term debt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5"/>
              </w:rPr>
              <w:t>(12,934)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(2,336)</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convertible note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7,092</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Proceeds from Initial Public Offering, net of underwriters' discounts and commissions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68,870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IPO costs paid</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Proceeds from Private Placement, net of issuance costs ($2.9 million)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47,114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proceeds from issuance of preferred stock and warrants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32,669</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66,023</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67,659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43,906</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15,745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58,656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32,337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70,622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Supplement cash flow information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not yet paid</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vMerge w:val="restart"/>
          </w:tcPr>
          <w:p>
            <w:pPr>
              <w:ind w:left="40"/>
              <w:spacing w:after="0"/>
              <w:rPr>
                <w:sz w:val="20"/>
                <w:szCs w:val="20"/>
                <w:color w:val="auto"/>
              </w:rPr>
            </w:pPr>
            <w:r>
              <w:rPr>
                <w:rFonts w:ascii="Arial" w:cs="Arial" w:eastAsia="Arial" w:hAnsi="Arial"/>
                <w:sz w:val="14"/>
                <w:szCs w:val="14"/>
                <w:color w:val="auto"/>
              </w:rPr>
              <w:t>Unrealized gain on marketable securities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Venture debt termination fee liability</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80"/>
        </w:trPr>
        <w:tc>
          <w:tcPr>
            <w:tcW w:w="674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vMerge w:val="restart"/>
          </w:tcPr>
          <w:p>
            <w:pPr>
              <w:ind w:left="40"/>
              <w:spacing w:after="0"/>
              <w:rPr>
                <w:sz w:val="20"/>
                <w:szCs w:val="20"/>
                <w:color w:val="auto"/>
              </w:rPr>
            </w:pPr>
            <w:r>
              <w:rPr>
                <w:rFonts w:ascii="Arial" w:cs="Arial" w:eastAsia="Arial" w:hAnsi="Arial"/>
                <w:sz w:val="14"/>
                <w:szCs w:val="14"/>
                <w:color w:val="auto"/>
              </w:rPr>
              <w:t>Issuance of preferred warrants in connection with venture loans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74"/>
        </w:trPr>
        <w:tc>
          <w:tcPr>
            <w:tcW w:w="67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Reclassification of deferred IPO costs from non-current assets to additional paid-in capital</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4,404</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vMerge w:val="restart"/>
          </w:tcPr>
          <w:p>
            <w:pPr>
              <w:ind w:left="40"/>
              <w:spacing w:after="0"/>
              <w:rPr>
                <w:sz w:val="20"/>
                <w:szCs w:val="20"/>
                <w:color w:val="auto"/>
              </w:rPr>
            </w:pPr>
            <w:r>
              <w:rPr>
                <w:rFonts w:ascii="Arial" w:cs="Arial" w:eastAsia="Arial" w:hAnsi="Arial"/>
                <w:sz w:val="14"/>
                <w:szCs w:val="14"/>
                <w:color w:val="auto"/>
              </w:rPr>
              <w:t>Initial public offering costs in accounts payable and accrued liabilities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74"/>
        </w:trPr>
        <w:tc>
          <w:tcPr>
            <w:tcW w:w="67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Accrued dividends and accretion of preferred stock to redemption value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7,335</w:t>
            </w:r>
          </w:p>
        </w:tc>
        <w:tc>
          <w:tcPr>
            <w:tcW w:w="0" w:type="dxa"/>
            <w:vAlign w:val="bottom"/>
          </w:tcPr>
          <w:p>
            <w:pPr>
              <w:spacing w:after="0"/>
              <w:rPr>
                <w:sz w:val="1"/>
                <w:szCs w:val="1"/>
                <w:color w:val="auto"/>
              </w:rPr>
            </w:pPr>
          </w:p>
        </w:tc>
      </w:tr>
      <w:tr>
        <w:trPr>
          <w:trHeight w:val="80"/>
        </w:trPr>
        <w:tc>
          <w:tcPr>
            <w:tcW w:w="674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vMerge w:val="restart"/>
          </w:tcPr>
          <w:p>
            <w:pPr>
              <w:ind w:left="40"/>
              <w:spacing w:after="0"/>
              <w:rPr>
                <w:sz w:val="20"/>
                <w:szCs w:val="20"/>
                <w:color w:val="auto"/>
              </w:rPr>
            </w:pPr>
            <w:r>
              <w:rPr>
                <w:rFonts w:ascii="Arial" w:cs="Arial" w:eastAsia="Arial" w:hAnsi="Arial"/>
                <w:sz w:val="14"/>
                <w:szCs w:val="14"/>
                <w:color w:val="auto"/>
              </w:rPr>
              <w:t>Conversion of bridge loans into Series E preferred</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7,288</w:t>
            </w:r>
          </w:p>
        </w:tc>
        <w:tc>
          <w:tcPr>
            <w:tcW w:w="0" w:type="dxa"/>
            <w:vAlign w:val="bottom"/>
          </w:tcPr>
          <w:p>
            <w:pPr>
              <w:spacing w:after="0"/>
              <w:rPr>
                <w:sz w:val="1"/>
                <w:szCs w:val="1"/>
                <w:color w:val="auto"/>
              </w:rPr>
            </w:pPr>
          </w:p>
        </w:tc>
      </w:tr>
      <w:tr>
        <w:trPr>
          <w:trHeight w:val="68"/>
        </w:trPr>
        <w:tc>
          <w:tcPr>
            <w:tcW w:w="67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00" w:name="page101"/>
    <w:bookmarkEnd w:id="100"/>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b w:val="1"/>
          <w:bCs w:val="1"/>
          <w:color w:val="auto"/>
        </w:rPr>
        <w:t>.</w:t>
      </w:r>
    </w:p>
    <w:p>
      <w:pPr>
        <w:sectPr>
          <w:pgSz w:w="11900" w:h="16838" w:orient="portrait"/>
          <w:cols w:equalWidth="0" w:num="1">
            <w:col w:w="9019"/>
          </w:cols>
          <w:pgMar w:left="1440" w:top="288"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9019"/>
          </w:cols>
          <w:pgMar w:left="1440" w:top="288" w:right="1440"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incurred losses since inception and negative cash flows from operating activities. As of December 31, 2017 and December 31, 2016, the Company had an accumulated deficit of $216.9 million and $151.6 million, respectively. The Company’s cash and cash equivalents as of December 31, 2017 and December 31, 2016, includes $1.2 million and $2.4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the current operating plan, the Company expects that its cash, cash equivalents, short-term investments and short-term restricted cash as of December 31, 2017, will fund its operating expenses and capital expenditure requirements into mid-2019. The Company has based this estimate on assumptions that may prove to be wrong, and the Company could use its capital resources sooner than it currently expects. Additionally, the process of testing product candidates in clinical trials is costly, and the timing of progress in these trials is uncertain. Because the Company’s product candidates are in various stages of clinical and preclinical development and the outcome of these efforts is uncertain, the Company cannot estimate the actual amounts necessary to successfully complete the development and commercialization of its product candidates or whether, or when, it may achieve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December 31, 2017,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7" w:lineRule="exact"/>
        <w:rPr>
          <w:sz w:val="20"/>
          <w:szCs w:val="20"/>
          <w:color w:val="auto"/>
        </w:rPr>
      </w:pPr>
    </w:p>
    <w:p>
      <w:pPr>
        <w:ind w:right="7860" w:firstLine="8"/>
        <w:spacing w:after="0" w:line="503" w:lineRule="auto"/>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and estimating accrued research and development expenses. The Company assesses the above estimates on an ongoing basis; however, actual results could materially differ from those estimates.</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made significant estimates and assumptions in determining the fair value of its common stock for those periods reported prior to the completion of the initial public offering of the Company’s common stock (the “IPO”). The Company utilized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included estimates and assumptions that require the Company’s judgment. These estimates and assumptions included a number of objective and subjective factors, including external market conditions affecting the biotechnology industry sector, the prices at which the Company sold shares of its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initial public offering, the Company’s Board of Directors and stockholders approved a one-for-3.9 reverse stock split of the Company’s common stock. The reverse stock split became effective June 7, 2016. All share and per share amounts presented have been retroactively adjusted for all periods presented to give effect to this reverse stock split, including reclassifying an amount equal to the reduction in par value of common stock to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Short-term Investments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Cash equivalents include all highly liquid investments maturing within 90 days from the date of purchase. Investments consist of securities with remaining maturities greater than 90 days when purchased. The Company classifies these investments as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December 31, 2017, the Company maintained approximately $1.3 million in Russian bank accounts, of which $1.2 million was held in U.S. dollars.</w:t>
      </w:r>
    </w:p>
    <w:p>
      <w:pPr>
        <w:spacing w:after="0" w:line="165"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8"/>
          <w:szCs w:val="18"/>
          <w:color w:val="auto"/>
        </w:rPr>
        <w:t>‑</w:t>
      </w:r>
      <w:r>
        <w:rPr>
          <w:rFonts w:ascii="Arial" w:cs="Arial" w:eastAsia="Arial" w:hAnsi="Arial"/>
          <w:sz w:val="18"/>
          <w:szCs w:val="18"/>
          <w:color w:val="auto"/>
        </w:rPr>
        <w:t>known and supported non</w:t>
      </w:r>
      <w:r>
        <w:rPr>
          <w:rFonts w:ascii="MS PGothic" w:cs="MS PGothic" w:eastAsia="MS PGothic" w:hAnsi="MS PGothic"/>
          <w:sz w:val="18"/>
          <w:szCs w:val="18"/>
          <w:color w:val="auto"/>
        </w:rPr>
        <w:t>‑</w:t>
      </w:r>
      <w:r>
        <w:rPr>
          <w:rFonts w:ascii="Arial" w:cs="Arial" w:eastAsia="Arial" w:hAnsi="Arial"/>
          <w:sz w:val="18"/>
          <w:szCs w:val="18"/>
          <w:color w:val="auto"/>
        </w:rPr>
        <w:t>profit organizations. The Company did not have any off balance sheet arrangements as of December 31, 2017 and December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The Company’s financial instruments consist mainly of cash equivalents, short</w:t>
      </w:r>
      <w:r>
        <w:rPr>
          <w:rFonts w:ascii="MS PGothic" w:cs="MS PGothic" w:eastAsia="MS PGothic" w:hAnsi="MS PGothic"/>
          <w:sz w:val="16"/>
          <w:szCs w:val="16"/>
          <w:color w:val="auto"/>
        </w:rPr>
        <w:t>‑</w:t>
      </w:r>
      <w:r>
        <w:rPr>
          <w:rFonts w:ascii="Arial" w:cs="Arial" w:eastAsia="Arial" w:hAnsi="Arial"/>
          <w:sz w:val="16"/>
          <w:szCs w:val="16"/>
          <w:color w:val="auto"/>
        </w:rPr>
        <w:t>term investments, restricted cash, accounts receivable, accounts payable, loans payable, and common stock warrants. The carrying amounts of cash equivalents, short-term investments, restricted cash, accounts receivable, and accounts payable approximate their estimated fair value due to their short-term maturities. At December 31, 2017, the carrying amount of loans payable approximates its estimated fair value due to the consistency between the prevailing market rates in effect and the effective interest rate of 6.53% for the debt arrangement.</w:t>
      </w:r>
    </w:p>
    <w:p>
      <w:pPr>
        <w:spacing w:after="0" w:line="203" w:lineRule="exact"/>
        <w:rPr>
          <w:sz w:val="20"/>
          <w:szCs w:val="20"/>
          <w:color w:val="auto"/>
        </w:rPr>
      </w:pPr>
    </w:p>
    <w:p>
      <w:pPr>
        <w:jc w:val="both"/>
        <w:ind w:right="20"/>
        <w:spacing w:after="0" w:line="220" w:lineRule="exact"/>
        <w:rPr>
          <w:sz w:val="20"/>
          <w:szCs w:val="20"/>
          <w:color w:val="auto"/>
        </w:rPr>
      </w:pPr>
      <w:r>
        <w:rPr>
          <w:rFonts w:ascii="Arial" w:cs="Arial" w:eastAsia="Arial" w:hAnsi="Arial"/>
          <w:sz w:val="17"/>
          <w:szCs w:val="17"/>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7"/>
          <w:szCs w:val="17"/>
          <w:color w:val="auto"/>
        </w:rPr>
        <w:t>‑</w:t>
      </w:r>
      <w:r>
        <w:rPr>
          <w:rFonts w:ascii="Arial" w:cs="Arial" w:eastAsia="Arial" w:hAnsi="Arial"/>
          <w:sz w:val="17"/>
          <w:szCs w:val="17"/>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18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2017 and December 31, 2016.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Property and equipment are recorded at cost and depreciated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the respective assets, generally seven years for furniture and fixtures, five years for laboratory equipment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Company periodically evaluates its long</w:t>
      </w:r>
      <w:r>
        <w:rPr>
          <w:rFonts w:ascii="MS PGothic" w:cs="MS PGothic" w:eastAsia="MS PGothic" w:hAnsi="MS PGothic"/>
          <w:sz w:val="18"/>
          <w:szCs w:val="18"/>
          <w:color w:val="auto"/>
        </w:rPr>
        <w:t>‑</w:t>
      </w:r>
      <w:r>
        <w:rPr>
          <w:rFonts w:ascii="Arial" w:cs="Arial" w:eastAsia="Arial" w:hAnsi="Arial"/>
          <w:sz w:val="18"/>
          <w:szCs w:val="18"/>
          <w:color w:val="auto"/>
        </w:rPr>
        <w:t>lived assets for potential impairment. Impairment is assessed when there is evidence that events or changes in circumstances indicate that the carrying amount of an asset may not be recovered. Recoverability of</w:t>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as of December 31, 2017 and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8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Foreign currency translation</w:t>
            </w:r>
          </w:p>
        </w:tc>
        <w:tc>
          <w:tcPr>
            <w:tcW w:w="1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Unrealized gains (losses) on</w:t>
            </w:r>
          </w:p>
        </w:tc>
        <w:tc>
          <w:tcPr>
            <w:tcW w:w="240" w:type="dxa"/>
            <w:vAlign w:val="bottom"/>
          </w:tcPr>
          <w:p>
            <w:pPr>
              <w:spacing w:after="0"/>
              <w:rPr>
                <w:sz w:val="14"/>
                <w:szCs w:val="14"/>
                <w:color w:val="auto"/>
              </w:rPr>
            </w:pPr>
          </w:p>
        </w:tc>
        <w:tc>
          <w:tcPr>
            <w:tcW w:w="1680" w:type="dxa"/>
            <w:vAlign w:val="bottom"/>
          </w:tcPr>
          <w:p>
            <w:pPr>
              <w:jc w:val="right"/>
              <w:ind w:right="288"/>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5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available-for-sale securities</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r>
      <w:tr>
        <w:trPr>
          <w:trHeight w:val="25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loss during the year</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w:t>
            </w:r>
          </w:p>
        </w:tc>
      </w:tr>
      <w:tr>
        <w:trPr>
          <w:trHeight w:val="25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during the year</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w:t>
            </w:r>
          </w:p>
        </w:tc>
      </w:tr>
      <w:tr>
        <w:trPr>
          <w:trHeight w:val="25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during the year</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is the total net earnings and all other non-owner changes in equity. Except for net income and unrealized gains and losses on available-for-sale securities and foreign exchange translation adjustments, the Company does not have any transactions or other economic events that qualify as comprehensive income (loss). There were no reclassifications out of accumulated other comprehensive income or loss as well as no tax effect for the period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Company’s revenue is primarily generated from research grants in both the United States and Russia, and, prior to its termination, a license and research collaboration agreement with Sanofi. The Company recognizes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revenue is recognized when all of the following criteria are met:</w:t>
      </w:r>
    </w:p>
    <w:p>
      <w:pPr>
        <w:spacing w:after="0" w:line="181" w:lineRule="exact"/>
        <w:rPr>
          <w:sz w:val="20"/>
          <w:szCs w:val="20"/>
          <w:color w:val="auto"/>
        </w:rPr>
      </w:pPr>
    </w:p>
    <w:p>
      <w:pPr>
        <w:ind w:left="240" w:hanging="232"/>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enters into collaborative arrangements for the development and commercialization of product candidates utilizing the Company’s Synthetic Vaccine Particles (SVP) technology. The terms of these agreements contain multiple deliverables which may include (i) licenses, or options to obtain licenses, to its technology platforms, (ii) rights to future technological improvements, (iii) research and development activities to be performed on behalf of the collaborative partner or as part of the collaboration, (iv) the manufacture of pre-clinical or clinical materials for the collaborative partner, and (v) options to acquire licenses for additional therapeutic areas. Payments to the Company under these agreements may include nonrefundable license fees, option fees, exercise fees, payments for research and development activities, payments for the manufacture of preclinical or clinical materials, payments based upon the achievement of certain milestones and royalties on product sales.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When evaluating multiple element arrangements such as the agreements discussed in Note 13, the Company considers whether the deliverables under the arrangement represent separate units of accounting. This evaluation requires subjective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If deliverables have no standalone value, they are grouped together and revenue is recognized over the estimated performance period.</w:t>
      </w:r>
    </w:p>
    <w:p>
      <w:pPr>
        <w:spacing w:after="0" w:line="158"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The Company determines the estimated selling price for deliverables within each agreement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if neither VSOE nor TPE is available. Determining the best estimate of selling price for a deliverable requires significant judgment. Since the Company is a clinical stage company without a marketable product, and currently there is no technologically comparative product on the market, to determine either VSOE or TPE, the Company has used its best estimate of selling price to estimate the selling price for licenses and deliverables related to the Company’s proprietary technology. Under the circumstances, the Company considers market conditions as well as entity</w:t>
      </w:r>
      <w:r>
        <w:rPr>
          <w:rFonts w:ascii="MS PGothic" w:cs="MS PGothic" w:eastAsia="MS PGothic" w:hAnsi="MS PGothic"/>
          <w:sz w:val="16"/>
          <w:szCs w:val="16"/>
          <w:color w:val="auto"/>
        </w:rPr>
        <w:t>‑</w:t>
      </w:r>
      <w:r>
        <w:rPr>
          <w:rFonts w:ascii="Arial" w:cs="Arial" w:eastAsia="Arial" w:hAnsi="Arial"/>
          <w:sz w:val="16"/>
          <w:szCs w:val="16"/>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Options for future deliverables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would be considered a deliverable at the inception of the arrangement and a corresponding amount would be included in the initial consideration.</w:t>
      </w:r>
    </w:p>
    <w:p>
      <w:pPr>
        <w:spacing w:after="0" w:line="189"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The Company may receive upfront payments when licensing its intellectual property in conjunction with a manufacturing or a research and development agreement. When management believes the license to its intellectual property does not have stand</w:t>
      </w:r>
      <w:r>
        <w:rPr>
          <w:rFonts w:ascii="MS PGothic" w:cs="MS PGothic" w:eastAsia="MS PGothic" w:hAnsi="MS PGothic"/>
          <w:sz w:val="18"/>
          <w:szCs w:val="18"/>
          <w:color w:val="auto"/>
        </w:rPr>
        <w:t>‑</w:t>
      </w:r>
      <w:r>
        <w:rPr>
          <w:rFonts w:ascii="Arial" w:cs="Arial" w:eastAsia="Arial" w:hAnsi="Arial"/>
          <w:sz w:val="18"/>
          <w:szCs w:val="18"/>
          <w:color w:val="auto"/>
        </w:rPr>
        <w:t>alone value from the other deliverables to be provided in the arrangement, the Company generally recognizes revenue attributed to the license over the Company’s contractual or estimated performance period. When management believes the license to its intellectual property has stand</w:t>
      </w:r>
      <w:r>
        <w:rPr>
          <w:rFonts w:ascii="MS PGothic" w:cs="MS PGothic" w:eastAsia="MS PGothic" w:hAnsi="MS PGothic"/>
          <w:sz w:val="18"/>
          <w:szCs w:val="18"/>
          <w:color w:val="auto"/>
        </w:rPr>
        <w:t>‑</w:t>
      </w:r>
      <w:r>
        <w:rPr>
          <w:rFonts w:ascii="Arial" w:cs="Arial" w:eastAsia="Arial" w:hAnsi="Arial"/>
          <w:sz w:val="18"/>
          <w:szCs w:val="18"/>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deliveries of manufactured products and research and development efforts are recognized as the services are performed.</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the inception of each agreement that includes milestone payments, the Company evaluates whether each milestone is substantive and at risk to both parties based on the contingent nature of the milestone, specifically reviewing factors such as the scientific and other risks that must be overcome to achieve the milestone, whether the milestone consideration is reasonable relative to all deliverables and payment terms,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29" w:lineRule="exact"/>
        <w:rPr>
          <w:sz w:val="20"/>
          <w:szCs w:val="20"/>
          <w:color w:val="auto"/>
        </w:rPr>
      </w:pPr>
    </w:p>
    <w:p>
      <w:pPr>
        <w:spacing w:after="0" w:line="221" w:lineRule="exact"/>
        <w:rPr>
          <w:sz w:val="20"/>
          <w:szCs w:val="20"/>
          <w:color w:val="auto"/>
        </w:rPr>
      </w:pPr>
      <w:r>
        <w:rPr>
          <w:rFonts w:ascii="Arial" w:cs="Arial" w:eastAsia="Arial" w:hAnsi="Arial"/>
          <w:sz w:val="17"/>
          <w:szCs w:val="17"/>
          <w:color w:val="auto"/>
        </w:rPr>
        <w:t>Grant revenue is generally recognized as the related research and development work is performed. Grant arrangements frequently include payment milestones which the Company has judged to be non</w:t>
      </w:r>
      <w:r>
        <w:rPr>
          <w:rFonts w:ascii="MS PGothic" w:cs="MS PGothic" w:eastAsia="MS PGothic" w:hAnsi="MS PGothic"/>
          <w:sz w:val="17"/>
          <w:szCs w:val="17"/>
          <w:color w:val="auto"/>
        </w:rPr>
        <w:t>‑</w:t>
      </w:r>
      <w:r>
        <w:rPr>
          <w:rFonts w:ascii="Arial" w:cs="Arial" w:eastAsia="Arial" w:hAnsi="Arial"/>
          <w:sz w:val="17"/>
          <w:szCs w:val="17"/>
          <w:color w:val="auto"/>
        </w:rPr>
        <w:t>substantive milestones as they are typically entitled to receive payment regardless of the outcome of the research work. Revenue under such arrangements is recognized using a proportional performance method, but not more than cash received.</w:t>
      </w:r>
    </w:p>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Amounts received prior to satisfying the above revenue recognition criteria are recorded as deferred revenue in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goods and services that will be used in future research and development activities are expensed when the activity has been performed or when the goods have been received rather than when the payment is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47" w:lineRule="exact"/>
        <w:rPr>
          <w:sz w:val="20"/>
          <w:szCs w:val="20"/>
          <w:color w:val="auto"/>
        </w:rPr>
      </w:pPr>
    </w:p>
    <w:p>
      <w:pPr>
        <w:ind w:right="28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Prior to the completion of the IPO, the Company classified preferred stock as temporary equity and initially recorded it at the original issuance price, net of issuance costs and discounts. The carrying value was accreted up to the redemption value over the earliest redemption period. The carrying value was also adjusted for dividends expected to be paid upon redemption or liquidation according to the preferred stock terms on each balance sheet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our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The Company accounts for all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granted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employees using a fair value method.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net of estimated forfeitures.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non</w:t>
      </w:r>
      <w:r>
        <w:rPr>
          <w:rFonts w:ascii="MS PGothic" w:cs="MS PGothic" w:eastAsia="MS PGothic" w:hAnsi="MS PGothic"/>
          <w:sz w:val="17"/>
          <w:szCs w:val="17"/>
          <w:color w:val="auto"/>
        </w:rPr>
        <w:t>‑</w:t>
      </w:r>
      <w:r>
        <w:rPr>
          <w:rFonts w:ascii="Arial" w:cs="Arial" w:eastAsia="Arial" w:hAnsi="Arial"/>
          <w:sz w:val="17"/>
          <w:szCs w:val="17"/>
          <w:color w:val="auto"/>
        </w:rPr>
        <w:t>employees are subject to revaluation over their vesting terms. The Company reduces recorded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recognized in the consolidated financial statements is based on awards that are ultimately expected to vest.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ind w:right="380"/>
        <w:spacing w:after="0" w:line="221" w:lineRule="exact"/>
        <w:rPr>
          <w:sz w:val="20"/>
          <w:szCs w:val="20"/>
          <w:color w:val="auto"/>
        </w:rPr>
      </w:pPr>
      <w:r>
        <w:rPr>
          <w:rFonts w:ascii="Arial" w:cs="Arial" w:eastAsia="Arial" w:hAnsi="Arial"/>
          <w:sz w:val="18"/>
          <w:szCs w:val="18"/>
          <w:color w:val="auto"/>
        </w:rPr>
        <w:t>Comprehensive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loss consists of both: (i) all components of net loss and</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25"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8"/>
        <w:spacing w:after="0" w:line="277"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components of comprehensive loss other than net loss, referred to as other comprehensive loss. For all periods presented, other comprehensive loss is comprised of foreign currency translation adjustments and the unrealized gains and losses on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40"/>
        <w:spacing w:after="0" w:line="219" w:lineRule="exact"/>
        <w:rPr>
          <w:sz w:val="20"/>
          <w:szCs w:val="20"/>
          <w:color w:val="auto"/>
        </w:rPr>
      </w:pPr>
      <w:r>
        <w:rPr>
          <w:rFonts w:ascii="Arial" w:cs="Arial" w:eastAsia="Arial" w:hAnsi="Arial"/>
          <w:sz w:val="16"/>
          <w:szCs w:val="16"/>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6"/>
          <w:szCs w:val="16"/>
          <w:color w:val="auto"/>
        </w:rPr>
        <w:t>‑</w:t>
      </w:r>
      <w:r>
        <w:rPr>
          <w:rFonts w:ascii="Arial" w:cs="Arial" w:eastAsia="Arial" w:hAnsi="Arial"/>
          <w:sz w:val="16"/>
          <w:szCs w:val="16"/>
          <w:color w:val="auto"/>
        </w:rPr>
        <w:t>dilutive and basic and diluted loss per share have been the same.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2017 and December 31, 2016,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The new guidance requires the application of a five-step model to determine the amount and timing of revenue to be recognized. The underlying principle is that revenue is to be recognized for the transfer of goods or services to customers that reflects the amount of consideration that the Company expects to be entitled to in exchange for those goods or services. The Company adopted the standard as of the required effective date of January 1, 2018 using the modified retrospective method. Under this method, the new guidance was applied to contracts that were not yet completed as of January 1, 2018 with the cumulative effect recognized at the date of initial application.</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finalized its review of its existing revenue contracts. As a result of its assessment, the Company determined that there may be a significant impact related to the recognition of grant revenue and capitalization of contract acquisition costs. Specifically, the Company deferred certain amounts related to grants that were not fixed and determinable under ASC 605 and will finalize the application of ASC 606, including the amount of variable consideration to be recognized subject to a constraint, resulting in a transition adjustment upon adoption that the Company does not expect will exceed $3.0 million. The Company also anticipates that contract acquisition costs, such as sublicense fees due to MIT related to the Spark agreement, will be capitalized and amortized over the period of performance, resulting in a transition adjustment upon adoption that the Company does not expect will exceed $2.6 million. The adoption of ASC 606 is expected to have an immaterial impact on the Company’s Collaboration Revenues at the date of adoption. Consistent with ASC 605, the Company concluded that the license and delivery of the underlying particles are not distinct, therefore, are considered a combined performance obligation. In addition, consistent with ASC 605, the license options are material rights because they were issued at a discount. The Company allocated the consideration to each material right and performance obligations using a relative selling price allocation. The Company’s collaboration agreements contain significant amounts that will become due upon the occurrence of certain events. These amounts include development, and regulatory milestones, which are considered part of the variable consideration. Upon adoption of ASC 606, the Company expects to conclude that the development and regulatory milestones are fully constrained. The Company will continue to evaluate the likelihood of the development and regulatory milestone events occurring and will include such amounts in the transaction price when it is probable that a significant revenue reversal will not occur in future periods. The arrangement also includes sales milestones and royalties, which will be recognized as revenue when the related sales occur, or when the milestone thresholds have been met using the royalty recognition constraint. The impact on the Company's collaboration revenue in 2018 and forward will depend on the timing and delivery of performance obligations, as well as the estimates of variable consideration, subject to the constraint. The deferred tax assets and liabilities resulting from these adjustments will be substantially offset by an associated adjustment to the Company valuation allowance. Therefore, as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currently maintains a full valuation allowance against its net deferred tax assets, the Company does not expect the adoption of ASC 606 to have a significant impact on its deferred tax balances or income tax expense in 2018.</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potential impact listed above are estimates of the expected effects of the Company’s adoption of ASC 606 as of the time of preparation of this Annual Report on Form 10-K and will be finalized in connection with the first quarter. The anticipated accounting impacts described above will have no impact on cash flows.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The new standard requires that deferred tax assets and liabilities be classified as non-current in a classified statement of financial position. The Company adopted this standard on January 1, 2017, and the adoption did not have an impact on its consolidated financial statements due to the full valuation allowance position.</w:t>
      </w:r>
    </w:p>
    <w:p>
      <w:pPr>
        <w:spacing w:after="0" w:line="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(“ASU 2016-01”)</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2016-01 supersedes the guidance to classify equity securities with readily determinable fair values into</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 categories (that is, trading or available-for-sale) and requires equity securities (including other ownership interests, such as partnerships, unincorporated joint ventures, and limited liability companies) to be measured at fair value with changes in fair value recognized through net income. The amendments allow equity investments that do not have readily determinable fair values to be remeasured at fair value either upon the occurrence of an observable price change or upon identification of an impairment. The amendments also require enhanced disclosures about those investments. ASU 2016-01 is effective for annual reporting beginning after December 15, 2017, including interim periods within the year of adoption, and calls for prospective application, with early application permitted. Accordingly, the standard is effective for the Company on January 1, 2018. Upon adoption of ASU 2016-01 on January 1, 2018, the Company expects the impact to be less than $0.1 million on its consolidated statement of operations.</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February 2016,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The Company is currently evaluating the effect of the adoption of this guidance on its consolidated financial statements.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March 2016, the FASB issued ASU No. 2016-9,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2016-9”). ASU 2016-09 simplifies several aspects of the accounting for share-based payment transactions, including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classification of awards as either equity or liabilities, the estimation of forfeitures, statutory tax withholding requirements, and classification in the statement of cash flows. This guidance is effective for the Company on January 1, 2017 and early adoption was permitted. The Company adopted ASU 2016-09 during the first fiscal quarter ended on March 31, 2017. As part of the adoption of this guidance, the Company elected to continue estimating forfeitures in its calculation of stock-based compensation expense.</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excess tax benefits and tax deficiencies from stock-based compensation awards accounted for under ASC 718 are recognized as income tax benefit or expense, respectively, in the statement of operations and comprehensive loss. The income tax related items had no effect on the current period presentation as the Company maintains a full valuation allowance against its deferred tax assets. In addition, excess tax benefits for share-based payments are presented as an operating activity in the statement of cash flows rather than financing activity. The changes have been applied prospectively in accordance with the ASU and prior periods have not been adjusted. As a result of the adoption on January 1, 2017, the net operating losses deferred tax assets were increased by $0.3 million, which was offset by a corresponding increase in the valuation allowance.</w:t>
      </w:r>
    </w:p>
    <w:p>
      <w:pPr>
        <w:spacing w:after="0" w:line="17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Statements of Cash Flows (Topic 230) - Classifications of Certain Cash Receipts and Cash Payments</w:t>
      </w:r>
      <w:r>
        <w:rPr>
          <w:rFonts w:ascii="Arial" w:cs="Arial" w:eastAsia="Arial" w:hAnsi="Arial"/>
          <w:sz w:val="16"/>
          <w:szCs w:val="16"/>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Company does not expect the adoption of this guidance will have a material impact on its consolidated financial statements.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Restricted Cash</w:t>
      </w:r>
      <w:r>
        <w:rPr>
          <w:rFonts w:ascii="Arial" w:cs="Arial" w:eastAsia="Arial" w:hAnsi="Arial"/>
          <w:sz w:val="17"/>
          <w:szCs w:val="17"/>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 of period and end of period to total amounts shown on the statement of cash flows. This guidance is effective for annual reporting periods beginning after December 15, 2017, including interim periods within that reporting period, with early adoption permitted. We will adopt ASU 2016-18 during the first quarter ending March 31, 2018. Upon adoption, the Company will present $0.4 million of restricted cash in the "Cash and cash equivalents at beginning of period" line in the consolidated cash flow statement.</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which clarifies the definition of a business to assist entities with evaluating whether transactions should be accounted for as acquisitions (or disposals) of assets or businesses. This ASU is effective for public entities for fiscal years beginning after December 15, 2017, with early adoption permitted. The Company does not expect the adoption of ASU 2017-01 will have a material impact on the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As of December 31, 2017, the Company’s available-for-sale marketable securities consisted of corporate debt securities and U.S. agency bonds. As of December 31, 2016, the Company's available-for-sale marketable securities consisted of corporate debt securities.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Company’s available-for-sale marketable securities by major type of security as of December 31, 2017 and December 31, 2016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c>
          <w:tcPr>
            <w:tcW w:w="2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3"/>
                <w:szCs w:val="13"/>
                <w:color w:val="auto"/>
              </w:rPr>
            </w:pPr>
          </w:p>
        </w:tc>
        <w:tc>
          <w:tcPr>
            <w:tcW w:w="12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agency bonds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13,158</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13,152</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25,956</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1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24,821</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available-for-sale marketable securities are classified in the Company’s consolidated balance sheets as short-term deposits and investments.</w:t>
      </w:r>
    </w:p>
    <w:p>
      <w:pPr>
        <w:spacing w:after="0" w:line="2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classifies its marketable debt securities based on their contractual maturity dates. As of December 31, 2017, the Company’s marketable debt securities mature at various dates through May 2018.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25,940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24,785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r>
    </w:tbl>
    <w:p>
      <w:pPr>
        <w:spacing w:after="0" w:line="20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As of December 31, 2017, the Company held a total of 12 corporate bond positions, all of which were in an unrealized loss position, none of which had been in an unrealized loss position for 12 months or greater. The aggregate fair value of corporate bond investments in an unrealized loss position is $13.2 million.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2017, the Company held a total of 8 U.S. agency bond positions, all of which were in an unrealized loss position, none of which had been in an unrealized loss position for 12 months or greater. The aggregate fair value of U.S. agency bond investments in an unrealized loss position is $12.8 million.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Company’s review of these securities, the Company believes that the cost basis of its available-for-sale marketable securities is recoverable and it had no other-than-temporary impairments on these securities as of December 31, 2017. The Company does not intend to sell these debt securities and the Company believes it is not more-likely-than-not that it will be required to sell these securities before the recovery of their amortized cost basis, which may be at maturity.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has reported a net loss attributable to common stockholders for the years ended December 31, 2017, 2016 and 2015, and for this reason basic and diluted net loss per share attributable to common stockholders are the same for all periods presented. The following table sets forth the computation of basic and diluted net loss per share (in thousands, except share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17"/>
        </w:trPr>
        <w:tc>
          <w:tcPr>
            <w:tcW w:w="5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608"/>
              <w:spacing w:after="0"/>
              <w:rPr>
                <w:sz w:val="20"/>
                <w:szCs w:val="20"/>
                <w:color w:val="auto"/>
              </w:rPr>
            </w:pPr>
            <w:r>
              <w:rPr>
                <w:rFonts w:ascii="Arial" w:cs="Arial" w:eastAsia="Arial" w:hAnsi="Arial"/>
                <w:sz w:val="14"/>
                <w:szCs w:val="14"/>
                <w:b w:val="1"/>
                <w:bCs w:val="1"/>
                <w:color w:val="auto"/>
              </w:rPr>
              <w:t>2015</w:t>
            </w:r>
          </w:p>
        </w:tc>
      </w:tr>
      <w:tr>
        <w:trPr>
          <w:trHeight w:val="39"/>
        </w:trPr>
        <w:tc>
          <w:tcPr>
            <w:tcW w:w="56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1"/>
        </w:trPr>
        <w:tc>
          <w:tcPr>
            <w:tcW w:w="5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80"/>
        </w:trPr>
        <w:tc>
          <w:tcPr>
            <w:tcW w:w="56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191"/>
        </w:trPr>
        <w:tc>
          <w:tcPr>
            <w:tcW w:w="5680" w:type="dxa"/>
            <w:vAlign w:val="bottom"/>
          </w:tcPr>
          <w:p>
            <w:pPr>
              <w:ind w:left="4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(65,321)</w:t>
            </w:r>
          </w:p>
        </w:tc>
        <w:tc>
          <w:tcPr>
            <w:tcW w:w="24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(36,210)</w:t>
            </w:r>
          </w:p>
        </w:tc>
        <w:tc>
          <w:tcPr>
            <w:tcW w:w="2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(25,174)</w:t>
            </w:r>
          </w:p>
        </w:tc>
      </w:tr>
      <w:tr>
        <w:trPr>
          <w:trHeight w:val="80"/>
        </w:trPr>
        <w:tc>
          <w:tcPr>
            <w:tcW w:w="5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191"/>
        </w:trPr>
        <w:tc>
          <w:tcPr>
            <w:tcW w:w="5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accretion on preferred stock</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w:t>
            </w:r>
          </w:p>
        </w:tc>
      </w:tr>
      <w:tr>
        <w:trPr>
          <w:trHeight w:val="80"/>
        </w:trPr>
        <w:tc>
          <w:tcPr>
            <w:tcW w:w="568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r>
      <w:tr>
        <w:trPr>
          <w:trHeight w:val="184"/>
        </w:trPr>
        <w:tc>
          <w:tcPr>
            <w:tcW w:w="5680" w:type="dxa"/>
            <w:vAlign w:val="bottom"/>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(65,321)</w:t>
            </w:r>
          </w:p>
        </w:tc>
        <w:tc>
          <w:tcPr>
            <w:tcW w:w="24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(40,776)</w:t>
            </w:r>
          </w:p>
        </w:tc>
        <w:tc>
          <w:tcPr>
            <w:tcW w:w="2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(32,509)</w:t>
            </w:r>
          </w:p>
        </w:tc>
      </w:tr>
      <w:tr>
        <w:trPr>
          <w:trHeight w:val="93"/>
        </w:trPr>
        <w:tc>
          <w:tcPr>
            <w:tcW w:w="568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144"/>
        </w:trPr>
        <w:tc>
          <w:tcPr>
            <w:tcW w:w="56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80"/>
        </w:trPr>
        <w:tc>
          <w:tcPr>
            <w:tcW w:w="56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191"/>
        </w:trPr>
        <w:tc>
          <w:tcPr>
            <w:tcW w:w="568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20,425,050</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10,493,939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2,150,422</w:t>
            </w:r>
          </w:p>
        </w:tc>
      </w:tr>
      <w:tr>
        <w:trPr>
          <w:trHeight w:val="80"/>
        </w:trPr>
        <w:tc>
          <w:tcPr>
            <w:tcW w:w="56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42"/>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stockholders—basic and diluted</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2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tcBorders>
              <w:bottom w:val="single" w:sz="8" w:color="auto"/>
            </w:tcBorders>
          </w:tcPr>
          <w:p>
            <w:pPr>
              <w:spacing w:after="0"/>
              <w:rPr>
                <w:sz w:val="16"/>
                <w:szCs w:val="16"/>
                <w:color w:val="auto"/>
              </w:rPr>
            </w:pPr>
          </w:p>
        </w:tc>
      </w:tr>
      <w:tr>
        <w:trPr>
          <w:trHeight w:val="217"/>
        </w:trPr>
        <w:tc>
          <w:tcPr>
            <w:tcW w:w="5780" w:type="dxa"/>
            <w:vAlign w:val="bottom"/>
          </w:tcPr>
          <w:p>
            <w:pPr>
              <w:spacing w:after="0"/>
              <w:rPr>
                <w:sz w:val="18"/>
                <w:szCs w:val="18"/>
                <w:color w:val="auto"/>
              </w:rPr>
            </w:pPr>
          </w:p>
        </w:tc>
        <w:tc>
          <w:tcPr>
            <w:tcW w:w="1660" w:type="dxa"/>
            <w:vAlign w:val="bottom"/>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88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16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2015</w:t>
            </w:r>
          </w:p>
        </w:tc>
      </w:tr>
      <w:tr>
        <w:trPr>
          <w:trHeight w:val="39"/>
        </w:trPr>
        <w:tc>
          <w:tcPr>
            <w:tcW w:w="578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4"/>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2,657,187</w:t>
            </w:r>
          </w:p>
        </w:tc>
        <w:tc>
          <w:tcPr>
            <w:tcW w:w="18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2,128,346</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1,569,379</w:t>
            </w:r>
          </w:p>
        </w:tc>
      </w:tr>
      <w:tr>
        <w:trPr>
          <w:trHeight w:val="66"/>
        </w:trPr>
        <w:tc>
          <w:tcPr>
            <w:tcW w:w="57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191"/>
        </w:trPr>
        <w:tc>
          <w:tcPr>
            <w:tcW w:w="5780" w:type="dxa"/>
            <w:vAlign w:val="bottom"/>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176,432</w:t>
            </w:r>
          </w:p>
        </w:tc>
        <w:tc>
          <w:tcPr>
            <w:tcW w:w="1880" w:type="dxa"/>
            <w:vAlign w:val="bottom"/>
            <w:gridSpan w:val="2"/>
          </w:tcPr>
          <w:p>
            <w:pPr>
              <w:jc w:val="right"/>
              <w:ind w:right="28"/>
              <w:spacing w:after="0"/>
              <w:rPr>
                <w:sz w:val="20"/>
                <w:szCs w:val="20"/>
                <w:color w:val="auto"/>
              </w:rPr>
            </w:pPr>
            <w:r>
              <w:rPr>
                <w:rFonts w:ascii="Arial" w:cs="Arial" w:eastAsia="Arial" w:hAnsi="Arial"/>
                <w:sz w:val="14"/>
                <w:szCs w:val="14"/>
                <w:color w:val="auto"/>
              </w:rPr>
              <w:t>97,302</w:t>
            </w:r>
          </w:p>
        </w:tc>
        <w:tc>
          <w:tcPr>
            <w:tcW w:w="120" w:type="dxa"/>
            <w:vAlign w:val="bottom"/>
          </w:tcPr>
          <w:p>
            <w:pPr>
              <w:spacing w:after="0"/>
              <w:rPr>
                <w:sz w:val="16"/>
                <w:szCs w:val="16"/>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650,618</w:t>
            </w:r>
          </w:p>
        </w:tc>
      </w:tr>
      <w:tr>
        <w:trPr>
          <w:trHeight w:val="80"/>
        </w:trPr>
        <w:tc>
          <w:tcPr>
            <w:tcW w:w="5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r>
      <w:tr>
        <w:trPr>
          <w:trHeight w:val="191"/>
        </w:trPr>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convertible preferred stock</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9,890,580</w:t>
            </w:r>
          </w:p>
        </w:tc>
      </w:tr>
      <w:tr>
        <w:trPr>
          <w:trHeight w:val="80"/>
        </w:trPr>
        <w:tc>
          <w:tcPr>
            <w:tcW w:w="57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191"/>
        </w:trPr>
        <w:tc>
          <w:tcPr>
            <w:tcW w:w="5780" w:type="dxa"/>
            <w:vAlign w:val="bottom"/>
          </w:tcPr>
          <w:p>
            <w:pPr>
              <w:ind w:left="40"/>
              <w:spacing w:after="0"/>
              <w:rPr>
                <w:sz w:val="20"/>
                <w:szCs w:val="20"/>
                <w:color w:val="auto"/>
              </w:rPr>
            </w:pPr>
            <w:r>
              <w:rPr>
                <w:rFonts w:ascii="Arial" w:cs="Arial" w:eastAsia="Arial" w:hAnsi="Arial"/>
                <w:sz w:val="14"/>
                <w:szCs w:val="14"/>
                <w:color w:val="auto"/>
              </w:rPr>
              <w:t>Redeemable convertible preferred stock warrants</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26,832</w:t>
            </w:r>
          </w:p>
        </w:tc>
      </w:tr>
      <w:tr>
        <w:trPr>
          <w:trHeight w:val="80"/>
        </w:trPr>
        <w:tc>
          <w:tcPr>
            <w:tcW w:w="5780" w:type="dxa"/>
            <w:vAlign w:val="bottom"/>
            <w:tcBorders>
              <w:bottom w:val="single" w:sz="8" w:color="CCEEFF"/>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237"/>
        </w:trPr>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2,833,619</w:t>
            </w:r>
          </w:p>
        </w:tc>
        <w:tc>
          <w:tcPr>
            <w:tcW w:w="18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2,225,648</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12,137,409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December 31, 2017 and December 31, 2016, and indicate the level within the fair value hierarchy where each measurement is classified. Below is a summary of assets measured at fair value on a recurring basis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6920" w:type="dxa"/>
            <w:vAlign w:val="bottom"/>
            <w:gridSpan w:val="2"/>
          </w:tcPr>
          <w:p>
            <w:pPr>
              <w:ind w:left="180"/>
              <w:spacing w:after="0"/>
              <w:rPr>
                <w:sz w:val="20"/>
                <w:szCs w:val="20"/>
                <w:color w:val="auto"/>
              </w:rPr>
            </w:pPr>
            <w:r>
              <w:rPr>
                <w:rFonts w:ascii="Arial" w:cs="Arial" w:eastAsia="Arial" w:hAnsi="Arial"/>
                <w:sz w:val="14"/>
                <w:szCs w:val="14"/>
                <w:color w:val="auto"/>
              </w:rPr>
              <w:t>Money market funds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39,478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39,478</w:t>
            </w:r>
          </w:p>
        </w:tc>
      </w:tr>
      <w:tr>
        <w:trPr>
          <w:trHeight w:val="270"/>
        </w:trPr>
        <w:tc>
          <w:tcPr>
            <w:tcW w:w="40" w:type="dxa"/>
            <w:vAlign w:val="bottom"/>
            <w:shd w:val="clear" w:color="auto" w:fill="CCEEFF"/>
          </w:tcPr>
          <w:p>
            <w:pPr>
              <w:spacing w:after="0"/>
              <w:rPr>
                <w:sz w:val="23"/>
                <w:szCs w:val="23"/>
                <w:color w:val="auto"/>
              </w:rPr>
            </w:pPr>
          </w:p>
        </w:tc>
        <w:tc>
          <w:tcPr>
            <w:tcW w:w="6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 government agency bonds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r>
      <w:tr>
        <w:trPr>
          <w:trHeight w:val="283"/>
        </w:trPr>
        <w:tc>
          <w:tcPr>
            <w:tcW w:w="6960" w:type="dxa"/>
            <w:vAlign w:val="bottom"/>
            <w:gridSpan w:val="3"/>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39,478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40,478</w:t>
            </w:r>
          </w:p>
        </w:tc>
      </w:tr>
      <w:tr>
        <w:trPr>
          <w:trHeight w:val="231"/>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Short-term investments:</w:t>
            </w:r>
          </w:p>
        </w:tc>
        <w:tc>
          <w:tcPr>
            <w:tcW w:w="55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4"/>
        </w:trPr>
        <w:tc>
          <w:tcPr>
            <w:tcW w:w="40" w:type="dxa"/>
            <w:vAlign w:val="bottom"/>
          </w:tcPr>
          <w:p>
            <w:pPr>
              <w:spacing w:after="0"/>
              <w:rPr>
                <w:sz w:val="22"/>
                <w:szCs w:val="22"/>
                <w:color w:val="auto"/>
              </w:rPr>
            </w:pPr>
          </w:p>
        </w:tc>
        <w:tc>
          <w:tcPr>
            <w:tcW w:w="6920" w:type="dxa"/>
            <w:vAlign w:val="bottom"/>
            <w:gridSpan w:val="2"/>
          </w:tcPr>
          <w:p>
            <w:pPr>
              <w:ind w:left="180"/>
              <w:spacing w:after="0"/>
              <w:rPr>
                <w:sz w:val="20"/>
                <w:szCs w:val="20"/>
                <w:color w:val="auto"/>
              </w:rPr>
            </w:pPr>
            <w:r>
              <w:rPr>
                <w:rFonts w:ascii="Arial" w:cs="Arial" w:eastAsia="Arial" w:hAnsi="Arial"/>
                <w:sz w:val="14"/>
                <w:szCs w:val="14"/>
                <w:color w:val="auto"/>
              </w:rPr>
              <w:t>Corporate bonds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13,152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13,152</w:t>
            </w:r>
          </w:p>
        </w:tc>
      </w:tr>
      <w:tr>
        <w:trPr>
          <w:trHeight w:val="270"/>
        </w:trPr>
        <w:tc>
          <w:tcPr>
            <w:tcW w:w="40" w:type="dxa"/>
            <w:vAlign w:val="bottom"/>
            <w:shd w:val="clear" w:color="auto" w:fill="CCEEFF"/>
          </w:tcPr>
          <w:p>
            <w:pPr>
              <w:spacing w:after="0"/>
              <w:rPr>
                <w:sz w:val="23"/>
                <w:szCs w:val="23"/>
                <w:color w:val="auto"/>
              </w:rPr>
            </w:pPr>
          </w:p>
        </w:tc>
        <w:tc>
          <w:tcPr>
            <w:tcW w:w="6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 government agency bonds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12,788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12,788</w:t>
            </w:r>
          </w:p>
        </w:tc>
      </w:tr>
      <w:tr>
        <w:trPr>
          <w:trHeight w:val="243"/>
        </w:trPr>
        <w:tc>
          <w:tcPr>
            <w:tcW w:w="6960" w:type="dxa"/>
            <w:vAlign w:val="bottom"/>
            <w:gridSpan w:val="3"/>
          </w:tcPr>
          <w:p>
            <w:pPr>
              <w:ind w:left="40"/>
              <w:spacing w:after="0"/>
              <w:rPr>
                <w:sz w:val="20"/>
                <w:szCs w:val="20"/>
                <w:color w:val="auto"/>
              </w:rPr>
            </w:pPr>
            <w:r>
              <w:rPr>
                <w:rFonts w:ascii="Arial" w:cs="Arial" w:eastAsia="Arial" w:hAnsi="Arial"/>
                <w:sz w:val="14"/>
                <w:szCs w:val="14"/>
                <w:color w:val="auto"/>
              </w:rPr>
              <w:t>Total short-term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13,152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25,940</w:t>
            </w: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70"/>
        </w:trPr>
        <w:tc>
          <w:tcPr>
            <w:tcW w:w="6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4"/>
        </w:trPr>
        <w:tc>
          <w:tcPr>
            <w:tcW w:w="678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26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70"/>
        </w:trPr>
        <w:tc>
          <w:tcPr>
            <w:tcW w:w="6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Tri-party repurchase agreements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27,000</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27,000</w:t>
            </w:r>
          </w:p>
        </w:tc>
      </w:tr>
      <w:tr>
        <w:trPr>
          <w:trHeight w:val="283"/>
        </w:trPr>
        <w:tc>
          <w:tcPr>
            <w:tcW w:w="6780" w:type="dxa"/>
            <w:vAlign w:val="bottom"/>
          </w:tcPr>
          <w:p>
            <w:pPr>
              <w:ind w:left="40"/>
              <w:spacing w:after="0"/>
              <w:rPr>
                <w:sz w:val="20"/>
                <w:szCs w:val="20"/>
                <w:color w:val="auto"/>
              </w:rPr>
            </w:pPr>
            <w:r>
              <w:rPr>
                <w:rFonts w:ascii="Arial" w:cs="Arial" w:eastAsia="Arial" w:hAnsi="Arial"/>
                <w:sz w:val="14"/>
                <w:szCs w:val="14"/>
                <w:color w:val="auto"/>
              </w:rPr>
              <w:t>Total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26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27,000</w:t>
            </w:r>
          </w:p>
        </w:tc>
        <w:tc>
          <w:tcPr>
            <w:tcW w:w="24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27,183</w:t>
            </w:r>
          </w:p>
        </w:tc>
      </w:tr>
      <w:tr>
        <w:trPr>
          <w:trHeight w:val="251"/>
        </w:trPr>
        <w:tc>
          <w:tcPr>
            <w:tcW w:w="6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64"/>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24,785</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24,785</w:t>
            </w:r>
          </w:p>
        </w:tc>
      </w:tr>
      <w:tr>
        <w:trPr>
          <w:trHeight w:val="243"/>
        </w:trPr>
        <w:tc>
          <w:tcPr>
            <w:tcW w:w="6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December 31, 2017, cash and cash equivalent investments were held in money market funds and U.S. government agency bonds maturing within 90 days from the date of purchase. The tri-party repurchase agreements held at December 31, 2016 were collateralized by government securities for an amount not less than 102% of their value. All tri-party repurchase agreements had maturities of three months or less at the time of investment.</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average maturity date for Corporate Bonds, included in investments at December 31, 2017 and December 31, 2016 was 179 days and 297 days, respectively. Fair value of Corporate Bonds approximates amortized value.</w:t>
      </w:r>
    </w:p>
    <w:p>
      <w:pPr>
        <w:sectPr>
          <w:pgSz w:w="11900" w:h="16838" w:orient="portrait"/>
          <w:cols w:equalWidth="0" w:num="1">
            <w:col w:w="11420"/>
          </w:cols>
          <w:pgMar w:left="240" w:top="125" w:right="239" w:bottom="568"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125" w:right="239" w:bottom="568"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average maturity date for U.S. Government Agency Bonds, included in investments at December 31, 2017 was 168 days. Fair value of U.S. Government Agency Bonds approximates amortized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4,713</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562</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226</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r>
      <w:tr>
        <w:trPr>
          <w:trHeight w:val="210"/>
        </w:trPr>
        <w:tc>
          <w:tcPr>
            <w:tcW w:w="8800" w:type="dxa"/>
            <w:vAlign w:val="bottom"/>
          </w:tcPr>
          <w:p>
            <w:pPr>
              <w:ind w:left="280"/>
              <w:spacing w:after="0"/>
              <w:rPr>
                <w:sz w:val="20"/>
                <w:szCs w:val="20"/>
                <w:color w:val="auto"/>
              </w:rPr>
            </w:pPr>
            <w:r>
              <w:rPr>
                <w:rFonts w:ascii="Arial" w:cs="Arial" w:eastAsia="Arial" w:hAnsi="Arial"/>
                <w:sz w:val="14"/>
                <w:szCs w:val="14"/>
                <w:color w:val="auto"/>
              </w:rPr>
              <w:t>Total property and equipment</w:t>
            </w:r>
          </w:p>
        </w:tc>
        <w:tc>
          <w:tcPr>
            <w:tcW w:w="16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5,787</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(3,740)</w:t>
            </w:r>
          </w:p>
        </w:tc>
      </w:tr>
      <w:tr>
        <w:trPr>
          <w:trHeight w:val="216"/>
        </w:trPr>
        <w:tc>
          <w:tcPr>
            <w:tcW w:w="880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2,047</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$0.8 million, $0.8 million and $1.0 million for the years ended December 31, 2017,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and licensing</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415</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r>
      <w:tr>
        <w:trPr>
          <w:trHeight w:val="216"/>
        </w:trPr>
        <w:tc>
          <w:tcPr>
            <w:tcW w:w="85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3,921</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40"/>
        <w:spacing w:after="0" w:line="220"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Headquarters Lease, the Company secured a letter of credit for $0.3 million which renews automatically each year and is classified in restricted cash and other deposits in the accompanying consolidated balance sheets.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August 2016, the Company signed an amendment to the Headquarters Lease, which extends the term through March 31, 2020. The Headquarters Lease includes a rent escalation clause, and accordingly, rent expense is being recognized on a straight-line basis over the lease term.</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October 2017, the Company entered into a lease for approximately 5,100 square feet of additional office space located in Watertown, Massachusetts. The lease expires on March 31, 2020. The lease includes a rent escalation clause, and accordingly, rent expense is being recognized on a straight-line basis over the lease term.</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Deferred rent and lease incentive liability totaled $0.2 million and $0.3 million as of December 31, 2017 and December 31, 2016, respectively. Included in that amount, the current portion of deferred rent and lease incentive liability is classified as accrued expenses and was less than $0.1 million at December 31, 2017 and December 31, 2016, respectively.</w:t>
      </w:r>
    </w:p>
    <w:p>
      <w:pPr>
        <w:sectPr>
          <w:pgSz w:w="11900" w:h="16838" w:orient="portrait"/>
          <w:cols w:equalWidth="0" w:num="1">
            <w:col w:w="11420"/>
          </w:cols>
          <w:pgMar w:left="240" w:top="125" w:right="239" w:bottom="1095"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5" w:right="239" w:bottom="1095"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2017, 2016 and 2015 was $1.9 million, $1.6 million and $1.1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aggregate future minimum lease payments related to these leases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60" w:type="dxa"/>
            <w:vAlign w:val="bottom"/>
          </w:tcPr>
          <w:p>
            <w:pPr>
              <w:ind w:left="40"/>
              <w:spacing w:after="0"/>
              <w:rPr>
                <w:sz w:val="20"/>
                <w:szCs w:val="20"/>
                <w:color w:val="auto"/>
              </w:rPr>
            </w:pPr>
            <w:r>
              <w:rPr>
                <w:rFonts w:ascii="Arial" w:cs="Arial" w:eastAsia="Arial" w:hAnsi="Arial"/>
                <w:sz w:val="14"/>
                <w:szCs w:val="14"/>
                <w:color w:val="auto"/>
              </w:rPr>
              <w:t>Year ended December 31,</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1,482</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r>
      <w:tr>
        <w:trPr>
          <w:trHeight w:val="204"/>
        </w:trPr>
        <w:tc>
          <w:tcPr>
            <w:tcW w:w="10060" w:type="dxa"/>
            <w:vAlign w:val="bottom"/>
          </w:tcPr>
          <w:p>
            <w:pPr>
              <w:ind w:left="40"/>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3,294</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Term Loan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9, 2013, the Company entered into a loan and security agreement with Oxford Finance LLC (“Oxford”) and Square 1 Bank (“Square 1”) to borrow up to $7.5 million. The Company initially borrowed $3.0 million in August 2013 and subsequently borrowed an additional $4.5 million in July 2014. In December 2015, the Company refinanced this debt facility to increase the amount of the borrowing to $12.0 million and to extend the repayment term. The amounts borrowed are collectively referred to as the “2015 Term Loan”.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extinguishment of the 2015 Term Loan debt in September 2017 that is discussed in greater detail below, the 2015 Term Loan was collateralized by substantially all of the assets of the Company and bore interest at 8.1% per annum. The monthly payments for the 2015 Term Loan were initially interest only through January 2017. Principal repayments for the 2015 Term Loan were due over 30 monthly installments beginning on February 1,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Term Loan could be prepaid at the Company’s option at any time prior to maturity subject to a prepayment fee of 2% if prepaid after the first anniversary but before the second anniversaries, and 1% if prepaid after the second anniversary. The 2015 Term Loan did not include any financial covenants. The 2015 Term Loan required a final payment fee of 6.0% on the aggregate principal amounts borrowed upon repayment at maturity, on a prepayment date, or upon default. The final payment fee totaling $0.7 million was recorded as a loan discount.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2015 Term Loan,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up to 17,888 shares of the Company’s common stock at an exercise price of $16.77 per share. These warrants are classified as permanent equity in the accompanying consolidated balance sheets and will expire ten years from the date of issuance.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Additionally, with the refinancing of the 2015 Term Loan at December 31, 2015, the Company granted the lenders 37,978 shares of the Company’s Series E Preferred which also was converted at the IPO to warrants to purchase up to 15,094 shares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Company’s common stock at an exercise price of $11.32 per share. These warrants are classified as permanent equity in the accompanying consolidated balance sheets and will expire ten years from the date of issuance.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initial grant date fair value of the Series D Preferred and Series E Preferred warrants was $0.1 million and $0.1 million for each issuance, respectively and was recorded as a loan discount.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December 2016, a total of 16,493 warrants to purchase common stock were exercised under a cashless exercise, resulting in a net issuance of 4,697 shares of common stock. The warrant exercise price had been established at the time the warrants were converted.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12, 2017, the Company entered into a term loan facility of up to $21.0 million (the “2017 Term Loan”) with Silicon Valley Bank, a California corporation (“SVB”), the proceeds of which were used to repay the 2015 Term Loan and for general corporate and working capital purposes. The Company refers to the 2015 Term Loan and the 2017 Term Loan, collectively, as the “Term Loans.” The 2017 Term Loan is governed by a loan and security agreement, dated September 12, 2017, between the Company and SVB (the “Loan Agreement”). The 2017 Term Loan was funded in full on September 13, 2017 (the “Funding Date”).</w:t>
      </w:r>
    </w:p>
    <w:p>
      <w:pPr>
        <w:spacing w:after="0" w:line="18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year ended December 31, 2017, which is reflected in the consolidated statements of operations and comprehensive loss under the header “Loss on extinguishment of debt”.</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w:t>
      </w:r>
    </w:p>
    <w:p>
      <w:pPr>
        <w:spacing w:after="0" w:line="2" w:lineRule="exact"/>
        <w:rPr>
          <w:sz w:val="20"/>
          <w:szCs w:val="20"/>
          <w:color w:val="auto"/>
        </w:rPr>
      </w:pPr>
    </w:p>
    <w:p>
      <w:pPr>
        <w:jc w:val="both"/>
        <w:ind w:right="480" w:firstLine="8"/>
        <w:spacing w:after="0" w:line="323"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pays on the date of such prepayment (A) all outstanding principal plus accrued and unpaid interest, and (B) a prepayment premium of 3% if prepaid before the first anniversary, 2% if prepaid after the first anniversary but before the second anniversaries, and 1% if prepaid after the second anniversary.</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w:t>
      </w:r>
    </w:p>
    <w:p>
      <w:pPr>
        <w:spacing w:after="0" w:line="1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and December 31, 2016, the outstanding principal balance under the Term Loans was $21.0 million and $12.0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on the 2017 Term Loan as of December 31, 2017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Pr>
          <w:p>
            <w:pPr>
              <w:ind w:left="40"/>
              <w:spacing w:after="0"/>
              <w:rPr>
                <w:sz w:val="20"/>
                <w:szCs w:val="20"/>
                <w:color w:val="auto"/>
              </w:rPr>
            </w:pPr>
            <w:r>
              <w:rPr>
                <w:rFonts w:ascii="Arial" w:cs="Arial" w:eastAsia="Arial" w:hAnsi="Arial"/>
                <w:sz w:val="14"/>
                <w:szCs w:val="14"/>
                <w:color w:val="auto"/>
              </w:rPr>
              <w:t>2018</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1,065</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4,535</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2020</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9,093</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8,665</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2022</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1,753</w:t>
            </w:r>
          </w:p>
        </w:tc>
      </w:tr>
      <w:tr>
        <w:trPr>
          <w:trHeight w:val="26"/>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minimum debt payments</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25,111</w:t>
            </w:r>
          </w:p>
        </w:tc>
      </w:tr>
      <w:tr>
        <w:trPr>
          <w:trHeight w:val="197"/>
        </w:trPr>
        <w:tc>
          <w:tcPr>
            <w:tcW w:w="9940" w:type="dxa"/>
            <w:vAlign w:val="bottom"/>
          </w:tcPr>
          <w:p>
            <w:pPr>
              <w:ind w:left="40"/>
              <w:spacing w:after="0"/>
              <w:rPr>
                <w:sz w:val="20"/>
                <w:szCs w:val="20"/>
                <w:color w:val="auto"/>
              </w:rPr>
            </w:pPr>
            <w:r>
              <w:rPr>
                <w:rFonts w:ascii="Arial" w:cs="Arial" w:eastAsia="Arial" w:hAnsi="Arial"/>
                <w:sz w:val="14"/>
                <w:szCs w:val="14"/>
                <w:color w:val="auto"/>
              </w:rPr>
              <w:t>Less: Amount representing interest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(3,061)</w:t>
            </w:r>
          </w:p>
        </w:tc>
      </w:tr>
      <w:tr>
        <w:trPr>
          <w:trHeight w:val="209"/>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Less: Current portion of loans payable</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Loans payable, net of current portion</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years ended December 31, 2017, 2016 and 2015, the Company recognized $1.2 million, $1.3 million and $0.7 million, respectively, of interest expense related to the Term Loans.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10). The difference between the carrying value and accrued interest of the convertible notes that were converted and the combined fair value of the Series E Preferred shares and common stock warrants issued were negligible. There was no interest expense related to the convertible notes for the years ended December 31, 2017 and December 31, 2016, and $0.3 million for the year ended December 31, 2015.</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Prior to the completion of its IPO, the Company had 37,835,623 authorized shares of preferred stock, par value $0.0001 per share (the "Preferred Stock") as of December 31, 2015. The Company issued Preferred Stock to investors for cash or as settlement for outstanding debt under convertible notes.</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December 31, 2015, the Company had issued and outstanding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outstanding shares of the Company’s convertible preferred stock automatically converted into 10,126,118 shares of the Company’s common stock upon the closing of the IPO on June 27,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Shelf Registration Statement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August 10, 2017, the Company filed a universal shelf registration statement on Form S-3 with the SEC to sell up to $200 million of equity and/or debt securities and entered into a sales agreement with Jefferies LLC, as sales agent, pursuant to which the Company may, from time to time, issue and sell common stock with an aggregate value of up to $50 million in an at-the-market, or ATM, offering. The shelf registration statement was declared effective by the SEC on August 28, 2017. As of December 31, 2017, no securities have been issued from this shelf registration statement.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6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After deducting for placement agent fees and offering expenses, the aggregate net proceeds from the 2017 PIPE was approximately $47.1 million. The Company expects to use the proceeds from the 2017 PIPE towards working capital requirements and general corporate purposes.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Securities and Exchange Commission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21, 2016, the Company completed its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IPO on June 27, 2016, all outstanding shares of the Company’s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2017, the Company has 200,000,000 shares of common stock authorized for issuance, $0.0001 par value per share, with 22,343,254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December 31, 2017,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48"/>
              <w:spacing w:after="0"/>
              <w:rPr>
                <w:sz w:val="20"/>
                <w:szCs w:val="20"/>
                <w:color w:val="auto"/>
              </w:rPr>
            </w:pPr>
            <w:r>
              <w:rPr>
                <w:rFonts w:ascii="Arial" w:cs="Arial" w:eastAsia="Arial" w:hAnsi="Arial"/>
                <w:sz w:val="14"/>
                <w:szCs w:val="14"/>
                <w:b w:val="1"/>
                <w:bCs w:val="1"/>
                <w:color w:val="auto"/>
              </w:rPr>
              <w:t>Period ending</w:t>
            </w:r>
          </w:p>
        </w:tc>
      </w:tr>
      <w:tr>
        <w:trPr>
          <w:trHeight w:val="264"/>
        </w:trPr>
        <w:tc>
          <w:tcPr>
            <w:tcW w:w="7900" w:type="dxa"/>
            <w:vAlign w:val="bottom"/>
          </w:tcPr>
          <w:p>
            <w:pPr>
              <w:spacing w:after="0"/>
              <w:rPr>
                <w:sz w:val="22"/>
                <w:szCs w:val="22"/>
                <w:color w:val="auto"/>
              </w:rPr>
            </w:pP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97,302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923,440</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939,317</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common stock options</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2,657,187</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2,128,346</w:t>
            </w:r>
          </w:p>
        </w:tc>
      </w:tr>
      <w:tr>
        <w:trPr>
          <w:trHeight w:val="216"/>
        </w:trPr>
        <w:tc>
          <w:tcPr>
            <w:tcW w:w="7900" w:type="dxa"/>
            <w:vAlign w:val="bottom"/>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3,757,059</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3,164,965</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00" w:firstLine="8"/>
        <w:spacing w:after="0" w:line="503" w:lineRule="auto"/>
        <w:tabs>
          <w:tab w:leader="none" w:pos="27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spacing w:after="0" w:line="1"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7"/>
          <w:szCs w:val="17"/>
          <w:color w:val="auto"/>
        </w:rPr>
        <w:t>‑</w:t>
      </w:r>
      <w:r>
        <w:rPr>
          <w:rFonts w:ascii="Arial" w:cs="Arial" w:eastAsia="Arial" w:hAnsi="Arial"/>
          <w:sz w:val="17"/>
          <w:szCs w:val="17"/>
          <w:color w:val="auto"/>
        </w:rPr>
        <w:t>qualified stock option and restricted stock awards as determined by the Board. At inception of the 2008 Plan, a total of 2,213,412 shares of common stock were authorized for grants under the 2008 Plan. As of December 31, 2017, 18,947 shares remain available for future issuance under the 2008 Plan; however, the Company ceased granting awards under the 2008 Plan upon the effectiveness of the 2016 Plan (as defined below).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2008 Plan provided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the effective date of the Company's Registration Statement on Form S-1 relating to the initial public offering of its common stock on June 21, 2016, the Company ceased granting awards under the 2008 Plan; however, awards issued under the 2008 Plan remain subject to the terms of the 2008 Plan and the applicable 2008 Plan agreement.</w:t>
      </w:r>
    </w:p>
    <w:p>
      <w:pPr>
        <w:spacing w:after="0" w:line="181"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On June 7, 2016, the Company’s stockholders approved the 2016 Incentive Award Plan (the “2016 Plan”), which became effective June 20, 2016. The 2016 Plan provides for the granting of incentive and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restricted stock and other stock and cash based awards as determined by the Board. At inception of the 2016 Plan, a total of 1,947,779 shares of common stock were authorized for future grant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As of December 31, 2017, 563,300 shares remain available for future issuance under the 2016 Plan.</w:t>
      </w:r>
    </w:p>
    <w:p>
      <w:pPr>
        <w:spacing w:after="0" w:line="20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2016 Plan provides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2016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The fair value of each option award was estimated on the grant date using Black</w:t>
      </w:r>
      <w:r>
        <w:rPr>
          <w:rFonts w:ascii="MS PGothic" w:cs="MS PGothic" w:eastAsia="MS PGothic" w:hAnsi="MS PGothic"/>
          <w:sz w:val="18"/>
          <w:szCs w:val="18"/>
          <w:color w:val="auto"/>
        </w:rPr>
        <w:t>‑</w:t>
      </w:r>
      <w:r>
        <w:rPr>
          <w:rFonts w:ascii="Arial" w:cs="Arial" w:eastAsia="Arial" w:hAnsi="Arial"/>
          <w:sz w:val="18"/>
          <w:szCs w:val="18"/>
          <w:color w:val="auto"/>
        </w:rPr>
        <w:t>Scholes. Expected volatilities were based on historical volatilities from guideline companies, since there was no active market for the Company’s common stock. The Company used the “simplified” method to estimate the expected life of options granted and are expected to be outstanding.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were estimated at the time of grant and were adjusted, if necessary, in subsequent periods if actual forfeitures differed from those estimates. The Company had estimated a forfeiture rate of 10% based on historical attrition trends. The Company records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only on awards that are expected to vest.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2008 Plan and 2016 Plan were calculated using the Black-Scholes option pricing model, based on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56"/>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264"/>
        </w:trPr>
        <w:tc>
          <w:tcPr>
            <w:tcW w:w="624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940" w:type="dxa"/>
            <w:vAlign w:val="bottom"/>
          </w:tcPr>
          <w:p>
            <w:pPr>
              <w:spacing w:after="0"/>
              <w:rPr>
                <w:sz w:val="22"/>
                <w:szCs w:val="22"/>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6.02</w:t>
            </w:r>
          </w:p>
        </w:tc>
      </w:tr>
      <w:tr>
        <w:trPr>
          <w:trHeight w:val="264"/>
        </w:trPr>
        <w:tc>
          <w:tcPr>
            <w:tcW w:w="624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84.52%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94.97%</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79.80%</w:t>
            </w: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15.32</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13.25</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7.35</w:t>
            </w:r>
          </w:p>
        </w:tc>
      </w:tr>
    </w:tbl>
    <w:p>
      <w:pPr>
        <w:spacing w:after="0" w:line="200" w:lineRule="exact"/>
        <w:rPr>
          <w:sz w:val="20"/>
          <w:szCs w:val="20"/>
          <w:color w:val="auto"/>
        </w:rPr>
      </w:pPr>
    </w:p>
    <w:p>
      <w:pPr>
        <w:spacing w:after="0" w:line="21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resulting weighted average grant date fair value of stock options granted to employees during the years ended December 31, 2017, 2016 and 2015 was $10.97, $10.23 and $5.03, respectively. The aggregate intrinsic value of stock options exercised during the years ended December 31, 2017, 2016 and 2015 was $2.6 million, $0.8 million and $0.3 million, respectively.</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 of December 31, 2017 and 2016, total unrecognized compensation expense related to unvested employee stock options was $10.2 million and $5.6 million, respectively, which is expected to be recognized over a weighted average period of 2.9 years and 3.0 years, respectively.</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year ended December 31, 2017, the status of an individual changed from an employee to a consultant (non-employee). Stock-based compensation expense relating to the individual's stock option awards was recognized through the employee's termination date. In accordance with ASC 505-50, the consultant's 55,073 unvested stock option awards were subsequently remeasured using the then-current fair value of the Company's common stock and updated assumption inputs in the Black-Scholes option pricing model. The Company will remeasure the consultant's stock option awards quarterly based on the fair value of the award on the date at which the related service is complete. Stock-based compensation expense will be recognized over the consulting period until services are completed. The 55,073 unvested stock option awards are included in the employee awards stock option rollforward above.</w:t>
      </w:r>
    </w:p>
    <w:p>
      <w:pPr>
        <w:spacing w:after="0" w:line="165" w:lineRule="exact"/>
        <w:rPr>
          <w:sz w:val="20"/>
          <w:szCs w:val="20"/>
          <w:color w:val="auto"/>
        </w:rPr>
      </w:pPr>
    </w:p>
    <w:p>
      <w:pPr>
        <w:ind w:right="160"/>
        <w:spacing w:after="0" w:line="221" w:lineRule="exact"/>
        <w:rPr>
          <w:sz w:val="20"/>
          <w:szCs w:val="20"/>
          <w:color w:val="auto"/>
        </w:rPr>
      </w:pPr>
      <w:r>
        <w:rPr>
          <w:rFonts w:ascii="Arial" w:cs="Arial" w:eastAsia="Arial" w:hAnsi="Arial"/>
          <w:sz w:val="16"/>
          <w:szCs w:val="16"/>
          <w:color w:val="auto"/>
        </w:rPr>
        <w:t>During the year ended December 31, 2017, there were no stock option awards granted to non-employees. The unvested options held by non</w:t>
      </w:r>
      <w:r>
        <w:rPr>
          <w:rFonts w:ascii="MS PGothic" w:cs="MS PGothic" w:eastAsia="MS PGothic" w:hAnsi="MS PGothic"/>
          <w:sz w:val="16"/>
          <w:szCs w:val="16"/>
          <w:color w:val="auto"/>
        </w:rPr>
        <w:t>‑</w:t>
      </w:r>
      <w:r>
        <w:rPr>
          <w:rFonts w:ascii="Arial" w:cs="Arial" w:eastAsia="Arial" w:hAnsi="Arial"/>
          <w:sz w:val="16"/>
          <w:szCs w:val="16"/>
          <w:color w:val="auto"/>
        </w:rPr>
        <w:t>employees are revalued using the Company’s estimate of fair value on each vesting and reporting date through the remaining vesting period. The weighted average assumptions used in the Black-Scholes option pricing model for unvested non</w:t>
      </w:r>
      <w:r>
        <w:rPr>
          <w:rFonts w:ascii="MS PGothic" w:cs="MS PGothic" w:eastAsia="MS PGothic" w:hAnsi="MS PGothic"/>
          <w:sz w:val="16"/>
          <w:szCs w:val="16"/>
          <w:color w:val="auto"/>
        </w:rPr>
        <w:t>‑</w:t>
      </w:r>
      <w:r>
        <w:rPr>
          <w:rFonts w:ascii="Arial" w:cs="Arial" w:eastAsia="Arial" w:hAnsi="Arial"/>
          <w:sz w:val="16"/>
          <w:szCs w:val="16"/>
          <w:color w:val="auto"/>
        </w:rPr>
        <w:t>employee stock option awards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63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56"/>
        </w:trPr>
        <w:tc>
          <w:tcPr>
            <w:tcW w:w="730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color w:val="auto"/>
              </w:rPr>
              <w:t>Risk</w:t>
            </w:r>
            <w:r>
              <w:rPr>
                <w:rFonts w:ascii="MS PGothic" w:cs="MS PGothic" w:eastAsia="MS PGothic" w:hAnsi="MS PGothic"/>
                <w:sz w:val="14"/>
                <w:szCs w:val="14"/>
                <w:color w:val="auto"/>
              </w:rPr>
              <w:t>‑</w:t>
            </w:r>
            <w:r>
              <w:rPr>
                <w:rFonts w:ascii="Arial" w:cs="Arial" w:eastAsia="Arial" w:hAnsi="Arial"/>
                <w:sz w:val="14"/>
                <w:szCs w:val="14"/>
                <w:color w:val="auto"/>
              </w:rPr>
              <w:t>free interest rate</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264"/>
        </w:trPr>
        <w:tc>
          <w:tcPr>
            <w:tcW w:w="7300" w:type="dxa"/>
            <w:vAlign w:val="bottom"/>
            <w:gridSpan w:val="2"/>
          </w:tcPr>
          <w:p>
            <w:pPr>
              <w:ind w:left="40"/>
              <w:spacing w:after="0"/>
              <w:rPr>
                <w:sz w:val="20"/>
                <w:szCs w:val="20"/>
                <w:color w:val="auto"/>
              </w:rPr>
            </w:pPr>
            <w:r>
              <w:rPr>
                <w:rFonts w:ascii="Arial" w:cs="Arial" w:eastAsia="Arial" w:hAnsi="Arial"/>
                <w:sz w:val="14"/>
                <w:szCs w:val="14"/>
                <w:color w:val="auto"/>
              </w:rPr>
              <w:t>Dividend yield</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7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w:t>
            </w:r>
          </w:p>
        </w:tc>
        <w:tc>
          <w:tcPr>
            <w:tcW w:w="1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6.46</w:t>
            </w:r>
          </w:p>
        </w:tc>
      </w:tr>
      <w:tr>
        <w:trPr>
          <w:trHeight w:val="258"/>
        </w:trPr>
        <w:tc>
          <w:tcPr>
            <w:tcW w:w="7300" w:type="dxa"/>
            <w:vAlign w:val="bottom"/>
            <w:gridSpan w:val="2"/>
          </w:tcPr>
          <w:p>
            <w:pPr>
              <w:ind w:left="40"/>
              <w:spacing w:after="0"/>
              <w:rPr>
                <w:sz w:val="20"/>
                <w:szCs w:val="20"/>
                <w:color w:val="auto"/>
              </w:rPr>
            </w:pPr>
            <w:r>
              <w:rPr>
                <w:rFonts w:ascii="Arial" w:cs="Arial" w:eastAsia="Arial" w:hAnsi="Arial"/>
                <w:sz w:val="14"/>
                <w:szCs w:val="14"/>
                <w:color w:val="auto"/>
              </w:rPr>
              <w:t>Expected volatility</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87.33%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98.18%</w:t>
            </w:r>
          </w:p>
        </w:tc>
      </w:tr>
    </w:tbl>
    <w:p>
      <w:pPr>
        <w:spacing w:after="0" w:line="200" w:lineRule="exact"/>
        <w:rPr>
          <w:sz w:val="20"/>
          <w:szCs w:val="20"/>
          <w:color w:val="auto"/>
        </w:rPr>
      </w:pPr>
    </w:p>
    <w:p>
      <w:pPr>
        <w:spacing w:after="0" w:line="230"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color w:val="auto"/>
        </w:rPr>
        <w:t>As of December 31, 2017 and 2016,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$0.6 million and $1.1 million, respectively.</w:t>
      </w: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2008 Plan and the 2016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 price ($)</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2016</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1,809,945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17,459</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882,900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(203,378)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(78,230)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2,411,237</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4,729</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December 31,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1,094,117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4,215</w:t>
            </w: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and expected to vest at December 31, 2017</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2,232,527</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4,729</w:t>
            </w:r>
          </w:p>
        </w:tc>
      </w:tr>
      <w:tr>
        <w:trPr>
          <w:trHeight w:val="264"/>
        </w:trPr>
        <w:tc>
          <w:tcPr>
            <w:tcW w:w="47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4"/>
        </w:trPr>
        <w:tc>
          <w:tcPr>
            <w:tcW w:w="4700" w:type="dxa"/>
            <w:vAlign w:val="bottom"/>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December 31, 2016</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318,342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4,044</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(67,392)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23.95</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at December 31, 2017</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207,502</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1,243</w:t>
            </w: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December 31,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1,351</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20,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2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inception of the ESPP, a total of 357,456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year ended December 31, 2017, the Company issued 16,263 shares of common stock under the ESPP. As of December 31, 2017, 341,193 shares remain available for future issuance under the ESPP.</w:t>
      </w:r>
    </w:p>
    <w:p>
      <w:pPr>
        <w:spacing w:after="0" w:line="20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fair value of the purchase rights granted under the ESPP for each of the six month offering periods beginning March 1, 2017 and September 1, 2017 were estimated by applying the Black-Scholes option-pricing model using the following range of assumptions: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80" w:type="dxa"/>
            <w:vAlign w:val="bottom"/>
          </w:tcPr>
          <w:p>
            <w:pPr>
              <w:ind w:left="40"/>
              <w:spacing w:after="0"/>
              <w:rPr>
                <w:sz w:val="20"/>
                <w:szCs w:val="20"/>
                <w:color w:val="auto"/>
              </w:rPr>
            </w:pPr>
            <w:r>
              <w:rPr>
                <w:rFonts w:ascii="Arial" w:cs="Arial" w:eastAsia="Arial" w:hAnsi="Arial"/>
                <w:sz w:val="14"/>
                <w:szCs w:val="14"/>
                <w:color w:val="auto"/>
              </w:rPr>
              <w:t>Fair value of common stock</w:t>
            </w:r>
          </w:p>
        </w:tc>
        <w:tc>
          <w:tcPr>
            <w:tcW w:w="4520" w:type="dxa"/>
            <w:vAlign w:val="bottom"/>
          </w:tcPr>
          <w:p>
            <w:pPr>
              <w:jc w:val="center"/>
              <w:ind w:left="3684"/>
              <w:spacing w:after="0"/>
              <w:rPr>
                <w:sz w:val="20"/>
                <w:szCs w:val="20"/>
                <w:color w:val="auto"/>
              </w:rPr>
            </w:pPr>
            <w:r>
              <w:rPr>
                <w:rFonts w:ascii="Arial" w:cs="Arial" w:eastAsia="Arial" w:hAnsi="Arial"/>
                <w:sz w:val="14"/>
                <w:szCs w:val="14"/>
                <w:color w:val="auto"/>
                <w:w w:val="93"/>
              </w:rPr>
              <w:t>$13.08</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3"/>
              </w:rPr>
              <w:t>$18.02</w:t>
            </w:r>
          </w:p>
        </w:tc>
      </w:tr>
      <w:tr>
        <w:trPr>
          <w:trHeight w:val="290"/>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4520" w:type="dxa"/>
            <w:vAlign w:val="bottom"/>
            <w:shd w:val="clear" w:color="auto" w:fill="CCEEFF"/>
          </w:tcPr>
          <w:p>
            <w:pPr>
              <w:jc w:val="center"/>
              <w:ind w:left="3684"/>
              <w:spacing w:after="0"/>
              <w:rPr>
                <w:sz w:val="20"/>
                <w:szCs w:val="20"/>
                <w:color w:val="auto"/>
              </w:rPr>
            </w:pPr>
            <w:r>
              <w:rPr>
                <w:rFonts w:ascii="Arial" w:cs="Arial" w:eastAsia="Arial" w:hAnsi="Arial"/>
                <w:sz w:val="14"/>
                <w:szCs w:val="14"/>
                <w:color w:val="auto"/>
                <w:w w:val="90"/>
              </w:rPr>
              <w:t>0.79%</w:t>
            </w:r>
          </w:p>
        </w:tc>
        <w:tc>
          <w:tcPr>
            <w:tcW w:w="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center"/>
              <w:ind w:right="104"/>
              <w:spacing w:after="0"/>
              <w:rPr>
                <w:sz w:val="20"/>
                <w:szCs w:val="20"/>
                <w:color w:val="auto"/>
              </w:rPr>
            </w:pPr>
            <w:r>
              <w:rPr>
                <w:rFonts w:ascii="Arial" w:cs="Arial" w:eastAsia="Arial" w:hAnsi="Arial"/>
                <w:sz w:val="14"/>
                <w:szCs w:val="14"/>
                <w:color w:val="auto"/>
                <w:w w:val="90"/>
              </w:rPr>
              <w:t>1.19%</w:t>
            </w:r>
          </w:p>
        </w:tc>
      </w:tr>
      <w:tr>
        <w:trPr>
          <w:trHeight w:val="278"/>
        </w:trPr>
        <w:tc>
          <w:tcPr>
            <w:tcW w:w="558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4520" w:type="dxa"/>
            <w:vAlign w:val="bottom"/>
          </w:tcPr>
          <w:p>
            <w:pPr>
              <w:jc w:val="center"/>
              <w:ind w:left="3684"/>
              <w:spacing w:after="0"/>
              <w:rPr>
                <w:sz w:val="20"/>
                <w:szCs w:val="20"/>
                <w:color w:val="auto"/>
              </w:rPr>
            </w:pPr>
            <w:r>
              <w:rPr>
                <w:rFonts w:ascii="Arial" w:cs="Arial" w:eastAsia="Arial" w:hAnsi="Arial"/>
                <w:sz w:val="14"/>
                <w:szCs w:val="14"/>
                <w:color w:val="auto"/>
                <w:w w:val="92"/>
              </w:rPr>
              <w:t>46.73%</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2"/>
              </w:rPr>
              <w:t>75.78%</w:t>
            </w:r>
          </w:p>
        </w:tc>
      </w:tr>
      <w:tr>
        <w:trPr>
          <w:trHeight w:val="290"/>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4520" w:type="dxa"/>
            <w:vAlign w:val="bottom"/>
            <w:shd w:val="clear" w:color="auto" w:fill="CCEEFF"/>
          </w:tcPr>
          <w:p>
            <w:pPr>
              <w:jc w:val="center"/>
              <w:ind w:left="3664"/>
              <w:spacing w:after="0"/>
              <w:rPr>
                <w:sz w:val="20"/>
                <w:szCs w:val="20"/>
                <w:color w:val="auto"/>
              </w:rPr>
            </w:pPr>
            <w:r>
              <w:rPr>
                <w:rFonts w:ascii="Arial" w:cs="Arial" w:eastAsia="Arial" w:hAnsi="Arial"/>
                <w:sz w:val="14"/>
                <w:szCs w:val="14"/>
                <w:color w:val="auto"/>
                <w:w w:val="92"/>
              </w:rPr>
              <w:t>0.1</w:t>
            </w:r>
          </w:p>
        </w:tc>
        <w:tc>
          <w:tcPr>
            <w:tcW w:w="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center"/>
              <w:ind w:right="124"/>
              <w:spacing w:after="0"/>
              <w:rPr>
                <w:sz w:val="20"/>
                <w:szCs w:val="20"/>
                <w:color w:val="auto"/>
              </w:rPr>
            </w:pPr>
            <w:r>
              <w:rPr>
                <w:rFonts w:ascii="Arial" w:cs="Arial" w:eastAsia="Arial" w:hAnsi="Arial"/>
                <w:sz w:val="14"/>
                <w:szCs w:val="14"/>
                <w:color w:val="auto"/>
                <w:w w:val="92"/>
              </w:rPr>
              <w:t>0.5</w:t>
            </w:r>
          </w:p>
        </w:tc>
      </w:tr>
      <w:tr>
        <w:trPr>
          <w:trHeight w:val="272"/>
        </w:trPr>
        <w:tc>
          <w:tcPr>
            <w:tcW w:w="558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4520" w:type="dxa"/>
            <w:vAlign w:val="bottom"/>
          </w:tcPr>
          <w:p>
            <w:pPr>
              <w:jc w:val="center"/>
              <w:ind w:left="366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Pr>
          <w:p>
            <w:pPr>
              <w:jc w:val="center"/>
              <w:ind w:right="124"/>
              <w:spacing w:after="0"/>
              <w:rPr>
                <w:sz w:val="20"/>
                <w:szCs w:val="20"/>
                <w:color w:val="auto"/>
              </w:rPr>
            </w:pPr>
            <w:r>
              <w:rPr>
                <w:rFonts w:ascii="Arial" w:cs="Arial" w:eastAsia="Arial" w:hAnsi="Arial"/>
                <w:sz w:val="18"/>
                <w:szCs w:val="18"/>
                <w:color w:val="auto"/>
                <w:w w:val="99"/>
              </w:rPr>
              <w:t>—</w:t>
            </w:r>
          </w:p>
        </w:tc>
      </w:tr>
    </w:tbl>
    <w:p>
      <w:pPr>
        <w:spacing w:after="0" w:line="214"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For the year ended December 31, 2017, the Company recognized $0.1 million of stock-based compensation expense under the ESPP. There was no stock-based compensation expense related to the ESPP for the years ended December 31, 2016 and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5"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had the right to repurchase any unvested shares when/if the shareholders terminate their employment relationship with the Company, at a price equal to the original exercise price. Accordingly, the Company recorded the cumulative payments received of $0.1 million for the purchase of the restricted shares as a liability, which was amortized over the vesting period. The liability became fully amortized as of December 31, 2016. As of December 31, 2016, there was no unrecognized compensation cost related to unvested restricted stock.</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the ESPP and restricted stock in the following expense categories of its consolidated statements of operations and comprehensive loss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320" w:firstLine="8"/>
        <w:spacing w:after="0" w:line="566" w:lineRule="auto"/>
        <w:tabs>
          <w:tab w:leader="none" w:pos="27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Spark License Agreement</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SVP™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18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License Agreement may be terminated by Spark for convenience upon ninety days’ notice. Either party may terminate the License Agreement on a target-by-target basis for material breach with respect to such target.</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Spark Purchase Agreement are subject to customary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Beyond the Initial Closing, the Spark Purchase Agreement contemplated potential future sales of shares by the Company to Spark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46" w:lineRule="exact"/>
        <w:rPr>
          <w:rFonts w:ascii="Arial" w:cs="Arial" w:eastAsia="Arial" w:hAnsi="Arial"/>
          <w:sz w:val="17"/>
          <w:szCs w:val="17"/>
          <w:color w:val="auto"/>
        </w:rPr>
      </w:pPr>
    </w:p>
    <w:p>
      <w:pPr>
        <w:ind w:left="660" w:right="120" w:hanging="328"/>
        <w:spacing w:after="0" w:line="27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(Note 15) totaling $2.2 million for the MIT sub-license provided to Spark, and $0.4 million relative to the calculated premium paid by Spark for the equity investments made under the Spark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Spark License Agreement contains the following deliverables: (1) certain exclusive, worldwide, royalty bearing licenses to the Company’s intellectual property and a license to conduct certain research activities under the collaboration, or the License Deliverable, (2) options to research, develop and commercialize gene therapies utilizing the SVP technology for up to four additional target therapy options, or the Option Deliverable, and (3) manufactured supply of pre-clinical and clinical SVP, or the Supply Deliverable. The Company considered the provisions of the multiple-element arrangement guidance in determining how to recognize the revenue associated with the identified deliverables. The Company has accounted for access to certain of the Company's technology through the various licenses and rights to use under the license deliverables listed above and the delivery of the manufactured supply as a single unit of accounting. The deliverables are not considered to have standalone value from one another and amounts allocated to these obligations will be recognized throughout the estimated period of delivery of the supply.</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Option Deliverable is determined to be substantive at the outset of the agreement, and therefore will not be considered an element of the arrangement when allocating the consideration as there is considerable uncertainty that the options would be exercised. Although the options are not considered a deliverable at inception, it was determined that there is a significant and incremental discount that requires inclusion as an element of the initial allocation of contract consideration.</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 Company evaluated the Spark Purchase Agreement and the Spark License agreement as one arrangement and determined that the initial purchase of common stock combined with the embedded future stock Acquisition Rights had a fair value of $2.7 million and this amount was recorded in equity.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evaluated and determined that the Acquisition Rights under the Spark Purchase Agreement are not freestanding instruments as these rights are not legally detachable from the Company’s common stock. In addition, the Company has further assessed that the Acquisition Rights were clearly and closely related to the economic characteristic and risk of the common stock. The Company determined that the Acquisition Rights are embedded and inseparable from the initial stock purchase and no subsequent remeasurement is necessary.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Allocable arrangement consideration at inception consisted of the total non-contingent payments aggregating to $15 million. The Company allocated $2.7 million to equity (representing the fair value of the initial purchase of common stock combined with the embedded future stock Acquisition Rights), $7.1 million to the License and Supply Deliverable combined unit of accounting and $5.2 million to the discount on the Option Deliverable. The total arrangement consideration for the License and Supply deliverable and the Option deliverable was allocated using the relative best estimate of selling price method to each deliverable. The best estimate of selling price for the License and Supply deliverable was determined using a discounted cash flow model that includes Level 3 fair value measurements. The best estimate of selling price for the Option Deliverable was determined based on the fair value of the license minus the strike price of the option (the probability of exercise was included in the valuation). The consideration allocated to the combined unit of accounting for the License and Supply Deliverable, totaling $7.1 million, will be recognized based on the proportion of actual deliveries to the total expected deliveries over the initial term which is estimated to be approximately four years. The discount associated with the Option Deliverable, totaling $5.2 million, will be recognized, if the options are exercised, over the related expected deliveries of supply. If the options expire without exercise, the related deferred revenue will be recognized upon expiration (December 1, 2019).</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less than $0.1 million in revenues related to the Spark License Agreement during the years ended December 31, 2017 and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revenues recognized during the year ended December 31, 2015.</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125"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determined that each potential future clinical and regulatory milestone was non-substantive, therefore, any consideration received will be allocated to the License and Supply Deliverable and Option Deliverable using the relative selling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Sales-based milestones and royalty payments are expected to be recognized when earned.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there was $14.7 million of deferred revenue related to this agreement. A total of $0.8 million was recorded as a current liability and $13.9 million was classified as a long term liability in the accompanying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Letter Agreement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w:t>
      </w:r>
    </w:p>
    <w:p>
      <w:pPr>
        <w:spacing w:after="0" w:line="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October 31, 2017, Spark paid the Company a $2.5 million milestone payment pursuant to the license agreement with Spark.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 Collaboration Agreement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November 27, 2012, the Company and Sanofi entered into a license and research collaboration agreement focused on the identification and development of vaccines against food allergies (the “Sanofi Agreement”). Under the arrangement, the Company agreed to perform research to identify an initial vaccine candidate for development and commercialization by Sanofi under an exclusive license.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Sanofi Agreement, the Company received an upfront payment of $2.0 million for the initial indication in November 2012 and an additional payment of $3.0 million in August 2013. In November 2014, Sanofi exercised the option to include celiac disease as an additional indication, and in May 2015, the Sanofi Agreement was amended to add terms specific to the celiac disease indication and to terminate Sanofi's right to exercise its option for any additional indications. Sanofi paid the Company an additional $2.0 million upon the exercise of the option in May 2015 and an additional $1.0 million in July 2016 upon attaining the first milestone for the celiac disease indication. To date, Sanofi has paid the Company $8.0 million in the aggregate under the Sanofi Agreement.</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authorized by Sanofi or permitted under the Sanofi Agreement, during the term of the Sanofi Agreement, exclusivity obligations prevent the Company from researching, developing, or commercializing products in these indications or granting third party licenses under the intellectual property rights and technologies licensed to Sanofi for use in these indications.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identified the deliverables under the arrangement as the license, the research necessary to identify the development candidate, and participation of the Joint Research Committee (“JRC”). The Company determined that the exclusive license granted to Sanofi did not have standalone value from the research to be performed to identify the vaccine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no revenue for the year ended December 31, 2017, and $2.8 million and $2.1 million for the years ended December 31, 2016 and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Sanofi Collaboration Agreement</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On November 9, 2016, the Company received written notice from Sanofi that Sanofi had elected to terminate in its entirety the Sanofi Agreement. The termination of the Sanofi Agreement was effective on May 8, 2017, or the Termination Date, which was six months from the date of the notice.</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discussed above, Sanofi has paid the Company $8.0 million in the aggregate under the Sanofi Agreement to date. The Company would have been eligible to receive additional development-based, regulatory-based and sales-based milestone payments and tiered royalties on net sales of any approved product generated by the collaboration had the Sanofi Agreement not been terminated. As of December 31, 2016, the Company recognized the remaining $2.2 million in revenue associated with the Sanofi Agreement, as the Company had no further performance obligation under the contact.</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All rights granted to Sanofi terminated and reverted to the Company effective on the Termination Date, and Sanofi is required to grant to the Company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 The exclusivity obligations discussed above also expired on the Termination Date.</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exercised its right to acquire the development programs under the Sanofi Agreement. The Company is solely responsible for performing and funding any development and clinical trial activities relating to further development of vaccine candidates that it chooses to undertake after the Termination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and Collaboration Agreements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During 2017, the Company did not participate in other research and collaboration agreements, and thus no revenue was recognized during the year ended December 31, 2017. During the years ended December 31, 2016 and 2015, the Company participated in and recognized revenues from other research or collaboration agreements in the amount of $0.1 million and $0.3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receives funding in the form of grants from the National Institutes of Health (“NIH”), the Juvenile Diabetes Research Foundation (“JDRF”), the Bill and Melinda Gates Foundation, the Russian Ministry of Industry and Trade (“Minpromtorg”), and the Russia-based Development Fund of New Technologies Development and Commercialization Center (“Skolkovo”).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NIH</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Company has two grants through the NIH. The first grant, for an aggregate amount of $8.1 million, was awarded in May 2014 to support research in the development of a next generation vaccine for smoking cessation and relapse prevention. The Company recognized no revenue for the year ended December 31, 2017. For the years ended December 31, 2016 and 2015, the Company recognized revenue of $4.1 million and $2.4 million, respectively.</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second grant is for an aggregate amount of $0.2 million, which was awarded in September 2015 for the development of nanoparticles for immune tolerance to factor VIII. The Company recognized less than $0.1 million of revenue for the year ended December 31, 2017. For the years ended December 31, 2016 and 2015, the Company recognized less than $0.1 million and $0.1 million, respectively, related to this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Company, together with Sanofi, entered into a joint grant with JDRF in September 2014 for $0.4 million to conduct Type 1 Diabetes research. The Company recognized less than $0.1 million of revenue for the year ended December 31, 2017. For the years ended December 31, 2016 and 2015 the Company recognized $0.1 million and $0.2 million related to this grant,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 and Melinda Gates Foundation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is recognized on a proportional performance basis as it relates to employee time expended on the research, along with reimbursement for external costs directly related to, and approved, by the</w:t>
      </w:r>
    </w:p>
    <w:p>
      <w:pPr>
        <w:sectPr>
          <w:pgSz w:w="11900" w:h="16838" w:orient="portrait"/>
          <w:cols w:equalWidth="0" w:num="1">
            <w:col w:w="11400"/>
          </w:cols>
          <w:pgMar w:left="240" w:top="125"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00"/>
          </w:cols>
          <w:pgMar w:left="240" w:top="125"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grant terms. Total revenue recognized for the years ended December 31, 2017, 2016 and 2015 was $0.1 million, $0.5 million and $0.6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Minpromtorg</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the clinical trial was delayed or terminated prior to completion. As a result of the penalty provision, the Company concluded the amounts received under the agreement were not fixed or determinable. In 2014, the Company terminated its plan to conduct the clinical trial in Russia subjecting the Company to the penalty obligation.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2015, the Company received an executed final settlement agreement from Minpromtorg that included the repayment of funds previously received by the Company totaling $0.2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Through December 31, 2017, the Company received payments totaling approximately $1.4 million. No additional payments are expected to be received under the terms of the contract.</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first audit period expired on December 31, 2015, and as a result $0.4 million of revenue was recognized for the year ended December 31, 2015. The second and third audit periods expired during the twelve months ended December 31, 2016, and as a result $0.5 million of revenue was recognized for the year ended December 31, 2016. The third audit period is the final audit to be conducted under the contract. As of December 31, 2016, all remaining deferred revenue associated with the Minpromtorg contract was fully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Skolkovo</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November 28, 2014, the Company executed a grant awarded by Skolkovo for the development of a therapeutic vaccine using nanoparticles to treat chronic infection caused by human papillomavirus (HPV) and diseases associated with this infection. The grant covers the period from August 1, 2014 through July 21, 2017. The grant provides for up to $2.7 million that covers 48.5% of the estimated total cost of the research plan with the remaining 51.5% of estimated costs to be contributed by the Company. From grant inception through December 31, 2017, the Company has received $1.8 million from Skolkovo.</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the Skolkovo audit or the expiration of the audit term.</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14.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part of the Series B Preferred and Series D Preferred financings (as described in Note 11), the Company’s landlord (the “Landlord”) purchased 49,254 shares of Series B Preferred at $2.03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11). The Landlord paid the same price as the price paid by other investors in each of these Preferred Stock purchases. At the IPO, all preferred stock was converted to common stock.</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2017 PIPE, the Company sold to Timothy Springer, Ph.D., a member of its Board of Directors, an aggregate of 338,791 shares of common stock at a purchase price equal to $17.71 per share, which was equal to the most recent consolidated closing bid price on the Nasdaq Global Market on June 23, 2017. In addition, the Company sold warrants to Dr. Springer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totaling $0.2 million, $0.3 million and $0.3 million during the years ended December 31,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8500" w:firstLine="8"/>
        <w:spacing w:after="0" w:line="604" w:lineRule="auto"/>
        <w:tabs>
          <w:tab w:leader="none" w:pos="27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Technology License Agreements Massachusetts Institute of Technology</w:t>
      </w:r>
    </w:p>
    <w:p>
      <w:pPr>
        <w:spacing w:after="0" w:line="218" w:lineRule="exact"/>
        <w:rPr>
          <w:sz w:val="20"/>
          <w:szCs w:val="20"/>
          <w:color w:val="auto"/>
        </w:rPr>
      </w:pPr>
      <w:r>
        <w:rPr>
          <w:rFonts w:ascii="Arial" w:cs="Arial" w:eastAsia="Arial" w:hAnsi="Arial"/>
          <w:sz w:val="16"/>
          <w:szCs w:val="16"/>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6"/>
          <w:szCs w:val="16"/>
          <w:color w:val="auto"/>
        </w:rPr>
        <w:t>‑</w:t>
      </w:r>
      <w:r>
        <w:rPr>
          <w:rFonts w:ascii="Arial" w:cs="Arial" w:eastAsia="Arial" w:hAnsi="Arial"/>
          <w:sz w:val="16"/>
          <w:szCs w:val="16"/>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6"/>
          <w:szCs w:val="16"/>
          <w:color w:val="auto"/>
        </w:rPr>
        <w:t>‑</w:t>
      </w:r>
      <w:r>
        <w:rPr>
          <w:rFonts w:ascii="Arial" w:cs="Arial" w:eastAsia="Arial" w:hAnsi="Arial"/>
          <w:sz w:val="16"/>
          <w:szCs w:val="16"/>
          <w:color w:val="auto"/>
        </w:rPr>
        <w:t>cross</w:t>
      </w:r>
      <w:r>
        <w:rPr>
          <w:rFonts w:ascii="MS PGothic" w:cs="MS PGothic" w:eastAsia="MS PGothic" w:hAnsi="MS PGothic"/>
          <w:sz w:val="16"/>
          <w:szCs w:val="16"/>
          <w:color w:val="auto"/>
        </w:rPr>
        <w:t>‑</w:t>
      </w:r>
      <w:r>
        <w:rPr>
          <w:rFonts w:ascii="Arial" w:cs="Arial" w:eastAsia="Arial" w:hAnsi="Arial"/>
          <w:sz w:val="16"/>
          <w:szCs w:val="16"/>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6"/>
          <w:szCs w:val="16"/>
          <w:color w:val="auto"/>
        </w:rPr>
        <w:t>‑</w:t>
      </w:r>
      <w:r>
        <w:rPr>
          <w:rFonts w:ascii="Arial" w:cs="Arial" w:eastAsia="Arial" w:hAnsi="Arial"/>
          <w:sz w:val="16"/>
          <w:szCs w:val="16"/>
          <w:color w:val="auto"/>
        </w:rPr>
        <w:t>time expense in 2008.</w:t>
      </w:r>
    </w:p>
    <w:p>
      <w:pPr>
        <w:spacing w:after="0" w:line="2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of December 31, 2017,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License. Pursuant to the 3SBio License, which was amended and restated in May 2017, the Company was granted an exclusive license to certain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products based thereupon for human therapeutic, diagnostic and prophylactic use. The Company was also granted a worldwide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Greater China) exclusive license to develop, commercialize and manufacture or have manufactured products combining the Company’s proprietary SVP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with pegsiticase or related compounds supplied by 3SBio (or otherwise supplied if the Company’s rights to manufacture are in effect) for human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pegsiticase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compounds for preclinical and clinical use or, if the 3SBio License is terminated for 3SBio’s material breach, for any use under the 3SBio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the Company is obligated to obtain all of its supply of such compounds for Phase 3 clinical trials and commercial use from 3SBio under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supply agreements to be negotiated.</w:t>
      </w:r>
    </w:p>
    <w:p>
      <w:pPr>
        <w:spacing w:after="0" w:line="211"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United States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7"/>
          <w:szCs w:val="17"/>
          <w:color w:val="auto"/>
        </w:rPr>
        <w:t>‑</w:t>
      </w:r>
      <w:r>
        <w:rPr>
          <w:rFonts w:ascii="Arial" w:cs="Arial" w:eastAsia="Arial" w:hAnsi="Arial"/>
          <w:sz w:val="17"/>
          <w:szCs w:val="17"/>
          <w:color w:val="auto"/>
        </w:rPr>
        <w:t>based payments under the 3SBio License. An additional liability totaling $2.0 million for milestone payments was expensed in 2016, and is included with Accounts Payable on the balance sheet as of December 31, 2016.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related to the pegsiticase component of products at percentages ranging from the low</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mid single digits for products containing the Company’s SVP technology, and a range of no more than ten percent points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low double</w:t>
      </w:r>
      <w:r>
        <w:rPr>
          <w:rFonts w:ascii="MS PGothic" w:cs="MS PGothic" w:eastAsia="MS PGothic" w:hAnsi="MS PGothic"/>
          <w:sz w:val="17"/>
          <w:szCs w:val="17"/>
          <w:color w:val="auto"/>
        </w:rPr>
        <w:t>‑</w:t>
      </w:r>
      <w:r>
        <w:rPr>
          <w:rFonts w:ascii="Arial" w:cs="Arial" w:eastAsia="Arial" w:hAnsi="Arial"/>
          <w:sz w:val="17"/>
          <w:szCs w:val="17"/>
          <w:color w:val="auto"/>
        </w:rPr>
        <w:t>digits for products without the Company’s SVP technology. The Company will pay these royalties to 3SBio, subject to specified reductions,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until the later of (i) the date that all of the patent rights for that product have expired in that country, or (ii) a specified number of years from the first commercial sale of such product in such country.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May 2016, the Company entered into a license agreement with the Massachusetts Eye and Ear Infirmary and The Schepens Eye Research Institute, Inc. (collectively, “MEE”), which is referred to as the MEE License. Under the MEE License, the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20"/>
        <w:spacing w:after="0" w:line="221" w:lineRule="exact"/>
        <w:rPr>
          <w:sz w:val="20"/>
          <w:szCs w:val="20"/>
          <w:color w:val="auto"/>
        </w:rPr>
      </w:pPr>
      <w:r>
        <w:rPr>
          <w:rFonts w:ascii="Arial" w:cs="Arial" w:eastAsia="Arial" w:hAnsi="Arial"/>
          <w:sz w:val="16"/>
          <w:szCs w:val="16"/>
          <w:color w:val="auto"/>
        </w:rPr>
        <w:t>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6"/>
          <w:szCs w:val="16"/>
          <w:color w:val="auto"/>
        </w:rPr>
        <w:t>‑</w:t>
      </w:r>
      <w:r>
        <w:rPr>
          <w:rFonts w:ascii="Arial" w:cs="Arial" w:eastAsia="Arial" w:hAnsi="Arial"/>
          <w:sz w:val="16"/>
          <w:szCs w:val="16"/>
          <w:color w:val="auto"/>
        </w:rPr>
        <w:t>how owned or controlled by MEE, for use of Anc80 gene therapy vectors for gene augmentation therapies expressing certain target sequences.</w:t>
      </w:r>
    </w:p>
    <w:p>
      <w:pPr>
        <w:spacing w:after="0" w:line="2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MEE License, the Company agreed to pay MEE a license fee in the low six figures, annual license maintenance fees ranging from the</w:t>
      </w:r>
    </w:p>
    <w:p>
      <w:pPr>
        <w:spacing w:after="0" w:line="35"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mid</w:t>
      </w:r>
      <w:r>
        <w:rPr>
          <w:rFonts w:ascii="MS PGothic" w:cs="MS PGothic" w:eastAsia="MS PGothic" w:hAnsi="MS PGothic"/>
          <w:sz w:val="18"/>
          <w:szCs w:val="18"/>
          <w:color w:val="auto"/>
        </w:rPr>
        <w:t>‑</w:t>
      </w:r>
      <w:r>
        <w:rPr>
          <w:rFonts w:ascii="Arial" w:cs="Arial" w:eastAsia="Arial" w:hAnsi="Arial"/>
          <w:sz w:val="18"/>
          <w:szCs w:val="18"/>
          <w:color w:val="auto"/>
        </w:rPr>
        <w:t>twenty thousands to mid</w:t>
      </w:r>
      <w:r>
        <w:rPr>
          <w:rFonts w:ascii="MS PGothic" w:cs="MS PGothic" w:eastAsia="MS PGothic" w:hAnsi="MS PGothic"/>
          <w:sz w:val="18"/>
          <w:szCs w:val="18"/>
          <w:color w:val="auto"/>
        </w:rPr>
        <w:t>‑</w:t>
      </w:r>
      <w:r>
        <w:rPr>
          <w:rFonts w:ascii="Arial" w:cs="Arial" w:eastAsia="Arial" w:hAnsi="Arial"/>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equal to a percentage of net sales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Arial" w:cs="Arial" w:eastAsia="Arial" w:hAnsi="Arial"/>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Arial" w:cs="Arial" w:eastAsia="Arial" w:hAnsi="Arial"/>
          <w:sz w:val="18"/>
          <w:szCs w:val="18"/>
          <w:color w:val="auto"/>
        </w:rPr>
        <w:t>six figures to mid</w:t>
      </w:r>
      <w:r>
        <w:rPr>
          <w:rFonts w:ascii="MS PGothic" w:cs="MS PGothic" w:eastAsia="MS PGothic" w:hAnsi="MS PGothic"/>
          <w:sz w:val="18"/>
          <w:szCs w:val="18"/>
          <w:color w:val="auto"/>
        </w:rPr>
        <w:t>‑</w:t>
      </w:r>
      <w:r>
        <w:rPr>
          <w:rFonts w:ascii="Arial" w:cs="Arial" w:eastAsia="Arial" w:hAnsi="Arial"/>
          <w:sz w:val="18"/>
          <w:szCs w:val="18"/>
          <w:color w:val="auto"/>
        </w:rPr>
        <w:t>six figures, depending on the prevalence of the targeted disease.</w:t>
      </w:r>
    </w:p>
    <w:p>
      <w:pPr>
        <w:spacing w:after="0" w:line="20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2016, the Company had paid a total of $0.1 million in license fees due under the MEE License. No additional license fees are due under the MEE License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The Company provides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125"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2017, 2016 and 2015, the Company did not record a current or deferred income tax expense or benefit. The following table reconciles the federal statutory income rate to the Company's effective income tax rate:</w:t>
      </w:r>
    </w:p>
    <w:p>
      <w:pPr>
        <w:spacing w:after="0" w:line="176"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75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r>
      <w:tr>
        <w:trPr>
          <w:trHeight w:val="25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at U.S. statutory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264"/>
        </w:trPr>
        <w:tc>
          <w:tcPr>
            <w:tcW w:w="73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Changes from statutory rate:</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State taxes, net of federal benefit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w:t>
            </w:r>
          </w:p>
        </w:tc>
      </w:tr>
      <w:tr>
        <w:trPr>
          <w:trHeight w:val="264"/>
        </w:trPr>
        <w:tc>
          <w:tcPr>
            <w:tcW w:w="7320" w:type="dxa"/>
            <w:vAlign w:val="bottom"/>
            <w:gridSpan w:val="2"/>
          </w:tcPr>
          <w:p>
            <w:pPr>
              <w:ind w:left="40"/>
              <w:spacing w:after="0"/>
              <w:rPr>
                <w:sz w:val="20"/>
                <w:szCs w:val="20"/>
                <w:color w:val="auto"/>
              </w:rPr>
            </w:pPr>
            <w:r>
              <w:rPr>
                <w:rFonts w:ascii="Arial" w:cs="Arial" w:eastAsia="Arial" w:hAnsi="Arial"/>
                <w:sz w:val="14"/>
                <w:szCs w:val="14"/>
                <w:color w:val="auto"/>
              </w:rPr>
              <w:t>Permanent items</w:t>
            </w: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7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Research tax credits/other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264"/>
        </w:trPr>
        <w:tc>
          <w:tcPr>
            <w:tcW w:w="7320" w:type="dxa"/>
            <w:vAlign w:val="bottom"/>
            <w:gridSpan w:val="2"/>
          </w:tcPr>
          <w:p>
            <w:pPr>
              <w:ind w:left="40"/>
              <w:spacing w:after="0"/>
              <w:rPr>
                <w:sz w:val="20"/>
                <w:szCs w:val="20"/>
                <w:color w:val="auto"/>
              </w:rPr>
            </w:pPr>
            <w:r>
              <w:rPr>
                <w:rFonts w:ascii="Arial" w:cs="Arial" w:eastAsia="Arial" w:hAnsi="Arial"/>
                <w:sz w:val="14"/>
                <w:szCs w:val="14"/>
                <w:color w:val="auto"/>
              </w:rPr>
              <w:t>Change in enacted rates</w:t>
            </w:r>
          </w:p>
        </w:tc>
        <w:tc>
          <w:tcPr>
            <w:tcW w:w="58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760" w:type="dxa"/>
            <w:vAlign w:val="bottom"/>
            <w:gridSpan w:val="2"/>
          </w:tcPr>
          <w:p>
            <w:pPr>
              <w:ind w:left="1300"/>
              <w:spacing w:after="0"/>
              <w:rPr>
                <w:sz w:val="20"/>
                <w:szCs w:val="20"/>
                <w:color w:val="auto"/>
              </w:rPr>
            </w:pPr>
            <w:r>
              <w:rPr>
                <w:rFonts w:ascii="Arial" w:cs="Arial" w:eastAsia="Arial" w:hAnsi="Arial"/>
                <w:sz w:val="14"/>
                <w:szCs w:val="14"/>
                <w:color w:val="auto"/>
              </w:rPr>
              <w:t>— %</w:t>
            </w: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Valuation allowance, net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4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Effective income tax rate</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 %</w:t>
            </w:r>
          </w:p>
        </w:tc>
        <w:tc>
          <w:tcPr>
            <w:tcW w:w="176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(liabilities)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operating loss carryforwards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44,146</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39,420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credits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rent and other expenses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Deferred revenue</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5,607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Patent costs/amortization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4,264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4,934</w:t>
            </w:r>
          </w:p>
        </w:tc>
      </w:tr>
      <w:tr>
        <w:trPr>
          <w:trHeight w:val="250"/>
        </w:trPr>
        <w:tc>
          <w:tcPr>
            <w:tcW w:w="8120" w:type="dxa"/>
            <w:vAlign w:val="bottom"/>
          </w:tcPr>
          <w:p>
            <w:pPr>
              <w:ind w:left="220"/>
              <w:spacing w:after="0"/>
              <w:rPr>
                <w:sz w:val="20"/>
                <w:szCs w:val="20"/>
                <w:color w:val="auto"/>
              </w:rPr>
            </w:pPr>
            <w:r>
              <w:rPr>
                <w:rFonts w:ascii="Arial" w:cs="Arial" w:eastAsia="Arial" w:hAnsi="Arial"/>
                <w:sz w:val="14"/>
                <w:szCs w:val="14"/>
                <w:color w:val="auto"/>
              </w:rPr>
              <w:t>Total deferred tax assets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57,745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54,630</w:t>
            </w:r>
          </w:p>
        </w:tc>
      </w:tr>
      <w:tr>
        <w:trPr>
          <w:trHeight w:val="168"/>
        </w:trPr>
        <w:tc>
          <w:tcPr>
            <w:tcW w:w="8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Debt discount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foreign exchange gain</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r>
      <w:tr>
        <w:trPr>
          <w:trHeight w:val="250"/>
        </w:trPr>
        <w:tc>
          <w:tcPr>
            <w:tcW w:w="8120" w:type="dxa"/>
            <w:vAlign w:val="bottom"/>
          </w:tcPr>
          <w:p>
            <w:pPr>
              <w:ind w:left="220"/>
              <w:spacing w:after="0"/>
              <w:rPr>
                <w:sz w:val="20"/>
                <w:szCs w:val="20"/>
                <w:color w:val="auto"/>
              </w:rPr>
            </w:pPr>
            <w:r>
              <w:rPr>
                <w:rFonts w:ascii="Arial" w:cs="Arial" w:eastAsia="Arial" w:hAnsi="Arial"/>
                <w:sz w:val="14"/>
                <w:szCs w:val="14"/>
                <w:color w:val="auto"/>
              </w:rPr>
              <w:t>Total deferred tax liabilities</w:t>
            </w: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52,905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Valuation allowance</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(57,637)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(52,905)</w:t>
            </w:r>
          </w:p>
        </w:tc>
      </w:tr>
      <w:tr>
        <w:trPr>
          <w:trHeight w:val="243"/>
        </w:trPr>
        <w:tc>
          <w:tcPr>
            <w:tcW w:w="8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deferred tax assets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has provided a full valuation allowance against its net deferred tax assets because the Company believes it is more likely than not that its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$4.7 million and $14.4 million for the years ended December 31, 2017 and 2016, respectively, primarily as a result of an increase in net operating loss. In 2014, the Company's Russian subsidiary was granted a 10 year tax holiday in Russia. The Company's foreign operations continue to benefit from the tax holiday, which is set to expire on December 31, 2023.</w:t>
      </w:r>
    </w:p>
    <w:p>
      <w:pPr>
        <w:spacing w:after="0" w:line="394"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At December 31, 2017, the Company had federal and state net operating loss carryforwards of $162.9 million and $157.9 million, respectively, which will expire at various times through 2037. The Company also has federal and state research and development tax credit carryforwards of $2.5 million and $2.0 million, respectively, available to reduce future tax liabilities, which will expire at various dates through 2037.</w:t>
      </w:r>
    </w:p>
    <w:p>
      <w:pPr>
        <w:spacing w:after="0" w:line="27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Included in the net operating loss carryforwards above is approximately $0.8 million related to excess stock option deductions. On March 30, 2016, the FASB released ASU 2016-09, which the Company adopted during the first quarter of 2017. Upon adoption of ASU 2016-09, all excess tax benefits and tax deficiencies (including tax benefits of dividends on share-based awards) will be recognized as income tax expense or benefit in the income statement. Prior to adoption of ASU 2016-09, such excess tax benefits were recognized as an adjustment to paid-in capital. Further, each award needed to be evaluated to determine if there was a deficiency or an excess. Although ASU 2016-09 will certainly reduce the complexity surrounding the accounting for excess tax benefits and deficiencies, it will create significant volatility in a company’s tax rate. The standard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provides that the tax effects of exercised or vested awards will be treated as a discrete item in the reporting period in which they occur. Thus, the tax effect of excess benefits and deficiencies on a company’s tax rate will not be part of the overall effective tax rate.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Prior to December 31, 2016, the Company had federal and state NOLs relating to stock-based compensation in the amount of $0.8 million and $0.8 million, respectively, that were not included in deferred tax assets. Under the Company's previous accounting policy, when the excess stock-based compensation relating to the NOL carryforward were ultimately realized, the benefit would be credited directly to stockholders’ equity. During the first quarter of 2017, the Company adopted ASU 2016-09, which resulted in an increase to NOL deferred tax assets of $0.3 million, offset by a corresponding increase in the valuation allowance. The adoption of ASU 2016-09 had no impact to the Company’s consolidated statements of operations and comprehensive loss, balance sheet, or retained earnings.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The Company has recognized the impact of the Tax Reform Act in these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the Company recorded provisional amounts reflecting the impact of the Tax Reform Act in these consolidated financial statements and related disclosures. The impact of the remeasurement of the Company’s U.S. deferred tax assets and liabilities to 21% resulted in the reduction of deferred tax assets of approximately $23.4 million, which is offset by a full valuation allowance, thus there is no net effect. The Company recorded no tax expense related to the deemed repatriation tax because its foreign entity, Selecta (RUS) is a foreign disregarded entity, which is not subject to the repatriation tax.</w:t>
      </w:r>
    </w:p>
    <w:p>
      <w:pPr>
        <w:spacing w:after="0" w:line="1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preliminary estimate of the Tax Reform Act and the remeasurement of its deferred tax assets and liabilities is subject to the finalization of management’s analysis related to certain matters, such as developing interpretations of the provisions of the Tax Reform Act, changes to certain estimates and the filing of its tax returns. U.S. Treasury regulations, administrative interpretations or court decisions interpreting the Tax Reform Act may require further adjustments and changes in the Company's estimates. The final determination of the Tax Reform Act and the remeasurement of the Company's deferred assets and liabilities will be completed as additional information becomes available, but no later than one year from the enactment of the Tax Reform Act.</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December 31, 2017, the Company had no unrecognized tax benefits or related interest and penalties accrued.</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38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statement of operations and comprehensive loss. As of December 31, 2017, the Company had no accrued interest related to uncertain tax positions.</w:t>
      </w:r>
    </w:p>
    <w:p>
      <w:pPr>
        <w:spacing w:after="0" w:line="34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Defined Contribution Plan</w:t>
      </w:r>
    </w:p>
    <w:p>
      <w:pPr>
        <w:spacing w:after="0" w:line="229"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Contributions by the Company totaling $0.2 million for the year ended December 31, 2017, and less than $0.1 million for each of the years ended December 31, 2016 and 2015, have been recorded in the consolidated statements of operations and comprehensive.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unaudited quarterly financial data for the years ended December 31, 2017 and 2016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 (unaudited)</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0"/>
        </w:trPr>
        <w:tc>
          <w:tcPr>
            <w:tcW w:w="56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13,881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19,294</w:t>
            </w:r>
          </w:p>
        </w:tc>
      </w:tr>
      <w:tr>
        <w:trPr>
          <w:trHeight w:val="283"/>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(19,544)</w:t>
            </w:r>
          </w:p>
        </w:tc>
      </w:tr>
      <w:tr>
        <w:trPr>
          <w:trHeight w:val="21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(19,544)</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(0.88)</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 (unaudited)</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0"/>
        </w:trPr>
        <w:tc>
          <w:tcPr>
            <w:tcW w:w="56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2,930</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16,790</w:t>
            </w:r>
          </w:p>
        </w:tc>
      </w:tr>
      <w:tr>
        <w:trPr>
          <w:trHeight w:val="25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(14,083)</w:t>
            </w:r>
          </w:p>
        </w:tc>
      </w:tr>
      <w:tr>
        <w:trPr>
          <w:trHeight w:val="25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on preferred stock</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(14,083)</w:t>
            </w:r>
          </w:p>
        </w:tc>
      </w:tr>
      <w:tr>
        <w:trPr>
          <w:trHeight w:val="264"/>
        </w:trPr>
        <w:tc>
          <w:tcPr>
            <w:tcW w:w="5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920" w:type="dxa"/>
            <w:vAlign w:val="bottom"/>
            <w:gridSpan w:val="2"/>
          </w:tcPr>
          <w:p>
            <w:pPr>
              <w:ind w:left="286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4440" w:type="dxa"/>
            <w:vAlign w:val="bottom"/>
          </w:tcPr>
          <w:p>
            <w:pPr>
              <w:spacing w:after="0"/>
              <w:rPr>
                <w:sz w:val="20"/>
                <w:szCs w:val="20"/>
                <w:color w:val="auto"/>
              </w:rPr>
            </w:pPr>
            <w:r>
              <w:rPr>
                <w:rFonts w:ascii="Arial" w:cs="Arial" w:eastAsia="Arial" w:hAnsi="Arial"/>
                <w:sz w:val="18"/>
                <w:szCs w:val="18"/>
                <w:color w:val="auto"/>
              </w:rPr>
              <w:t>Date: March 15, 2018</w:t>
            </w:r>
          </w:p>
        </w:tc>
        <w:tc>
          <w:tcPr>
            <w:tcW w:w="3280" w:type="dxa"/>
            <w:vAlign w:val="bottom"/>
          </w:tcPr>
          <w:p>
            <w:pPr>
              <w:ind w:left="2860"/>
              <w:spacing w:after="0"/>
              <w:rPr>
                <w:sz w:val="20"/>
                <w:szCs w:val="20"/>
                <w:color w:val="auto"/>
              </w:rPr>
            </w:pPr>
            <w:r>
              <w:rPr>
                <w:rFonts w:ascii="Arial" w:cs="Arial" w:eastAsia="Arial" w:hAnsi="Arial"/>
                <w:sz w:val="18"/>
                <w:szCs w:val="18"/>
                <w:color w:val="auto"/>
              </w:rPr>
              <w:t>By:</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/s/ Werner Cautreels, Ph.D.</w:t>
            </w:r>
          </w:p>
        </w:tc>
      </w:tr>
      <w:tr>
        <w:trPr>
          <w:trHeight w:val="27"/>
        </w:trPr>
        <w:tc>
          <w:tcPr>
            <w:tcW w:w="44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Werner Cautreels, Ph.D.</w:t>
            </w:r>
          </w:p>
        </w:tc>
      </w:tr>
    </w:tbl>
    <w:p>
      <w:pPr>
        <w:spacing w:after="0" w:line="40" w:lineRule="exact"/>
        <w:rPr>
          <w:sz w:val="20"/>
          <w:szCs w:val="20"/>
          <w:color w:val="auto"/>
        </w:rPr>
      </w:pPr>
    </w:p>
    <w:p>
      <w:pPr>
        <w:ind w:left="82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23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15"/>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/s/ Werner Cautreels,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8"/>
              </w:rPr>
              <w:t>Werner Cautreels,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John Leaman, M.D.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w w:val="98"/>
              </w:rPr>
              <w:t>Chief Financial Officer, Head of Corporate Strategy, and Treasurer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John Leaman, M.D.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 Timothy C. Barabe</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/s/ Omid Farokhzad, M.D.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Omid Farokhzad, M.D.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Peter Barton Hutt</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Peter Barton Hutt</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Amir Nashat,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Amir Nashat, Ph.D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Timothy Springer, Ph.D.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52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March 15, 2018</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80" w:type="dxa"/>
            <w:vAlign w:val="bottom"/>
            <w:gridSpan w:val="3"/>
          </w:tcPr>
          <w:p>
            <w:pPr>
              <w:ind w:left="1760"/>
              <w:spacing w:after="0"/>
              <w:rPr>
                <w:sz w:val="20"/>
                <w:szCs w:val="20"/>
                <w:color w:val="auto"/>
              </w:rPr>
            </w:pPr>
            <w:r>
              <w:rPr>
                <w:rFonts w:ascii="Arial" w:cs="Arial" w:eastAsia="Arial" w:hAnsi="Arial"/>
                <w:sz w:val="18"/>
                <w:szCs w:val="18"/>
                <w:color w:val="auto"/>
              </w:rPr>
              <w:t>F-34</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color w:val="auto"/>
        </w:rPr>
        <w:t>Exhibit 23.1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75" w:lineRule="exact"/>
        <w:rPr>
          <w:sz w:val="20"/>
          <w:szCs w:val="20"/>
          <w:color w:val="auto"/>
        </w:rPr>
      </w:pPr>
    </w:p>
    <w:p>
      <w:pPr>
        <w:ind w:left="660" w:right="180" w:hanging="328"/>
        <w:spacing w:after="0" w:line="260"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Registration Statement (Form S-8, File No. 333-212215) pertaining to the 2008 Stock Incentive Plan, as amended, the 2016 Incentive Award Plan and the 2016 Employee Stock Purchase Plan of Selecta Biosciences, Inc.;</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Registration Statement (Form S-3, File No. 333-219262); and</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Registration Statement (Form S-3, File No. 333-219900).</w:t>
      </w:r>
    </w:p>
    <w:p>
      <w:pPr>
        <w:spacing w:after="0" w:line="22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of our report dated March 15, 2018 with respect to the consolidated financial statements of Selecta Biosciences, Inc. included in this Annual Report (Form 10-K) of Selecta Biosciences, Inc. for the year ended December 31, 2017.</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15, 2018</w:t>
      </w:r>
    </w:p>
    <w:p>
      <w:pPr>
        <w:sectPr>
          <w:pgSz w:w="11900" w:h="16838" w:orient="portrait"/>
          <w:cols w:equalWidth="0" w:num="1">
            <w:col w:w="11420"/>
          </w:cols>
          <w:pgMar w:left="240" w:top="973"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6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6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March 15,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John Leaman, certify that:</w:t>
      </w:r>
    </w:p>
    <w:p>
      <w:pPr>
        <w:spacing w:after="0" w:line="39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March 15, 2018</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7020"/>
        <w:spacing w:after="0"/>
        <w:rPr>
          <w:sz w:val="20"/>
          <w:szCs w:val="20"/>
          <w:color w:val="auto"/>
        </w:rPr>
      </w:pPr>
      <w:r>
        <w:rPr>
          <w:rFonts w:ascii="Arial" w:cs="Arial" w:eastAsia="Arial" w:hAnsi="Arial"/>
          <w:sz w:val="20"/>
          <w:szCs w:val="20"/>
          <w:i w:val="1"/>
          <w:iCs w:val="1"/>
          <w:color w:val="auto"/>
        </w:rPr>
        <w:t>Chief Financial Officer, Head of Corporate</w:t>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20"/>
          <w:szCs w:val="20"/>
          <w:i w:val="1"/>
          <w:iCs w:val="1"/>
          <w:color w:val="auto"/>
        </w:rPr>
        <w:t>Strategy and Treasurer</w:t>
      </w:r>
    </w:p>
    <w:p>
      <w:pPr>
        <w:sectPr>
          <w:pgSz w:w="11900" w:h="16838" w:orient="portrait"/>
          <w:cols w:equalWidth="0" w:num="1">
            <w:col w:w="11420"/>
          </w:cols>
          <w:pgMar w:left="240" w:top="57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Werner Cautreels,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400" w:hanging="328"/>
        <w:spacing w:after="0" w:line="260"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2017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March 15,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John Leaman,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400" w:hanging="328"/>
        <w:spacing w:after="0" w:line="26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2017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40" w:val="left"/>
        </w:tabs>
        <w:rPr>
          <w:sz w:val="20"/>
          <w:szCs w:val="20"/>
          <w:color w:val="auto"/>
        </w:rPr>
      </w:pPr>
      <w:r>
        <w:rPr>
          <w:rFonts w:ascii="Arial" w:cs="Arial" w:eastAsia="Arial" w:hAnsi="Arial"/>
          <w:sz w:val="20"/>
          <w:szCs w:val="20"/>
          <w:color w:val="auto"/>
        </w:rPr>
        <w:t>March 15, 2018</w:t>
      </w:r>
      <w:r>
        <w:rPr>
          <w:sz w:val="20"/>
          <w:szCs w:val="20"/>
          <w:color w:val="auto"/>
        </w:rPr>
        <w:tab/>
      </w:r>
      <w:r>
        <w:rPr>
          <w:rFonts w:ascii="Arial" w:cs="Arial" w:eastAsia="Arial" w:hAnsi="Arial"/>
          <w:sz w:val="18"/>
          <w:szCs w:val="18"/>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27305</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7"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6720"/>
        <w:spacing w:after="0"/>
        <w:rPr>
          <w:sz w:val="20"/>
          <w:szCs w:val="20"/>
          <w:color w:val="auto"/>
        </w:rPr>
      </w:pPr>
      <w:r>
        <w:rPr>
          <w:rFonts w:ascii="Arial" w:cs="Arial" w:eastAsia="Arial" w:hAnsi="Arial"/>
          <w:sz w:val="19"/>
          <w:szCs w:val="19"/>
          <w:i w:val="1"/>
          <w:iCs w:val="1"/>
          <w:color w:val="auto"/>
        </w:rPr>
        <w:t>Chief Financial Officer, Head of Corporate Strategy and</w:t>
      </w:r>
    </w:p>
    <w:p>
      <w:pPr>
        <w:spacing w:after="0" w:line="27" w:lineRule="exact"/>
        <w:rPr>
          <w:sz w:val="20"/>
          <w:szCs w:val="20"/>
          <w:color w:val="auto"/>
        </w:rPr>
      </w:pPr>
    </w:p>
    <w:p>
      <w:pPr>
        <w:ind w:left="8580"/>
        <w:spacing w:after="0"/>
        <w:rPr>
          <w:sz w:val="20"/>
          <w:szCs w:val="20"/>
          <w:color w:val="auto"/>
        </w:rPr>
      </w:pPr>
      <w:r>
        <w:rPr>
          <w:rFonts w:ascii="Arial" w:cs="Arial" w:eastAsia="Arial" w:hAnsi="Arial"/>
          <w:sz w:val="20"/>
          <w:szCs w:val="20"/>
          <w:i w:val="1"/>
          <w:iCs w:val="1"/>
          <w:color w:val="auto"/>
        </w:rPr>
        <w:t>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upperLetter"/>
      <w:start w:val="1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6"/>
      <w:numFmt w:val="bullet"/>
      <w:start w:val="1"/>
    </w:lvl>
    <w:lvl w:ilvl="1">
      <w:lvlJc w:val="left"/>
      <w:lvlText w:val="•"/>
      <w:numFmt w:val="bullet"/>
      <w:start w:val="1"/>
    </w:lvl>
  </w:abstractNum>
  <w:abstractNum w:abstractNumId="13">
    <w:nsid w:val="2D517796"/>
    <w:multiLevelType w:val="hybridMultilevel"/>
    <w:lvl w:ilvl="0">
      <w:lvlJc w:val="left"/>
      <w:lvlText w:val="•"/>
      <w:numFmt w:val="bullet"/>
      <w:start w:val="1"/>
    </w:lvl>
    <w:lvl w:ilvl="1">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lowerRoman"/>
      <w:start w:val="1"/>
    </w:lvl>
  </w:abstractNum>
  <w:abstractNum w:abstractNumId="48">
    <w:nsid w:val="180115BE"/>
    <w:multiLevelType w:val="hybridMultilevel"/>
    <w:lvl w:ilvl="0">
      <w:lvlJc w:val="left"/>
      <w:lvlText w:val="(%1)"/>
      <w:numFmt w:val="lowerRoman"/>
      <w:start w:val="4"/>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2"/>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lowerRoman"/>
      <w:start w:val="2"/>
    </w:lvl>
  </w:abstractNum>
  <w:abstractNum w:abstractNumId="56">
    <w:nsid w:val="3F6AB60F"/>
    <w:multiLevelType w:val="hybridMultilevel"/>
    <w:lvl w:ilvl="0">
      <w:lvlJc w:val="left"/>
      <w:lvlText w:val="(%1)"/>
      <w:numFmt w:val="lowerRoman"/>
      <w:start w:val="2"/>
    </w:lvl>
  </w:abstractNum>
  <w:abstractNum w:abstractNumId="57">
    <w:nsid w:val="61574095"/>
    <w:multiLevelType w:val="hybridMultilevel"/>
    <w:lvl w:ilvl="0">
      <w:lvlJc w:val="left"/>
      <w:lvlText w:val="%1."/>
      <w:numFmt w:val="decimal"/>
      <w:start w:val="12"/>
    </w:lvl>
  </w:abstractNum>
  <w:abstractNum w:abstractNumId="58">
    <w:nsid w:val="7E0C57B1"/>
    <w:multiLevelType w:val="hybridMultilevel"/>
    <w:lvl w:ilvl="0">
      <w:lvlJc w:val="left"/>
      <w:lvlText w:val="%1."/>
      <w:numFmt w:val="decimal"/>
      <w:start w:val="13"/>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1."/>
      <w:numFmt w:val="decimal"/>
      <w:start w:val="15"/>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32" Type="http://schemas.openxmlformats.org/officeDocument/2006/relationships/hyperlink" Target="http://www.sec.gov/Archives/edgar/data/1453687/000145368718000005/selectabiosciences8k_jpmpr.htm" TargetMode="External"/><Relationship Id="rId33" Type="http://schemas.openxmlformats.org/officeDocument/2006/relationships/hyperlink" Target="http://www.sec.gov/Archives/edgar/data/1453687/000110465916129891/a16-14002_18k.htm" TargetMode="External"/><Relationship Id="rId34" Type="http://schemas.openxmlformats.org/officeDocument/2006/relationships/hyperlink" Target="http://www.sec.gov/Archives/edgar/data/1453687/000104746916013718/a2228810zs-1a.htm" TargetMode="External"/><Relationship Id="rId35" Type="http://schemas.openxmlformats.org/officeDocument/2006/relationships/hyperlink" Target="http://www.sec.gov/Archives/edgar/data/1453687/000104746916013398/a2228672zs-1.htm" TargetMode="External"/><Relationship Id="rId36" Type="http://schemas.openxmlformats.org/officeDocument/2006/relationships/hyperlink" Target="http://www.sec.gov/Archives/edgar/data/1453687/000145368717000048/selectabiosciences8k_pipej.htm" TargetMode="External"/><Relationship Id="rId37" Type="http://schemas.openxmlformats.org/officeDocument/2006/relationships/hyperlink" Target="http://www.sec.gov/Archives/edgar/data/1453687/000110465916144668/a16-18458_18k.htm" TargetMode="External"/><Relationship Id="rId38" Type="http://schemas.openxmlformats.org/officeDocument/2006/relationships/hyperlink" Target="http://www.sec.gov/Archives/edgar/data/1453687/000145368717000005/selectabiosciences8ka_spar.htm" TargetMode="External"/><Relationship Id="rId39" Type="http://schemas.openxmlformats.org/officeDocument/2006/relationships/hyperlink" Target="http://www.sec.gov/Archives/edgar/data/1453687/000145368716000020/selectabiosciences8ka_spar.htm" TargetMode="External"/><Relationship Id="rId40" Type="http://schemas.openxmlformats.org/officeDocument/2006/relationships/hyperlink" Target="http://www.sec.gov/Archives/edgar/data/1453687/000145368717000032/selectabiosciences10-q33117.htm" TargetMode="External"/><Relationship Id="rId41" Type="http://schemas.openxmlformats.org/officeDocument/2006/relationships/hyperlink" Target="http://www.sec.gov/Archives/edgar/data/1453687/000145368717000053/selectabiosciences10-q63017.htm" TargetMode="External"/><Relationship Id="rId42" Type="http://schemas.openxmlformats.org/officeDocument/2006/relationships/hyperlink" Target="http://www.sec.gov/Archives/edgar/data/1453687/000145368717000056/selectabiosciences8k_ventu.htm" TargetMode="External"/><Relationship Id="rId43" Type="http://schemas.openxmlformats.org/officeDocument/2006/relationships/hyperlink" Target="http://www.sec.gov/Archives/edgar/data/1453687/000145368717000058/selectabiosciences8k_cfoap.htm" TargetMode="External"/><Relationship Id="rId44" Type="http://schemas.openxmlformats.org/officeDocument/2006/relationships/hyperlink" Target="http://www.sec.gov/Archives/edgar/data/1453687/000145368717000065/selectabiosciences10-q93017.htm" TargetMode="External"/><Relationship Id="rId45" Type="http://schemas.openxmlformats.org/officeDocument/2006/relationships/hyperlink" Target="http://www.sec.gov/Archives/edgar/data/1453687/000104746916013886/a2228960z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2019-12-29T00:11:26Z</dcterms:created>
  <dcterms:modified xsi:type="dcterms:W3CDTF">2019-12-29T00:11:26Z</dcterms:modified>
</cp:coreProperties>
</file>