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060" w:type="dxa"/>
            <w:vAlign w:val="bottom"/>
            <w:gridSpan w:val="2"/>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Tan Kevin</w:t>
              </w:r>
            </w:hyperlink>
          </w:p>
        </w:tc>
        <w:tc>
          <w:tcPr>
            <w:tcW w:w="9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SELECTA BIOSCIENCES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40" w:type="dxa"/>
            <w:vAlign w:val="bottom"/>
            <w:tcBorders>
              <w:top w:val="single" w:sz="8" w:color="0000EE"/>
            </w:tcBorders>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900" w:type="dxa"/>
            <w:vAlign w:val="bottom"/>
            <w:tcBorders>
              <w:top w:val="single" w:sz="8" w:color="0000EE"/>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06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940" w:type="dxa"/>
            <w:vAlign w:val="bottom"/>
            <w:tcBorders>
              <w:top w:val="single" w:sz="8" w:color="EEEEEE"/>
            </w:tcBorders>
            <w:vMerge w:val="restart"/>
          </w:tcPr>
          <w:p>
            <w:pPr>
              <w:ind w:left="16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920" w:type="dxa"/>
            <w:vAlign w:val="bottom"/>
            <w:gridSpan w:val="4"/>
            <w:vMerge w:val="restart"/>
          </w:tcPr>
          <w:p>
            <w:pPr>
              <w:ind w:left="160"/>
              <w:spacing w:after="0" w:line="174" w:lineRule="exact"/>
              <w:rPr>
                <w:sz w:val="20"/>
                <w:szCs w:val="20"/>
                <w:color w:val="auto"/>
              </w:rPr>
            </w:pPr>
            <w:r>
              <w:rPr>
                <w:rFonts w:ascii="Arial" w:cs="Arial" w:eastAsia="Arial" w:hAnsi="Arial"/>
                <w:sz w:val="17"/>
                <w:szCs w:val="17"/>
                <w:color w:val="0000FF"/>
              </w:rPr>
              <w:t>12/02/2021</w:t>
            </w: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920" w:type="dxa"/>
            <w:vAlign w:val="bottom"/>
            <w:gridSpan w:val="4"/>
            <w:vMerge w:val="continue"/>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65 GROVE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329"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p>
      <w:pPr>
        <w:spacing w:after="0" w:line="16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WATERTOWN</w:t>
            </w:r>
          </w:p>
        </w:tc>
        <w:tc>
          <w:tcPr>
            <w:tcW w:w="880" w:type="dxa"/>
            <w:vAlign w:val="bottom"/>
          </w:tcPr>
          <w:p>
            <w:pPr>
              <w:ind w:left="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02472</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0"/>
          <w:szCs w:val="20"/>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7"/>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Arial" w:cs="Arial" w:eastAsia="Arial" w:hAnsi="Arial"/>
                <w:sz w:val="17"/>
                <w:szCs w:val="17"/>
                <w:color w:val="0000FF"/>
              </w:rPr>
              <w:t>12/02/2021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P</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5,000</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3.0253</w:t>
            </w:r>
            <w:r>
              <w:rPr>
                <w:rFonts w:ascii="Arial" w:cs="Arial" w:eastAsia="Arial" w:hAnsi="Arial"/>
                <w:sz w:val="22"/>
                <w:szCs w:val="22"/>
                <w:color w:val="008000"/>
                <w:w w:val="93"/>
                <w:vertAlign w:val="superscript"/>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5,000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4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purchased in multiple transactions at per share prices ranging from $3.02 to $3.0293. The Reporting Person undertakes to provide upon request to the SEC staff, the Issuer, or any stockholder of the Issuer, full information regarding the number of shares purchased at each separate price within the range set forth in this footnote.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45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Kevin</w:t>
      </w:r>
      <w:r>
        <w:rPr>
          <w:sz w:val="20"/>
          <w:szCs w:val="20"/>
          <w:color w:val="auto"/>
        </w:rPr>
        <w:tab/>
      </w:r>
      <w:r>
        <w:rPr>
          <w:rFonts w:ascii="Arial" w:cs="Arial" w:eastAsia="Arial" w:hAnsi="Arial"/>
          <w:sz w:val="15"/>
          <w:szCs w:val="15"/>
          <w:color w:val="0000FF"/>
        </w:rPr>
        <w:t>12/06/2021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631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4056"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2021-12-06T15:27:09Z</dcterms:created>
  <dcterms:modified xsi:type="dcterms:W3CDTF">2021-12-06T15:27:09Z</dcterms:modified>
</cp:coreProperties>
</file>