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5217795</wp:posOffset>
            </wp:positionH>
            <wp:positionV relativeFrom="paragraph">
              <wp:posOffset>-615315</wp:posOffset>
            </wp:positionV>
            <wp:extent cx="57785" cy="6286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3939540</wp:posOffset>
            </wp:positionH>
            <wp:positionV relativeFrom="paragraph">
              <wp:posOffset>-615315</wp:posOffset>
            </wp:positionV>
            <wp:extent cx="57785" cy="6286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728345</wp:posOffset>
            </wp:positionV>
            <wp:extent cx="7047865" cy="53155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5315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6" w:right="359" w:bottom="1440" w:gutter="0" w:footer="0" w:header="0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Davis Blaine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CARTESIAN THERAPEUTICS,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7495 NEW HORIZON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jc w:val="center"/>
        <w:ind w:right="85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Cartesian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RNAC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-5" w:right="680" w:firstLine="5"/>
        <w:spacing w:after="0" w:line="251" w:lineRule="auto"/>
        <w:tabs>
          <w:tab w:leader="none" w:pos="13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35"/>
        <w:spacing w:after="0"/>
        <w:tabs>
          <w:tab w:leader="none" w:pos="20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35"/>
        <w:spacing w:after="0"/>
        <w:tabs>
          <w:tab w:leader="none" w:pos="20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81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Financial Officer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5" w:space="720"/>
            <w:col w:w="335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80" w:type="dxa"/>
            <w:vAlign w:val="bottom"/>
            <w:gridSpan w:val="8"/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FREDERICK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MD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21703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3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3.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5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01/02/2025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22,000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3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w w:val="91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102,800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1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64,600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16.93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57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64,600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01/01/2035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223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64,600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103,666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103,666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19.656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01/01/2034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 w:right="140" w:hanging="1"/>
        <w:spacing w:after="0" w:line="248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stock, which will vest as to 25% on January 2, 2026. The remainder of the underlying shares will vest in three equal annual installments thereafter so that the underlying shares will be fully vested on January 2, 2029.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hanging="1"/>
        <w:spacing w:after="0" w:line="248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April 4, 2024, the issuer effected a 1-for-30 reverse stock split of its common stock (the "Reverse Stock Split"). The amount of securities reported on this Form 4 have been adjusted to reflect the Reverse Stock Split.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This option vests as to 25% on January 2, 2026. The remainder of the underlying shares will vest in three equal annual installments thereafter so that the underlying shares will be fully vested on January 2, 2029.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vested as to 25% on January 2, 2025. The remainder of the underlying shares will vest in three equal annual installments thereafter.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Matthew Bartholomae,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-3810</wp:posOffset>
            </wp:positionV>
            <wp:extent cx="10883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Attorney-in-Fact for Blaine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-11430</wp:posOffset>
            </wp:positionV>
            <wp:extent cx="1875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Davis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-11430</wp:posOffset>
            </wp:positionV>
            <wp:extent cx="2438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40" w:hanging="1"/>
        <w:spacing w:after="0" w:line="330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02188" TargetMode="External"/><Relationship Id="rId14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2025-01-06T15:27:34Z</dcterms:created>
  <dcterms:modified xsi:type="dcterms:W3CDTF">2025-01-06T15:27:34Z</dcterms:modified>
</cp:coreProperties>
</file>