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6581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58177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261"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SPRINGER TIMOTHY A</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36 WOODMAN ROAD</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CHESTNUT</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Cartesian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RNAC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6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2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04/08/2024</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6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26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0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27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2"/>
          </w:tcPr>
          <w:p>
            <w:pPr>
              <w:jc w:val="center"/>
              <w:spacing w:after="0"/>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2"/>
          </w:tcPr>
          <w:p>
            <w:pPr>
              <w:jc w:val="center"/>
              <w:ind w:left="280"/>
              <w:spacing w:after="0"/>
              <w:rPr>
                <w:sz w:val="20"/>
                <w:szCs w:val="20"/>
                <w:color w:val="auto"/>
              </w:rPr>
            </w:pPr>
            <w:r>
              <w:rPr>
                <w:rFonts w:ascii="Arial" w:cs="Arial" w:eastAsia="Arial" w:hAnsi="Arial"/>
                <w:sz w:val="11"/>
                <w:szCs w:val="11"/>
                <w:b w:val="1"/>
                <w:bCs w:val="1"/>
                <w:color w:val="auto"/>
              </w:rPr>
              <w:t>(A) or</w:t>
            </w: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80" w:type="dxa"/>
            <w:vAlign w:val="bottom"/>
            <w:gridSpan w:val="2"/>
            <w:vMerge w:val="restart"/>
          </w:tcPr>
          <w:p>
            <w:pPr>
              <w:ind w:left="460"/>
              <w:spacing w:after="0"/>
              <w:rPr>
                <w:sz w:val="20"/>
                <w:szCs w:val="20"/>
                <w:color w:val="auto"/>
              </w:rPr>
            </w:pPr>
            <w:r>
              <w:rPr>
                <w:rFonts w:ascii="Arial" w:cs="Arial" w:eastAsia="Arial" w:hAnsi="Arial"/>
                <w:sz w:val="11"/>
                <w:szCs w:val="11"/>
                <w:b w:val="1"/>
                <w:bCs w:val="1"/>
                <w:color w:val="auto"/>
              </w:rPr>
              <w:t>(D)</w:t>
            </w:r>
          </w:p>
        </w:tc>
        <w:tc>
          <w:tcPr>
            <w:tcW w:w="5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Series A Non-Voting Convertible Preferred</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04/08/2024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123,925.407</w:t>
            </w:r>
          </w:p>
        </w:tc>
        <w:tc>
          <w:tcPr>
            <w:tcW w:w="320" w:type="dxa"/>
            <w:vAlign w:val="bottom"/>
            <w:vMerge w:val="restart"/>
          </w:tcPr>
          <w:p>
            <w:pPr>
              <w:jc w:val="center"/>
              <w:ind w:right="8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w w:val="93"/>
              </w:rPr>
              <w:t>(1)</w:t>
            </w:r>
          </w:p>
        </w:tc>
        <w:tc>
          <w:tcPr>
            <w:tcW w:w="72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04/08/2024</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4,130,846</w:t>
            </w:r>
          </w:p>
        </w:tc>
        <w:tc>
          <w:tcPr>
            <w:tcW w:w="320" w:type="dxa"/>
            <w:vAlign w:val="bottom"/>
            <w:tcBorders>
              <w:bottom w:val="single" w:sz="8" w:color="2C2C2C"/>
            </w:tcBorders>
          </w:tcPr>
          <w:p>
            <w:pPr>
              <w:jc w:val="center"/>
              <w:ind w:right="86"/>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1"/>
                <w:szCs w:val="11"/>
                <w:color w:val="008000"/>
                <w:w w:val="93"/>
              </w:rPr>
              <w:t>(1)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4,379,899</w:t>
            </w:r>
            <w:r>
              <w:rPr>
                <w:rFonts w:ascii="Times New Roman" w:cs="Times New Roman" w:eastAsia="Times New Roman" w:hAnsi="Times New Roman"/>
                <w:sz w:val="21"/>
                <w:szCs w:val="21"/>
                <w:color w:val="008000"/>
                <w:w w:val="92"/>
                <w:vertAlign w:val="superscript"/>
              </w:rPr>
              <w:t>(2)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Series A Non-Voting Convertible Preferred</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04/08/2024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24,785.081</w:t>
            </w:r>
          </w:p>
        </w:tc>
        <w:tc>
          <w:tcPr>
            <w:tcW w:w="320" w:type="dxa"/>
            <w:vAlign w:val="bottom"/>
            <w:vMerge w:val="restart"/>
          </w:tcPr>
          <w:p>
            <w:pPr>
              <w:jc w:val="center"/>
              <w:ind w:right="8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w w:val="93"/>
              </w:rPr>
              <w:t>(1)</w:t>
            </w:r>
          </w:p>
        </w:tc>
        <w:tc>
          <w:tcPr>
            <w:tcW w:w="72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vMerge w:val="restart"/>
          </w:tcPr>
          <w:p>
            <w:pPr>
              <w:jc w:val="center"/>
              <w:ind w:right="272"/>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vMerge w:val="continue"/>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04/08/2024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826,169</w:t>
            </w:r>
          </w:p>
        </w:tc>
        <w:tc>
          <w:tcPr>
            <w:tcW w:w="320" w:type="dxa"/>
            <w:vAlign w:val="bottom"/>
            <w:vMerge w:val="restart"/>
          </w:tcPr>
          <w:p>
            <w:pPr>
              <w:jc w:val="center"/>
              <w:ind w:right="86"/>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w w:val="93"/>
              </w:rPr>
              <w:t>(1)</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1,927,630</w:t>
            </w:r>
            <w:r>
              <w:rPr>
                <w:rFonts w:ascii="Times New Roman" w:cs="Times New Roman" w:eastAsia="Times New Roman" w:hAnsi="Times New Roman"/>
                <w:sz w:val="21"/>
                <w:szCs w:val="21"/>
                <w:color w:val="008000"/>
                <w:w w:val="92"/>
                <w:vertAlign w:val="superscript"/>
              </w:rPr>
              <w:t>(2)</w:t>
            </w:r>
          </w:p>
        </w:tc>
        <w:tc>
          <w:tcPr>
            <w:tcW w:w="320" w:type="dxa"/>
            <w:vAlign w:val="bottom"/>
          </w:tcPr>
          <w:p>
            <w:pPr>
              <w:spacing w:after="0"/>
              <w:rPr>
                <w:sz w:val="21"/>
                <w:szCs w:val="21"/>
                <w:color w:val="auto"/>
              </w:rPr>
            </w:pPr>
          </w:p>
        </w:tc>
        <w:tc>
          <w:tcPr>
            <w:tcW w:w="520" w:type="dxa"/>
            <w:vAlign w:val="bottom"/>
            <w:vMerge w:val="restart"/>
          </w:tcPr>
          <w:p>
            <w:pPr>
              <w:jc w:val="center"/>
              <w:ind w:right="272"/>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3,493</w:t>
            </w:r>
            <w:r>
              <w:rPr>
                <w:rFonts w:ascii="Times New Roman" w:cs="Times New Roman" w:eastAsia="Times New Roman" w:hAnsi="Times New Roman"/>
                <w:sz w:val="21"/>
                <w:szCs w:val="21"/>
                <w:color w:val="008000"/>
                <w:w w:val="91"/>
                <w:vertAlign w:val="superscript"/>
              </w:rPr>
              <w:t>(2)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72"/>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11"/>
          </w:tcPr>
          <w:p>
            <w:pPr>
              <w:jc w:val="right"/>
              <w:ind w:right="12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3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ind w:righ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19.656</w:t>
            </w: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01/01/2034</w:t>
            </w:r>
          </w:p>
        </w:tc>
        <w:tc>
          <w:tcPr>
            <w:tcW w:w="5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3"/>
            <w:vMerge w:val="restart"/>
          </w:tcPr>
          <w:p>
            <w:pPr>
              <w:jc w:val="center"/>
              <w:ind w:right="67"/>
              <w:spacing w:after="0"/>
              <w:rPr>
                <w:sz w:val="20"/>
                <w:szCs w:val="20"/>
                <w:color w:val="auto"/>
              </w:rPr>
            </w:pPr>
            <w:r>
              <w:rPr>
                <w:rFonts w:ascii="Times New Roman" w:cs="Times New Roman" w:eastAsia="Times New Roman" w:hAnsi="Times New Roman"/>
                <w:sz w:val="17"/>
                <w:szCs w:val="17"/>
                <w:color w:val="0000FF"/>
              </w:rPr>
              <w:t>7,600</w:t>
            </w:r>
            <w:r>
              <w:rPr>
                <w:rFonts w:ascii="Times New Roman" w:cs="Times New Roman" w:eastAsia="Times New Roman" w:hAnsi="Times New Roman"/>
                <w:sz w:val="21"/>
                <w:szCs w:val="21"/>
                <w:color w:val="008000"/>
                <w:vertAlign w:val="superscript"/>
              </w:rPr>
              <w:t>(2)</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vMerge w:val="restart"/>
          </w:tcPr>
          <w:p>
            <w:pPr>
              <w:jc w:val="center"/>
              <w:ind w:right="143"/>
              <w:spacing w:after="0"/>
              <w:rPr>
                <w:sz w:val="20"/>
                <w:szCs w:val="20"/>
                <w:color w:val="auto"/>
              </w:rPr>
            </w:pPr>
            <w:r>
              <w:rPr>
                <w:rFonts w:ascii="Times New Roman" w:cs="Times New Roman" w:eastAsia="Times New Roman" w:hAnsi="Times New Roman"/>
                <w:sz w:val="13"/>
                <w:szCs w:val="13"/>
                <w:color w:val="0000FF"/>
              </w:rPr>
              <w:t>7,600</w:t>
            </w:r>
            <w:r>
              <w:rPr>
                <w:rFonts w:ascii="Times New Roman" w:cs="Times New Roman" w:eastAsia="Times New Roman" w:hAnsi="Times New Roman"/>
                <w:sz w:val="21"/>
                <w:szCs w:val="21"/>
                <w:color w:val="008000"/>
                <w:vertAlign w:val="superscript"/>
              </w:rPr>
              <w:t>(2)</w:t>
            </w: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167,040</w:t>
            </w:r>
            <w:r>
              <w:rPr>
                <w:rFonts w:ascii="Times New Roman" w:cs="Times New Roman" w:eastAsia="Times New Roman" w:hAnsi="Times New Roman"/>
                <w:sz w:val="21"/>
                <w:szCs w:val="21"/>
                <w:color w:val="008000"/>
                <w:vertAlign w:val="superscript"/>
              </w:rPr>
              <w:t>(2)</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vMerge w:val="restart"/>
          </w:tcPr>
          <w:p>
            <w:pPr>
              <w:jc w:val="center"/>
              <w:ind w:right="83"/>
              <w:spacing w:after="0"/>
              <w:rPr>
                <w:sz w:val="20"/>
                <w:szCs w:val="20"/>
                <w:color w:val="auto"/>
              </w:rPr>
            </w:pPr>
            <w:r>
              <w:rPr>
                <w:rFonts w:ascii="Times New Roman" w:cs="Times New Roman" w:eastAsia="Times New Roman" w:hAnsi="Times New Roman"/>
                <w:sz w:val="13"/>
                <w:szCs w:val="13"/>
                <w:color w:val="0000FF"/>
              </w:rPr>
              <w:t>167,040</w:t>
            </w:r>
            <w:r>
              <w:rPr>
                <w:rFonts w:ascii="Times New Roman" w:cs="Times New Roman" w:eastAsia="Times New Roman" w:hAnsi="Times New Roman"/>
                <w:sz w:val="21"/>
                <w:szCs w:val="21"/>
                <w:color w:val="008000"/>
                <w:vertAlign w:val="superscript"/>
              </w:rPr>
              <w:t>(2)</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46.5</w:t>
            </w: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tcPr>
          <w:p>
            <w:pPr>
              <w:jc w:val="right"/>
              <w:ind w:right="59"/>
              <w:spacing w:after="0" w:line="141" w:lineRule="exact"/>
              <w:rPr>
                <w:sz w:val="20"/>
                <w:szCs w:val="20"/>
                <w:color w:val="auto"/>
              </w:rPr>
            </w:pPr>
            <w:r>
              <w:rPr>
                <w:rFonts w:ascii="Times New Roman" w:cs="Times New Roman" w:eastAsia="Times New Roman" w:hAnsi="Times New Roman"/>
                <w:sz w:val="13"/>
                <w:szCs w:val="13"/>
                <w:color w:val="0000FF"/>
              </w:rPr>
              <w:t>04/11/2022</w:t>
            </w:r>
          </w:p>
        </w:tc>
        <w:tc>
          <w:tcPr>
            <w:tcW w:w="70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04/11/2027</w:t>
            </w:r>
          </w:p>
        </w:tc>
        <w:tc>
          <w:tcPr>
            <w:tcW w:w="56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2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12"/>
                <w:szCs w:val="12"/>
                <w:color w:val="auto"/>
              </w:rPr>
            </w:pPr>
          </w:p>
        </w:tc>
        <w:tc>
          <w:tcPr>
            <w:tcW w:w="74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-2346325</wp:posOffset>
            </wp:positionV>
            <wp:extent cx="29210" cy="2351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514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27, 2024, the issuer held a special meeting of stockholders (the "Special Meeting"). At the Special Meeting, the stockholders of the issuer approved a 1-for-30 reverse stock split (the "Reverse Stock Split") of the issuer's common stock ("Common Stock") and the conversion of the issuer's Series A Non-Voting Convertible Preferred Stock ("Series A Preferred Stock") into shares of Common Stock. On April 8, 2024, the conversion of the majority of the shares of Series A Preferred Stock occurred automatically (the "Automatic Conversion"). The remaining shares of Series A Preferred Stock remain subject to certain beneficial ownership limitations described in the issuer's filings with the Securities and Exchange Commission. At the time of the Automatic Conversion, all of the reporting person's shares of Series A Preferred Stock converted into shares of Common Stock.</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4, 2024, the issuer effected the "Reverse Stock Split". The amount of securities reported on this Form 4 has been adjusted to reflect the Reverse Stock Split.</w:t>
      </w:r>
    </w:p>
    <w:p>
      <w:pPr>
        <w:spacing w:after="0" w:line="41"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will vest in 36 equal monthly installments, so that it shall be fully vested on the third anniversary of the date of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Timothy</w:t>
      </w:r>
      <w:r>
        <w:rPr>
          <w:sz w:val="20"/>
          <w:szCs w:val="20"/>
          <w:color w:val="auto"/>
        </w:rPr>
        <w:tab/>
      </w:r>
      <w:r>
        <w:rPr>
          <w:rFonts w:ascii="Times New Roman" w:cs="Times New Roman" w:eastAsia="Times New Roman" w:hAnsi="Times New Roman"/>
          <w:sz w:val="16"/>
          <w:szCs w:val="16"/>
          <w:color w:val="0000FF"/>
        </w:rPr>
        <w:t>04/10/2024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491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2024-04-10T20:47:04Z</dcterms:created>
  <dcterms:modified xsi:type="dcterms:W3CDTF">2024-04-10T20:47:04Z</dcterms:modified>
</cp:coreProperties>
</file>