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43"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SECURITIES AND EXCHANGE COMMISSION</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Washington, D.C. 20549</w:t>
      </w:r>
    </w:p>
    <w:p>
      <w:pPr>
        <w:spacing w:after="0" w:line="13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FORM 8-K</w:t>
      </w:r>
    </w:p>
    <w:p>
      <w:pPr>
        <w:spacing w:after="0" w:line="8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CURRENT REPORT</w:t>
      </w:r>
    </w:p>
    <w:p>
      <w:pPr>
        <w:spacing w:after="0" w:line="9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Pursuant to Section 13 or 15(d) of</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the Securities Exchange Act of 1934</w:t>
      </w:r>
    </w:p>
    <w:p>
      <w:pPr>
        <w:spacing w:after="0" w:line="139"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Date of Report (Date of earliest event reported): June 18, 2020</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SELECTA BIOSCIENCES,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200"/>
          </w:cols>
          <w:pgMar w:left="300" w:top="193" w:right="399" w:bottom="1440" w:gutter="0" w:footer="0" w:header="0"/>
        </w:sectPr>
      </w:pPr>
    </w:p>
    <w:p>
      <w:pPr>
        <w:spacing w:after="0" w:line="181" w:lineRule="exact"/>
        <w:rPr>
          <w:sz w:val="24"/>
          <w:szCs w:val="24"/>
          <w:color w:val="auto"/>
        </w:rPr>
      </w:pPr>
    </w:p>
    <w:p>
      <w:pPr>
        <w:ind w:left="144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jc w:val="center"/>
        <w:ind w:right="2680"/>
        <w:spacing w:after="0"/>
        <w:rPr>
          <w:sz w:val="20"/>
          <w:szCs w:val="20"/>
          <w:color w:val="auto"/>
        </w:rPr>
      </w:pPr>
      <w:r>
        <w:rPr>
          <w:rFonts w:ascii="Arial" w:cs="Arial" w:eastAsia="Arial" w:hAnsi="Arial"/>
          <w:sz w:val="10"/>
          <w:szCs w:val="10"/>
          <w:b w:val="1"/>
          <w:bCs w:val="1"/>
          <w:color w:val="auto"/>
        </w:rPr>
        <w:t>001-37798</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26-1622110</w:t>
      </w:r>
    </w:p>
    <w:p>
      <w:pPr>
        <w:spacing w:after="0" w:line="69" w:lineRule="exact"/>
        <w:rPr>
          <w:sz w:val="24"/>
          <w:szCs w:val="24"/>
          <w:color w:val="auto"/>
        </w:rPr>
      </w:pPr>
    </w:p>
    <w:p>
      <w:pPr>
        <w:sectPr>
          <w:pgSz w:w="11900" w:h="16838" w:orient="portrait"/>
          <w:cols w:equalWidth="0" w:num="3">
            <w:col w:w="4620" w:space="720"/>
            <w:col w:w="3200" w:space="720"/>
            <w:col w:w="1940"/>
          </w:cols>
          <w:pgMar w:left="300" w:top="193" w:right="399" w:bottom="1440" w:gutter="0" w:footer="0" w:header="0"/>
          <w:type w:val="continuous"/>
        </w:sectPr>
      </w:pPr>
    </w:p>
    <w:p>
      <w:pPr>
        <w:jc w:val="center"/>
        <w:ind w:right="1160"/>
        <w:spacing w:after="0"/>
        <w:rPr>
          <w:sz w:val="20"/>
          <w:szCs w:val="20"/>
          <w:color w:val="auto"/>
        </w:rPr>
      </w:pPr>
      <w:r>
        <w:rPr>
          <w:rFonts w:ascii="Arial" w:cs="Arial" w:eastAsia="Arial" w:hAnsi="Arial"/>
          <w:sz w:val="11"/>
          <w:szCs w:val="11"/>
          <w:color w:val="auto"/>
        </w:rPr>
        <w:t>(State or other jurisdiction</w:t>
      </w:r>
    </w:p>
    <w:p>
      <w:pPr>
        <w:spacing w:after="0" w:line="26" w:lineRule="exact"/>
        <w:rPr>
          <w:sz w:val="24"/>
          <w:szCs w:val="24"/>
          <w:color w:val="auto"/>
        </w:rPr>
      </w:pPr>
    </w:p>
    <w:p>
      <w:pPr>
        <w:jc w:val="center"/>
        <w:ind w:right="1160"/>
        <w:spacing w:after="0"/>
        <w:rPr>
          <w:sz w:val="20"/>
          <w:szCs w:val="20"/>
          <w:color w:val="auto"/>
        </w:rPr>
      </w:pPr>
      <w:r>
        <w:rPr>
          <w:rFonts w:ascii="Arial" w:cs="Arial" w:eastAsia="Arial" w:hAnsi="Arial"/>
          <w:sz w:val="12"/>
          <w:szCs w:val="12"/>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0"/>
          <w:szCs w:val="10"/>
          <w:color w:val="auto"/>
        </w:rPr>
        <w:t>(Commission</w:t>
      </w:r>
    </w:p>
    <w:p>
      <w:pPr>
        <w:spacing w:after="0" w:line="38" w:lineRule="exact"/>
        <w:rPr>
          <w:sz w:val="24"/>
          <w:szCs w:val="24"/>
          <w:color w:val="auto"/>
        </w:rPr>
      </w:pPr>
    </w:p>
    <w:p>
      <w:pPr>
        <w:spacing w:after="0"/>
        <w:rPr>
          <w:sz w:val="20"/>
          <w:szCs w:val="20"/>
          <w:color w:val="auto"/>
        </w:rPr>
      </w:pPr>
      <w:r>
        <w:rPr>
          <w:rFonts w:ascii="Arial" w:cs="Arial" w:eastAsia="Arial" w:hAnsi="Arial"/>
          <w:sz w:val="11"/>
          <w:szCs w:val="1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2"/>
          <w:szCs w:val="12"/>
          <w:color w:val="auto"/>
        </w:rPr>
        <w:t>(IRS Employer</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1"/>
          <w:szCs w:val="11"/>
          <w:color w:val="auto"/>
        </w:rPr>
        <w:t>Identification No.)</w:t>
      </w:r>
    </w:p>
    <w:p>
      <w:pPr>
        <w:spacing w:after="0" w:line="211" w:lineRule="exact"/>
        <w:rPr>
          <w:sz w:val="24"/>
          <w:szCs w:val="24"/>
          <w:color w:val="auto"/>
        </w:rPr>
      </w:pPr>
    </w:p>
    <w:p>
      <w:pPr>
        <w:sectPr>
          <w:pgSz w:w="11900" w:h="16838" w:orient="portrait"/>
          <w:cols w:equalWidth="0" w:num="3">
            <w:col w:w="4540" w:space="720"/>
            <w:col w:w="3120" w:space="720"/>
            <w:col w:w="2100"/>
          </w:cols>
          <w:pgMar w:left="300" w:top="193" w:right="399" w:bottom="1440" w:gutter="0" w:footer="0" w:header="0"/>
          <w:type w:val="continuous"/>
        </w:sectPr>
      </w:pPr>
    </w:p>
    <w:p>
      <w:pPr>
        <w:spacing w:after="0" w:line="36" w:lineRule="exact"/>
        <w:rPr>
          <w:sz w:val="24"/>
          <w:szCs w:val="24"/>
          <w:color w:val="auto"/>
        </w:rPr>
      </w:pPr>
    </w:p>
    <w:p>
      <w:pPr>
        <w:ind w:left="4640"/>
        <w:spacing w:after="0"/>
        <w:rPr>
          <w:sz w:val="20"/>
          <w:szCs w:val="20"/>
          <w:color w:val="auto"/>
        </w:rPr>
      </w:pPr>
      <w:r>
        <w:rPr>
          <w:rFonts w:ascii="Arial" w:cs="Arial" w:eastAsia="Arial" w:hAnsi="Arial"/>
          <w:sz w:val="12"/>
          <w:szCs w:val="12"/>
          <w:b w:val="1"/>
          <w:bCs w:val="1"/>
          <w:color w:val="auto"/>
        </w:rPr>
        <w:t>65 Grove Street, Watertown, MA 02472</w:t>
      </w:r>
    </w:p>
    <w:p>
      <w:pPr>
        <w:spacing w:after="0" w:line="19" w:lineRule="exact"/>
        <w:rPr>
          <w:sz w:val="24"/>
          <w:szCs w:val="24"/>
          <w:color w:val="auto"/>
        </w:rPr>
      </w:pPr>
    </w:p>
    <w:p>
      <w:pPr>
        <w:ind w:left="4520"/>
        <w:spacing w:after="0"/>
        <w:rPr>
          <w:sz w:val="20"/>
          <w:szCs w:val="20"/>
          <w:color w:val="auto"/>
        </w:rPr>
      </w:pPr>
      <w:r>
        <w:rPr>
          <w:rFonts w:ascii="Arial" w:cs="Arial" w:eastAsia="Arial" w:hAnsi="Arial"/>
          <w:sz w:val="11"/>
          <w:szCs w:val="11"/>
          <w:color w:val="auto"/>
        </w:rPr>
        <w:t>(Address of principal executive offices)(Zip Code)</w:t>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(617) 923-1400</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2"/>
          <w:szCs w:val="12"/>
          <w:color w:val="auto"/>
        </w:rPr>
        <w:t>Registrant’s telephone number, including area code</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0"/>
          <w:szCs w:val="10"/>
          <w:color w:val="auto"/>
        </w:rPr>
        <w:t>(Former name or former address, if changed since last report)</w:t>
      </w:r>
    </w:p>
    <w:p>
      <w:pPr>
        <w:sectPr>
          <w:pgSz w:w="11900" w:h="16838" w:orient="portrait"/>
          <w:cols w:equalWidth="0" w:num="1">
            <w:col w:w="11200"/>
          </w:cols>
          <w:pgMar w:left="300" w:top="193" w:right="399" w:bottom="1440" w:gutter="0" w:footer="0" w:header="0"/>
          <w:type w:val="continuous"/>
        </w:sectPr>
      </w:pPr>
    </w:p>
    <w:p>
      <w:pPr>
        <w:spacing w:after="0" w:line="164" w:lineRule="exact"/>
        <w:rPr>
          <w:sz w:val="24"/>
          <w:szCs w:val="24"/>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29" w:lineRule="exact"/>
        <w:rPr>
          <w:sz w:val="24"/>
          <w:szCs w:val="24"/>
          <w:color w:val="auto"/>
        </w:rPr>
      </w:pPr>
    </w:p>
    <w:p>
      <w:pPr>
        <w:ind w:left="1360" w:hanging="738"/>
        <w:spacing w:after="0"/>
        <w:tabs>
          <w:tab w:leader="none" w:pos="1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25" w:lineRule="exact"/>
        <w:rPr>
          <w:rFonts w:ascii="MS PGothic" w:cs="MS PGothic" w:eastAsia="MS PGothic" w:hAnsi="MS PGothic"/>
          <w:sz w:val="11"/>
          <w:szCs w:val="11"/>
          <w:color w:val="auto"/>
        </w:rPr>
      </w:pPr>
    </w:p>
    <w:p>
      <w:pPr>
        <w:ind w:left="1360" w:hanging="738"/>
        <w:spacing w:after="0"/>
        <w:tabs>
          <w:tab w:leader="none" w:pos="1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25" w:lineRule="exact"/>
        <w:rPr>
          <w:rFonts w:ascii="MS PGothic" w:cs="MS PGothic" w:eastAsia="MS PGothic" w:hAnsi="MS PGothic"/>
          <w:sz w:val="11"/>
          <w:szCs w:val="11"/>
          <w:color w:val="auto"/>
        </w:rPr>
      </w:pPr>
    </w:p>
    <w:p>
      <w:pPr>
        <w:ind w:left="1360" w:hanging="738"/>
        <w:spacing w:after="0"/>
        <w:tabs>
          <w:tab w:leader="none" w:pos="1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25" w:lineRule="exact"/>
        <w:rPr>
          <w:rFonts w:ascii="MS PGothic" w:cs="MS PGothic" w:eastAsia="MS PGothic" w:hAnsi="MS PGothic"/>
          <w:sz w:val="11"/>
          <w:szCs w:val="11"/>
          <w:color w:val="auto"/>
        </w:rPr>
      </w:pPr>
    </w:p>
    <w:p>
      <w:pPr>
        <w:ind w:left="1360" w:hanging="738"/>
        <w:spacing w:after="0"/>
        <w:tabs>
          <w:tab w:leader="none" w:pos="1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289"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1200"/>
          </w:cols>
          <w:pgMar w:left="300" w:top="193" w:right="399" w:bottom="1440" w:gutter="0" w:footer="0" w:header="0"/>
          <w:type w:val="continuous"/>
        </w:sectPr>
      </w:pPr>
    </w:p>
    <w:p>
      <w:pPr>
        <w:spacing w:after="0" w:line="127" w:lineRule="exact"/>
        <w:rPr>
          <w:sz w:val="24"/>
          <w:szCs w:val="24"/>
          <w:color w:val="auto"/>
        </w:rPr>
      </w:pPr>
    </w:p>
    <w:p>
      <w:pPr>
        <w:jc w:val="center"/>
        <w:ind w:left="80"/>
        <w:spacing w:after="0"/>
        <w:rPr>
          <w:sz w:val="20"/>
          <w:szCs w:val="20"/>
          <w:color w:val="auto"/>
        </w:rPr>
      </w:pPr>
      <w:r>
        <w:rPr>
          <w:rFonts w:ascii="Arial" w:cs="Arial" w:eastAsia="Arial" w:hAnsi="Arial"/>
          <w:sz w:val="12"/>
          <w:szCs w:val="12"/>
          <w:color w:val="auto"/>
        </w:rPr>
        <w:t>Title of each class</w:t>
      </w:r>
    </w:p>
    <w:p>
      <w:pPr>
        <w:spacing w:after="0" w:line="42" w:lineRule="exact"/>
        <w:rPr>
          <w:sz w:val="24"/>
          <w:szCs w:val="24"/>
          <w:color w:val="auto"/>
        </w:rPr>
      </w:pPr>
    </w:p>
    <w:p>
      <w:pPr>
        <w:jc w:val="center"/>
        <w:ind w:left="80"/>
        <w:spacing w:after="0"/>
        <w:rPr>
          <w:sz w:val="20"/>
          <w:szCs w:val="20"/>
          <w:color w:val="auto"/>
        </w:rPr>
      </w:pPr>
      <w:r>
        <w:rPr>
          <w:rFonts w:ascii="Arial" w:cs="Arial" w:eastAsia="Arial" w:hAnsi="Arial"/>
          <w:sz w:val="10"/>
          <w:szCs w:val="10"/>
          <w:color w:val="auto"/>
        </w:rPr>
        <w:t>Common Stock (Par Value $0.0001)</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160"/>
        <w:spacing w:after="0"/>
        <w:rPr>
          <w:sz w:val="20"/>
          <w:szCs w:val="20"/>
          <w:color w:val="auto"/>
        </w:rPr>
      </w:pPr>
      <w:r>
        <w:rPr>
          <w:rFonts w:ascii="Arial" w:cs="Arial" w:eastAsia="Arial" w:hAnsi="Arial"/>
          <w:sz w:val="11"/>
          <w:szCs w:val="11"/>
          <w:color w:val="auto"/>
        </w:rPr>
        <w:t>Trading Symbol(s)</w:t>
      </w:r>
    </w:p>
    <w:p>
      <w:pPr>
        <w:spacing w:after="0" w:line="54" w:lineRule="exact"/>
        <w:rPr>
          <w:sz w:val="24"/>
          <w:szCs w:val="24"/>
          <w:color w:val="auto"/>
        </w:rPr>
      </w:pPr>
    </w:p>
    <w:p>
      <w:pPr>
        <w:jc w:val="center"/>
        <w:ind w:right="1160"/>
        <w:spacing w:after="0"/>
        <w:rPr>
          <w:sz w:val="20"/>
          <w:szCs w:val="20"/>
          <w:color w:val="auto"/>
        </w:rPr>
      </w:pPr>
      <w:r>
        <w:rPr>
          <w:rFonts w:ascii="Arial" w:cs="Arial" w:eastAsia="Arial" w:hAnsi="Arial"/>
          <w:sz w:val="12"/>
          <w:szCs w:val="12"/>
          <w:color w:val="auto"/>
        </w:rPr>
        <w:t>SELB</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160"/>
        <w:spacing w:after="0"/>
        <w:rPr>
          <w:sz w:val="20"/>
          <w:szCs w:val="20"/>
          <w:color w:val="auto"/>
        </w:rPr>
      </w:pPr>
      <w:r>
        <w:rPr>
          <w:rFonts w:ascii="Arial" w:cs="Arial" w:eastAsia="Arial" w:hAnsi="Arial"/>
          <w:sz w:val="10"/>
          <w:szCs w:val="10"/>
          <w:color w:val="auto"/>
        </w:rPr>
        <w:t>Name of each exchange on which registered</w:t>
      </w:r>
    </w:p>
    <w:p>
      <w:pPr>
        <w:spacing w:after="0" w:line="65" w:lineRule="exact"/>
        <w:rPr>
          <w:sz w:val="24"/>
          <w:szCs w:val="24"/>
          <w:color w:val="auto"/>
        </w:rPr>
      </w:pPr>
    </w:p>
    <w:p>
      <w:pPr>
        <w:jc w:val="center"/>
        <w:ind w:right="1160"/>
        <w:spacing w:after="0"/>
        <w:rPr>
          <w:sz w:val="20"/>
          <w:szCs w:val="20"/>
          <w:color w:val="auto"/>
        </w:rPr>
      </w:pPr>
      <w:r>
        <w:rPr>
          <w:rFonts w:ascii="Arial" w:cs="Arial" w:eastAsia="Arial" w:hAnsi="Arial"/>
          <w:sz w:val="12"/>
          <w:szCs w:val="12"/>
          <w:color w:val="auto"/>
        </w:rPr>
        <w:t>The Nasdaq Global Market</w:t>
      </w:r>
    </w:p>
    <w:p>
      <w:pPr>
        <w:spacing w:after="0" w:line="200" w:lineRule="exact"/>
        <w:rPr>
          <w:sz w:val="24"/>
          <w:szCs w:val="24"/>
          <w:color w:val="auto"/>
        </w:rPr>
      </w:pPr>
    </w:p>
    <w:p>
      <w:pPr>
        <w:sectPr>
          <w:pgSz w:w="11900" w:h="16838" w:orient="portrait"/>
          <w:cols w:equalWidth="0" w:num="3">
            <w:col w:w="4420" w:space="720"/>
            <w:col w:w="2060" w:space="720"/>
            <w:col w:w="3280"/>
          </w:cols>
          <w:pgMar w:left="300" w:top="193" w:right="399" w:bottom="1440" w:gutter="0" w:footer="0" w:header="0"/>
          <w:type w:val="continuous"/>
        </w:sectPr>
      </w:pPr>
    </w:p>
    <w:p>
      <w:pPr>
        <w:spacing w:after="0" w:line="85" w:lineRule="exact"/>
        <w:rPr>
          <w:sz w:val="24"/>
          <w:szCs w:val="24"/>
          <w:color w:val="auto"/>
        </w:rPr>
      </w:pPr>
    </w:p>
    <w:p>
      <w:pPr>
        <w:ind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101600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193"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ind w:right="220"/>
        <w:spacing w:after="0" w:line="379" w:lineRule="auto"/>
        <w:rPr>
          <w:sz w:val="20"/>
          <w:szCs w:val="20"/>
          <w:color w:val="auto"/>
        </w:rPr>
      </w:pPr>
      <w:r>
        <w:rPr>
          <w:rFonts w:ascii="Arial" w:cs="Arial" w:eastAsia="Arial" w:hAnsi="Arial"/>
          <w:sz w:val="10"/>
          <w:szCs w:val="10"/>
          <w:color w:val="auto"/>
        </w:rPr>
        <w:t>Selecta Biosciences, Inc. (the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99.1. The Company undertakes no obligation to update, supplement or amend the materials attached hereto as Exhibit 99.1.</w:t>
      </w:r>
    </w:p>
    <w:p>
      <w:pPr>
        <w:spacing w:after="0" w:line="69" w:lineRule="exact"/>
        <w:rPr>
          <w:sz w:val="20"/>
          <w:szCs w:val="20"/>
          <w:color w:val="auto"/>
        </w:rPr>
      </w:pPr>
    </w:p>
    <w:p>
      <w:pPr>
        <w:ind w:right="20"/>
        <w:spacing w:after="0" w:line="379" w:lineRule="auto"/>
        <w:rPr>
          <w:sz w:val="20"/>
          <w:szCs w:val="20"/>
          <w:color w:val="auto"/>
        </w:rPr>
      </w:pPr>
      <w:r>
        <w:rPr>
          <w:rFonts w:ascii="Arial" w:cs="Arial" w:eastAsia="Arial" w:hAnsi="Arial"/>
          <w:sz w:val="10"/>
          <w:szCs w:val="10"/>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35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(d) Exhibits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exhibit relating to Item 7.01 shall be deemed to be furnished, and not filed: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00" w:type="dxa"/>
            <w:vAlign w:val="bottom"/>
            <w:gridSpan w:val="2"/>
          </w:tcPr>
          <w:p>
            <w:pPr>
              <w:ind w:left="20"/>
              <w:spacing w:after="0"/>
              <w:rPr>
                <w:sz w:val="20"/>
                <w:szCs w:val="20"/>
                <w:color w:val="auto"/>
              </w:rPr>
            </w:pPr>
            <w:r>
              <w:rPr>
                <w:rFonts w:ascii="Arial" w:cs="Arial" w:eastAsia="Arial" w:hAnsi="Arial"/>
                <w:sz w:val="10"/>
                <w:szCs w:val="10"/>
                <w:b w:val="1"/>
                <w:bCs w:val="1"/>
                <w:color w:val="auto"/>
              </w:rPr>
              <w:t>Exhibit</w:t>
            </w:r>
          </w:p>
        </w:tc>
        <w:tc>
          <w:tcPr>
            <w:tcW w:w="9500" w:type="dxa"/>
            <w:vAlign w:val="bottom"/>
          </w:tcPr>
          <w:p>
            <w:pPr>
              <w:spacing w:after="0"/>
              <w:rPr>
                <w:sz w:val="10"/>
                <w:szCs w:val="10"/>
                <w:color w:val="auto"/>
              </w:rPr>
            </w:pPr>
          </w:p>
        </w:tc>
      </w:tr>
      <w:tr>
        <w:trPr>
          <w:trHeight w:val="127"/>
        </w:trPr>
        <w:tc>
          <w:tcPr>
            <w:tcW w:w="1800" w:type="dxa"/>
            <w:vAlign w:val="bottom"/>
            <w:gridSpan w:val="2"/>
          </w:tcPr>
          <w:p>
            <w:pPr>
              <w:ind w:left="20"/>
              <w:spacing w:after="0"/>
              <w:rPr>
                <w:sz w:val="20"/>
                <w:szCs w:val="20"/>
                <w:color w:val="auto"/>
              </w:rPr>
            </w:pPr>
            <w:r>
              <w:rPr>
                <w:rFonts w:ascii="Arial" w:cs="Arial" w:eastAsia="Arial" w:hAnsi="Arial"/>
                <w:sz w:val="10"/>
                <w:szCs w:val="10"/>
                <w:b w:val="1"/>
                <w:bCs w:val="1"/>
                <w:color w:val="auto"/>
              </w:rPr>
              <w:t>No.</w:t>
            </w:r>
          </w:p>
        </w:tc>
        <w:tc>
          <w:tcPr>
            <w:tcW w:w="9500" w:type="dxa"/>
            <w:vAlign w:val="bottom"/>
          </w:tcPr>
          <w:p>
            <w:pPr>
              <w:ind w:left="4520"/>
              <w:spacing w:after="0"/>
              <w:rPr>
                <w:sz w:val="20"/>
                <w:szCs w:val="20"/>
                <w:color w:val="auto"/>
              </w:rPr>
            </w:pPr>
            <w:r>
              <w:rPr>
                <w:rFonts w:ascii="Arial" w:cs="Arial" w:eastAsia="Arial" w:hAnsi="Arial"/>
                <w:sz w:val="10"/>
                <w:szCs w:val="10"/>
                <w:b w:val="1"/>
                <w:bCs w:val="1"/>
                <w:color w:val="auto"/>
              </w:rPr>
              <w:t>Description</w:t>
            </w:r>
          </w:p>
        </w:tc>
      </w:tr>
      <w:tr>
        <w:trPr>
          <w:trHeight w:val="335"/>
        </w:trPr>
        <w:tc>
          <w:tcPr>
            <w:tcW w:w="1240" w:type="dxa"/>
            <w:vAlign w:val="bottom"/>
            <w:tcBorders>
              <w:top w:val="single" w:sz="8" w:color="auto"/>
            </w:tcBorders>
          </w:tcPr>
          <w:p>
            <w:pPr>
              <w:jc w:val="right"/>
              <w:ind w:right="46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99.1</w:t>
              </w:r>
            </w:hyperlink>
          </w:p>
        </w:tc>
        <w:tc>
          <w:tcPr>
            <w:tcW w:w="560" w:type="dxa"/>
            <w:vAlign w:val="bottom"/>
          </w:tcPr>
          <w:p>
            <w:pPr>
              <w:spacing w:after="0"/>
              <w:rPr>
                <w:sz w:val="24"/>
                <w:szCs w:val="24"/>
                <w:color w:val="auto"/>
              </w:rPr>
            </w:pPr>
          </w:p>
        </w:tc>
        <w:tc>
          <w:tcPr>
            <w:tcW w:w="9500" w:type="dxa"/>
            <w:vAlign w:val="bottom"/>
            <w:tcBorders>
              <w:top w:val="single" w:sz="8" w:color="auto"/>
            </w:tcBorders>
          </w:tcPr>
          <w:p>
            <w:pPr>
              <w:ind w:left="20"/>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Corporate slide presentation of Selecta Biosciences, Inc. dated June 18, 2020</w:t>
              </w:r>
            </w:hyperlink>
          </w:p>
        </w:tc>
      </w:tr>
    </w:tbl>
    <w:p>
      <w:pPr>
        <w:sectPr>
          <w:pgSz w:w="11900" w:h="16838" w:orient="portrait"/>
          <w:cols w:equalWidth="0" w:num="1">
            <w:col w:w="11300"/>
          </w:cols>
          <w:pgMar w:left="300" w:top="343"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3240" w:type="dxa"/>
            <w:vAlign w:val="bottom"/>
          </w:tcPr>
          <w:p>
            <w:pPr>
              <w:spacing w:after="0"/>
              <w:rPr>
                <w:sz w:val="13"/>
                <w:szCs w:val="13"/>
                <w:color w:val="auto"/>
              </w:rPr>
            </w:pPr>
          </w:p>
        </w:tc>
        <w:tc>
          <w:tcPr>
            <w:tcW w:w="8040" w:type="dxa"/>
            <w:vAlign w:val="bottom"/>
            <w:gridSpan w:val="2"/>
          </w:tcPr>
          <w:p>
            <w:pPr>
              <w:ind w:left="2300"/>
              <w:spacing w:after="0"/>
              <w:rPr>
                <w:sz w:val="20"/>
                <w:szCs w:val="20"/>
                <w:color w:val="auto"/>
              </w:rPr>
            </w:pPr>
            <w:r>
              <w:rPr>
                <w:rFonts w:ascii="Arial" w:cs="Arial" w:eastAsia="Arial" w:hAnsi="Arial"/>
                <w:sz w:val="12"/>
                <w:szCs w:val="12"/>
                <w:color w:val="auto"/>
              </w:rPr>
              <w:t>SELECTA BIOSCIENCES, INC.</w:t>
            </w:r>
          </w:p>
        </w:tc>
      </w:tr>
      <w:tr>
        <w:trPr>
          <w:trHeight w:val="549"/>
        </w:trPr>
        <w:tc>
          <w:tcPr>
            <w:tcW w:w="3240" w:type="dxa"/>
            <w:vAlign w:val="bottom"/>
          </w:tcPr>
          <w:p>
            <w:pPr>
              <w:spacing w:after="0"/>
              <w:rPr>
                <w:sz w:val="20"/>
                <w:szCs w:val="20"/>
                <w:color w:val="auto"/>
              </w:rPr>
            </w:pPr>
            <w:r>
              <w:rPr>
                <w:rFonts w:ascii="Arial" w:cs="Arial" w:eastAsia="Arial" w:hAnsi="Arial"/>
                <w:sz w:val="12"/>
                <w:szCs w:val="12"/>
                <w:color w:val="auto"/>
              </w:rPr>
              <w:t>Date: June 18, 2020</w:t>
            </w:r>
          </w:p>
        </w:tc>
        <w:tc>
          <w:tcPr>
            <w:tcW w:w="2840" w:type="dxa"/>
            <w:vAlign w:val="bottom"/>
          </w:tcPr>
          <w:p>
            <w:pPr>
              <w:ind w:left="2300"/>
              <w:spacing w:after="0"/>
              <w:rPr>
                <w:sz w:val="20"/>
                <w:szCs w:val="20"/>
                <w:color w:val="auto"/>
              </w:rPr>
            </w:pPr>
            <w:r>
              <w:rPr>
                <w:rFonts w:ascii="Arial" w:cs="Arial" w:eastAsia="Arial" w:hAnsi="Arial"/>
                <w:sz w:val="12"/>
                <w:szCs w:val="12"/>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Carsten Brunn, Ph.D.</w:t>
            </w:r>
          </w:p>
        </w:tc>
      </w:tr>
      <w:tr>
        <w:trPr>
          <w:trHeight w:val="160"/>
        </w:trPr>
        <w:tc>
          <w:tcPr>
            <w:tcW w:w="32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200" w:type="dxa"/>
            <w:vAlign w:val="bottom"/>
          </w:tcPr>
          <w:p>
            <w:pPr>
              <w:ind w:left="20"/>
              <w:spacing w:after="0"/>
              <w:rPr>
                <w:sz w:val="20"/>
                <w:szCs w:val="20"/>
                <w:color w:val="auto"/>
              </w:rPr>
            </w:pPr>
            <w:r>
              <w:rPr>
                <w:rFonts w:ascii="Arial" w:cs="Arial" w:eastAsia="Arial" w:hAnsi="Arial"/>
                <w:sz w:val="12"/>
                <w:szCs w:val="12"/>
                <w:color w:val="auto"/>
              </w:rPr>
              <w:t>Carsten Brunn, Ph.D.</w:t>
            </w:r>
          </w:p>
        </w:tc>
      </w:tr>
      <w:tr>
        <w:trPr>
          <w:trHeight w:val="180"/>
        </w:trPr>
        <w:tc>
          <w:tcPr>
            <w:tcW w:w="32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200" w:type="dxa"/>
            <w:vAlign w:val="bottom"/>
          </w:tcPr>
          <w:p>
            <w:pPr>
              <w:ind w:left="20"/>
              <w:spacing w:after="0"/>
              <w:rPr>
                <w:sz w:val="20"/>
                <w:szCs w:val="20"/>
                <w:color w:val="auto"/>
              </w:rPr>
            </w:pPr>
            <w:r>
              <w:rPr>
                <w:rFonts w:ascii="Arial" w:cs="Arial" w:eastAsia="Arial" w:hAnsi="Arial"/>
                <w:sz w:val="12"/>
                <w:szCs w:val="12"/>
                <w:color w:val="auto"/>
              </w:rPr>
              <w:t>President and Chief Executive Officer</w:t>
            </w:r>
          </w:p>
        </w:tc>
      </w:tr>
    </w:tbl>
    <w:p>
      <w:pPr>
        <w:sectPr>
          <w:pgSz w:w="11900" w:h="16838" w:orient="portrait"/>
          <w:cols w:equalWidth="0" w:num="1">
            <w:col w:w="11300"/>
          </w:cols>
          <w:pgMar w:left="300" w:top="271"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12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0415" cy="4512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4857750</wp:posOffset>
            </wp:positionV>
            <wp:extent cx="713041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2020-06-18T07:52:24Z</dcterms:created>
  <dcterms:modified xsi:type="dcterms:W3CDTF">2020-06-18T07:52:24Z</dcterms:modified>
</cp:coreProperties>
</file>