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March 13, 2025</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CARTESIAN THERAPEUTICS,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2"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46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001-37798</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26-1622110</w:t>
            </w:r>
          </w:p>
        </w:tc>
      </w:tr>
      <w:tr>
        <w:trPr>
          <w:trHeight w:val="180"/>
        </w:trPr>
        <w:tc>
          <w:tcPr>
            <w:tcW w:w="2460" w:type="dxa"/>
            <w:vAlign w:val="bottom"/>
          </w:tcPr>
          <w:p>
            <w:pPr>
              <w:jc w:val="center"/>
              <w:ind w:right="49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4960" w:type="dxa"/>
            <w:vAlign w:val="bottom"/>
          </w:tcPr>
          <w:p>
            <w:pPr>
              <w:jc w:val="center"/>
              <w:ind w:right="13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1960" w:type="dxa"/>
            <w:vAlign w:val="bottom"/>
          </w:tcPr>
          <w:p>
            <w:pPr>
              <w:jc w:val="center"/>
              <w:ind w:left="53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6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File Number)</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2"/>
        </w:trPr>
        <w:tc>
          <w:tcPr>
            <w:tcW w:w="2460" w:type="dxa"/>
            <w:vAlign w:val="bottom"/>
          </w:tcPr>
          <w:p>
            <w:pPr>
              <w:spacing w:after="0"/>
              <w:rPr>
                <w:sz w:val="24"/>
                <w:szCs w:val="24"/>
                <w:color w:val="auto"/>
              </w:rPr>
            </w:pPr>
          </w:p>
        </w:tc>
        <w:tc>
          <w:tcPr>
            <w:tcW w:w="4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7495 New Horizon Way, Frederick, MD 21703</w:t>
            </w:r>
          </w:p>
        </w:tc>
        <w:tc>
          <w:tcPr>
            <w:tcW w:w="196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(Address of principal executive offices)(Zip Code)</w:t>
            </w:r>
          </w:p>
        </w:tc>
        <w:tc>
          <w:tcPr>
            <w:tcW w:w="1960" w:type="dxa"/>
            <w:vAlign w:val="bottom"/>
          </w:tcPr>
          <w:p>
            <w:pPr>
              <w:spacing w:after="0"/>
              <w:rPr>
                <w:sz w:val="20"/>
                <w:szCs w:val="20"/>
                <w:color w:val="auto"/>
              </w:rPr>
            </w:pPr>
          </w:p>
        </w:tc>
      </w:tr>
      <w:tr>
        <w:trPr>
          <w:trHeight w:val="414"/>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(301) 348-8698</w:t>
            </w:r>
          </w:p>
        </w:tc>
        <w:tc>
          <w:tcPr>
            <w:tcW w:w="196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9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5"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8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5"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RNAC</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3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25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770255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098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08"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On March 13, 2025, Cartesian Therapeutics, Inc. (the “Company”) announced its financial results for the year ended December 31, 2024. The full text of the press release issued in connection with the announcement is furnished as Exhibit 99.1 to this Current Report on Form 8-K.</w:t>
      </w:r>
    </w:p>
    <w:p>
      <w:pPr>
        <w:spacing w:after="0" w:line="54"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The information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60" w:type="dxa"/>
            <w:vAlign w:val="bottom"/>
          </w:tcPr>
          <w:p>
            <w:pPr>
              <w:spacing w:after="0"/>
              <w:rPr>
                <w:sz w:val="13"/>
                <w:szCs w:val="13"/>
                <w:color w:val="auto"/>
              </w:rPr>
            </w:pPr>
          </w:p>
        </w:tc>
        <w:tc>
          <w:tcPr>
            <w:tcW w:w="9440" w:type="dxa"/>
            <w:vAlign w:val="bottom"/>
            <w:gridSpan w:val="2"/>
            <w:vMerge w:val="restart"/>
          </w:tcPr>
          <w:p>
            <w:pPr>
              <w:ind w:left="41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95"/>
        </w:trPr>
        <w:tc>
          <w:tcPr>
            <w:tcW w:w="4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No.</w:t>
            </w:r>
          </w:p>
        </w:tc>
        <w:tc>
          <w:tcPr>
            <w:tcW w:w="560" w:type="dxa"/>
            <w:vAlign w:val="bottom"/>
          </w:tcPr>
          <w:p>
            <w:pPr>
              <w:spacing w:after="0"/>
              <w:rPr>
                <w:sz w:val="16"/>
                <w:szCs w:val="16"/>
                <w:color w:val="auto"/>
              </w:rPr>
            </w:pPr>
          </w:p>
        </w:tc>
        <w:tc>
          <w:tcPr>
            <w:tcW w:w="9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12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0000FF"/>
              </w:rPr>
              <w:t>Press release of Cartesian Therapeutics, Inc. issued on March 13, 2025.</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40" w:type="dxa"/>
            <w:vAlign w:val="bottom"/>
            <w:shd w:val="clear" w:color="auto" w:fill="0000FF"/>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21"/>
                <w:szCs w:val="21"/>
                <w:color w:val="auto"/>
              </w:rPr>
            </w:pPr>
          </w:p>
        </w:tc>
        <w:tc>
          <w:tcPr>
            <w:tcW w:w="100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965"/>
        </w:trPr>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66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CARTESIAN THERAPEUTICS, INC.</w:t>
            </w:r>
          </w:p>
        </w:tc>
      </w:tr>
      <w:tr>
        <w:trPr>
          <w:trHeight w:val="68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2025</w:t>
            </w:r>
          </w:p>
        </w:tc>
        <w:tc>
          <w:tcPr>
            <w:tcW w:w="25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Carsten Brunn, Ph.D.</w:t>
            </w:r>
          </w:p>
        </w:tc>
      </w:tr>
      <w:tr>
        <w:trPr>
          <w:trHeight w:val="218"/>
        </w:trPr>
        <w:tc>
          <w:tcPr>
            <w:tcW w:w="35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r>
      <w:tr>
        <w:trPr>
          <w:trHeight w:val="234"/>
        </w:trPr>
        <w:tc>
          <w:tcPr>
            <w:tcW w:w="35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00"/>
          </w:cols>
          <w:pgMar w:left="320" w:top="765"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19685</wp:posOffset>
            </wp:positionV>
            <wp:extent cx="2031365" cy="5054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31365"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Cartesian Therapeutcs Reports Full Year 2024 Financial Results and Provides Business Update</w:t>
      </w:r>
    </w:p>
    <w:p>
      <w:pPr>
        <w:spacing w:after="0" w:line="225" w:lineRule="exact"/>
        <w:rPr>
          <w:sz w:val="20"/>
          <w:szCs w:val="20"/>
          <w:color w:val="auto"/>
        </w:rPr>
      </w:pPr>
    </w:p>
    <w:p>
      <w:pPr>
        <w:jc w:val="center"/>
        <w:spacing w:after="0" w:line="214" w:lineRule="auto"/>
        <w:rPr>
          <w:sz w:val="20"/>
          <w:szCs w:val="20"/>
          <w:color w:val="auto"/>
        </w:rPr>
      </w:pPr>
      <w:r>
        <w:rPr>
          <w:rFonts w:ascii="Calibri" w:cs="Calibri" w:eastAsia="Calibri" w:hAnsi="Calibri"/>
          <w:sz w:val="20"/>
          <w:szCs w:val="20"/>
          <w:i w:val="1"/>
          <w:iCs w:val="1"/>
          <w:color w:val="auto"/>
        </w:rPr>
        <w:t>Phase 3 AURORA trial of Descartes-08 in myasthenia gravis on track to commence in 1H25; Deep and durable responses maintained over 12 months in Descartes-08-treated partcipants in Phase 2b trial</w:t>
      </w:r>
    </w:p>
    <w:p>
      <w:pPr>
        <w:spacing w:after="0" w:line="216" w:lineRule="exact"/>
        <w:rPr>
          <w:sz w:val="20"/>
          <w:szCs w:val="20"/>
          <w:color w:val="auto"/>
        </w:rPr>
      </w:pPr>
    </w:p>
    <w:p>
      <w:pPr>
        <w:jc w:val="center"/>
        <w:spacing w:after="0"/>
        <w:rPr>
          <w:sz w:val="20"/>
          <w:szCs w:val="20"/>
          <w:color w:val="auto"/>
        </w:rPr>
      </w:pPr>
      <w:r>
        <w:rPr>
          <w:rFonts w:ascii="Calibri" w:cs="Calibri" w:eastAsia="Calibri" w:hAnsi="Calibri"/>
          <w:sz w:val="20"/>
          <w:szCs w:val="20"/>
          <w:i w:val="1"/>
          <w:iCs w:val="1"/>
          <w:color w:val="auto"/>
        </w:rPr>
        <w:t>Phase 2 trial of Descartes-08 in systemic lupus erythematosus ongoing with expected data readout in 2H25</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20"/>
          <w:szCs w:val="20"/>
          <w:i w:val="1"/>
          <w:iCs w:val="1"/>
          <w:color w:val="auto"/>
        </w:rPr>
        <w:t>Company expects to initate Phase 2 pediatric basket trial of Decartes-08 in select autoimmune indicatons in 2H25</w:t>
      </w:r>
    </w:p>
    <w:p>
      <w:pPr>
        <w:spacing w:after="0" w:line="201" w:lineRule="exact"/>
        <w:rPr>
          <w:sz w:val="20"/>
          <w:szCs w:val="20"/>
          <w:color w:val="auto"/>
        </w:rPr>
      </w:pPr>
    </w:p>
    <w:p>
      <w:pPr>
        <w:jc w:val="center"/>
        <w:spacing w:after="0"/>
        <w:rPr>
          <w:sz w:val="20"/>
          <w:szCs w:val="20"/>
          <w:color w:val="auto"/>
        </w:rPr>
      </w:pPr>
      <w:r>
        <w:rPr>
          <w:rFonts w:ascii="Calibri" w:cs="Calibri" w:eastAsia="Calibri" w:hAnsi="Calibri"/>
          <w:sz w:val="20"/>
          <w:szCs w:val="20"/>
          <w:i w:val="1"/>
          <w:iCs w:val="1"/>
          <w:color w:val="auto"/>
        </w:rPr>
        <w:t>Dosing underway in frst-in-human Phase 1 trial of Descartes-15</w:t>
      </w:r>
    </w:p>
    <w:p>
      <w:pPr>
        <w:spacing w:after="0" w:line="225" w:lineRule="exact"/>
        <w:rPr>
          <w:sz w:val="20"/>
          <w:szCs w:val="20"/>
          <w:color w:val="auto"/>
        </w:rPr>
      </w:pPr>
    </w:p>
    <w:p>
      <w:pPr>
        <w:jc w:val="center"/>
        <w:spacing w:after="0" w:line="221" w:lineRule="auto"/>
        <w:rPr>
          <w:sz w:val="20"/>
          <w:szCs w:val="20"/>
          <w:color w:val="auto"/>
        </w:rPr>
      </w:pPr>
      <w:r>
        <w:rPr>
          <w:rFonts w:ascii="Calibri" w:cs="Calibri" w:eastAsia="Calibri" w:hAnsi="Calibri"/>
          <w:sz w:val="20"/>
          <w:szCs w:val="20"/>
          <w:i w:val="1"/>
          <w:iCs w:val="1"/>
          <w:color w:val="auto"/>
        </w:rPr>
        <w:t>Approximately $214.3 million cash, cash equivalents and restricted cash as of December 31, 2024 expected to support planned operatons into mid-2027, including completon of planned Phase 3 AURORA trial</w:t>
      </w:r>
    </w:p>
    <w:p>
      <w:pPr>
        <w:spacing w:after="0" w:line="200" w:lineRule="exact"/>
        <w:rPr>
          <w:sz w:val="20"/>
          <w:szCs w:val="20"/>
          <w:color w:val="auto"/>
        </w:rPr>
      </w:pPr>
    </w:p>
    <w:p>
      <w:pPr>
        <w:spacing w:after="0" w:line="268" w:lineRule="exact"/>
        <w:rPr>
          <w:sz w:val="20"/>
          <w:szCs w:val="20"/>
          <w:color w:val="auto"/>
        </w:rPr>
      </w:pPr>
    </w:p>
    <w:p>
      <w:pPr>
        <w:jc w:val="both"/>
        <w:spacing w:after="0" w:line="213" w:lineRule="auto"/>
        <w:rPr>
          <w:sz w:val="20"/>
          <w:szCs w:val="20"/>
          <w:color w:val="auto"/>
        </w:rPr>
      </w:pPr>
      <w:r>
        <w:rPr>
          <w:rFonts w:ascii="Calibri" w:cs="Calibri" w:eastAsia="Calibri" w:hAnsi="Calibri"/>
          <w:sz w:val="20"/>
          <w:szCs w:val="20"/>
          <w:color w:val="auto"/>
        </w:rPr>
        <w:t>Frederick, MD, March 13, 2025 (GLOBE NEWSWIRE) – Cartesian Therapeutcs, Inc. (NASDAQ: RNAC) (the “Company”), a clinical-stage biotechnology company pioneering mRNA cell therapy for autoimmune diseases, today reported fnancial results for the full year ended December 31, 2024, and outlined recent corporate updates.</w:t>
      </w:r>
    </w:p>
    <w:p>
      <w:pPr>
        <w:spacing w:after="0" w:line="227"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“Following a year marked by tremendous progress, we remain commited to advancing our pipeline of mRNA cell therapies designed to be dosed in the convenient outpatent setng, without the need for preconditoning chemotherapy,” said Carsten Brunn, Ph.D., President and Chief Executve Ofcer of Cartesian. “Notably, we remain on track to commence our planned Phase 3 AURORA trial of Descartes-08 in patents with myasthenia gravis (MG) in the frst half of this year. Supported by positve results from our Phase 2b trial demonstratng deep and durable improvements for Descartes-08-treated partcipants, along with our Special Protocol Assessment (SPA) agreement with U.S. Food and Drug Administraton (FDA), we are confdent that we have a clear path toward potental approval of this promising new therapy.”</w:t>
      </w:r>
    </w:p>
    <w:p>
      <w:pPr>
        <w:spacing w:after="0" w:line="250" w:lineRule="exact"/>
        <w:rPr>
          <w:sz w:val="20"/>
          <w:szCs w:val="20"/>
          <w:color w:val="auto"/>
        </w:rPr>
      </w:pPr>
    </w:p>
    <w:p>
      <w:pPr>
        <w:jc w:val="both"/>
        <w:ind w:right="20"/>
        <w:spacing w:after="0" w:line="213" w:lineRule="auto"/>
        <w:rPr>
          <w:sz w:val="20"/>
          <w:szCs w:val="20"/>
          <w:color w:val="auto"/>
        </w:rPr>
      </w:pPr>
      <w:r>
        <w:rPr>
          <w:rFonts w:ascii="Calibri" w:cs="Calibri" w:eastAsia="Calibri" w:hAnsi="Calibri"/>
          <w:sz w:val="20"/>
          <w:szCs w:val="20"/>
          <w:color w:val="auto"/>
        </w:rPr>
        <w:t>Dr. Brunn contnued, “Beyond MG, we remain on track to report preliminary data from our ongoing Phase 2 open-label trial of Descartes-08 in patents with systemic lupus erythematosus (SLE) and expect to initate our Phase 2 pediatric basket trial of Descartes-08 in select autoimmune diseases in the second half of this year. With these antcipated milestones, along with our strong balance sheet, we believe we are well-positoned to deliver on our mission to expand the reach of cell therapy to autoimmunity.”</w:t>
      </w:r>
    </w:p>
    <w:p>
      <w:pPr>
        <w:spacing w:after="0" w:line="21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Recent Pipeline Progress and Antcipated Milestones</w:t>
      </w:r>
    </w:p>
    <w:p>
      <w:pPr>
        <w:spacing w:after="0" w:line="333" w:lineRule="exact"/>
        <w:rPr>
          <w:sz w:val="20"/>
          <w:szCs w:val="20"/>
          <w:color w:val="auto"/>
        </w:rPr>
      </w:pPr>
    </w:p>
    <w:p>
      <w:pPr>
        <w:jc w:val="both"/>
        <w:ind w:left="340" w:hanging="332"/>
        <w:spacing w:after="0" w:line="213" w:lineRule="auto"/>
        <w:tabs>
          <w:tab w:leader="none" w:pos="333" w:val="left"/>
        </w:tabs>
        <w:numPr>
          <w:ilvl w:val="0"/>
          <w:numId w:val="2"/>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Phase 3 AURORA Trial of Descartes-08 in MG on Track to Commence in the First Half of 2025. </w:t>
      </w:r>
      <w:r>
        <w:rPr>
          <w:rFonts w:ascii="Calibri" w:cs="Calibri" w:eastAsia="Calibri" w:hAnsi="Calibri"/>
          <w:sz w:val="20"/>
          <w:szCs w:val="20"/>
          <w:color w:val="auto"/>
        </w:rPr>
        <w:t>The randomized, double-blind,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placebo-controlled Phase 3 AURORA trial is designed to assess Descartes-08 versus placebo (1:1 randomizaton) administered as six once weekly outpatent infusions without preconditoning chemotherapy in approximately 100 partcipants with acetylcholine receptor autoantbody positve (AChR Ab+) MG. The primary endpoint will assess the proporton of Descartes-08 partcipants with an improvement in MG Actvites of Daily Living (MG-ADL) score of three points or more at Month 4 compared to placebo. Descartes-08, Cartesian’s lead product candidate, is an autologous ant-B cell maturaton antgen (BCMA) mRNA-engineered chimeric antgen receptor T-cell therapy (mRNA CAR-T).</w:t>
      </w:r>
    </w:p>
    <w:p>
      <w:pPr>
        <w:spacing w:after="0" w:line="89" w:lineRule="exact"/>
        <w:rPr>
          <w:rFonts w:ascii="Calibri" w:cs="Calibri" w:eastAsia="Calibri" w:hAnsi="Calibri"/>
          <w:sz w:val="20"/>
          <w:szCs w:val="20"/>
          <w:color w:val="auto"/>
        </w:rPr>
      </w:pPr>
    </w:p>
    <w:p>
      <w:pPr>
        <w:jc w:val="both"/>
        <w:ind w:left="340"/>
        <w:spacing w:after="0"/>
        <w:rPr>
          <w:rFonts w:ascii="Calibri" w:cs="Calibri" w:eastAsia="Calibri" w:hAnsi="Calibri"/>
          <w:sz w:val="20"/>
          <w:szCs w:val="20"/>
          <w:color w:val="auto"/>
        </w:rPr>
      </w:pPr>
      <w:r>
        <w:rPr>
          <w:rFonts w:ascii="Calibri" w:cs="Calibri" w:eastAsia="Calibri" w:hAnsi="Calibri"/>
          <w:sz w:val="20"/>
          <w:szCs w:val="20"/>
          <w:color w:val="auto"/>
        </w:rPr>
        <w:t xml:space="preserve">In January 2025, Cartesian </w:t>
      </w:r>
      <w:hyperlink r:id="rId14">
        <w:r>
          <w:rPr>
            <w:rFonts w:ascii="Calibri" w:cs="Calibri" w:eastAsia="Calibri" w:hAnsi="Calibri"/>
            <w:sz w:val="20"/>
            <w:szCs w:val="20"/>
            <w:u w:val="single" w:color="auto"/>
            <w:color w:val="0000FF"/>
          </w:rPr>
          <w:t>announced</w:t>
        </w:r>
        <w:r>
          <w:rPr>
            <w:rFonts w:ascii="Calibri" w:cs="Calibri" w:eastAsia="Calibri" w:hAnsi="Calibri"/>
            <w:sz w:val="20"/>
            <w:szCs w:val="20"/>
            <w:u w:val="single" w:color="auto"/>
            <w:color w:val="auto"/>
          </w:rPr>
          <w:t xml:space="preserve"> </w:t>
        </w:r>
      </w:hyperlink>
      <w:r>
        <w:rPr>
          <w:rFonts w:ascii="Calibri" w:cs="Calibri" w:eastAsia="Calibri" w:hAnsi="Calibri"/>
          <w:sz w:val="20"/>
          <w:szCs w:val="20"/>
          <w:color w:val="auto"/>
        </w:rPr>
        <w:t>that it has received writen agreement from the FDA under the SPA process on the overall design of the planned Phase 3 AURORA trial. The SPA agreement indicates that the FDA has determined that the proposed trial design is acceptable to support a future Biologics License Applicaton for Descartes-08 in MG, subject to the ultmate outcome of the trial.</w:t>
      </w:r>
    </w:p>
    <w:p>
      <w:pPr>
        <w:spacing w:after="0" w:line="200" w:lineRule="exact"/>
        <w:rPr>
          <w:rFonts w:ascii="Calibri" w:cs="Calibri" w:eastAsia="Calibri" w:hAnsi="Calibri"/>
          <w:sz w:val="20"/>
          <w:szCs w:val="20"/>
          <w:color w:val="auto"/>
        </w:rPr>
      </w:pPr>
    </w:p>
    <w:p>
      <w:pPr>
        <w:spacing w:after="0" w:line="269" w:lineRule="exact"/>
        <w:rPr>
          <w:rFonts w:ascii="Calibri" w:cs="Calibri" w:eastAsia="Calibri" w:hAnsi="Calibri"/>
          <w:sz w:val="20"/>
          <w:szCs w:val="20"/>
          <w:color w:val="auto"/>
        </w:rPr>
      </w:pPr>
    </w:p>
    <w:p>
      <w:pPr>
        <w:jc w:val="both"/>
        <w:ind w:left="340" w:hanging="332"/>
        <w:spacing w:after="0" w:line="213" w:lineRule="auto"/>
        <w:tabs>
          <w:tab w:leader="none" w:pos="333" w:val="left"/>
        </w:tabs>
        <w:numPr>
          <w:ilvl w:val="0"/>
          <w:numId w:val="2"/>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Announced Positve Updated Results from Phase 2b Trial of Descartes-08 in Partcipants with MG, with Deepening Response Observed Over Time, Durable Through Month 12. </w:t>
      </w:r>
      <w:r>
        <w:rPr>
          <w:rFonts w:ascii="Calibri" w:cs="Calibri" w:eastAsia="Calibri" w:hAnsi="Calibri"/>
          <w:sz w:val="20"/>
          <w:szCs w:val="20"/>
          <w:color w:val="auto"/>
        </w:rPr>
        <w:t>In December 2024, the Company announced updated efcacy and safety data</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from the Phase 2b trial of Descartes-08 in partcipants with MG.</w:t>
      </w:r>
    </w:p>
    <w:p>
      <w:pPr>
        <w:sectPr>
          <w:pgSz w:w="11900" w:h="16838" w:orient="portrait"/>
          <w:cols w:equalWidth="0" w:num="1">
            <w:col w:w="11240"/>
          </w:cols>
          <w:pgMar w:left="320" w:top="117" w:right="339" w:bottom="1440" w:gutter="0" w:footer="0" w:header="0"/>
        </w:sectPr>
      </w:pPr>
    </w:p>
    <w:bookmarkStart w:id="4" w:name="page5"/>
    <w:bookmarkEnd w:id="4"/>
    <w:p>
      <w:pPr>
        <w:jc w:val="both"/>
        <w:ind w:left="340"/>
        <w:spacing w:after="0"/>
        <w:rPr>
          <w:sz w:val="20"/>
          <w:szCs w:val="20"/>
          <w:color w:val="auto"/>
        </w:rPr>
      </w:pPr>
      <w:r>
        <w:rPr>
          <w:rFonts w:ascii="Calibri" w:cs="Calibri" w:eastAsia="Calibri" w:hAnsi="Calibri"/>
          <w:sz w:val="20"/>
          <w:szCs w:val="20"/>
          <w:color w:val="auto"/>
        </w:rPr>
        <w:drawing>
          <wp:anchor simplePos="0" relativeHeight="251657728" behindDoc="1" locked="0" layoutInCell="0" allowOverlap="1">
            <wp:simplePos x="0" y="0"/>
            <wp:positionH relativeFrom="page">
              <wp:posOffset>5308600</wp:posOffset>
            </wp:positionH>
            <wp:positionV relativeFrom="page">
              <wp:posOffset>88900</wp:posOffset>
            </wp:positionV>
            <wp:extent cx="2031365" cy="506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06095"/>
                    </a:xfrm>
                    <a:prstGeom prst="rect">
                      <a:avLst/>
                    </a:prstGeom>
                    <a:noFill/>
                  </pic:spPr>
                </pic:pic>
              </a:graphicData>
            </a:graphic>
          </wp:anchor>
        </w:drawing>
        <w:t>Partcipants included in the primary efcacy dataset (n=12)</w:t>
      </w:r>
      <w:r>
        <w:rPr>
          <w:rFonts w:ascii="Calibri" w:cs="Calibri" w:eastAsia="Calibri" w:hAnsi="Calibri"/>
          <w:sz w:val="25"/>
          <w:szCs w:val="25"/>
          <w:color w:val="auto"/>
          <w:vertAlign w:val="superscript"/>
        </w:rPr>
        <w:t>1</w:t>
      </w:r>
      <w:r>
        <w:rPr>
          <w:rFonts w:ascii="Calibri" w:cs="Calibri" w:eastAsia="Calibri" w:hAnsi="Calibri"/>
          <w:sz w:val="20"/>
          <w:szCs w:val="20"/>
          <w:color w:val="auto"/>
        </w:rPr>
        <w:t xml:space="preserve"> experienced an average MG-ADL reducton of 5.5 (±1.1) at Month 4. Responses were observed to be durable through Month 12, with 80% (4/5) of evaluable partcipants from the primary efcacy dataset maintaining a clinically meaningful response, defned as a reducton in MG-ADL score of at least 2 points. Descartes-08 contnues to be observed as well-tolerated, supportng outpatent administraton without the need for lymphodepletng chemotherapy.</w:t>
      </w:r>
    </w:p>
    <w:p>
      <w:pPr>
        <w:spacing w:after="0" w:line="260" w:lineRule="exact"/>
        <w:rPr>
          <w:sz w:val="20"/>
          <w:szCs w:val="20"/>
          <w:color w:val="auto"/>
        </w:rPr>
      </w:pPr>
    </w:p>
    <w:p>
      <w:pPr>
        <w:jc w:val="both"/>
        <w:ind w:left="340" w:hanging="332"/>
        <w:spacing w:after="0" w:line="218" w:lineRule="auto"/>
        <w:tabs>
          <w:tab w:leader="none" w:pos="333" w:val="left"/>
        </w:tabs>
        <w:numPr>
          <w:ilvl w:val="0"/>
          <w:numId w:val="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Dr. Tuan Vu, one of Cartesian’s Clinical Advisors, will Present at the American Academy of Neurology Annual Meetng on April 9, 2025 at 1:12 pm PT</w:t>
      </w:r>
      <w:r>
        <w:rPr>
          <w:rFonts w:ascii="Calibri" w:cs="Calibri" w:eastAsia="Calibri" w:hAnsi="Calibri"/>
          <w:sz w:val="20"/>
          <w:szCs w:val="20"/>
          <w:color w:val="auto"/>
        </w:rPr>
        <w:t>. The presentaton and abstract are ttled, “The Efcacy and Safety of Autologous BCMA-directed mRNA CAR T-Cell Therapy in Generalized Myasthenia Gravis: Results from a Phase 2b Randomized Placebo-controlled Trial.”</w:t>
      </w:r>
    </w:p>
    <w:p>
      <w:pPr>
        <w:spacing w:after="0" w:line="225" w:lineRule="exact"/>
        <w:rPr>
          <w:rFonts w:ascii="Calibri" w:cs="Calibri" w:eastAsia="Calibri" w:hAnsi="Calibri"/>
          <w:sz w:val="20"/>
          <w:szCs w:val="20"/>
          <w:b w:val="1"/>
          <w:bCs w:val="1"/>
          <w:color w:val="auto"/>
        </w:rPr>
      </w:pPr>
    </w:p>
    <w:p>
      <w:pPr>
        <w:jc w:val="both"/>
        <w:ind w:left="340" w:hanging="332"/>
        <w:spacing w:after="0" w:line="213" w:lineRule="auto"/>
        <w:tabs>
          <w:tab w:leader="none" w:pos="333" w:val="left"/>
        </w:tabs>
        <w:numPr>
          <w:ilvl w:val="0"/>
          <w:numId w:val="3"/>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Preliminary Data from Ongoing Phase 2 Open-Label Trial of Descartes-08 in Patents with SLE Expected in the Second Half of 2025. </w:t>
      </w:r>
      <w:r>
        <w:rPr>
          <w:rFonts w:ascii="Calibri" w:cs="Calibri" w:eastAsia="Calibri" w:hAnsi="Calibri"/>
          <w:sz w:val="20"/>
          <w:szCs w:val="20"/>
          <w:color w:val="auto"/>
        </w:rPr>
        <w:t>The trial is designed to assess the safety, tolerability and clinical actvity of outpatent Descartes-08 administraton without preconditoning chemotherapy in patents with SLE. SLE is an incurable autoimmune disease marked by systemic infammaton that afects multple organ systems and impacts approximately 1.5 million people in the United States.</w:t>
      </w:r>
    </w:p>
    <w:p>
      <w:pPr>
        <w:spacing w:after="0" w:line="213" w:lineRule="exact"/>
        <w:rPr>
          <w:rFonts w:ascii="Calibri" w:cs="Calibri" w:eastAsia="Calibri" w:hAnsi="Calibri"/>
          <w:sz w:val="20"/>
          <w:szCs w:val="20"/>
          <w:color w:val="auto"/>
        </w:rPr>
      </w:pPr>
    </w:p>
    <w:p>
      <w:pPr>
        <w:jc w:val="both"/>
        <w:ind w:left="340" w:hanging="332"/>
        <w:spacing w:after="0" w:line="213" w:lineRule="auto"/>
        <w:tabs>
          <w:tab w:leader="none" w:pos="333" w:val="left"/>
        </w:tabs>
        <w:numPr>
          <w:ilvl w:val="0"/>
          <w:numId w:val="3"/>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Phase 2 Pediatric Basket Trial of Descartes-08 in Select Autoimmune Diseases Expected to Initate in the Second Half of 2025. </w:t>
      </w:r>
      <w:r>
        <w:rPr>
          <w:rFonts w:ascii="Calibri" w:cs="Calibri" w:eastAsia="Calibri" w:hAnsi="Calibri"/>
          <w:sz w:val="20"/>
          <w:szCs w:val="20"/>
          <w:color w:val="auto"/>
        </w:rPr>
        <w:t>This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pediatric basket trial will target juvenile SLE, juvenile MG, juvenile dermatomyosits (JDM) and ant-neutrophil cytoplasmic antbody (ANCA) associated vasculits. The FDA previously granted Rare Pediatric Disease Designaton to Descartes-08 for the treatment of JDM, which is a rare pediatric autoimmune disorder.</w:t>
      </w:r>
    </w:p>
    <w:p>
      <w:pPr>
        <w:spacing w:after="0" w:line="226" w:lineRule="exact"/>
        <w:rPr>
          <w:rFonts w:ascii="Calibri" w:cs="Calibri" w:eastAsia="Calibri" w:hAnsi="Calibri"/>
          <w:sz w:val="20"/>
          <w:szCs w:val="20"/>
          <w:color w:val="auto"/>
        </w:rPr>
      </w:pPr>
    </w:p>
    <w:p>
      <w:pPr>
        <w:jc w:val="both"/>
        <w:ind w:left="340" w:hanging="332"/>
        <w:spacing w:after="0" w:line="213" w:lineRule="auto"/>
        <w:tabs>
          <w:tab w:leader="none" w:pos="333" w:val="left"/>
        </w:tabs>
        <w:numPr>
          <w:ilvl w:val="0"/>
          <w:numId w:val="3"/>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Dosing Ongoing in First-in-Human Phase 1 Clinical Trial of Descartes-15. </w:t>
      </w:r>
      <w:r>
        <w:rPr>
          <w:rFonts w:ascii="Calibri" w:cs="Calibri" w:eastAsia="Calibri" w:hAnsi="Calibri"/>
          <w:sz w:val="20"/>
          <w:szCs w:val="20"/>
          <w:color w:val="auto"/>
        </w:rPr>
        <w:t>The Phase 1 dose escalaton trial of Cartesian’s next-generaton, autologous ant-BCMA mRNA CAR-T cell therapy, is designed to assess the safety and tolerability of outpatent Descartes-15 administraton in patents with multple myeloma. Following the Phase 1 dose escalaton trial, the Company expects to subsequently assess Descartes-15 in autoimmune indicatons.</w:t>
      </w:r>
    </w:p>
    <w:p>
      <w:pPr>
        <w:spacing w:after="0" w:line="21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Corporate Updates</w:t>
      </w:r>
    </w:p>
    <w:p>
      <w:pPr>
        <w:spacing w:after="0" w:line="211" w:lineRule="exact"/>
        <w:rPr>
          <w:sz w:val="20"/>
          <w:szCs w:val="20"/>
          <w:color w:val="auto"/>
        </w:rPr>
      </w:pPr>
    </w:p>
    <w:p>
      <w:pPr>
        <w:jc w:val="both"/>
        <w:ind w:left="340" w:hanging="332"/>
        <w:spacing w:after="0" w:line="216" w:lineRule="auto"/>
        <w:tabs>
          <w:tab w:leader="none" w:pos="333" w:val="left"/>
        </w:tabs>
        <w:numPr>
          <w:ilvl w:val="0"/>
          <w:numId w:val="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Emily English Promoted to Chief Operatons Ofcer. </w:t>
      </w:r>
      <w:r>
        <w:rPr>
          <w:rFonts w:ascii="Calibri" w:cs="Calibri" w:eastAsia="Calibri" w:hAnsi="Calibri"/>
          <w:sz w:val="20"/>
          <w:szCs w:val="20"/>
          <w:color w:val="auto"/>
        </w:rPr>
        <w:t>Emily English, formerly Cartesian’s Senior Vice President and Head of</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Manufacturing Operatons, was promoted to Chief Operatons Ofcer in January 2025. Emily’s signifcant contributons, including her leadership in the expansion of the new, state-of-the-art current good manufacturing practce (cGMP) facility in Frederick, Maryland, have been instrumental in Cartesian’s progress as the Company contnues to advance its pipeline.</w:t>
      </w:r>
    </w:p>
    <w:p>
      <w:pPr>
        <w:spacing w:after="0" w:line="20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Full Year 2024 Financial Results</w:t>
      </w:r>
    </w:p>
    <w:p>
      <w:pPr>
        <w:spacing w:after="0" w:line="225" w:lineRule="exact"/>
        <w:rPr>
          <w:sz w:val="20"/>
          <w:szCs w:val="20"/>
          <w:color w:val="auto"/>
        </w:rPr>
      </w:pPr>
    </w:p>
    <w:p>
      <w:pPr>
        <w:ind w:left="340" w:right="20" w:hanging="332"/>
        <w:spacing w:after="0" w:line="221" w:lineRule="auto"/>
        <w:tabs>
          <w:tab w:leader="none" w:pos="333"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auto"/>
        </w:rPr>
        <w:t>Cash, cash equivalents and restricted cash as of December 31, 2024 was $214.3 million and is expected to support planned operatons, including completon of planned Phase 3 AURORA trial for Descartes-08 in MG, into mid-2027.</w:t>
      </w:r>
    </w:p>
    <w:p>
      <w:pPr>
        <w:spacing w:after="0" w:line="225" w:lineRule="exact"/>
        <w:rPr>
          <w:rFonts w:ascii="Calibri" w:cs="Calibri" w:eastAsia="Calibri" w:hAnsi="Calibri"/>
          <w:sz w:val="20"/>
          <w:szCs w:val="20"/>
          <w:color w:val="auto"/>
        </w:rPr>
      </w:pPr>
    </w:p>
    <w:p>
      <w:pPr>
        <w:jc w:val="both"/>
        <w:ind w:left="340" w:hanging="332"/>
        <w:spacing w:after="0" w:line="213" w:lineRule="auto"/>
        <w:tabs>
          <w:tab w:leader="none" w:pos="333"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auto"/>
        </w:rPr>
        <w:t>Research and development expenses were $45.1 million for the year ended December 31, 2024, compared to $71.3 million for the year ended December 31, 2023. The decrease was primarily a result of the Company’s restructuring in 2023 prior to the merger between Cartesian and Selecta Biosciences, including reductons in expenses for preclinical and clinical programs due to the strategic reprioritzaton, stock compensaton in connecton with the Selecta Biosciences/ Cartesian Therapeutcs merger, and higher expenses in 2023 compared to 2024 due to one-tme cash charges related to salaries and benefts.</w:t>
      </w:r>
    </w:p>
    <w:p>
      <w:pPr>
        <w:spacing w:after="0" w:line="226" w:lineRule="exact"/>
        <w:rPr>
          <w:rFonts w:ascii="Calibri" w:cs="Calibri" w:eastAsia="Calibri" w:hAnsi="Calibri"/>
          <w:sz w:val="20"/>
          <w:szCs w:val="20"/>
          <w:color w:val="auto"/>
        </w:rPr>
      </w:pPr>
    </w:p>
    <w:p>
      <w:pPr>
        <w:jc w:val="both"/>
        <w:ind w:left="340" w:hanging="332"/>
        <w:spacing w:after="0" w:line="213" w:lineRule="auto"/>
        <w:tabs>
          <w:tab w:leader="none" w:pos="333"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auto"/>
        </w:rPr>
        <w:t>General and administratve expenses were $30.1 million for the year ended December 31, 2024, compared to $40.5 million for the year ended December 31, 2023. The decrease in expense for the year ended December 31, 2024 was primarily the result of reductons in expenses incurred for stock compensaton and professional fees in connecton with the merger between Cartesian and Selecta Biosciences.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1714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right="200" w:firstLine="8"/>
        <w:spacing w:after="0" w:line="229" w:lineRule="auto"/>
        <w:tabs>
          <w:tab w:leader="none" w:pos="103"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Primary efficacy dataset consisted of a modified intent-to-treat population of all subjects enrolled at academic medical centers who received at least one dose of Descartes-08 and completed at least one post-Month 3 MG-ADL score follow-up assessment.</w:t>
      </w:r>
    </w:p>
    <w:p>
      <w:pPr>
        <w:sectPr>
          <w:pgSz w:w="11900" w:h="16838" w:orient="portrait"/>
          <w:cols w:equalWidth="0" w:num="1">
            <w:col w:w="11240"/>
          </w:cols>
          <w:pgMar w:left="320" w:top="1234" w:right="339" w:bottom="1440" w:gutter="0" w:footer="0" w:header="0"/>
        </w:sectPr>
      </w:pPr>
    </w:p>
    <w:bookmarkStart w:id="5" w:name="page6"/>
    <w:bookmarkEnd w:id="5"/>
    <w:p>
      <w:pPr>
        <w:ind w:left="340" w:hanging="332"/>
        <w:spacing w:after="0" w:line="221" w:lineRule="auto"/>
        <w:tabs>
          <w:tab w:leader="none" w:pos="333" w:val="left"/>
        </w:tabs>
        <w:numPr>
          <w:ilvl w:val="0"/>
          <w:numId w:val="7"/>
        </w:numPr>
        <w:rPr>
          <w:rFonts w:ascii="Calibri" w:cs="Calibri" w:eastAsia="Calibri" w:hAnsi="Calibri"/>
          <w:sz w:val="20"/>
          <w:szCs w:val="20"/>
          <w:color w:val="auto"/>
        </w:rPr>
      </w:pPr>
      <w:r>
        <w:rPr>
          <w:rFonts w:ascii="Calibri" w:cs="Calibri" w:eastAsia="Calibri" w:hAnsi="Calibri"/>
          <w:sz w:val="20"/>
          <w:szCs w:val="20"/>
          <w:color w:val="auto"/>
        </w:rPr>
        <w:drawing>
          <wp:anchor simplePos="0" relativeHeight="251657728" behindDoc="1" locked="0" layoutInCell="0" allowOverlap="1">
            <wp:simplePos x="0" y="0"/>
            <wp:positionH relativeFrom="page">
              <wp:posOffset>5308600</wp:posOffset>
            </wp:positionH>
            <wp:positionV relativeFrom="page">
              <wp:posOffset>88900</wp:posOffset>
            </wp:positionV>
            <wp:extent cx="2031365" cy="5054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05460"/>
                    </a:xfrm>
                    <a:prstGeom prst="rect">
                      <a:avLst/>
                    </a:prstGeom>
                    <a:noFill/>
                  </pic:spPr>
                </pic:pic>
              </a:graphicData>
            </a:graphic>
          </wp:anchor>
        </w:drawing>
        <w:t>Net loss was $(77.4) million, or $(4.48) net loss per share (basic), for the year ended December 31, 2024, compared to net loss of $(219.7) million, or $(49.76) net loss per share (basic), for the year ended December 31, 2023.</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Descartes-08</w:t>
      </w:r>
    </w:p>
    <w:p>
      <w:pPr>
        <w:spacing w:after="0" w:line="211" w:lineRule="exact"/>
        <w:rPr>
          <w:sz w:val="20"/>
          <w:szCs w:val="20"/>
          <w:color w:val="auto"/>
        </w:rPr>
      </w:pPr>
    </w:p>
    <w:p>
      <w:pPr>
        <w:jc w:val="both"/>
        <w:spacing w:after="0" w:line="211" w:lineRule="auto"/>
        <w:rPr>
          <w:sz w:val="20"/>
          <w:szCs w:val="20"/>
          <w:color w:val="auto"/>
        </w:rPr>
      </w:pPr>
      <w:r>
        <w:rPr>
          <w:rFonts w:ascii="Calibri" w:cs="Calibri" w:eastAsia="Calibri" w:hAnsi="Calibri"/>
          <w:sz w:val="20"/>
          <w:szCs w:val="20"/>
          <w:color w:val="auto"/>
        </w:rPr>
        <w:t>Descartes-08, Cartesian’s lead mRNA cell therapy candidate, is an autologous mRNA-engineered chimeric antgen receptor T-cell therapy (mRNA CAR-T) product targetng B-cell maturaton antgen (BCMA) in clinical development for generalized myasthenia gravis (MG) and systemic lupus erythematosus. In contrast to conventonal DNA-based CAR T-cell therapies, mRNA CAR-T administraton is designed to not require preconditoning chemotherapy, can be administered in the outpatent setng, and does not carry the risk of genomic integraton associated with cancerous transformaton. Descartes-08 has been granted Orphan Drug Designaton and Regeneratve Medicine Advanced Therapy Designaton by the U.S. Food and Drug Administraton for the treatment of MG, and Rare Pediatric Disease Designaton for the treatment of juvenile dermatomyosits.</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Descartes-15</w:t>
      </w:r>
    </w:p>
    <w:p>
      <w:pPr>
        <w:spacing w:after="0" w:line="225"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Descartes-15 is a next-generaton, autologous ant-BCMA mRNA CAR-T cell therapy. In preclinical studies, Descartes-15 has been observed to achieve an approximately ten-fold increase in CAR expression and selectve target-specifc killing, relatve to Descartes-08. Similar to Descartes-08, Descartes-15 is designed to be administered without preconditoning chemotherapy and does not use integratng vectors.</w:t>
      </w:r>
    </w:p>
    <w:p>
      <w:pPr>
        <w:spacing w:after="0" w:line="35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Cartesian Therapeutcs</w:t>
      </w:r>
    </w:p>
    <w:p>
      <w:pPr>
        <w:spacing w:after="0" w:line="211" w:lineRule="exact"/>
        <w:rPr>
          <w:sz w:val="20"/>
          <w:szCs w:val="20"/>
          <w:color w:val="auto"/>
        </w:rPr>
      </w:pPr>
    </w:p>
    <w:p>
      <w:pPr>
        <w:jc w:val="both"/>
        <w:spacing w:after="0" w:line="211" w:lineRule="auto"/>
        <w:rPr>
          <w:sz w:val="20"/>
          <w:szCs w:val="20"/>
          <w:color w:val="auto"/>
        </w:rPr>
      </w:pPr>
      <w:r>
        <w:rPr>
          <w:rFonts w:ascii="Calibri" w:cs="Calibri" w:eastAsia="Calibri" w:hAnsi="Calibri"/>
          <w:sz w:val="20"/>
          <w:szCs w:val="20"/>
          <w:color w:val="auto"/>
        </w:rPr>
        <w:t>Cartesian Therapeutcs is a clinical-stage company pioneering mRNA cell therapy for the treatment of autoimmune diseases. The Company’s lead asset, Descartes-08, is an mRNA CAR-T entering Phase 3 clinical development for patents with generalized myasthenia gravis and Phase 2 development for systemic lupus erythematosus, with a Phase 2 basket trial planned in additonal autoimmune indicatons. A Phase 3 trial of Descartes-08 in patents with generalized myasthenia gravis has received writen agreement from the FDA under the Special Protocol Assessment process. The Company’s clinical-stage pipeline also includes Descartes-15, a next-generaton, autologous ant-BCMA mRNA CAR-T currently being evaluated in a Phase 1 trial in patents with multple myeloma. For more informaton, please visit www.cartesiantherapeutcs.com or follow the Company on LinkedIn or X, formerly known as Twiter.</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Forward Looking Statements</w:t>
      </w:r>
    </w:p>
    <w:p>
      <w:pPr>
        <w:spacing w:after="0" w:line="225" w:lineRule="exact"/>
        <w:rPr>
          <w:sz w:val="20"/>
          <w:szCs w:val="20"/>
          <w:color w:val="auto"/>
        </w:rPr>
      </w:pPr>
    </w:p>
    <w:p>
      <w:pPr>
        <w:spacing w:after="0" w:line="218" w:lineRule="auto"/>
        <w:rPr>
          <w:sz w:val="20"/>
          <w:szCs w:val="20"/>
          <w:color w:val="auto"/>
        </w:rPr>
      </w:pPr>
      <w:r>
        <w:rPr>
          <w:rFonts w:ascii="Calibri" w:cs="Calibri" w:eastAsia="Calibri" w:hAnsi="Calibri"/>
          <w:sz w:val="20"/>
          <w:szCs w:val="20"/>
          <w:color w:val="auto"/>
        </w:rPr>
        <w:t>Any statements in this press release about the future expectatons, plans and prospects of the Company, including without limitaton, statements regarding the Company’s expected cash resources and cash runway, the ability of the Company’s product candidates to be administered in an outpatent setng or without the need for preconditoning lymphodepletng chemotherapy, the potental of Descartes-08, Descartes-15, or any of the Company’s other product candidates to treat myasthenia gravis, juvenile myasthenia gravis, systemic lupus erythematosus, juvenile systemic lupus erythematosus, juvenile dermatomyosits, multple myeloma, or any other disease, the amount and occurrence of any payments to holders of the Company’s contngent value rights, the antcipated tming or the outcome of ongoing and planned clinical trials, studies and data readouts, including the planned Phase 3 AURORA trial of Descartes-08 in myasthenia gravis, the planned Phase 2 pediatric basket trial of Descartes-08 in juvenile dermatomyosits, juvenile systemic lupus erythematosus, juvenile myasthenia gravis and other conditons, and the ongoing Phase 2 trial of Descartes-08 in systemic lupus erythematosus, the antcipated tming or the outcome of the FDA’s review of the Company’s regulatory flings, the Company’s ability to conduct its clinical trials and preclinical studies, the tming or making of any regulatory flings, the antcipated tming or outcome of selecton of developmental product candidates, the novelty of treatment paradigms that the Company is able to develop, the potental of any therapies developed by the Company to fulfll unmet medical needs, and enrollment in the Company’s clinical trials and other statements containing the words “antcipate,” “believe,” “contnue,” “could,” “estmate,” “expect,” “hypothesize,” “intend,” “may,” “plan,” “potental,” “predict,” “project,” “should,” “target,” “would,” and similar expressions, consttute forward-looking statements within the meaning of The Private Securites Litgaton Reform Act of 1995. Actual results may difer materially from those indicated by such forward-looking statements as a result of various important factors, including, but not limited to, the following: the uncertaintes inherent in the initaton, completon and cost of clinical trials including proof of concept trials, including uncertain</w:t>
      </w:r>
    </w:p>
    <w:p>
      <w:pPr>
        <w:sectPr>
          <w:pgSz w:w="11900" w:h="16838" w:orient="portrait"/>
          <w:cols w:equalWidth="0" w:num="1">
            <w:col w:w="11240"/>
          </w:cols>
          <w:pgMar w:left="320" w:top="1236" w:right="339" w:bottom="1440" w:gutter="0" w:footer="0" w:header="0"/>
        </w:sectPr>
      </w:pPr>
    </w:p>
    <w:bookmarkStart w:id="6" w:name="page7"/>
    <w:bookmarkEnd w:id="6"/>
    <w:p>
      <w:pPr>
        <w:spacing w:after="0" w:line="234" w:lineRule="auto"/>
        <w:rPr>
          <w:sz w:val="20"/>
          <w:szCs w:val="20"/>
          <w:color w:val="auto"/>
        </w:rPr>
      </w:pPr>
      <w:r>
        <w:rPr>
          <w:rFonts w:ascii="Calibri" w:cs="Calibri" w:eastAsia="Calibri" w:hAnsi="Calibri"/>
          <w:sz w:val="20"/>
          <w:szCs w:val="20"/>
          <w:color w:val="auto"/>
        </w:rPr>
        <w:drawing>
          <wp:anchor simplePos="0" relativeHeight="251657728" behindDoc="1" locked="0" layoutInCell="0" allowOverlap="1">
            <wp:simplePos x="0" y="0"/>
            <wp:positionH relativeFrom="page">
              <wp:posOffset>5308600</wp:posOffset>
            </wp:positionH>
            <wp:positionV relativeFrom="page">
              <wp:posOffset>88900</wp:posOffset>
            </wp:positionV>
            <wp:extent cx="2031365" cy="5054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05460"/>
                    </a:xfrm>
                    <a:prstGeom prst="rect">
                      <a:avLst/>
                    </a:prstGeom>
                    <a:noFill/>
                  </pic:spPr>
                </pic:pic>
              </a:graphicData>
            </a:graphic>
          </wp:anchor>
        </w:drawing>
        <w:t>outcomes, the availability and tming of data from ongoing and future clinical trials and the results of such trials, whether preliminary results from a partcular clinical trial will be predictve of the fnal results of that trial and whether results of early clinical trials will be indicatve of the results of later clinical trials, the ability to predict results of studies performed on human beings based on results of studies performed on non-human subjects, the unproven approach of the Company’s technology, potental delays in enrollment of patents, undesirable side efects of the Company’s product candidates, politcal uncertainty, the Company’s reliance on third partes to conduct its clinical trials, the Company’s inability to maintain its existng or future collaboratons, licenses or contractual relatonships, its inability to protect its proprietary technology and intellectual property, potental delays in regulatory approvals, the availability of funding sufcient for its foreseeable and unforeseeable operatng expenses and capital expenditure requirements, the Company’s recurring losses from operatons and negatve cash fows, substantal fuctuaton in the price of the Company’s common stock, risks related to geopolitcal conficts and pandemics and other important factors discussed in the “Risk Factors” secton of the Company’s most recent Annual Report on Form 10-K and subsequently fled Quarterly Reports on Form 10-Q, and in other flings that the Company makes with the Securites and Exchange Commission. In additon, any forward-looking statements included in this press release represent the Company’s views only as of the date of its publicaton and should not be relied upon as representng its views as of any subsequent date. The Company specifcally disclaims any intenton to update any forward-looking statements included in this press release, except as required by law.</w:t>
      </w:r>
    </w:p>
    <w:p>
      <w:pPr>
        <w:sectPr>
          <w:pgSz w:w="11900" w:h="16838" w:orient="portrait"/>
          <w:cols w:equalWidth="0" w:num="1">
            <w:col w:w="11200"/>
          </w:cols>
          <w:pgMar w:left="320" w:top="1236" w:right="37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5308600</wp:posOffset>
            </wp:positionH>
            <wp:positionV relativeFrom="page">
              <wp:posOffset>88900</wp:posOffset>
            </wp:positionV>
            <wp:extent cx="2031365" cy="5054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05460"/>
                    </a:xfrm>
                    <a:prstGeom prst="rect">
                      <a:avLst/>
                    </a:prstGeom>
                    <a:noFill/>
                  </pic:spPr>
                </pic:pic>
              </a:graphicData>
            </a:graphic>
          </wp:anchor>
        </w:drawing>
        <w:t>Cartesian Therapeutics, Inc. and Subsidiaries</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par value)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15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212,610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76,911</w:t>
            </w:r>
          </w:p>
        </w:tc>
        <w:tc>
          <w:tcPr>
            <w:tcW w:w="0" w:type="dxa"/>
            <w:vAlign w:val="bottom"/>
          </w:tcPr>
          <w:p>
            <w:pPr>
              <w:spacing w:after="0"/>
              <w:rPr>
                <w:sz w:val="1"/>
                <w:szCs w:val="1"/>
                <w:color w:val="auto"/>
              </w:rPr>
            </w:pPr>
          </w:p>
        </w:tc>
      </w:tr>
      <w:tr>
        <w:trPr>
          <w:trHeight w:val="195"/>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receivable</w:t>
            </w:r>
          </w:p>
        </w:tc>
        <w:tc>
          <w:tcPr>
            <w:tcW w:w="18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5,870</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Unbilled receivables</w:t>
            </w: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2,981</w:t>
            </w:r>
          </w:p>
        </w:tc>
        <w:tc>
          <w:tcPr>
            <w:tcW w:w="0" w:type="dxa"/>
            <w:vAlign w:val="bottom"/>
          </w:tcPr>
          <w:p>
            <w:pPr>
              <w:spacing w:after="0"/>
              <w:rPr>
                <w:sz w:val="1"/>
                <w:szCs w:val="1"/>
                <w:color w:val="auto"/>
              </w:rPr>
            </w:pPr>
          </w:p>
        </w:tc>
      </w:tr>
      <w:tr>
        <w:trPr>
          <w:trHeight w:val="196"/>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3,144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4,967</w:t>
            </w: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216,626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90,729</w:t>
            </w:r>
          </w:p>
        </w:tc>
        <w:tc>
          <w:tcPr>
            <w:tcW w:w="0" w:type="dxa"/>
            <w:vAlign w:val="bottom"/>
          </w:tcPr>
          <w:p>
            <w:pPr>
              <w:spacing w:after="0"/>
              <w:rPr>
                <w:sz w:val="1"/>
                <w:szCs w:val="1"/>
                <w:color w:val="auto"/>
              </w:rPr>
            </w:pPr>
          </w:p>
        </w:tc>
      </w:tr>
      <w:tr>
        <w:trPr>
          <w:trHeight w:val="196"/>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9,912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2,113</w:t>
            </w:r>
          </w:p>
        </w:tc>
        <w:tc>
          <w:tcPr>
            <w:tcW w:w="0" w:type="dxa"/>
            <w:vAlign w:val="bottom"/>
          </w:tcPr>
          <w:p>
            <w:pPr>
              <w:spacing w:after="0"/>
              <w:rPr>
                <w:sz w:val="1"/>
                <w:szCs w:val="1"/>
                <w:color w:val="auto"/>
              </w:rPr>
            </w:pPr>
          </w:p>
        </w:tc>
      </w:tr>
      <w:tr>
        <w:trPr>
          <w:trHeight w:val="195"/>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 net</w:t>
            </w:r>
          </w:p>
        </w:tc>
        <w:tc>
          <w:tcPr>
            <w:tcW w:w="18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10,068</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In-process research and development assets</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150,600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150,600</w:t>
            </w:r>
          </w:p>
        </w:tc>
        <w:tc>
          <w:tcPr>
            <w:tcW w:w="0" w:type="dxa"/>
            <w:vAlign w:val="bottom"/>
          </w:tcPr>
          <w:p>
            <w:pPr>
              <w:spacing w:after="0"/>
              <w:rPr>
                <w:sz w:val="1"/>
                <w:szCs w:val="1"/>
                <w:color w:val="auto"/>
              </w:rPr>
            </w:pPr>
          </w:p>
        </w:tc>
      </w:tr>
      <w:tr>
        <w:trPr>
          <w:trHeight w:val="195"/>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8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48,163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48,163</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restricted cash</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w:t>
            </w:r>
          </w:p>
        </w:tc>
        <w:tc>
          <w:tcPr>
            <w:tcW w:w="0" w:type="dxa"/>
            <w:vAlign w:val="bottom"/>
          </w:tcPr>
          <w:p>
            <w:pPr>
              <w:spacing w:after="0"/>
              <w:rPr>
                <w:sz w:val="1"/>
                <w:szCs w:val="1"/>
                <w:color w:val="auto"/>
              </w:rPr>
            </w:pPr>
          </w:p>
        </w:tc>
      </w:tr>
      <w:tr>
        <w:trPr>
          <w:trHeight w:val="195"/>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18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435,023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305,050</w:t>
            </w:r>
          </w:p>
        </w:tc>
        <w:tc>
          <w:tcPr>
            <w:tcW w:w="0" w:type="dxa"/>
            <w:vAlign w:val="bottom"/>
          </w:tcPr>
          <w:p>
            <w:pPr>
              <w:spacing w:after="0"/>
              <w:rPr>
                <w:sz w:val="1"/>
                <w:szCs w:val="1"/>
                <w:color w:val="auto"/>
              </w:rPr>
            </w:pP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convertible preferred stock, and stockholders’ deficit</w:t>
            </w:r>
          </w:p>
        </w:tc>
        <w:tc>
          <w:tcPr>
            <w:tcW w:w="1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3,150</w:t>
            </w:r>
          </w:p>
        </w:tc>
        <w:tc>
          <w:tcPr>
            <w:tcW w:w="0" w:type="dxa"/>
            <w:vAlign w:val="bottom"/>
          </w:tcPr>
          <w:p>
            <w:pPr>
              <w:spacing w:after="0"/>
              <w:rPr>
                <w:sz w:val="1"/>
                <w:szCs w:val="1"/>
                <w:color w:val="auto"/>
              </w:rPr>
            </w:pPr>
          </w:p>
        </w:tc>
      </w:tr>
      <w:tr>
        <w:trPr>
          <w:trHeight w:val="195"/>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8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12,076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15,572</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liability</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2,166</w:t>
            </w:r>
          </w:p>
        </w:tc>
        <w:tc>
          <w:tcPr>
            <w:tcW w:w="0" w:type="dxa"/>
            <w:vAlign w:val="bottom"/>
          </w:tcPr>
          <w:p>
            <w:pPr>
              <w:spacing w:after="0"/>
              <w:rPr>
                <w:sz w:val="1"/>
                <w:szCs w:val="1"/>
                <w:color w:val="auto"/>
              </w:rPr>
            </w:pPr>
          </w:p>
        </w:tc>
      </w:tr>
      <w:tr>
        <w:trPr>
          <w:trHeight w:val="195"/>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180" w:type="dxa"/>
            <w:vAlign w:val="bottom"/>
          </w:tcPr>
          <w:p>
            <w:pPr>
              <w:spacing w:after="0"/>
              <w:rPr>
                <w:sz w:val="16"/>
                <w:szCs w:val="16"/>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2,311</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 liabilities</w:t>
            </w: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0" w:type="dxa"/>
            <w:vAlign w:val="bottom"/>
          </w:tcPr>
          <w:p>
            <w:pPr>
              <w:spacing w:after="0"/>
              <w:rPr>
                <w:sz w:val="1"/>
                <w:szCs w:val="1"/>
                <w:color w:val="auto"/>
              </w:rPr>
            </w:pPr>
          </w:p>
        </w:tc>
      </w:tr>
      <w:tr>
        <w:trPr>
          <w:trHeight w:val="195"/>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Contingent value right liability</w:t>
            </w:r>
          </w:p>
        </w:tc>
        <w:tc>
          <w:tcPr>
            <w:tcW w:w="18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7,761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15,983</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Forward contract liabilities</w:t>
            </w: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28,307</w:t>
            </w:r>
          </w:p>
        </w:tc>
        <w:tc>
          <w:tcPr>
            <w:tcW w:w="0" w:type="dxa"/>
            <w:vAlign w:val="bottom"/>
          </w:tcPr>
          <w:p>
            <w:pPr>
              <w:spacing w:after="0"/>
              <w:rPr>
                <w:sz w:val="1"/>
                <w:szCs w:val="1"/>
                <w:color w:val="auto"/>
              </w:rPr>
            </w:pPr>
          </w:p>
        </w:tc>
      </w:tr>
      <w:tr>
        <w:trPr>
          <w:trHeight w:val="189"/>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22,976</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68,209</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liability, net of current portion</w:t>
            </w:r>
          </w:p>
        </w:tc>
        <w:tc>
          <w:tcPr>
            <w:tcW w:w="18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11,133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8,789</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 net of current portion</w:t>
            </w: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3,538</w:t>
            </w:r>
          </w:p>
        </w:tc>
        <w:tc>
          <w:tcPr>
            <w:tcW w:w="0" w:type="dxa"/>
            <w:vAlign w:val="bottom"/>
          </w:tcPr>
          <w:p>
            <w:pPr>
              <w:spacing w:after="0"/>
              <w:rPr>
                <w:sz w:val="1"/>
                <w:szCs w:val="1"/>
                <w:color w:val="auto"/>
              </w:rPr>
            </w:pPr>
          </w:p>
        </w:tc>
      </w:tr>
      <w:tr>
        <w:trPr>
          <w:trHeight w:val="195"/>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 liabilities, net of current portion</w:t>
            </w:r>
          </w:p>
        </w:tc>
        <w:tc>
          <w:tcPr>
            <w:tcW w:w="18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3,836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5,674</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value right liability, net of current portion</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387,739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342,617</w:t>
            </w:r>
          </w:p>
        </w:tc>
        <w:tc>
          <w:tcPr>
            <w:tcW w:w="0" w:type="dxa"/>
            <w:vAlign w:val="bottom"/>
          </w:tcPr>
          <w:p>
            <w:pPr>
              <w:spacing w:after="0"/>
              <w:rPr>
                <w:sz w:val="1"/>
                <w:szCs w:val="1"/>
                <w:color w:val="auto"/>
              </w:rPr>
            </w:pPr>
          </w:p>
        </w:tc>
      </w:tr>
      <w:tr>
        <w:trPr>
          <w:trHeight w:val="196"/>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Deferred tax liabilities, net</w:t>
            </w: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16,141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15,853</w:t>
            </w: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441,825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444,680</w:t>
            </w:r>
          </w:p>
        </w:tc>
        <w:tc>
          <w:tcPr>
            <w:tcW w:w="0" w:type="dxa"/>
            <w:vAlign w:val="bottom"/>
          </w:tcPr>
          <w:p>
            <w:pPr>
              <w:spacing w:after="0"/>
              <w:rPr>
                <w:sz w:val="1"/>
                <w:szCs w:val="1"/>
                <w:color w:val="auto"/>
              </w:rPr>
            </w:pPr>
          </w:p>
        </w:tc>
      </w:tr>
      <w:tr>
        <w:trPr>
          <w:trHeight w:val="139"/>
        </w:trPr>
        <w:tc>
          <w:tcPr>
            <w:tcW w:w="77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Series A Preferred Stock, $0.0001 par value; no and 548,375 shares authorized as of December 31, 2024 and December 31, 2023,</w:t>
            </w:r>
          </w:p>
        </w:tc>
        <w:tc>
          <w:tcPr>
            <w:tcW w:w="180" w:type="dxa"/>
            <w:vAlign w:val="bottom"/>
          </w:tcPr>
          <w:p>
            <w:pPr>
              <w:spacing w:after="0"/>
              <w:rPr>
                <w:sz w:val="12"/>
                <w:szCs w:val="12"/>
                <w:color w:val="auto"/>
              </w:rPr>
            </w:pPr>
          </w:p>
        </w:tc>
        <w:tc>
          <w:tcPr>
            <w:tcW w:w="16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296,851</w:t>
            </w:r>
          </w:p>
        </w:tc>
        <w:tc>
          <w:tcPr>
            <w:tcW w:w="0" w:type="dxa"/>
            <w:vAlign w:val="bottom"/>
          </w:tcPr>
          <w:p>
            <w:pPr>
              <w:spacing w:after="0"/>
              <w:rPr>
                <w:sz w:val="1"/>
                <w:szCs w:val="1"/>
                <w:color w:val="auto"/>
              </w:rPr>
            </w:pPr>
          </w:p>
        </w:tc>
      </w:tr>
      <w:tr>
        <w:trPr>
          <w:trHeight w:val="193"/>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respectively; no and 435,120.513 shares issued and outstanding as of December 31, 2024 and December 31, 2023, respectively</w:t>
            </w:r>
          </w:p>
        </w:tc>
        <w:tc>
          <w:tcPr>
            <w:tcW w:w="18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for Series A Preferred Stock</w:t>
            </w: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3,703</w:t>
            </w:r>
          </w:p>
        </w:tc>
        <w:tc>
          <w:tcPr>
            <w:tcW w:w="0" w:type="dxa"/>
            <w:vAlign w:val="bottom"/>
          </w:tcPr>
          <w:p>
            <w:pPr>
              <w:spacing w:after="0"/>
              <w:rPr>
                <w:sz w:val="1"/>
                <w:szCs w:val="1"/>
                <w:color w:val="auto"/>
              </w:rPr>
            </w:pPr>
          </w:p>
        </w:tc>
      </w:tr>
      <w:tr>
        <w:trPr>
          <w:trHeight w:val="196"/>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deficit:</w:t>
            </w: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77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Series A Preferred Stock, $0.0001 par value; 134,904.563 and no shares authorized as of December 31, 2024 and December 31, 2023,</w:t>
            </w:r>
          </w:p>
        </w:tc>
        <w:tc>
          <w:tcPr>
            <w:tcW w:w="180" w:type="dxa"/>
            <w:vAlign w:val="bottom"/>
            <w:shd w:val="clear" w:color="auto" w:fill="CCEEFF"/>
          </w:tcPr>
          <w:p>
            <w:pPr>
              <w:spacing w:after="0"/>
              <w:rPr>
                <w:sz w:val="12"/>
                <w:szCs w:val="12"/>
                <w:color w:val="auto"/>
              </w:rPr>
            </w:pPr>
          </w:p>
        </w:tc>
        <w:tc>
          <w:tcPr>
            <w:tcW w:w="16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respectively; 120,790.402 and no shares issued and outstanding as of December 31, 2024 and December 31, 2023, respectively</w:t>
            </w:r>
          </w:p>
        </w:tc>
        <w:tc>
          <w:tcPr>
            <w:tcW w:w="180" w:type="dxa"/>
            <w:vAlign w:val="bottom"/>
            <w:shd w:val="clear" w:color="auto" w:fill="CCEEFF"/>
          </w:tcPr>
          <w:p>
            <w:pPr>
              <w:spacing w:after="0"/>
              <w:rPr>
                <w:sz w:val="17"/>
                <w:szCs w:val="17"/>
                <w:color w:val="auto"/>
              </w:rPr>
            </w:pPr>
          </w:p>
        </w:tc>
        <w:tc>
          <w:tcPr>
            <w:tcW w:w="16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77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Series B Preferred Stock, $0.0001 par value; 437,927 and no shares authorized as of December 31, 2024 and December 31, 2023,</w:t>
            </w:r>
          </w:p>
        </w:tc>
        <w:tc>
          <w:tcPr>
            <w:tcW w:w="180" w:type="dxa"/>
            <w:vAlign w:val="bottom"/>
          </w:tcPr>
          <w:p>
            <w:pPr>
              <w:spacing w:after="0"/>
              <w:rPr>
                <w:sz w:val="12"/>
                <w:szCs w:val="12"/>
                <w:color w:val="auto"/>
              </w:rPr>
            </w:pPr>
          </w:p>
        </w:tc>
        <w:tc>
          <w:tcPr>
            <w:tcW w:w="16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respectively; 437,927 and no shares issued and outstanding as of December 31, 2024 and December 31, 2023, respectively</w:t>
            </w:r>
          </w:p>
        </w:tc>
        <w:tc>
          <w:tcPr>
            <w:tcW w:w="18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77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Preferred stock, $0.0001 par value; 9,427,168.437 and 9,451,625 shares authorized as of December 31, 2024 and December 31, 2023,</w:t>
            </w:r>
          </w:p>
        </w:tc>
        <w:tc>
          <w:tcPr>
            <w:tcW w:w="180" w:type="dxa"/>
            <w:vAlign w:val="bottom"/>
            <w:shd w:val="clear" w:color="auto" w:fill="CCEEFF"/>
          </w:tcPr>
          <w:p>
            <w:pPr>
              <w:spacing w:after="0"/>
              <w:rPr>
                <w:sz w:val="12"/>
                <w:szCs w:val="12"/>
                <w:color w:val="auto"/>
              </w:rPr>
            </w:pPr>
          </w:p>
        </w:tc>
        <w:tc>
          <w:tcPr>
            <w:tcW w:w="16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respectively; no shares issued and outstanding as of December 31, 2024 and December 31, 2023</w:t>
            </w:r>
          </w:p>
        </w:tc>
        <w:tc>
          <w:tcPr>
            <w:tcW w:w="180" w:type="dxa"/>
            <w:vAlign w:val="bottom"/>
            <w:shd w:val="clear" w:color="auto" w:fill="CCEEFF"/>
          </w:tcPr>
          <w:p>
            <w:pPr>
              <w:spacing w:after="0"/>
              <w:rPr>
                <w:sz w:val="17"/>
                <w:szCs w:val="17"/>
                <w:color w:val="auto"/>
              </w:rPr>
            </w:pPr>
          </w:p>
        </w:tc>
        <w:tc>
          <w:tcPr>
            <w:tcW w:w="16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77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 $0.0001 par value; 350,000,000 shares authorized as of December 31, 2024 and December 31, 2023; 25,767,369 and</w:t>
            </w:r>
          </w:p>
        </w:tc>
        <w:tc>
          <w:tcPr>
            <w:tcW w:w="180" w:type="dxa"/>
            <w:vAlign w:val="bottom"/>
          </w:tcPr>
          <w:p>
            <w:pPr>
              <w:spacing w:after="0"/>
              <w:rPr>
                <w:sz w:val="12"/>
                <w:szCs w:val="12"/>
                <w:color w:val="auto"/>
              </w:rPr>
            </w:pPr>
          </w:p>
        </w:tc>
        <w:tc>
          <w:tcPr>
            <w:tcW w:w="15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5,397,597 shares issued and outstanding as of December 31, 2024 and December 31, 2023, respectively</w:t>
            </w:r>
          </w:p>
        </w:tc>
        <w:tc>
          <w:tcPr>
            <w:tcW w:w="18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689,887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179,062</w:t>
            </w:r>
          </w:p>
        </w:tc>
        <w:tc>
          <w:tcPr>
            <w:tcW w:w="0" w:type="dxa"/>
            <w:vAlign w:val="bottom"/>
          </w:tcPr>
          <w:p>
            <w:pPr>
              <w:spacing w:after="0"/>
              <w:rPr>
                <w:sz w:val="1"/>
                <w:szCs w:val="1"/>
                <w:color w:val="auto"/>
              </w:rPr>
            </w:pPr>
          </w:p>
        </w:tc>
      </w:tr>
      <w:tr>
        <w:trPr>
          <w:trHeight w:val="195"/>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(692,071)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(614,647)</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(4,600)</w:t>
            </w:r>
          </w:p>
        </w:tc>
        <w:tc>
          <w:tcPr>
            <w:tcW w:w="0" w:type="dxa"/>
            <w:vAlign w:val="bottom"/>
          </w:tcPr>
          <w:p>
            <w:pPr>
              <w:spacing w:after="0"/>
              <w:rPr>
                <w:sz w:val="1"/>
                <w:szCs w:val="1"/>
                <w:color w:val="auto"/>
              </w:rPr>
            </w:pPr>
          </w:p>
        </w:tc>
      </w:tr>
      <w:tr>
        <w:trPr>
          <w:trHeight w:val="189"/>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stockholders’ deficit</w:t>
            </w: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(440,184)</w:t>
            </w:r>
          </w:p>
        </w:tc>
        <w:tc>
          <w:tcPr>
            <w:tcW w:w="0" w:type="dxa"/>
            <w:vAlign w:val="bottom"/>
          </w:tcPr>
          <w:p>
            <w:pPr>
              <w:spacing w:after="0"/>
              <w:rPr>
                <w:sz w:val="1"/>
                <w:szCs w:val="1"/>
                <w:color w:val="auto"/>
              </w:rPr>
            </w:pPr>
          </w:p>
        </w:tc>
      </w:tr>
      <w:tr>
        <w:trPr>
          <w:trHeight w:val="22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convertible preferred stock, and stockholders’ deficit</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435,023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305,050</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20"/>
          </w:cols>
          <w:pgMar w:left="340" w:top="1251"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5308600</wp:posOffset>
            </wp:positionH>
            <wp:positionV relativeFrom="page">
              <wp:posOffset>88900</wp:posOffset>
            </wp:positionV>
            <wp:extent cx="2031365" cy="5054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05460"/>
                    </a:xfrm>
                    <a:prstGeom prst="rect">
                      <a:avLst/>
                    </a:prstGeom>
                    <a:noFill/>
                  </pic:spPr>
                </pic:pic>
              </a:graphicData>
            </a:graphic>
          </wp:anchor>
        </w:drawing>
        <w:t>Cartesian Therapeutics, Inc. and Subsidiaries</w:t>
      </w:r>
    </w:p>
    <w:p>
      <w:pPr>
        <w:spacing w:after="0" w:line="8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and Comprehensive Loss</w:t>
      </w:r>
    </w:p>
    <w:p>
      <w:pPr>
        <w:spacing w:after="0" w:line="7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data)</w:t>
      </w:r>
    </w:p>
    <w:p>
      <w:pPr>
        <w:spacing w:after="0" w:line="388"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4"/>
          <w:szCs w:val="14"/>
          <w:b w:val="1"/>
          <w:bCs w:val="1"/>
          <w:color w:val="auto"/>
        </w:rPr>
        <w:t>Twelve Months Ended</w:t>
      </w:r>
    </w:p>
    <w:p>
      <w:pPr>
        <w:spacing w:after="0" w:line="6"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
        </w:trPr>
        <w:tc>
          <w:tcPr>
            <w:tcW w:w="7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Collaboration and license revenue</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38,275</w:t>
            </w:r>
          </w:p>
        </w:tc>
        <w:tc>
          <w:tcPr>
            <w:tcW w:w="22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26,004</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Grant revenue</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2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38,913</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26,004</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45,105</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71,260</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30,126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40,450</w:t>
            </w:r>
          </w:p>
        </w:tc>
        <w:tc>
          <w:tcPr>
            <w:tcW w:w="0" w:type="dxa"/>
            <w:vAlign w:val="bottom"/>
          </w:tcPr>
          <w:p>
            <w:pPr>
              <w:spacing w:after="0"/>
              <w:rPr>
                <w:sz w:val="1"/>
                <w:szCs w:val="1"/>
                <w:color w:val="auto"/>
              </w:rPr>
            </w:pPr>
          </w:p>
        </w:tc>
      </w:tr>
      <w:tr>
        <w:trPr>
          <w:trHeight w:val="196"/>
        </w:trPr>
        <w:tc>
          <w:tcPr>
            <w:tcW w:w="7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7,579</w:t>
            </w:r>
          </w:p>
        </w:tc>
        <w:tc>
          <w:tcPr>
            <w:tcW w:w="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0" w:type="dxa"/>
            <w:vAlign w:val="bottom"/>
          </w:tcPr>
          <w:p>
            <w:pPr>
              <w:spacing w:after="0"/>
              <w:rPr>
                <w:sz w:val="1"/>
                <w:szCs w:val="1"/>
                <w:color w:val="auto"/>
              </w:rPr>
            </w:pPr>
          </w:p>
        </w:tc>
      </w:tr>
      <w:tr>
        <w:trPr>
          <w:trHeight w:val="20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82,810</w:t>
            </w:r>
          </w:p>
        </w:tc>
        <w:tc>
          <w:tcPr>
            <w:tcW w:w="2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112,420</w:t>
            </w:r>
          </w:p>
        </w:tc>
        <w:tc>
          <w:tcPr>
            <w:tcW w:w="0" w:type="dxa"/>
            <w:vAlign w:val="bottom"/>
          </w:tcPr>
          <w:p>
            <w:pPr>
              <w:spacing w:after="0"/>
              <w:rPr>
                <w:sz w:val="1"/>
                <w:szCs w:val="1"/>
                <w:color w:val="auto"/>
              </w:rPr>
            </w:pPr>
          </w:p>
        </w:tc>
      </w:tr>
      <w:tr>
        <w:trPr>
          <w:trHeight w:val="189"/>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loss</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(43,897)</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(86,416)</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4,964</w:t>
            </w:r>
          </w:p>
        </w:tc>
        <w:tc>
          <w:tcPr>
            <w:tcW w:w="0" w:type="dxa"/>
            <w:vAlign w:val="bottom"/>
          </w:tcPr>
          <w:p>
            <w:pPr>
              <w:spacing w:after="0"/>
              <w:rPr>
                <w:sz w:val="1"/>
                <w:szCs w:val="1"/>
                <w:color w:val="auto"/>
              </w:rPr>
            </w:pPr>
          </w:p>
        </w:tc>
      </w:tr>
      <w:tr>
        <w:trPr>
          <w:trHeight w:val="195"/>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transaction, net</w:t>
            </w:r>
          </w:p>
        </w:tc>
        <w:tc>
          <w:tcPr>
            <w:tcW w:w="340" w:type="dxa"/>
            <w:vAlign w:val="bottom"/>
          </w:tcPr>
          <w:p>
            <w:pPr>
              <w:spacing w:after="0"/>
              <w:rPr>
                <w:sz w:val="16"/>
                <w:szCs w:val="16"/>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(2,833)</w:t>
            </w:r>
          </w:p>
        </w:tc>
        <w:tc>
          <w:tcPr>
            <w:tcW w:w="0" w:type="dxa"/>
            <w:vAlign w:val="bottom"/>
          </w:tcPr>
          <w:p>
            <w:pPr>
              <w:spacing w:after="0"/>
              <w:rPr>
                <w:sz w:val="1"/>
                <w:szCs w:val="1"/>
                <w:color w:val="auto"/>
              </w:rPr>
            </w:pPr>
          </w:p>
        </w:tc>
      </w:tr>
      <w:tr>
        <w:trPr>
          <w:trHeight w:val="195"/>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2,558</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12,746</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contingent value right liability</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(36,900)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(18,300)</w:t>
            </w:r>
          </w:p>
        </w:tc>
        <w:tc>
          <w:tcPr>
            <w:tcW w:w="0" w:type="dxa"/>
            <w:vAlign w:val="bottom"/>
          </w:tcPr>
          <w:p>
            <w:pPr>
              <w:spacing w:after="0"/>
              <w:rPr>
                <w:sz w:val="1"/>
                <w:szCs w:val="1"/>
                <w:color w:val="auto"/>
              </w:rPr>
            </w:pPr>
          </w:p>
        </w:tc>
      </w:tr>
      <w:tr>
        <w:trPr>
          <w:trHeight w:val="195"/>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fair value of forward contract liabilities</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(6,890)</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(149,600)</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2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0" w:type="dxa"/>
            <w:vAlign w:val="bottom"/>
          </w:tcPr>
          <w:p>
            <w:pPr>
              <w:spacing w:after="0"/>
              <w:rPr>
                <w:sz w:val="1"/>
                <w:szCs w:val="1"/>
                <w:color w:val="auto"/>
              </w:rPr>
            </w:pPr>
          </w:p>
        </w:tc>
      </w:tr>
      <w:tr>
        <w:trPr>
          <w:trHeight w:val="189"/>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before income taxes</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(77,137)</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(238,710)</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2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19,000</w:t>
            </w:r>
          </w:p>
        </w:tc>
        <w:tc>
          <w:tcPr>
            <w:tcW w:w="0" w:type="dxa"/>
            <w:vAlign w:val="bottom"/>
          </w:tcPr>
          <w:p>
            <w:pPr>
              <w:spacing w:after="0"/>
              <w:rPr>
                <w:sz w:val="1"/>
                <w:szCs w:val="1"/>
                <w:color w:val="auto"/>
              </w:rPr>
            </w:pPr>
          </w:p>
        </w:tc>
      </w:tr>
      <w:tr>
        <w:trPr>
          <w:trHeight w:val="190"/>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(77,424)</w:t>
            </w:r>
          </w:p>
        </w:tc>
        <w:tc>
          <w:tcPr>
            <w:tcW w:w="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(219,710)</w:t>
            </w:r>
          </w:p>
        </w:tc>
        <w:tc>
          <w:tcPr>
            <w:tcW w:w="0" w:type="dxa"/>
            <w:vAlign w:val="bottom"/>
          </w:tcPr>
          <w:p>
            <w:pPr>
              <w:spacing w:after="0"/>
              <w:rPr>
                <w:sz w:val="1"/>
                <w:szCs w:val="1"/>
                <w:color w:val="auto"/>
              </w:rPr>
            </w:pPr>
          </w:p>
        </w:tc>
      </w:tr>
      <w:tr>
        <w:trPr>
          <w:trHeight w:val="243"/>
        </w:trPr>
        <w:tc>
          <w:tcPr>
            <w:tcW w:w="7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96"/>
        </w:trPr>
        <w:tc>
          <w:tcPr>
            <w:tcW w:w="7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Unrealized gain on marketable securities</w:t>
            </w:r>
          </w:p>
        </w:tc>
        <w:tc>
          <w:tcPr>
            <w:tcW w:w="340" w:type="dxa"/>
            <w:vAlign w:val="bottom"/>
          </w:tcPr>
          <w:p>
            <w:pPr>
              <w:spacing w:after="0"/>
              <w:rPr>
                <w:sz w:val="17"/>
                <w:szCs w:val="17"/>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28"/>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comprehensive loss</w:t>
            </w:r>
          </w:p>
        </w:tc>
        <w:tc>
          <w:tcPr>
            <w:tcW w:w="3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(77,445)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(219,752)</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per share allocable to common stockholders: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22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(49.76)</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(49.76)</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Weighted-average common shares outstanding:</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9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7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17,276,822</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5,170,319</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17,357,943</w:t>
            </w: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5,170,319</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251" w:right="359" w:bottom="1440" w:gutter="0" w:footer="0" w:header="0"/>
        </w:sectPr>
      </w:pPr>
    </w:p>
    <w:bookmarkStart w:id="9" w:name="page10"/>
    <w:bookmarkEnd w:id="9"/>
    <w:p>
      <w:pPr>
        <w:spacing w:after="0"/>
        <w:rPr>
          <w:sz w:val="20"/>
          <w:szCs w:val="20"/>
          <w:color w:val="auto"/>
        </w:rPr>
      </w:pPr>
      <w:r>
        <w:rPr>
          <w:rFonts w:ascii="Calibri" w:cs="Calibri" w:eastAsia="Calibri" w:hAnsi="Calibri"/>
          <w:sz w:val="20"/>
          <w:szCs w:val="20"/>
          <w:b w:val="1"/>
          <w:bCs w:val="1"/>
          <w:color w:val="auto"/>
        </w:rPr>
        <w:drawing>
          <wp:anchor simplePos="0" relativeHeight="251657728" behindDoc="1" locked="0" layoutInCell="0" allowOverlap="1">
            <wp:simplePos x="0" y="0"/>
            <wp:positionH relativeFrom="page">
              <wp:posOffset>5308600</wp:posOffset>
            </wp:positionH>
            <wp:positionV relativeFrom="page">
              <wp:posOffset>88900</wp:posOffset>
            </wp:positionV>
            <wp:extent cx="2031365" cy="5054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05460"/>
                    </a:xfrm>
                    <a:prstGeom prst="rect">
                      <a:avLst/>
                    </a:prstGeom>
                    <a:noFill/>
                  </pic:spPr>
                </pic:pic>
              </a:graphicData>
            </a:graphic>
          </wp:anchor>
        </w:drawing>
        <w:t>Investor Contact</w:t>
      </w:r>
    </w:p>
    <w:p>
      <w:pPr>
        <w:spacing w:after="0" w:line="212" w:lineRule="auto"/>
        <w:rPr>
          <w:sz w:val="20"/>
          <w:szCs w:val="20"/>
          <w:color w:val="auto"/>
        </w:rPr>
      </w:pPr>
      <w:r>
        <w:rPr>
          <w:rFonts w:ascii="Calibri" w:cs="Calibri" w:eastAsia="Calibri" w:hAnsi="Calibri"/>
          <w:sz w:val="20"/>
          <w:szCs w:val="20"/>
          <w:color w:val="auto"/>
        </w:rPr>
        <w:t>Megan LeDuc</w:t>
      </w:r>
    </w:p>
    <w:p>
      <w:pPr>
        <w:spacing w:after="0" w:line="199" w:lineRule="auto"/>
        <w:rPr>
          <w:sz w:val="20"/>
          <w:szCs w:val="20"/>
          <w:color w:val="auto"/>
        </w:rPr>
      </w:pPr>
      <w:r>
        <w:rPr>
          <w:rFonts w:ascii="Calibri" w:cs="Calibri" w:eastAsia="Calibri" w:hAnsi="Calibri"/>
          <w:sz w:val="20"/>
          <w:szCs w:val="20"/>
          <w:color w:val="auto"/>
        </w:rPr>
        <w:t>Associate Director of Investor Relatons</w:t>
      </w:r>
    </w:p>
    <w:p>
      <w:pPr>
        <w:spacing w:after="0" w:line="212" w:lineRule="auto"/>
        <w:rPr>
          <w:sz w:val="20"/>
          <w:szCs w:val="20"/>
          <w:color w:val="auto"/>
        </w:rPr>
      </w:pPr>
      <w:r>
        <w:rPr>
          <w:rFonts w:ascii="Calibri" w:cs="Calibri" w:eastAsia="Calibri" w:hAnsi="Calibri"/>
          <w:sz w:val="20"/>
          <w:szCs w:val="20"/>
          <w:color w:val="auto"/>
        </w:rPr>
        <w:t>megan.leduc@cartesiantx.com</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Media Contact</w:t>
      </w:r>
    </w:p>
    <w:p>
      <w:pPr>
        <w:spacing w:after="0" w:line="199" w:lineRule="auto"/>
        <w:rPr>
          <w:sz w:val="20"/>
          <w:szCs w:val="20"/>
          <w:color w:val="auto"/>
        </w:rPr>
      </w:pPr>
      <w:r>
        <w:rPr>
          <w:rFonts w:ascii="Calibri" w:cs="Calibri" w:eastAsia="Calibri" w:hAnsi="Calibri"/>
          <w:sz w:val="20"/>
          <w:szCs w:val="20"/>
          <w:color w:val="auto"/>
        </w:rPr>
        <w:t>David Rosen</w:t>
      </w:r>
    </w:p>
    <w:p>
      <w:pPr>
        <w:spacing w:after="0" w:line="212" w:lineRule="auto"/>
        <w:rPr>
          <w:sz w:val="20"/>
          <w:szCs w:val="20"/>
          <w:color w:val="auto"/>
        </w:rPr>
      </w:pPr>
      <w:r>
        <w:rPr>
          <w:rFonts w:ascii="Calibri" w:cs="Calibri" w:eastAsia="Calibri" w:hAnsi="Calibri"/>
          <w:sz w:val="20"/>
          <w:szCs w:val="20"/>
          <w:color w:val="auto"/>
        </w:rPr>
        <w:t>Argot Partners</w:t>
      </w:r>
    </w:p>
    <w:p>
      <w:pPr>
        <w:spacing w:after="0" w:line="212" w:lineRule="auto"/>
        <w:rPr>
          <w:sz w:val="20"/>
          <w:szCs w:val="20"/>
          <w:color w:val="auto"/>
        </w:rPr>
      </w:pPr>
      <w:r>
        <w:rPr>
          <w:rFonts w:ascii="Calibri" w:cs="Calibri" w:eastAsia="Calibri" w:hAnsi="Calibri"/>
          <w:sz w:val="20"/>
          <w:szCs w:val="20"/>
          <w:color w:val="auto"/>
        </w:rPr>
        <w:t>david.rosen@argotpartners.com</w:t>
      </w:r>
    </w:p>
    <w:sectPr>
      <w:pgSz w:w="11900" w:h="16838" w:orient="portrait"/>
      <w:cols w:equalWidth="0" w:num="1">
        <w:col w:w="10139"/>
      </w:cols>
      <w:pgMar w:left="320" w:top="12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5" Type="http://schemas.openxmlformats.org/officeDocument/2006/relationships/image" Target="media/image7.jpeg"/><Relationship Id="rId16" Type="http://schemas.openxmlformats.org/officeDocument/2006/relationships/image" Target="media/image8.pn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jpeg"/><Relationship Id="rId20" Type="http://schemas.openxmlformats.org/officeDocument/2006/relationships/image" Target="media/image12.jpeg"/><Relationship Id="rId21" Type="http://schemas.openxmlformats.org/officeDocument/2006/relationships/image" Target="media/image13.jpeg"/><Relationship Id="rId14" Type="http://schemas.openxmlformats.org/officeDocument/2006/relationships/hyperlink" Target="https://www.sec.gov/Archives/edgar/data/0001453687/000145368725000050/pressrelease01272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2025-03-13T06:13:34Z</dcterms:created>
  <dcterms:modified xsi:type="dcterms:W3CDTF">2025-03-13T06:13:34Z</dcterms:modified>
</cp:coreProperties>
</file>