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91" w:lineRule="exact"/>
        <w:rPr>
          <w:sz w:val="24"/>
          <w:szCs w:val="24"/>
          <w:color w:val="auto"/>
        </w:rPr>
      </w:pPr>
    </w:p>
    <w:p>
      <w:pPr>
        <w:ind w:left="3820" w:right="1380" w:hanging="3562"/>
        <w:spacing w:after="0" w:line="274" w:lineRule="auto"/>
        <w:tabs>
          <w:tab w:leader="none" w:pos="718"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3" w:lineRule="exact"/>
        <w:rPr>
          <w:sz w:val="24"/>
          <w:szCs w:val="24"/>
          <w:color w:val="auto"/>
        </w:rPr>
      </w:pPr>
    </w:p>
    <w:p>
      <w:pPr>
        <w:ind w:left="720" w:hanging="462"/>
        <w:spacing w:after="0"/>
        <w:tabs>
          <w:tab w:leader="none" w:pos="72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001-37798</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Selecta Biosciences,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2100" w:type="dxa"/>
        <w:tblCellMar>
          <w:top w:w="0" w:type="dxa"/>
          <w:left w:w="0" w:type="dxa"/>
          <w:bottom w:w="0" w:type="dxa"/>
          <w:right w:w="0" w:type="dxa"/>
        </w:tblCellMar>
      </w:tblPr>
      <w:tr>
        <w:trPr>
          <w:trHeight w:val="234"/>
        </w:trPr>
        <w:tc>
          <w:tcPr>
            <w:tcW w:w="3420" w:type="dxa"/>
            <w:vAlign w:val="bottom"/>
          </w:tcPr>
          <w:p>
            <w:pPr>
              <w:jc w:val="center"/>
              <w:ind w:right="41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830"/>
              <w:spacing w:after="0"/>
              <w:rPr>
                <w:sz w:val="20"/>
                <w:szCs w:val="20"/>
                <w:color w:val="auto"/>
              </w:rPr>
            </w:pPr>
            <w:r>
              <w:rPr>
                <w:rFonts w:ascii="Arial" w:cs="Arial" w:eastAsia="Arial" w:hAnsi="Arial"/>
                <w:sz w:val="18"/>
                <w:szCs w:val="18"/>
                <w:b w:val="1"/>
                <w:bCs w:val="1"/>
                <w:color w:val="auto"/>
              </w:rPr>
              <w:t>26-1622110</w:t>
            </w:r>
          </w:p>
        </w:tc>
      </w:tr>
      <w:tr>
        <w:trPr>
          <w:trHeight w:val="269"/>
        </w:trPr>
        <w:tc>
          <w:tcPr>
            <w:tcW w:w="3420" w:type="dxa"/>
            <w:vAlign w:val="bottom"/>
          </w:tcPr>
          <w:p>
            <w:pPr>
              <w:jc w:val="center"/>
              <w:ind w:right="410"/>
              <w:spacing w:after="0"/>
              <w:rPr>
                <w:sz w:val="20"/>
                <w:szCs w:val="20"/>
                <w:color w:val="auto"/>
              </w:rPr>
            </w:pPr>
            <w:r>
              <w:rPr>
                <w:rFonts w:ascii="Arial" w:cs="Arial" w:eastAsia="Arial" w:hAnsi="Arial"/>
                <w:sz w:val="18"/>
                <w:szCs w:val="18"/>
                <w:color w:val="auto"/>
                <w:w w:val="92"/>
              </w:rPr>
              <w:t>(State or other jurisdiction of</w:t>
            </w:r>
          </w:p>
        </w:tc>
        <w:tc>
          <w:tcPr>
            <w:tcW w:w="3160" w:type="dxa"/>
            <w:vAlign w:val="bottom"/>
          </w:tcPr>
          <w:p>
            <w:pPr>
              <w:jc w:val="center"/>
              <w:ind w:left="4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420" w:type="dxa"/>
            <w:vAlign w:val="bottom"/>
          </w:tcPr>
          <w:p>
            <w:pPr>
              <w:jc w:val="center"/>
              <w:ind w:right="410"/>
              <w:spacing w:after="0"/>
              <w:rPr>
                <w:sz w:val="20"/>
                <w:szCs w:val="20"/>
                <w:color w:val="auto"/>
              </w:rPr>
            </w:pPr>
            <w:r>
              <w:rPr>
                <w:rFonts w:ascii="Arial" w:cs="Arial" w:eastAsia="Arial" w:hAnsi="Arial"/>
                <w:sz w:val="18"/>
                <w:szCs w:val="18"/>
                <w:color w:val="auto"/>
                <w:w w:val="92"/>
              </w:rPr>
              <w:t>incorporation or organization)</w:t>
            </w:r>
          </w:p>
        </w:tc>
        <w:tc>
          <w:tcPr>
            <w:tcW w:w="3160" w:type="dxa"/>
            <w:vAlign w:val="bottom"/>
          </w:tcPr>
          <w:p>
            <w:pPr>
              <w:spacing w:after="0"/>
              <w:rPr>
                <w:sz w:val="20"/>
                <w:szCs w:val="20"/>
                <w:color w:val="auto"/>
              </w:rPr>
            </w:pPr>
          </w:p>
        </w:tc>
      </w:tr>
      <w:tr>
        <w:trPr>
          <w:trHeight w:val="405"/>
        </w:trPr>
        <w:tc>
          <w:tcPr>
            <w:tcW w:w="3420" w:type="dxa"/>
            <w:vAlign w:val="bottom"/>
          </w:tcPr>
          <w:p>
            <w:pPr>
              <w:spacing w:after="0"/>
              <w:rPr>
                <w:sz w:val="20"/>
                <w:szCs w:val="20"/>
                <w:color w:val="auto"/>
              </w:rPr>
            </w:pPr>
            <w:r>
              <w:rPr>
                <w:rFonts w:ascii="Arial" w:cs="Arial" w:eastAsia="Arial" w:hAnsi="Arial"/>
                <w:sz w:val="18"/>
                <w:szCs w:val="18"/>
                <w:b w:val="1"/>
                <w:bCs w:val="1"/>
                <w:color w:val="auto"/>
              </w:rPr>
              <w:t>65 Grove Street  Watertown MA</w:t>
            </w:r>
          </w:p>
        </w:tc>
        <w:tc>
          <w:tcPr>
            <w:tcW w:w="316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02472</w:t>
            </w:r>
          </w:p>
        </w:tc>
      </w:tr>
      <w:tr>
        <w:trPr>
          <w:trHeight w:val="283"/>
        </w:trPr>
        <w:tc>
          <w:tcPr>
            <w:tcW w:w="3420" w:type="dxa"/>
            <w:vAlign w:val="bottom"/>
          </w:tcPr>
          <w:p>
            <w:pPr>
              <w:jc w:val="center"/>
              <w:ind w:right="390"/>
              <w:spacing w:after="0"/>
              <w:rPr>
                <w:sz w:val="20"/>
                <w:szCs w:val="20"/>
                <w:color w:val="auto"/>
              </w:rPr>
            </w:pPr>
            <w:r>
              <w:rPr>
                <w:rFonts w:ascii="Arial" w:cs="Arial" w:eastAsia="Arial" w:hAnsi="Arial"/>
                <w:sz w:val="18"/>
                <w:szCs w:val="18"/>
                <w:color w:val="auto"/>
                <w:w w:val="92"/>
              </w:rPr>
              <w:t>(Address of principal executive offices)</w:t>
            </w:r>
          </w:p>
        </w:tc>
        <w:tc>
          <w:tcPr>
            <w:tcW w:w="3160" w:type="dxa"/>
            <w:vAlign w:val="bottom"/>
          </w:tcPr>
          <w:p>
            <w:pPr>
              <w:jc w:val="center"/>
              <w:ind w:left="430"/>
              <w:spacing w:after="0"/>
              <w:rPr>
                <w:sz w:val="20"/>
                <w:szCs w:val="20"/>
                <w:color w:val="auto"/>
              </w:rPr>
            </w:pPr>
            <w:r>
              <w:rPr>
                <w:rFonts w:ascii="Arial" w:cs="Arial" w:eastAsia="Arial" w:hAnsi="Arial"/>
                <w:sz w:val="18"/>
                <w:szCs w:val="18"/>
                <w:color w:val="auto"/>
                <w:w w:val="94"/>
              </w:rPr>
              <w:t>(Zip Code)</w:t>
            </w:r>
          </w:p>
        </w:tc>
      </w:tr>
    </w:tbl>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jc w:val="center"/>
              <w:ind w:left="70"/>
              <w:spacing w:after="0"/>
              <w:rPr>
                <w:sz w:val="20"/>
                <w:szCs w:val="20"/>
                <w:color w:val="auto"/>
              </w:rPr>
            </w:pPr>
            <w:r>
              <w:rPr>
                <w:rFonts w:ascii="Arial" w:cs="Arial" w:eastAsia="Arial" w:hAnsi="Arial"/>
                <w:sz w:val="18"/>
                <w:szCs w:val="18"/>
                <w:color w:val="auto"/>
                <w:w w:val="90"/>
              </w:rPr>
              <w:t>Title of each class</w:t>
            </w:r>
          </w:p>
        </w:tc>
        <w:tc>
          <w:tcPr>
            <w:tcW w:w="242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4360" w:type="dxa"/>
            <w:vAlign w:val="bottom"/>
          </w:tcPr>
          <w:p>
            <w:pPr>
              <w:jc w:val="center"/>
              <w:ind w:right="30"/>
              <w:spacing w:after="0"/>
              <w:rPr>
                <w:sz w:val="20"/>
                <w:szCs w:val="20"/>
                <w:color w:val="auto"/>
              </w:rPr>
            </w:pPr>
            <w:r>
              <w:rPr>
                <w:rFonts w:ascii="Arial" w:cs="Arial" w:eastAsia="Arial" w:hAnsi="Arial"/>
                <w:sz w:val="18"/>
                <w:szCs w:val="18"/>
                <w:color w:val="auto"/>
                <w:w w:val="89"/>
              </w:rPr>
              <w:t>Name of each exchange on which registered</w:t>
            </w:r>
          </w:p>
        </w:tc>
      </w:tr>
      <w:tr>
        <w:trPr>
          <w:trHeight w:val="270"/>
        </w:trPr>
        <w:tc>
          <w:tcPr>
            <w:tcW w:w="4460" w:type="dxa"/>
            <w:vAlign w:val="bottom"/>
          </w:tcPr>
          <w:p>
            <w:pPr>
              <w:jc w:val="center"/>
              <w:ind w:left="90"/>
              <w:spacing w:after="0"/>
              <w:rPr>
                <w:sz w:val="20"/>
                <w:szCs w:val="20"/>
                <w:color w:val="auto"/>
              </w:rPr>
            </w:pPr>
            <w:r>
              <w:rPr>
                <w:rFonts w:ascii="Arial" w:cs="Arial" w:eastAsia="Arial" w:hAnsi="Arial"/>
                <w:sz w:val="18"/>
                <w:szCs w:val="18"/>
                <w:color w:val="auto"/>
                <w:w w:val="89"/>
              </w:rPr>
              <w:t>Common Stock, $0.0001 par value per share</w:t>
            </w:r>
          </w:p>
        </w:tc>
        <w:tc>
          <w:tcPr>
            <w:tcW w:w="2420" w:type="dxa"/>
            <w:vAlign w:val="bottom"/>
          </w:tcPr>
          <w:p>
            <w:pPr>
              <w:jc w:val="center"/>
              <w:spacing w:after="0"/>
              <w:rPr>
                <w:sz w:val="20"/>
                <w:szCs w:val="20"/>
                <w:color w:val="auto"/>
              </w:rPr>
            </w:pPr>
            <w:r>
              <w:rPr>
                <w:rFonts w:ascii="Arial" w:cs="Arial" w:eastAsia="Arial" w:hAnsi="Arial"/>
                <w:sz w:val="18"/>
                <w:szCs w:val="18"/>
                <w:color w:val="auto"/>
                <w:w w:val="95"/>
              </w:rPr>
              <w:t>SELB</w:t>
            </w:r>
          </w:p>
        </w:tc>
        <w:tc>
          <w:tcPr>
            <w:tcW w:w="4360" w:type="dxa"/>
            <w:vAlign w:val="bottom"/>
          </w:tcPr>
          <w:p>
            <w:pPr>
              <w:jc w:val="center"/>
              <w:ind w:right="30"/>
              <w:spacing w:after="0"/>
              <w:rPr>
                <w:sz w:val="20"/>
                <w:szCs w:val="20"/>
                <w:color w:val="auto"/>
              </w:rPr>
            </w:pPr>
            <w:r>
              <w:rPr>
                <w:rFonts w:ascii="Arial" w:cs="Arial" w:eastAsia="Arial" w:hAnsi="Arial"/>
                <w:sz w:val="18"/>
                <w:szCs w:val="18"/>
                <w:color w:val="auto"/>
                <w:w w:val="91"/>
              </w:rPr>
              <w:t>The Nasdaq Global Market</w:t>
            </w:r>
          </w:p>
        </w:tc>
      </w:tr>
      <w:tr>
        <w:trPr>
          <w:trHeight w:val="283"/>
        </w:trPr>
        <w:tc>
          <w:tcPr>
            <w:tcW w:w="44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45" w:lineRule="exact"/>
        <w:rPr>
          <w:sz w:val="24"/>
          <w:szCs w:val="24"/>
          <w:color w:val="auto"/>
        </w:rPr>
      </w:pPr>
    </w:p>
    <w:p>
      <w:pPr>
        <w:ind w:right="3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120"/>
        <w:spacing w:after="0" w:line="22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5"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8" w:lineRule="exact"/>
        <w:rPr>
          <w:sz w:val="24"/>
          <w:szCs w:val="24"/>
          <w:color w:val="auto"/>
        </w:rPr>
      </w:pPr>
    </w:p>
    <w:tbl>
      <w:tblPr>
        <w:tblLayout w:type="fixed"/>
        <w:tblInd w:w="1920" w:type="dxa"/>
        <w:tblCellMar>
          <w:top w:w="0" w:type="dxa"/>
          <w:left w:w="0" w:type="dxa"/>
          <w:bottom w:w="0" w:type="dxa"/>
          <w:right w:w="0" w:type="dxa"/>
        </w:tblCellMar>
      </w:tblPr>
      <w:tr>
        <w:trPr>
          <w:trHeight w:val="254"/>
        </w:trPr>
        <w:tc>
          <w:tcPr>
            <w:tcW w:w="3080" w:type="dxa"/>
            <w:vAlign w:val="bottom"/>
          </w:tcPr>
          <w:p>
            <w:pPr>
              <w:jc w:val="right"/>
              <w:ind w:right="1339"/>
              <w:spacing w:after="0" w:line="184" w:lineRule="exact"/>
              <w:rPr>
                <w:sz w:val="20"/>
                <w:szCs w:val="20"/>
                <w:color w:val="auto"/>
              </w:rPr>
            </w:pPr>
            <w:r>
              <w:rPr>
                <w:rFonts w:ascii="Arial" w:cs="Arial" w:eastAsia="Arial" w:hAnsi="Arial"/>
                <w:sz w:val="16"/>
                <w:szCs w:val="16"/>
                <w:color w:val="auto"/>
                <w:w w:val="91"/>
              </w:rPr>
              <w:t xml:space="preserve">Large accelerated filer </w:t>
            </w:r>
            <w:r>
              <w:rPr>
                <w:rFonts w:ascii="MS PGothic" w:cs="MS PGothic" w:eastAsia="MS PGothic" w:hAnsi="MS PGothic"/>
                <w:sz w:val="16"/>
                <w:szCs w:val="16"/>
                <w:color w:val="auto"/>
                <w:w w:val="91"/>
              </w:rPr>
              <w:t>☐</w:t>
            </w:r>
          </w:p>
        </w:tc>
        <w:tc>
          <w:tcPr>
            <w:tcW w:w="3400" w:type="dxa"/>
            <w:vAlign w:val="bottom"/>
          </w:tcPr>
          <w:p>
            <w:pPr>
              <w:jc w:val="right"/>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tc>
      </w:tr>
      <w:tr>
        <w:trPr>
          <w:trHeight w:val="270"/>
        </w:trPr>
        <w:tc>
          <w:tcPr>
            <w:tcW w:w="3080" w:type="dxa"/>
            <w:vAlign w:val="bottom"/>
          </w:tcPr>
          <w:p>
            <w:pPr>
              <w:jc w:val="right"/>
              <w:ind w:right="1339"/>
              <w:spacing w:after="0" w:line="184" w:lineRule="exact"/>
              <w:rPr>
                <w:sz w:val="20"/>
                <w:szCs w:val="20"/>
                <w:color w:val="auto"/>
              </w:rPr>
            </w:pPr>
            <w:r>
              <w:rPr>
                <w:rFonts w:ascii="Arial" w:cs="Arial" w:eastAsia="Arial" w:hAnsi="Arial"/>
                <w:sz w:val="16"/>
                <w:szCs w:val="16"/>
                <w:color w:val="auto"/>
                <w:w w:val="97"/>
              </w:rPr>
              <w:t xml:space="preserve">Non-accelerated filer </w:t>
            </w:r>
            <w:r>
              <w:rPr>
                <w:rFonts w:ascii="MS PGothic" w:cs="MS PGothic" w:eastAsia="MS PGothic" w:hAnsi="MS PGothic"/>
                <w:sz w:val="16"/>
                <w:szCs w:val="16"/>
                <w:color w:val="auto"/>
                <w:w w:val="97"/>
              </w:rPr>
              <w:t>☐</w:t>
            </w:r>
          </w:p>
        </w:tc>
        <w:tc>
          <w:tcPr>
            <w:tcW w:w="3400" w:type="dxa"/>
            <w:vAlign w:val="bottom"/>
          </w:tcPr>
          <w:p>
            <w:pPr>
              <w:jc w:val="right"/>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r>
      <w:tr>
        <w:trPr>
          <w:trHeight w:val="270"/>
        </w:trPr>
        <w:tc>
          <w:tcPr>
            <w:tcW w:w="3080" w:type="dxa"/>
            <w:vAlign w:val="bottom"/>
          </w:tcPr>
          <w:p>
            <w:pPr>
              <w:spacing w:after="0"/>
              <w:rPr>
                <w:sz w:val="23"/>
                <w:szCs w:val="23"/>
                <w:color w:val="auto"/>
              </w:rPr>
            </w:pPr>
          </w:p>
        </w:tc>
        <w:tc>
          <w:tcPr>
            <w:tcW w:w="3400" w:type="dxa"/>
            <w:vAlign w:val="bottom"/>
          </w:tcPr>
          <w:p>
            <w:pPr>
              <w:jc w:val="right"/>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tc>
      </w:tr>
    </w:tbl>
    <w:p>
      <w:pPr>
        <w:sectPr>
          <w:pgSz w:w="11900" w:h="16838" w:orient="portrait"/>
          <w:cols w:equalWidth="0" w:num="1">
            <w:col w:w="11240"/>
          </w:cols>
          <w:pgMar w:left="320" w:top="647" w:right="339" w:bottom="1440" w:gutter="0" w:footer="0" w:header="0"/>
        </w:sectPr>
      </w:pPr>
    </w:p>
    <w:bookmarkStart w:id="1" w:name="page2"/>
    <w:bookmarkEnd w:id="1"/>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0"/>
          <w:szCs w:val="20"/>
          <w:color w:val="auto"/>
        </w:rPr>
      </w:pPr>
    </w:p>
    <w:p>
      <w:pPr>
        <w:ind w:right="1880"/>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1, 2020, the registrant had 87,489,681 shares of common stock, par value $0.0001 per share, outstanding.</w:t>
      </w:r>
    </w:p>
    <w:p>
      <w:pPr>
        <w:sectPr>
          <w:pgSz w:w="11900" w:h="16838" w:orient="portrait"/>
          <w:cols w:equalWidth="0" w:num="1">
            <w:col w:w="11080"/>
          </w:cols>
          <w:pgMar w:left="320" w:top="773"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160" w:type="dxa"/>
            <w:vAlign w:val="bottom"/>
            <w:gridSpan w:val="4"/>
          </w:tcPr>
          <w:p>
            <w:pPr>
              <w:jc w:val="center"/>
              <w:ind w:right="4240"/>
              <w:spacing w:after="0"/>
              <w:rPr>
                <w:sz w:val="20"/>
                <w:szCs w:val="20"/>
                <w:color w:val="auto"/>
              </w:rPr>
            </w:pPr>
            <w:r>
              <w:rPr>
                <w:rFonts w:ascii="Arial" w:cs="Arial" w:eastAsia="Arial" w:hAnsi="Arial"/>
                <w:sz w:val="18"/>
                <w:szCs w:val="18"/>
                <w:b w:val="1"/>
                <w:bCs w:val="1"/>
                <w:color w:val="auto"/>
                <w:w w:val="98"/>
              </w:rPr>
              <w:t>TABLE OF CONTENTS</w:t>
            </w:r>
          </w:p>
        </w:tc>
        <w:tc>
          <w:tcPr>
            <w:tcW w:w="4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574"/>
        </w:trPr>
        <w:tc>
          <w:tcPr>
            <w:tcW w:w="1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740" w:type="dxa"/>
            <w:vAlign w:val="bottom"/>
            <w:tcBorders>
              <w:bottom w:val="single" w:sz="8" w:color="auto"/>
            </w:tcBorders>
            <w:gridSpan w:val="5"/>
          </w:tcPr>
          <w:p>
            <w:pPr>
              <w:jc w:val="center"/>
              <w:spacing w:after="0"/>
              <w:rPr>
                <w:rFonts w:ascii="Arial" w:cs="Arial" w:eastAsia="Arial" w:hAnsi="Arial"/>
                <w:sz w:val="18"/>
                <w:szCs w:val="18"/>
                <w:color w:val="auto"/>
                <w:w w:val="98"/>
              </w:rPr>
            </w:pPr>
            <w:hyperlink w:anchor="page5">
              <w:r>
                <w:rPr>
                  <w:rFonts w:ascii="Arial" w:cs="Arial" w:eastAsia="Arial" w:hAnsi="Arial"/>
                  <w:sz w:val="18"/>
                  <w:szCs w:val="18"/>
                  <w:color w:val="auto"/>
                  <w:w w:val="98"/>
                </w:rPr>
                <w:t xml:space="preserve">Part </w:t>
              </w:r>
            </w:hyperlink>
            <w:r>
              <w:rPr>
                <w:rFonts w:ascii="Arial" w:cs="Arial" w:eastAsia="Arial" w:hAnsi="Arial"/>
                <w:sz w:val="18"/>
                <w:szCs w:val="18"/>
                <w:color w:val="auto"/>
                <w:w w:val="98"/>
              </w:rPr>
              <w:t>I. FINANCIAL INFORMATION</w:t>
            </w:r>
          </w:p>
        </w:tc>
        <w:tc>
          <w:tcPr>
            <w:tcW w:w="38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20"/>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7"/>
          </w:tcPr>
          <w:p>
            <w:pPr>
              <w:ind w:left="480"/>
              <w:spacing w:after="0"/>
              <w:rPr>
                <w:sz w:val="20"/>
                <w:szCs w:val="20"/>
                <w:color w:val="auto"/>
              </w:rPr>
            </w:pPr>
            <w:r>
              <w:rPr>
                <w:rFonts w:ascii="Arial" w:cs="Arial" w:eastAsia="Arial" w:hAnsi="Arial"/>
                <w:sz w:val="18"/>
                <w:szCs w:val="18"/>
                <w:color w:val="auto"/>
              </w:rPr>
              <w:t>Financial Statements</w:t>
            </w:r>
          </w:p>
        </w:tc>
        <w:tc>
          <w:tcPr>
            <w:tcW w:w="40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r>
      <w:tr>
        <w:trPr>
          <w:trHeight w:val="567"/>
        </w:trPr>
        <w:tc>
          <w:tcPr>
            <w:tcW w:w="1100" w:type="dxa"/>
            <w:vAlign w:val="bottom"/>
          </w:tcPr>
          <w:p>
            <w:pPr>
              <w:spacing w:after="0"/>
              <w:rPr>
                <w:sz w:val="24"/>
                <w:szCs w:val="24"/>
                <w:color w:val="auto"/>
              </w:rPr>
            </w:pPr>
          </w:p>
        </w:tc>
        <w:tc>
          <w:tcPr>
            <w:tcW w:w="9680" w:type="dxa"/>
            <w:vAlign w:val="bottom"/>
            <w:gridSpan w:val="7"/>
          </w:tcPr>
          <w:p>
            <w:pPr>
              <w:ind w:left="480"/>
              <w:spacing w:after="0"/>
              <w:rPr>
                <w:sz w:val="20"/>
                <w:szCs w:val="20"/>
                <w:color w:val="auto"/>
              </w:rPr>
            </w:pPr>
            <w:r>
              <w:rPr>
                <w:rFonts w:ascii="Arial" w:cs="Arial" w:eastAsia="Arial" w:hAnsi="Arial"/>
                <w:sz w:val="18"/>
                <w:szCs w:val="18"/>
                <w:color w:val="auto"/>
              </w:rPr>
              <w:t>Consolidated Balance Sheets as of March 31, 2020 (Unaudited) and December 31, 2019</w:t>
            </w:r>
          </w:p>
        </w:tc>
        <w:tc>
          <w:tcPr>
            <w:tcW w:w="40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r>
      <w:tr>
        <w:trPr>
          <w:trHeight w:val="553"/>
        </w:trPr>
        <w:tc>
          <w:tcPr>
            <w:tcW w:w="1100" w:type="dxa"/>
            <w:vAlign w:val="bottom"/>
          </w:tcPr>
          <w:p>
            <w:pPr>
              <w:spacing w:after="0"/>
              <w:rPr>
                <w:sz w:val="24"/>
                <w:szCs w:val="24"/>
                <w:color w:val="auto"/>
              </w:rPr>
            </w:pPr>
          </w:p>
        </w:tc>
        <w:tc>
          <w:tcPr>
            <w:tcW w:w="9680" w:type="dxa"/>
            <w:vAlign w:val="bottom"/>
            <w:gridSpan w:val="7"/>
          </w:tcPr>
          <w:p>
            <w:pPr>
              <w:ind w:left="480"/>
              <w:spacing w:after="0"/>
              <w:rPr>
                <w:sz w:val="20"/>
                <w:szCs w:val="20"/>
                <w:color w:val="auto"/>
              </w:rPr>
            </w:pPr>
            <w:r>
              <w:rPr>
                <w:rFonts w:ascii="Arial" w:cs="Arial" w:eastAsia="Arial" w:hAnsi="Arial"/>
                <w:sz w:val="18"/>
                <w:szCs w:val="18"/>
                <w:color w:val="auto"/>
                <w:w w:val="95"/>
              </w:rPr>
              <w:t>Consolidated Statements of Operations and Comprehensive Loss for the Three Months ended March 31, 2020 and 2019</w:t>
            </w:r>
          </w:p>
        </w:tc>
        <w:tc>
          <w:tcPr>
            <w:tcW w:w="40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tc>
      </w:tr>
      <w:tr>
        <w:trPr>
          <w:trHeight w:val="230"/>
        </w:trPr>
        <w:tc>
          <w:tcPr>
            <w:tcW w:w="1100" w:type="dxa"/>
            <w:vAlign w:val="bottom"/>
          </w:tcPr>
          <w:p>
            <w:pPr>
              <w:spacing w:after="0"/>
              <w:rPr>
                <w:sz w:val="20"/>
                <w:szCs w:val="20"/>
                <w:color w:val="auto"/>
              </w:rPr>
            </w:pPr>
          </w:p>
        </w:tc>
        <w:tc>
          <w:tcPr>
            <w:tcW w:w="9680" w:type="dxa"/>
            <w:vAlign w:val="bottom"/>
            <w:gridSpan w:val="7"/>
          </w:tcPr>
          <w:p>
            <w:pPr>
              <w:ind w:left="480"/>
              <w:spacing w:after="0"/>
              <w:rPr>
                <w:sz w:val="20"/>
                <w:szCs w:val="20"/>
                <w:color w:val="auto"/>
              </w:rPr>
            </w:pPr>
            <w:r>
              <w:rPr>
                <w:rFonts w:ascii="Arial" w:cs="Arial" w:eastAsia="Arial" w:hAnsi="Arial"/>
                <w:sz w:val="18"/>
                <w:szCs w:val="18"/>
                <w:color w:val="auto"/>
              </w:rPr>
              <w:t>(Unaudited)</w:t>
            </w:r>
          </w:p>
        </w:tc>
        <w:tc>
          <w:tcPr>
            <w:tcW w:w="400" w:type="dxa"/>
            <w:vAlign w:val="bottom"/>
          </w:tcPr>
          <w:p>
            <w:pPr>
              <w:spacing w:after="0"/>
              <w:rPr>
                <w:sz w:val="20"/>
                <w:szCs w:val="20"/>
                <w:color w:val="auto"/>
              </w:rPr>
            </w:pPr>
          </w:p>
        </w:tc>
      </w:tr>
      <w:tr>
        <w:trPr>
          <w:trHeight w:val="553"/>
        </w:trPr>
        <w:tc>
          <w:tcPr>
            <w:tcW w:w="1100" w:type="dxa"/>
            <w:vAlign w:val="bottom"/>
          </w:tcPr>
          <w:p>
            <w:pPr>
              <w:spacing w:after="0"/>
              <w:rPr>
                <w:sz w:val="24"/>
                <w:szCs w:val="24"/>
                <w:color w:val="auto"/>
              </w:rPr>
            </w:pPr>
          </w:p>
        </w:tc>
        <w:tc>
          <w:tcPr>
            <w:tcW w:w="9680" w:type="dxa"/>
            <w:vAlign w:val="bottom"/>
            <w:gridSpan w:val="7"/>
          </w:tcPr>
          <w:p>
            <w:pPr>
              <w:ind w:left="480"/>
              <w:spacing w:after="0"/>
              <w:rPr>
                <w:sz w:val="20"/>
                <w:szCs w:val="20"/>
                <w:color w:val="auto"/>
              </w:rPr>
            </w:pPr>
            <w:r>
              <w:rPr>
                <w:rFonts w:ascii="Arial" w:cs="Arial" w:eastAsia="Arial" w:hAnsi="Arial"/>
                <w:sz w:val="18"/>
                <w:szCs w:val="18"/>
                <w:color w:val="auto"/>
                <w:w w:val="92"/>
              </w:rPr>
              <w:t>Consolidated Statements of Changes in Stockholders' Equity (Deficit) for the Three Months ended March 31, 2020 and 2019</w:t>
            </w:r>
          </w:p>
        </w:tc>
        <w:tc>
          <w:tcPr>
            <w:tcW w:w="40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230"/>
        </w:trPr>
        <w:tc>
          <w:tcPr>
            <w:tcW w:w="1100" w:type="dxa"/>
            <w:vAlign w:val="bottom"/>
          </w:tcPr>
          <w:p>
            <w:pPr>
              <w:spacing w:after="0"/>
              <w:rPr>
                <w:sz w:val="20"/>
                <w:szCs w:val="20"/>
                <w:color w:val="auto"/>
              </w:rPr>
            </w:pPr>
          </w:p>
        </w:tc>
        <w:tc>
          <w:tcPr>
            <w:tcW w:w="9680" w:type="dxa"/>
            <w:vAlign w:val="bottom"/>
            <w:gridSpan w:val="7"/>
          </w:tcPr>
          <w:p>
            <w:pPr>
              <w:ind w:left="480"/>
              <w:spacing w:after="0"/>
              <w:rPr>
                <w:sz w:val="20"/>
                <w:szCs w:val="20"/>
                <w:color w:val="auto"/>
              </w:rPr>
            </w:pPr>
            <w:r>
              <w:rPr>
                <w:rFonts w:ascii="Arial" w:cs="Arial" w:eastAsia="Arial" w:hAnsi="Arial"/>
                <w:sz w:val="18"/>
                <w:szCs w:val="18"/>
                <w:color w:val="auto"/>
              </w:rPr>
              <w:t>(Unaudited)</w:t>
            </w:r>
          </w:p>
        </w:tc>
        <w:tc>
          <w:tcPr>
            <w:tcW w:w="400" w:type="dxa"/>
            <w:vAlign w:val="bottom"/>
          </w:tcPr>
          <w:p>
            <w:pPr>
              <w:spacing w:after="0"/>
              <w:rPr>
                <w:sz w:val="20"/>
                <w:szCs w:val="20"/>
                <w:color w:val="auto"/>
              </w:rPr>
            </w:pPr>
          </w:p>
        </w:tc>
      </w:tr>
      <w:tr>
        <w:trPr>
          <w:trHeight w:val="567"/>
        </w:trPr>
        <w:tc>
          <w:tcPr>
            <w:tcW w:w="1100" w:type="dxa"/>
            <w:vAlign w:val="bottom"/>
          </w:tcPr>
          <w:p>
            <w:pPr>
              <w:spacing w:after="0"/>
              <w:rPr>
                <w:sz w:val="24"/>
                <w:szCs w:val="24"/>
                <w:color w:val="auto"/>
              </w:rPr>
            </w:pPr>
          </w:p>
        </w:tc>
        <w:tc>
          <w:tcPr>
            <w:tcW w:w="9680" w:type="dxa"/>
            <w:vAlign w:val="bottom"/>
            <w:gridSpan w:val="7"/>
          </w:tcPr>
          <w:p>
            <w:pPr>
              <w:ind w:left="480"/>
              <w:spacing w:after="0"/>
              <w:rPr>
                <w:sz w:val="20"/>
                <w:szCs w:val="20"/>
                <w:color w:val="auto"/>
              </w:rPr>
            </w:pPr>
            <w:r>
              <w:rPr>
                <w:rFonts w:ascii="Arial" w:cs="Arial" w:eastAsia="Arial" w:hAnsi="Arial"/>
                <w:sz w:val="18"/>
                <w:szCs w:val="18"/>
                <w:color w:val="auto"/>
              </w:rPr>
              <w:t>Consolidated Statements of Cash Flows for the Three Months ended March 31, 2020 and 2019 (Unaudited)</w:t>
            </w:r>
          </w:p>
        </w:tc>
        <w:tc>
          <w:tcPr>
            <w:tcW w:w="40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7</w:t>
              </w:r>
            </w:hyperlink>
          </w:p>
        </w:tc>
      </w:tr>
      <w:tr>
        <w:trPr>
          <w:trHeight w:val="567"/>
        </w:trPr>
        <w:tc>
          <w:tcPr>
            <w:tcW w:w="1100" w:type="dxa"/>
            <w:vAlign w:val="bottom"/>
          </w:tcPr>
          <w:p>
            <w:pPr>
              <w:spacing w:after="0"/>
              <w:rPr>
                <w:sz w:val="24"/>
                <w:szCs w:val="24"/>
                <w:color w:val="auto"/>
              </w:rPr>
            </w:pPr>
          </w:p>
        </w:tc>
        <w:tc>
          <w:tcPr>
            <w:tcW w:w="9680" w:type="dxa"/>
            <w:vAlign w:val="bottom"/>
            <w:gridSpan w:val="7"/>
          </w:tcPr>
          <w:p>
            <w:pPr>
              <w:ind w:left="480"/>
              <w:spacing w:after="0"/>
              <w:rPr>
                <w:sz w:val="20"/>
                <w:szCs w:val="20"/>
                <w:color w:val="auto"/>
              </w:rPr>
            </w:pPr>
            <w:r>
              <w:rPr>
                <w:rFonts w:ascii="Arial" w:cs="Arial" w:eastAsia="Arial" w:hAnsi="Arial"/>
                <w:sz w:val="18"/>
                <w:szCs w:val="18"/>
                <w:color w:val="auto"/>
              </w:rPr>
              <w:t>Notes to Consolidated Financial Statements (Unaudited)</w:t>
            </w:r>
          </w:p>
        </w:tc>
        <w:tc>
          <w:tcPr>
            <w:tcW w:w="400" w:type="dxa"/>
            <w:vAlign w:val="bottom"/>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8</w:t>
              </w:r>
            </w:hyperlink>
          </w:p>
        </w:tc>
      </w:tr>
      <w:tr>
        <w:trPr>
          <w:trHeight w:val="567"/>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7"/>
          </w:tcPr>
          <w:p>
            <w:pPr>
              <w:ind w:left="4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00" w:type="dxa"/>
            <w:vAlign w:val="bottom"/>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33</w:t>
              </w:r>
            </w:hyperlink>
          </w:p>
        </w:tc>
      </w:tr>
      <w:tr>
        <w:trPr>
          <w:trHeight w:val="567"/>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9680" w:type="dxa"/>
            <w:vAlign w:val="bottom"/>
            <w:gridSpan w:val="7"/>
          </w:tcPr>
          <w:p>
            <w:pPr>
              <w:ind w:left="480"/>
              <w:spacing w:after="0"/>
              <w:rPr>
                <w:sz w:val="20"/>
                <w:szCs w:val="20"/>
                <w:color w:val="auto"/>
              </w:rPr>
            </w:pPr>
            <w:r>
              <w:rPr>
                <w:rFonts w:ascii="Arial" w:cs="Arial" w:eastAsia="Arial" w:hAnsi="Arial"/>
                <w:sz w:val="18"/>
                <w:szCs w:val="18"/>
                <w:color w:val="auto"/>
              </w:rPr>
              <w:t>Quantitative and Qualitative Disclosures About Market Risk</w:t>
            </w:r>
          </w:p>
        </w:tc>
        <w:tc>
          <w:tcPr>
            <w:tcW w:w="400" w:type="dxa"/>
            <w:vAlign w:val="bottom"/>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44</w:t>
              </w:r>
            </w:hyperlink>
          </w:p>
        </w:tc>
      </w:tr>
      <w:tr>
        <w:trPr>
          <w:trHeight w:val="567"/>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7"/>
          </w:tcPr>
          <w:p>
            <w:pPr>
              <w:ind w:left="480"/>
              <w:spacing w:after="0"/>
              <w:rPr>
                <w:sz w:val="20"/>
                <w:szCs w:val="20"/>
                <w:color w:val="auto"/>
              </w:rPr>
            </w:pPr>
            <w:r>
              <w:rPr>
                <w:rFonts w:ascii="Arial" w:cs="Arial" w:eastAsia="Arial" w:hAnsi="Arial"/>
                <w:sz w:val="18"/>
                <w:szCs w:val="18"/>
                <w:color w:val="auto"/>
              </w:rPr>
              <w:t>Controls and Procedures</w:t>
            </w:r>
          </w:p>
        </w:tc>
        <w:tc>
          <w:tcPr>
            <w:tcW w:w="400" w:type="dxa"/>
            <w:vAlign w:val="bottom"/>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44</w:t>
              </w:r>
            </w:hyperlink>
          </w:p>
        </w:tc>
      </w:tr>
      <w:tr>
        <w:trPr>
          <w:trHeight w:val="553"/>
        </w:trPr>
        <w:tc>
          <w:tcPr>
            <w:tcW w:w="1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Part II. OTHER INFORMATION</w:t>
            </w:r>
          </w:p>
        </w:tc>
        <w:tc>
          <w:tcPr>
            <w:tcW w:w="398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r>
      <w:tr>
        <w:trPr>
          <w:trHeight w:val="615"/>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7"/>
          </w:tcPr>
          <w:p>
            <w:pPr>
              <w:ind w:left="480"/>
              <w:spacing w:after="0"/>
              <w:rPr>
                <w:sz w:val="20"/>
                <w:szCs w:val="20"/>
                <w:color w:val="auto"/>
              </w:rPr>
            </w:pPr>
            <w:r>
              <w:rPr>
                <w:rFonts w:ascii="Arial" w:cs="Arial" w:eastAsia="Arial" w:hAnsi="Arial"/>
                <w:sz w:val="18"/>
                <w:szCs w:val="18"/>
                <w:color w:val="auto"/>
              </w:rPr>
              <w:t>Legal Proceedings</w:t>
            </w:r>
          </w:p>
        </w:tc>
        <w:tc>
          <w:tcPr>
            <w:tcW w:w="400" w:type="dxa"/>
            <w:vAlign w:val="bottom"/>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45</w:t>
              </w:r>
            </w:hyperlink>
          </w:p>
        </w:tc>
      </w:tr>
      <w:tr>
        <w:trPr>
          <w:trHeight w:val="594"/>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9680" w:type="dxa"/>
            <w:vAlign w:val="bottom"/>
            <w:gridSpan w:val="7"/>
          </w:tcPr>
          <w:p>
            <w:pPr>
              <w:ind w:left="480"/>
              <w:spacing w:after="0"/>
              <w:rPr>
                <w:sz w:val="20"/>
                <w:szCs w:val="20"/>
                <w:color w:val="auto"/>
              </w:rPr>
            </w:pPr>
            <w:r>
              <w:rPr>
                <w:rFonts w:ascii="Arial" w:cs="Arial" w:eastAsia="Arial" w:hAnsi="Arial"/>
                <w:sz w:val="18"/>
                <w:szCs w:val="18"/>
                <w:color w:val="auto"/>
              </w:rPr>
              <w:t>Risk Factors</w:t>
            </w:r>
          </w:p>
        </w:tc>
        <w:tc>
          <w:tcPr>
            <w:tcW w:w="400" w:type="dxa"/>
            <w:vAlign w:val="bottom"/>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45</w:t>
              </w:r>
            </w:hyperlink>
          </w:p>
        </w:tc>
      </w:tr>
      <w:tr>
        <w:trPr>
          <w:trHeight w:val="567"/>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7"/>
          </w:tcPr>
          <w:p>
            <w:pPr>
              <w:ind w:left="480"/>
              <w:spacing w:after="0"/>
              <w:rPr>
                <w:sz w:val="20"/>
                <w:szCs w:val="20"/>
                <w:color w:val="auto"/>
              </w:rPr>
            </w:pPr>
            <w:r>
              <w:rPr>
                <w:rFonts w:ascii="Arial" w:cs="Arial" w:eastAsia="Arial" w:hAnsi="Arial"/>
                <w:sz w:val="18"/>
                <w:szCs w:val="18"/>
                <w:color w:val="auto"/>
              </w:rPr>
              <w:t>Unregistered Sales of Equity Securities and Use of Proceeds</w:t>
            </w:r>
          </w:p>
        </w:tc>
        <w:tc>
          <w:tcPr>
            <w:tcW w:w="400" w:type="dxa"/>
            <w:vAlign w:val="bottom"/>
          </w:tcPr>
          <w:p>
            <w:pPr>
              <w:jc w:val="right"/>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83</w:t>
              </w:r>
            </w:hyperlink>
          </w:p>
        </w:tc>
      </w:tr>
      <w:tr>
        <w:trPr>
          <w:trHeight w:val="553"/>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9680" w:type="dxa"/>
            <w:vAlign w:val="bottom"/>
            <w:gridSpan w:val="7"/>
          </w:tcPr>
          <w:p>
            <w:pPr>
              <w:ind w:left="480"/>
              <w:spacing w:after="0"/>
              <w:rPr>
                <w:sz w:val="20"/>
                <w:szCs w:val="20"/>
                <w:color w:val="auto"/>
              </w:rPr>
            </w:pPr>
            <w:r>
              <w:rPr>
                <w:rFonts w:ascii="Arial" w:cs="Arial" w:eastAsia="Arial" w:hAnsi="Arial"/>
                <w:sz w:val="18"/>
                <w:szCs w:val="18"/>
                <w:color w:val="auto"/>
              </w:rPr>
              <w:t>Defaults Upon Senior Securities</w:t>
            </w:r>
          </w:p>
        </w:tc>
        <w:tc>
          <w:tcPr>
            <w:tcW w:w="400" w:type="dxa"/>
            <w:vAlign w:val="bottom"/>
          </w:tcPr>
          <w:p>
            <w:pPr>
              <w:jc w:val="right"/>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83</w:t>
              </w:r>
            </w:hyperlink>
          </w:p>
        </w:tc>
      </w:tr>
      <w:tr>
        <w:trPr>
          <w:trHeight w:val="554"/>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7"/>
          </w:tcPr>
          <w:p>
            <w:pPr>
              <w:ind w:left="480"/>
              <w:spacing w:after="0"/>
              <w:rPr>
                <w:sz w:val="20"/>
                <w:szCs w:val="20"/>
                <w:color w:val="auto"/>
              </w:rPr>
            </w:pPr>
            <w:r>
              <w:rPr>
                <w:rFonts w:ascii="Arial" w:cs="Arial" w:eastAsia="Arial" w:hAnsi="Arial"/>
                <w:sz w:val="18"/>
                <w:szCs w:val="18"/>
                <w:color w:val="auto"/>
              </w:rPr>
              <w:t>Mine Safety Disclosures</w:t>
            </w:r>
          </w:p>
        </w:tc>
        <w:tc>
          <w:tcPr>
            <w:tcW w:w="400" w:type="dxa"/>
            <w:vAlign w:val="bottom"/>
          </w:tcPr>
          <w:p>
            <w:pPr>
              <w:jc w:val="right"/>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84</w:t>
              </w:r>
            </w:hyperlink>
          </w:p>
        </w:tc>
      </w:tr>
      <w:tr>
        <w:trPr>
          <w:trHeight w:val="553"/>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9680" w:type="dxa"/>
            <w:vAlign w:val="bottom"/>
            <w:gridSpan w:val="7"/>
          </w:tcPr>
          <w:p>
            <w:pPr>
              <w:ind w:left="480"/>
              <w:spacing w:after="0"/>
              <w:rPr>
                <w:sz w:val="20"/>
                <w:szCs w:val="20"/>
                <w:color w:val="auto"/>
              </w:rPr>
            </w:pPr>
            <w:r>
              <w:rPr>
                <w:rFonts w:ascii="Arial" w:cs="Arial" w:eastAsia="Arial" w:hAnsi="Arial"/>
                <w:sz w:val="18"/>
                <w:szCs w:val="18"/>
                <w:color w:val="auto"/>
              </w:rPr>
              <w:t>Other Information</w:t>
            </w:r>
          </w:p>
        </w:tc>
        <w:tc>
          <w:tcPr>
            <w:tcW w:w="400" w:type="dxa"/>
            <w:vAlign w:val="bottom"/>
          </w:tcPr>
          <w:p>
            <w:pPr>
              <w:jc w:val="right"/>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84</w:t>
              </w:r>
            </w:hyperlink>
          </w:p>
        </w:tc>
      </w:tr>
      <w:tr>
        <w:trPr>
          <w:trHeight w:val="553"/>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9680" w:type="dxa"/>
            <w:vAlign w:val="bottom"/>
            <w:gridSpan w:val="7"/>
          </w:tcPr>
          <w:p>
            <w:pPr>
              <w:ind w:left="480"/>
              <w:spacing w:after="0"/>
              <w:rPr>
                <w:sz w:val="20"/>
                <w:szCs w:val="20"/>
                <w:color w:val="auto"/>
              </w:rPr>
            </w:pPr>
            <w:r>
              <w:rPr>
                <w:rFonts w:ascii="Arial" w:cs="Arial" w:eastAsia="Arial" w:hAnsi="Arial"/>
                <w:sz w:val="18"/>
                <w:szCs w:val="18"/>
                <w:color w:val="auto"/>
              </w:rPr>
              <w:t>Exhibits</w:t>
            </w:r>
          </w:p>
        </w:tc>
        <w:tc>
          <w:tcPr>
            <w:tcW w:w="400" w:type="dxa"/>
            <w:vAlign w:val="bottom"/>
          </w:tcPr>
          <w:p>
            <w:pPr>
              <w:jc w:val="right"/>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85</w:t>
              </w:r>
            </w:hyperlink>
          </w:p>
        </w:tc>
      </w:tr>
      <w:tr>
        <w:trPr>
          <w:trHeight w:val="567"/>
        </w:trPr>
        <w:tc>
          <w:tcPr>
            <w:tcW w:w="1100" w:type="dxa"/>
            <w:vAlign w:val="bottom"/>
          </w:tcPr>
          <w:p>
            <w:pPr>
              <w:spacing w:after="0"/>
              <w:rPr>
                <w:sz w:val="24"/>
                <w:szCs w:val="24"/>
                <w:color w:val="auto"/>
              </w:rPr>
            </w:pPr>
          </w:p>
        </w:tc>
        <w:tc>
          <w:tcPr>
            <w:tcW w:w="9680" w:type="dxa"/>
            <w:vAlign w:val="bottom"/>
            <w:gridSpan w:val="7"/>
          </w:tcPr>
          <w:p>
            <w:pPr>
              <w:ind w:left="480"/>
              <w:spacing w:after="0"/>
              <w:rPr>
                <w:sz w:val="20"/>
                <w:szCs w:val="20"/>
                <w:color w:val="auto"/>
              </w:rPr>
            </w:pPr>
            <w:r>
              <w:rPr>
                <w:rFonts w:ascii="Arial" w:cs="Arial" w:eastAsia="Arial" w:hAnsi="Arial"/>
                <w:sz w:val="18"/>
                <w:szCs w:val="18"/>
                <w:color w:val="auto"/>
              </w:rPr>
              <w:t>Signatures</w:t>
            </w:r>
          </w:p>
        </w:tc>
        <w:tc>
          <w:tcPr>
            <w:tcW w:w="4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360" w:top="810"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a potential amendment to our exclusive patent license agreement with the Massachusetts Institute of Technology, and the impact of the novel coronavirus (COVID-19) pandemic on our business and operations and our future financial results,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2"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16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status as a development-stage company and our expectation to incur losses in the future;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 our future capital needs and our need to raise additional funds;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build a pipeline of product candidates and develop and commercialize drugs;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unproven approach to therapeutic intervention;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timely and successfully complete those trials and receive necessary regulatory approvals;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have continued access to manufacturing facilities and to receive or manufacture sufficient quantities of our product candidates;</w:t>
      </w:r>
    </w:p>
    <w:p>
      <w:pPr>
        <w:spacing w:after="0" w:line="236"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existing or future collaborations or licenses, including our ability to reach an agreement regarding an acceptable amendment of our exclusive patent license agreement with the Massachusetts Institute of Technology;</w:t>
      </w:r>
    </w:p>
    <w:p>
      <w:pPr>
        <w:spacing w:after="0" w:line="170" w:lineRule="exact"/>
        <w:rPr>
          <w:rFonts w:ascii="Arial" w:cs="Arial" w:eastAsia="Arial" w:hAnsi="Arial"/>
          <w:sz w:val="18"/>
          <w:szCs w:val="18"/>
          <w:color w:val="auto"/>
        </w:rPr>
      </w:pPr>
    </w:p>
    <w:p>
      <w:pPr>
        <w:ind w:left="340" w:right="5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operations, the continuity of our business, including our preclinical studies and clinical trials, and general economic conditions;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foreign regulatory requirements, including FDA regulation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retain key executives and attract and retain qualified personnel;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the impact of government regulation;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our growth.</w:t>
      </w:r>
    </w:p>
    <w:p>
      <w:pPr>
        <w:spacing w:after="0" w:line="225"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ectPr>
          <w:pgSz w:w="11900" w:h="16838" w:orient="portrait"/>
          <w:cols w:equalWidth="0" w:num="1">
            <w:col w:w="11220"/>
          </w:cols>
          <w:pgMar w:left="320" w:top="66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20"/>
          </w:cols>
          <w:pgMar w:left="320" w:top="661" w:right="35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PART I - 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Balance Sheets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par value)</w:t>
      </w:r>
    </w:p>
    <w:p>
      <w:pPr>
        <w:spacing w:after="0" w:line="388" w:lineRule="exact"/>
        <w:rPr>
          <w:sz w:val="20"/>
          <w:szCs w:val="20"/>
          <w:color w:val="auto"/>
        </w:rPr>
      </w:pPr>
    </w:p>
    <w:p>
      <w:pPr>
        <w:ind w:left="8980"/>
        <w:spacing w:after="0"/>
        <w:tabs>
          <w:tab w:leader="none" w:pos="1020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2"/>
          <w:szCs w:val="12"/>
          <w:b w:val="1"/>
          <w:bCs w:val="1"/>
          <w:color w:val="auto"/>
        </w:rPr>
        <w:t>December 31,</w:t>
      </w:r>
    </w:p>
    <w:p>
      <w:pPr>
        <w:spacing w:after="0" w:line="109" w:lineRule="exact"/>
        <w:rPr>
          <w:sz w:val="20"/>
          <w:szCs w:val="20"/>
          <w:color w:val="auto"/>
        </w:rPr>
      </w:pPr>
    </w:p>
    <w:p>
      <w:pPr>
        <w:ind w:left="9140"/>
        <w:spacing w:after="0"/>
        <w:tabs>
          <w:tab w:leader="none" w:pos="104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23495</wp:posOffset>
            </wp:positionV>
            <wp:extent cx="1637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89"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shd w:val="clear" w:color="auto" w:fill="CCEEFF"/>
        </w:rPr>
        <w:t>Assets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62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Cash and cash equivalents</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72,606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89,893</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Restricted cash</w:t>
            </w:r>
          </w:p>
        </w:tc>
        <w:tc>
          <w:tcPr>
            <w:tcW w:w="3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Accounts receivable</w:t>
            </w:r>
          </w:p>
        </w:tc>
        <w:tc>
          <w:tcPr>
            <w:tcW w:w="3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8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1,495</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Total current assets</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74,440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96,667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1,134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1,222</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Right-of-use asset, net</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11,847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8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Long-term restricted cash</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1,379</w:t>
            </w:r>
          </w:p>
        </w:tc>
        <w:tc>
          <w:tcPr>
            <w:tcW w:w="0" w:type="dxa"/>
            <w:vAlign w:val="bottom"/>
          </w:tcPr>
          <w:p>
            <w:pPr>
              <w:spacing w:after="0"/>
              <w:rPr>
                <w:sz w:val="1"/>
                <w:szCs w:val="1"/>
                <w:color w:val="auto"/>
              </w:rPr>
            </w:pPr>
          </w:p>
        </w:tc>
      </w:tr>
      <w:tr>
        <w:trPr>
          <w:trHeight w:val="215"/>
        </w:trPr>
        <w:tc>
          <w:tcPr>
            <w:tcW w:w="40" w:type="dxa"/>
            <w:vAlign w:val="bottom"/>
            <w:tcBorders>
              <w:bottom w:val="single" w:sz="8" w:color="CCEEFF"/>
            </w:tcBorders>
            <w:shd w:val="clear" w:color="auto" w:fill="CCEEFF"/>
          </w:tcPr>
          <w:p>
            <w:pPr>
              <w:spacing w:after="0"/>
              <w:rPr>
                <w:sz w:val="18"/>
                <w:szCs w:val="18"/>
                <w:color w:val="auto"/>
              </w:rPr>
            </w:pPr>
          </w:p>
        </w:tc>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assets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88,800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99,569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 (deficit)</w:t>
            </w: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 w:type="dxa"/>
            <w:vAlign w:val="bottom"/>
          </w:tcPr>
          <w:p>
            <w:pPr>
              <w:spacing w:after="0"/>
              <w:rPr>
                <w:sz w:val="18"/>
                <w:szCs w:val="18"/>
                <w:color w:val="auto"/>
              </w:rPr>
            </w:pPr>
          </w:p>
        </w:tc>
        <w:tc>
          <w:tcPr>
            <w:tcW w:w="86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 liabilities:</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Accounts payable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1,330</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Accrued expenses</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8,775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13,492</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Loan payable</w:t>
            </w:r>
          </w:p>
        </w:tc>
        <w:tc>
          <w:tcPr>
            <w:tcW w:w="3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16,868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18,905</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Lease liability</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8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Deferred revenue</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215"/>
        </w:trPr>
        <w:tc>
          <w:tcPr>
            <w:tcW w:w="4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Total current liabilities</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34,943</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current liabilities:</w:t>
            </w: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Lease liability</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10,440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Deferred revenue</w:t>
            </w:r>
          </w:p>
        </w:tc>
        <w:tc>
          <w:tcPr>
            <w:tcW w:w="3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14,656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14,680</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Warrant liabilities</w:t>
            </w: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42,395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41,549</w:t>
            </w:r>
          </w:p>
        </w:tc>
        <w:tc>
          <w:tcPr>
            <w:tcW w:w="0" w:type="dxa"/>
            <w:vAlign w:val="bottom"/>
          </w:tcPr>
          <w:p>
            <w:pPr>
              <w:spacing w:after="0"/>
              <w:rPr>
                <w:sz w:val="1"/>
                <w:szCs w:val="1"/>
                <w:color w:val="auto"/>
              </w:rPr>
            </w:pPr>
          </w:p>
        </w:tc>
      </w:tr>
      <w:tr>
        <w:trPr>
          <w:trHeight w:val="210"/>
        </w:trPr>
        <w:tc>
          <w:tcPr>
            <w:tcW w:w="40" w:type="dxa"/>
            <w:vAlign w:val="bottom"/>
            <w:tcBorders>
              <w:bottom w:val="single" w:sz="8" w:color="CCEEFF"/>
            </w:tcBorders>
          </w:tcPr>
          <w:p>
            <w:pPr>
              <w:spacing w:after="0"/>
              <w:rPr>
                <w:sz w:val="18"/>
                <w:szCs w:val="18"/>
                <w:color w:val="auto"/>
              </w:rPr>
            </w:pPr>
          </w:p>
        </w:tc>
        <w:tc>
          <w:tcPr>
            <w:tcW w:w="8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liabilities</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97,563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91,172</w:t>
            </w:r>
          </w:p>
        </w:tc>
        <w:tc>
          <w:tcPr>
            <w:tcW w:w="0" w:type="dxa"/>
            <w:vAlign w:val="bottom"/>
          </w:tcPr>
          <w:p>
            <w:pPr>
              <w:spacing w:after="0"/>
              <w:rPr>
                <w:sz w:val="1"/>
                <w:szCs w:val="1"/>
                <w:color w:val="auto"/>
              </w:rPr>
            </w:pPr>
          </w:p>
        </w:tc>
      </w:tr>
      <w:tr>
        <w:trPr>
          <w:trHeight w:val="256"/>
        </w:trPr>
        <w:tc>
          <w:tcPr>
            <w:tcW w:w="40" w:type="dxa"/>
            <w:vAlign w:val="bottom"/>
            <w:shd w:val="clear" w:color="auto" w:fill="CCEEFF"/>
          </w:tcPr>
          <w:p>
            <w:pPr>
              <w:spacing w:after="0"/>
              <w:rPr>
                <w:sz w:val="22"/>
                <w:szCs w:val="22"/>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(Note 17)</w:t>
            </w: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b w:val="1"/>
                <w:bCs w:val="1"/>
                <w:color w:val="auto"/>
              </w:rPr>
              <w:t>Stockholders’ equity (deficit):</w:t>
            </w: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w w:val="95"/>
              </w:rPr>
              <w:t>Preferred stock, $0.0001 par value; 10,000,000 shares authorized; no shares issued and outstanding at March 31, 2020 and December 31, 2019,</w:t>
            </w: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respectively</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8620" w:type="dxa"/>
            <w:vAlign w:val="bottom"/>
          </w:tcPr>
          <w:p>
            <w:pPr>
              <w:spacing w:after="0" w:line="157" w:lineRule="exact"/>
              <w:rPr>
                <w:sz w:val="20"/>
                <w:szCs w:val="20"/>
                <w:color w:val="auto"/>
              </w:rPr>
            </w:pPr>
            <w:r>
              <w:rPr>
                <w:rFonts w:ascii="Arial" w:cs="Arial" w:eastAsia="Arial" w:hAnsi="Arial"/>
                <w:sz w:val="14"/>
                <w:szCs w:val="14"/>
                <w:color w:val="auto"/>
                <w:w w:val="93"/>
              </w:rPr>
              <w:t>Common stock, $0.0001 par value; 200,000,000 shares authorized; 87,019,172 and 86,325,547 shares issued and outstanding as of March 31, 2020</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and December 31, 2019, respectively</w:t>
            </w:r>
          </w:p>
        </w:tc>
        <w:tc>
          <w:tcPr>
            <w:tcW w:w="36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351,184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348,664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Accumulated deficit</w:t>
            </w:r>
          </w:p>
        </w:tc>
        <w:tc>
          <w:tcPr>
            <w:tcW w:w="3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(355,373)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(335,753)</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loss</w:t>
            </w: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(4,583)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(4,523)</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8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stockholders’ equity (deficit)</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(8,763)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8,397</w:t>
            </w:r>
          </w:p>
        </w:tc>
        <w:tc>
          <w:tcPr>
            <w:tcW w:w="0" w:type="dxa"/>
            <w:vAlign w:val="bottom"/>
          </w:tcPr>
          <w:p>
            <w:pPr>
              <w:spacing w:after="0"/>
              <w:rPr>
                <w:sz w:val="1"/>
                <w:szCs w:val="1"/>
                <w:color w:val="auto"/>
              </w:rPr>
            </w:pPr>
          </w:p>
        </w:tc>
      </w:tr>
      <w:tr>
        <w:trPr>
          <w:trHeight w:val="215"/>
        </w:trPr>
        <w:tc>
          <w:tcPr>
            <w:tcW w:w="40" w:type="dxa"/>
            <w:vAlign w:val="bottom"/>
            <w:tcBorders>
              <w:bottom w:val="single" w:sz="8" w:color="CCEEFF"/>
            </w:tcBorders>
            <w:shd w:val="clear" w:color="auto" w:fill="CCEEFF"/>
          </w:tcPr>
          <w:p>
            <w:pPr>
              <w:spacing w:after="0"/>
              <w:rPr>
                <w:sz w:val="18"/>
                <w:szCs w:val="18"/>
                <w:color w:val="auto"/>
              </w:rPr>
            </w:pPr>
          </w:p>
        </w:tc>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liabilities and stockholders’ equity (deficit)</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88,800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99,569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ectPr>
          <w:pgSz w:w="11900" w:h="16838" w:orient="portrait"/>
          <w:cols w:equalWidth="0" w:num="1">
            <w:col w:w="11240"/>
          </w:cols>
          <w:pgMar w:left="320" w:top="1071" w:right="339" w:bottom="1440" w:gutter="0" w:footer="0" w:header="0"/>
        </w:sect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071"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40" w:type="dxa"/>
            <w:vAlign w:val="bottom"/>
            <w:tcBorders>
              <w:bottom w:val="single" w:sz="8" w:color="CCEEFF"/>
            </w:tcBorders>
          </w:tcPr>
          <w:p>
            <w:pPr>
              <w:spacing w:after="0"/>
              <w:rPr>
                <w:sz w:val="22"/>
                <w:szCs w:val="22"/>
                <w:color w:val="auto"/>
              </w:rPr>
            </w:pPr>
          </w:p>
        </w:tc>
        <w:tc>
          <w:tcPr>
            <w:tcW w:w="81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56"/>
        </w:trPr>
        <w:tc>
          <w:tcPr>
            <w:tcW w:w="40" w:type="dxa"/>
            <w:vAlign w:val="bottom"/>
            <w:shd w:val="clear" w:color="auto" w:fill="CCEEFF"/>
          </w:tcPr>
          <w:p>
            <w:pPr>
              <w:spacing w:after="0"/>
              <w:rPr>
                <w:sz w:val="22"/>
                <w:szCs w:val="22"/>
                <w:color w:val="auto"/>
              </w:rPr>
            </w:pPr>
          </w:p>
        </w:tc>
        <w:tc>
          <w:tcPr>
            <w:tcW w:w="8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7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(Unaudited)</w:t>
            </w:r>
          </w:p>
        </w:tc>
        <w:tc>
          <w:tcPr>
            <w:tcW w:w="1000" w:type="dxa"/>
            <w:vAlign w:val="bottom"/>
            <w:shd w:val="clear" w:color="auto" w:fill="CCEEFF"/>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8180" w:type="dxa"/>
            <w:vAlign w:val="bottom"/>
          </w:tcPr>
          <w:p>
            <w:pPr>
              <w:spacing w:after="0"/>
              <w:rPr>
                <w:sz w:val="20"/>
                <w:szCs w:val="20"/>
                <w:color w:val="auto"/>
              </w:rPr>
            </w:pPr>
            <w:r>
              <w:rPr>
                <w:rFonts w:ascii="Arial" w:cs="Arial" w:eastAsia="Arial" w:hAnsi="Arial"/>
                <w:sz w:val="14"/>
                <w:szCs w:val="14"/>
                <w:color w:val="auto"/>
              </w:rPr>
              <w:t>Grant and collaboration revenue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8180" w:type="dxa"/>
            <w:vAlign w:val="bottom"/>
          </w:tcPr>
          <w:p>
            <w:pPr>
              <w:ind w:left="240"/>
              <w:spacing w:after="0"/>
              <w:rPr>
                <w:sz w:val="20"/>
                <w:szCs w:val="20"/>
                <w:color w:val="auto"/>
              </w:rPr>
            </w:pPr>
            <w:r>
              <w:rPr>
                <w:rFonts w:ascii="Arial" w:cs="Arial" w:eastAsia="Arial" w:hAnsi="Arial"/>
                <w:sz w:val="14"/>
                <w:szCs w:val="14"/>
                <w:color w:val="auto"/>
              </w:rPr>
              <w:t>Research and development</w:t>
            </w:r>
          </w:p>
        </w:tc>
        <w:tc>
          <w:tcPr>
            <w:tcW w:w="3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14,724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7,353</w:t>
            </w:r>
          </w:p>
        </w:tc>
      </w:tr>
      <w:tr>
        <w:trPr>
          <w:trHeight w:val="276"/>
        </w:trPr>
        <w:tc>
          <w:tcPr>
            <w:tcW w:w="40" w:type="dxa"/>
            <w:vAlign w:val="bottom"/>
            <w:tcBorders>
              <w:bottom w:val="single" w:sz="8" w:color="CCEEFF"/>
            </w:tcBorders>
            <w:shd w:val="clear" w:color="auto" w:fill="CCEEFF"/>
          </w:tcPr>
          <w:p>
            <w:pPr>
              <w:spacing w:after="0"/>
              <w:rPr>
                <w:sz w:val="24"/>
                <w:szCs w:val="24"/>
                <w:color w:val="auto"/>
              </w:rPr>
            </w:pPr>
          </w:p>
        </w:tc>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shd w:val="clear" w:color="auto" w:fill="CCEEFF"/>
              </w:rPr>
              <w:t>General and administrative</w:t>
            </w:r>
          </w:p>
        </w:tc>
        <w:tc>
          <w:tcPr>
            <w:tcW w:w="3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4,098</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4,513</w:t>
            </w:r>
          </w:p>
        </w:tc>
      </w:tr>
      <w:tr>
        <w:trPr>
          <w:trHeight w:val="244"/>
        </w:trPr>
        <w:tc>
          <w:tcPr>
            <w:tcW w:w="40" w:type="dxa"/>
            <w:vAlign w:val="bottom"/>
            <w:tcBorders>
              <w:bottom w:val="single" w:sz="8" w:color="CCEEFF"/>
            </w:tcBorders>
          </w:tcPr>
          <w:p>
            <w:pPr>
              <w:spacing w:after="0"/>
              <w:rPr>
                <w:sz w:val="21"/>
                <w:szCs w:val="21"/>
                <w:color w:val="auto"/>
              </w:rPr>
            </w:pPr>
          </w:p>
        </w:tc>
        <w:tc>
          <w:tcPr>
            <w:tcW w:w="81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18,822</w:t>
            </w:r>
          </w:p>
        </w:tc>
        <w:tc>
          <w:tcPr>
            <w:tcW w:w="1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11,866</w:t>
            </w:r>
          </w:p>
        </w:tc>
      </w:tr>
      <w:tr>
        <w:trPr>
          <w:trHeight w:val="236"/>
        </w:trPr>
        <w:tc>
          <w:tcPr>
            <w:tcW w:w="40" w:type="dxa"/>
            <w:vAlign w:val="bottom"/>
            <w:tcBorders>
              <w:bottom w:val="single" w:sz="8" w:color="CCEEFF"/>
            </w:tcBorders>
            <w:shd w:val="clear" w:color="auto" w:fill="CCEEFF"/>
          </w:tcPr>
          <w:p>
            <w:pPr>
              <w:spacing w:after="0"/>
              <w:rPr>
                <w:sz w:val="20"/>
                <w:szCs w:val="20"/>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Loss from operations</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(18,822)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(11,856)</w:t>
            </w:r>
          </w:p>
        </w:tc>
      </w:tr>
      <w:tr>
        <w:trPr>
          <w:trHeight w:val="264"/>
        </w:trPr>
        <w:tc>
          <w:tcPr>
            <w:tcW w:w="40" w:type="dxa"/>
            <w:vAlign w:val="bottom"/>
          </w:tcPr>
          <w:p>
            <w:pPr>
              <w:spacing w:after="0"/>
              <w:rPr>
                <w:sz w:val="22"/>
                <w:szCs w:val="22"/>
                <w:color w:val="auto"/>
              </w:rPr>
            </w:pPr>
          </w:p>
        </w:tc>
        <w:tc>
          <w:tcPr>
            <w:tcW w:w="8180" w:type="dxa"/>
            <w:vAlign w:val="bottom"/>
          </w:tcPr>
          <w:p>
            <w:pPr>
              <w:spacing w:after="0"/>
              <w:rPr>
                <w:sz w:val="20"/>
                <w:szCs w:val="20"/>
                <w:color w:val="auto"/>
              </w:rPr>
            </w:pPr>
            <w:r>
              <w:rPr>
                <w:rFonts w:ascii="Arial" w:cs="Arial" w:eastAsia="Arial" w:hAnsi="Arial"/>
                <w:sz w:val="14"/>
                <w:szCs w:val="14"/>
                <w:color w:val="auto"/>
              </w:rPr>
              <w:t>Investment income</w:t>
            </w:r>
          </w:p>
        </w:tc>
        <w:tc>
          <w:tcPr>
            <w:tcW w:w="3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277</w:t>
            </w:r>
          </w:p>
        </w:tc>
      </w:tr>
      <w:tr>
        <w:trPr>
          <w:trHeight w:val="276"/>
        </w:trPr>
        <w:tc>
          <w:tcPr>
            <w:tcW w:w="40" w:type="dxa"/>
            <w:vAlign w:val="bottom"/>
            <w:shd w:val="clear" w:color="auto" w:fill="CCEEFF"/>
          </w:tcPr>
          <w:p>
            <w:pPr>
              <w:spacing w:after="0"/>
              <w:rPr>
                <w:sz w:val="24"/>
                <w:szCs w:val="24"/>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transaction (loss), net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64"/>
        </w:trPr>
        <w:tc>
          <w:tcPr>
            <w:tcW w:w="40" w:type="dxa"/>
            <w:vAlign w:val="bottom"/>
          </w:tcPr>
          <w:p>
            <w:pPr>
              <w:spacing w:after="0"/>
              <w:rPr>
                <w:sz w:val="22"/>
                <w:szCs w:val="22"/>
                <w:color w:val="auto"/>
              </w:rPr>
            </w:pPr>
          </w:p>
        </w:tc>
        <w:tc>
          <w:tcPr>
            <w:tcW w:w="8180" w:type="dxa"/>
            <w:vAlign w:val="bottom"/>
          </w:tcPr>
          <w:p>
            <w:pPr>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(396)</w:t>
            </w:r>
          </w:p>
        </w:tc>
      </w:tr>
      <w:tr>
        <w:trPr>
          <w:trHeight w:val="276"/>
        </w:trPr>
        <w:tc>
          <w:tcPr>
            <w:tcW w:w="40" w:type="dxa"/>
            <w:vAlign w:val="bottom"/>
            <w:shd w:val="clear" w:color="auto" w:fill="CCEEFF"/>
          </w:tcPr>
          <w:p>
            <w:pPr>
              <w:spacing w:after="0"/>
              <w:rPr>
                <w:sz w:val="24"/>
                <w:szCs w:val="24"/>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Change in fair value of warrant liabilities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0" w:type="dxa"/>
            <w:vAlign w:val="bottom"/>
            <w:tcBorders>
              <w:bottom w:val="single" w:sz="8" w:color="CCEEFF"/>
            </w:tcBorders>
          </w:tcPr>
          <w:p>
            <w:pPr>
              <w:spacing w:after="0"/>
              <w:rPr>
                <w:sz w:val="22"/>
                <w:szCs w:val="22"/>
                <w:color w:val="auto"/>
              </w:rPr>
            </w:pPr>
          </w:p>
        </w:tc>
        <w:tc>
          <w:tcPr>
            <w:tcW w:w="81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(expense), net</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r>
      <w:tr>
        <w:trPr>
          <w:trHeight w:val="256"/>
        </w:trPr>
        <w:tc>
          <w:tcPr>
            <w:tcW w:w="40" w:type="dxa"/>
            <w:vAlign w:val="bottom"/>
            <w:shd w:val="clear" w:color="auto" w:fill="CCEEFF"/>
          </w:tcPr>
          <w:p>
            <w:pPr>
              <w:spacing w:after="0"/>
              <w:rPr>
                <w:sz w:val="22"/>
                <w:szCs w:val="22"/>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(19,620)</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(12,074)</w:t>
            </w:r>
          </w:p>
        </w:tc>
      </w:tr>
      <w:tr>
        <w:trPr>
          <w:trHeight w:val="258"/>
        </w:trPr>
        <w:tc>
          <w:tcPr>
            <w:tcW w:w="40" w:type="dxa"/>
            <w:vAlign w:val="bottom"/>
          </w:tcPr>
          <w:p>
            <w:pPr>
              <w:spacing w:after="0"/>
              <w:rPr>
                <w:sz w:val="22"/>
                <w:szCs w:val="22"/>
                <w:color w:val="auto"/>
              </w:rPr>
            </w:pPr>
          </w:p>
        </w:tc>
        <w:tc>
          <w:tcPr>
            <w:tcW w:w="818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81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r>
      <w:tr>
        <w:trPr>
          <w:trHeight w:val="264"/>
        </w:trPr>
        <w:tc>
          <w:tcPr>
            <w:tcW w:w="40" w:type="dxa"/>
            <w:vAlign w:val="bottom"/>
          </w:tcPr>
          <w:p>
            <w:pPr>
              <w:spacing w:after="0"/>
              <w:rPr>
                <w:sz w:val="22"/>
                <w:szCs w:val="22"/>
                <w:color w:val="auto"/>
              </w:rPr>
            </w:pPr>
          </w:p>
        </w:tc>
        <w:tc>
          <w:tcPr>
            <w:tcW w:w="8180" w:type="dxa"/>
            <w:vAlign w:val="bottom"/>
          </w:tcPr>
          <w:p>
            <w:pPr>
              <w:ind w:left="240"/>
              <w:spacing w:after="0"/>
              <w:rPr>
                <w:sz w:val="20"/>
                <w:szCs w:val="20"/>
                <w:color w:val="auto"/>
              </w:rPr>
            </w:pPr>
            <w:r>
              <w:rPr>
                <w:rFonts w:ascii="Arial" w:cs="Arial" w:eastAsia="Arial" w:hAnsi="Arial"/>
                <w:sz w:val="14"/>
                <w:szCs w:val="14"/>
                <w:color w:val="auto"/>
              </w:rPr>
              <w:t>Unrealized gain on securities</w:t>
            </w:r>
          </w:p>
        </w:tc>
        <w:tc>
          <w:tcPr>
            <w:tcW w:w="3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43"/>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comprehensive loss</w:t>
            </w: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(12,050)</w:t>
            </w:r>
          </w:p>
        </w:tc>
      </w:tr>
      <w:tr>
        <w:trPr>
          <w:trHeight w:val="20"/>
        </w:trPr>
        <w:tc>
          <w:tcPr>
            <w:tcW w:w="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8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0"/>
        </w:trPr>
        <w:tc>
          <w:tcPr>
            <w:tcW w:w="40" w:type="dxa"/>
            <w:vAlign w:val="bottom"/>
            <w:shd w:val="clear" w:color="auto" w:fill="CCEEFF"/>
          </w:tcPr>
          <w:p>
            <w:pPr>
              <w:spacing w:after="0"/>
              <w:rPr>
                <w:sz w:val="23"/>
                <w:szCs w:val="23"/>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Net loss per share:</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Basic and diluted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(0.31)</w:t>
            </w:r>
          </w:p>
        </w:tc>
      </w:tr>
      <w:tr>
        <w:trPr>
          <w:trHeight w:val="250"/>
        </w:trPr>
        <w:tc>
          <w:tcPr>
            <w:tcW w:w="40" w:type="dxa"/>
            <w:vAlign w:val="bottom"/>
            <w:shd w:val="clear" w:color="auto" w:fill="CCEEFF"/>
          </w:tcPr>
          <w:p>
            <w:pPr>
              <w:spacing w:after="0"/>
              <w:rPr>
                <w:sz w:val="21"/>
                <w:szCs w:val="21"/>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common shares outstanding:</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8180" w:type="dxa"/>
            <w:vAlign w:val="bottom"/>
          </w:tcPr>
          <w:p>
            <w:pPr>
              <w:ind w:left="240"/>
              <w:spacing w:after="0"/>
              <w:rPr>
                <w:sz w:val="20"/>
                <w:szCs w:val="20"/>
                <w:color w:val="auto"/>
              </w:rPr>
            </w:pPr>
            <w:r>
              <w:rPr>
                <w:rFonts w:ascii="Arial" w:cs="Arial" w:eastAsia="Arial" w:hAnsi="Arial"/>
                <w:sz w:val="14"/>
                <w:szCs w:val="14"/>
                <w:color w:val="auto"/>
              </w:rPr>
              <w:t>Basic and diluted</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94,723,513</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38,447,319</w:t>
            </w:r>
          </w:p>
        </w:tc>
      </w:tr>
      <w:tr>
        <w:trPr>
          <w:trHeight w:val="20"/>
        </w:trPr>
        <w:tc>
          <w:tcPr>
            <w:tcW w:w="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0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Stockholders’ Equity (Deficit)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70"/>
        </w:trPr>
        <w:tc>
          <w:tcPr>
            <w:tcW w:w="59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other</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Stockholders’</w:t>
            </w:r>
          </w:p>
        </w:tc>
      </w:tr>
      <w:tr>
        <w:trPr>
          <w:trHeight w:val="276"/>
        </w:trPr>
        <w:tc>
          <w:tcPr>
            <w:tcW w:w="5940" w:type="dxa"/>
            <w:vAlign w:val="bottom"/>
          </w:tcPr>
          <w:p>
            <w:pPr>
              <w:spacing w:after="0"/>
              <w:rPr>
                <w:sz w:val="24"/>
                <w:szCs w:val="24"/>
                <w:color w:val="auto"/>
              </w:rPr>
            </w:pPr>
          </w:p>
        </w:tc>
        <w:tc>
          <w:tcPr>
            <w:tcW w:w="144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800" w:type="dxa"/>
            <w:vAlign w:val="bottom"/>
            <w:gridSpan w:val="2"/>
          </w:tcPr>
          <w:p>
            <w:pPr>
              <w:jc w:val="center"/>
              <w:ind w:right="80"/>
              <w:spacing w:after="0" w:line="161" w:lineRule="exact"/>
              <w:rPr>
                <w:sz w:val="20"/>
                <w:szCs w:val="20"/>
                <w:color w:val="auto"/>
              </w:rPr>
            </w:pPr>
            <w:r>
              <w:rPr>
                <w:rFonts w:ascii="Arial" w:cs="Arial" w:eastAsia="Arial" w:hAnsi="Arial"/>
                <w:sz w:val="14"/>
                <w:szCs w:val="14"/>
                <w:b w:val="1"/>
                <w:bCs w:val="1"/>
                <w:color w:val="auto"/>
                <w:w w:val="96"/>
              </w:rPr>
              <w:t>paid</w:t>
            </w:r>
            <w:r>
              <w:rPr>
                <w:rFonts w:ascii="MS PGothic" w:cs="MS PGothic" w:eastAsia="MS PGothic" w:hAnsi="MS PGothic"/>
                <w:sz w:val="14"/>
                <w:szCs w:val="14"/>
                <w:b w:val="1"/>
                <w:bCs w:val="1"/>
                <w:color w:val="auto"/>
                <w:w w:val="96"/>
              </w:rPr>
              <w:t>‑</w:t>
            </w:r>
            <w:r>
              <w:rPr>
                <w:rFonts w:ascii="Arial" w:cs="Arial" w:eastAsia="Arial" w:hAnsi="Arial"/>
                <w:sz w:val="14"/>
                <w:szCs w:val="14"/>
                <w:b w:val="1"/>
                <w:bCs w:val="1"/>
                <w:color w:val="auto"/>
                <w:w w:val="96"/>
              </w:rPr>
              <w:t>in</w:t>
            </w: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24"/>
                <w:szCs w:val="24"/>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r>
      <w:tr>
        <w:trPr>
          <w:trHeight w:val="250"/>
        </w:trPr>
        <w:tc>
          <w:tcPr>
            <w:tcW w:w="5940" w:type="dxa"/>
            <w:vAlign w:val="bottom"/>
          </w:tcPr>
          <w:p>
            <w:pPr>
              <w:spacing w:after="0"/>
              <w:rPr>
                <w:sz w:val="21"/>
                <w:szCs w:val="21"/>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21"/>
                <w:szCs w:val="21"/>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8"/>
              </w:rPr>
              <w:t>loss</w:t>
            </w:r>
          </w:p>
        </w:tc>
        <w:tc>
          <w:tcPr>
            <w:tcW w:w="160" w:type="dxa"/>
            <w:vAlign w:val="bottom"/>
          </w:tcPr>
          <w:p>
            <w:pPr>
              <w:spacing w:after="0"/>
              <w:rPr>
                <w:sz w:val="21"/>
                <w:szCs w:val="21"/>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w w:val="99"/>
              </w:rPr>
              <w:t>(Deficit)</w:t>
            </w:r>
          </w:p>
        </w:tc>
      </w:tr>
      <w:tr>
        <w:trPr>
          <w:trHeight w:val="256"/>
        </w:trPr>
        <w:tc>
          <w:tcPr>
            <w:tcW w:w="5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2019</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1"/>
              </w:rPr>
              <w:t>86,325,547</w:t>
            </w:r>
          </w:p>
        </w:tc>
        <w:tc>
          <w:tcPr>
            <w:tcW w:w="3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5"/>
              </w:rPr>
              <w:t>$348,664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(335,753)</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(4,523)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8,397</w:t>
            </w:r>
          </w:p>
        </w:tc>
      </w:tr>
      <w:tr>
        <w:trPr>
          <w:trHeight w:val="264"/>
        </w:trPr>
        <w:tc>
          <w:tcPr>
            <w:tcW w:w="5940" w:type="dxa"/>
            <w:vAlign w:val="bottom"/>
          </w:tcPr>
          <w:p>
            <w:pPr>
              <w:ind w:left="40"/>
              <w:spacing w:after="0"/>
              <w:rPr>
                <w:sz w:val="20"/>
                <w:szCs w:val="20"/>
                <w:color w:val="auto"/>
              </w:rPr>
            </w:pPr>
            <w:r>
              <w:rPr>
                <w:rFonts w:ascii="Arial" w:cs="Arial" w:eastAsia="Arial" w:hAnsi="Arial"/>
                <w:sz w:val="14"/>
                <w:szCs w:val="14"/>
                <w:color w:val="auto"/>
              </w:rPr>
              <w:t>Issuance of common stock under Employee Stock Purchase Plan</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78,583</w:t>
            </w:r>
          </w:p>
        </w:tc>
        <w:tc>
          <w:tcPr>
            <w:tcW w:w="300" w:type="dxa"/>
            <w:vAlign w:val="bottom"/>
          </w:tcPr>
          <w:p>
            <w:pPr>
              <w:spacing w:after="0"/>
              <w:rPr>
                <w:sz w:val="22"/>
                <w:szCs w:val="2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114</w:t>
            </w:r>
          </w:p>
        </w:tc>
      </w:tr>
      <w:tr>
        <w:trPr>
          <w:trHeight w:val="276"/>
        </w:trPr>
        <w:tc>
          <w:tcPr>
            <w:tcW w:w="5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upon exercise of options</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5,128</w:t>
            </w:r>
          </w:p>
        </w:tc>
        <w:tc>
          <w:tcPr>
            <w:tcW w:w="3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64"/>
        </w:trPr>
        <w:tc>
          <w:tcPr>
            <w:tcW w:w="5940" w:type="dxa"/>
            <w:vAlign w:val="bottom"/>
          </w:tcPr>
          <w:p>
            <w:pPr>
              <w:ind w:left="40"/>
              <w:spacing w:after="0"/>
              <w:rPr>
                <w:sz w:val="20"/>
                <w:szCs w:val="20"/>
                <w:color w:val="auto"/>
              </w:rPr>
            </w:pPr>
            <w:r>
              <w:rPr>
                <w:rFonts w:ascii="Arial" w:cs="Arial" w:eastAsia="Arial" w:hAnsi="Arial"/>
                <w:sz w:val="14"/>
                <w:szCs w:val="14"/>
                <w:color w:val="auto"/>
              </w:rPr>
              <w:t>Issuance of vested restricted stock units</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10,937</w:t>
            </w:r>
          </w:p>
        </w:tc>
        <w:tc>
          <w:tcPr>
            <w:tcW w:w="300" w:type="dxa"/>
            <w:vAlign w:val="bottom"/>
          </w:tcPr>
          <w:p>
            <w:pPr>
              <w:spacing w:after="0"/>
              <w:rPr>
                <w:sz w:val="22"/>
                <w:szCs w:val="2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through at-the-market offering, net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598,977</w:t>
            </w:r>
          </w:p>
        </w:tc>
        <w:tc>
          <w:tcPr>
            <w:tcW w:w="3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1,141</w:t>
            </w:r>
          </w:p>
        </w:tc>
      </w:tr>
      <w:tr>
        <w:trPr>
          <w:trHeight w:val="264"/>
        </w:trPr>
        <w:tc>
          <w:tcPr>
            <w:tcW w:w="5940" w:type="dxa"/>
            <w:vAlign w:val="bottom"/>
          </w:tcPr>
          <w:p>
            <w:pPr>
              <w:ind w:left="40"/>
              <w:spacing w:after="0"/>
              <w:rPr>
                <w:sz w:val="20"/>
                <w:szCs w:val="20"/>
                <w:color w:val="auto"/>
              </w:rPr>
            </w:pPr>
            <w:r>
              <w:rPr>
                <w:rFonts w:ascii="Arial" w:cs="Arial" w:eastAsia="Arial" w:hAnsi="Arial"/>
                <w:sz w:val="14"/>
                <w:szCs w:val="14"/>
                <w:color w:val="auto"/>
              </w:rPr>
              <w:t>Other financing fees</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276"/>
        </w:trPr>
        <w:tc>
          <w:tcPr>
            <w:tcW w:w="5940" w:type="dxa"/>
            <w:vAlign w:val="bottom"/>
            <w:shd w:val="clear" w:color="auto" w:fill="CCEEFF"/>
          </w:tcPr>
          <w:p>
            <w:pPr>
              <w:ind w:left="40"/>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1,409</w:t>
            </w:r>
          </w:p>
        </w:tc>
      </w:tr>
      <w:tr>
        <w:trPr>
          <w:trHeight w:val="264"/>
        </w:trPr>
        <w:tc>
          <w:tcPr>
            <w:tcW w:w="5940" w:type="dxa"/>
            <w:vAlign w:val="bottom"/>
          </w:tcPr>
          <w:p>
            <w:pPr>
              <w:ind w:left="40"/>
              <w:spacing w:after="0"/>
              <w:rPr>
                <w:sz w:val="20"/>
                <w:szCs w:val="20"/>
                <w:color w:val="auto"/>
              </w:rPr>
            </w:pPr>
            <w:r>
              <w:rPr>
                <w:rFonts w:ascii="Arial" w:cs="Arial" w:eastAsia="Arial" w:hAnsi="Arial"/>
                <w:sz w:val="14"/>
                <w:szCs w:val="14"/>
                <w:color w:val="auto"/>
              </w:rPr>
              <w:t>Currency translation adjustment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(19,620)</w:t>
            </w: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(19,620)</w:t>
            </w:r>
          </w:p>
        </w:tc>
      </w:tr>
      <w:tr>
        <w:trPr>
          <w:trHeight w:val="270"/>
        </w:trPr>
        <w:tc>
          <w:tcPr>
            <w:tcW w:w="5940" w:type="dxa"/>
            <w:vAlign w:val="bottom"/>
          </w:tcPr>
          <w:p>
            <w:pPr>
              <w:ind w:left="40"/>
              <w:spacing w:after="0"/>
              <w:rPr>
                <w:sz w:val="20"/>
                <w:szCs w:val="20"/>
                <w:color w:val="auto"/>
              </w:rPr>
            </w:pPr>
            <w:r>
              <w:rPr>
                <w:rFonts w:ascii="Arial" w:cs="Arial" w:eastAsia="Arial" w:hAnsi="Arial"/>
                <w:sz w:val="14"/>
                <w:szCs w:val="14"/>
                <w:color w:val="auto"/>
              </w:rPr>
              <w:t>Balance at March 31, 2020</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1"/>
              </w:rPr>
              <w:t>87,019,172</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5"/>
              </w:rPr>
              <w:t>$351,184</w:t>
            </w: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(355,373)</w:t>
            </w: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(4,583)</w:t>
            </w: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(8,763)</w:t>
            </w:r>
          </w:p>
        </w:tc>
      </w:tr>
      <w:tr>
        <w:trPr>
          <w:trHeight w:val="20"/>
        </w:trPr>
        <w:tc>
          <w:tcPr>
            <w:tcW w:w="59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90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Stockholders’ Equity (Deficit)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70"/>
        </w:trPr>
        <w:tc>
          <w:tcPr>
            <w:tcW w:w="59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Additional</w:t>
            </w: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center"/>
              <w:ind w:right="188"/>
              <w:spacing w:after="0"/>
              <w:rPr>
                <w:sz w:val="20"/>
                <w:szCs w:val="20"/>
                <w:color w:val="auto"/>
              </w:rPr>
            </w:pPr>
            <w:r>
              <w:rPr>
                <w:rFonts w:ascii="Arial" w:cs="Arial" w:eastAsia="Arial" w:hAnsi="Arial"/>
                <w:sz w:val="14"/>
                <w:szCs w:val="14"/>
                <w:b w:val="1"/>
                <w:bCs w:val="1"/>
                <w:color w:val="auto"/>
                <w:w w:val="91"/>
              </w:rPr>
              <w:t>other</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r>
      <w:tr>
        <w:trPr>
          <w:trHeight w:val="276"/>
        </w:trPr>
        <w:tc>
          <w:tcPr>
            <w:tcW w:w="5940" w:type="dxa"/>
            <w:vAlign w:val="bottom"/>
          </w:tcPr>
          <w:p>
            <w:pPr>
              <w:spacing w:after="0"/>
              <w:rPr>
                <w:sz w:val="24"/>
                <w:szCs w:val="24"/>
                <w:color w:val="auto"/>
              </w:rPr>
            </w:pPr>
          </w:p>
        </w:tc>
        <w:tc>
          <w:tcPr>
            <w:tcW w:w="144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Common stock</w:t>
            </w:r>
          </w:p>
        </w:tc>
        <w:tc>
          <w:tcPr>
            <w:tcW w:w="860" w:type="dxa"/>
            <w:vAlign w:val="bottom"/>
          </w:tcPr>
          <w:p>
            <w:pPr>
              <w:jc w:val="right"/>
              <w:ind w:right="108"/>
              <w:spacing w:after="0" w:line="161" w:lineRule="exact"/>
              <w:rPr>
                <w:sz w:val="20"/>
                <w:szCs w:val="20"/>
                <w:color w:val="auto"/>
              </w:rPr>
            </w:pPr>
            <w:r>
              <w:rPr>
                <w:rFonts w:ascii="Arial" w:cs="Arial" w:eastAsia="Arial" w:hAnsi="Arial"/>
                <w:sz w:val="14"/>
                <w:szCs w:val="14"/>
                <w:b w:val="1"/>
                <w:bCs w:val="1"/>
                <w:color w:val="auto"/>
              </w:rPr>
              <w:t>paid</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In</w:t>
            </w: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w w:val="97"/>
              </w:rPr>
              <w:t>Accumulated</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24"/>
                <w:szCs w:val="24"/>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r>
      <w:tr>
        <w:trPr>
          <w:trHeight w:val="250"/>
        </w:trPr>
        <w:tc>
          <w:tcPr>
            <w:tcW w:w="5940" w:type="dxa"/>
            <w:vAlign w:val="bottom"/>
          </w:tcPr>
          <w:p>
            <w:pPr>
              <w:spacing w:after="0"/>
              <w:rPr>
                <w:sz w:val="21"/>
                <w:szCs w:val="21"/>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7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Capital</w:t>
            </w:r>
          </w:p>
        </w:tc>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deficit</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78"/>
              </w:rPr>
              <w:t>loss</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5"/>
              </w:rPr>
              <w:t>(Deficit)</w:t>
            </w:r>
          </w:p>
        </w:tc>
      </w:tr>
      <w:tr>
        <w:trPr>
          <w:trHeight w:val="310"/>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at December 31, 2018</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1"/>
              </w:rPr>
              <w:t>22,471,776</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$279,539</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  (280,403)</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(5,418)</w:t>
            </w:r>
          </w:p>
        </w:tc>
      </w:tr>
      <w:tr>
        <w:trPr>
          <w:trHeight w:val="251"/>
        </w:trPr>
        <w:tc>
          <w:tcPr>
            <w:tcW w:w="5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under Employee Stock Purchase Plan</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11,943</w:t>
            </w: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r>
    </w:tbl>
    <w:p>
      <w:pPr>
        <w:spacing w:after="0" w:line="76" w:lineRule="exact"/>
        <w:rPr>
          <w:sz w:val="20"/>
          <w:szCs w:val="20"/>
          <w:color w:val="auto"/>
        </w:rPr>
      </w:pPr>
    </w:p>
    <w:p>
      <w:pPr>
        <w:sectPr>
          <w:pgSz w:w="11900" w:h="16838" w:orient="portrait"/>
          <w:cols w:equalWidth="0" w:num="1">
            <w:col w:w="11240"/>
          </w:cols>
          <w:pgMar w:left="320" w:top="612" w:right="339" w:bottom="1440" w:gutter="0" w:footer="0" w:header="0"/>
        </w:sectPr>
      </w:pPr>
    </w:p>
    <w:p>
      <w:pPr>
        <w:ind w:left="40"/>
        <w:spacing w:after="0"/>
        <w:rPr>
          <w:sz w:val="20"/>
          <w:szCs w:val="20"/>
          <w:color w:val="auto"/>
        </w:rPr>
      </w:pPr>
      <w:r>
        <w:rPr>
          <w:rFonts w:ascii="Arial" w:cs="Arial" w:eastAsia="Arial" w:hAnsi="Arial"/>
          <w:sz w:val="12"/>
          <w:szCs w:val="12"/>
          <w:color w:val="auto"/>
        </w:rPr>
        <w:t>Issuance of common stock upon exercise of options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Issuance of common stock, net of issuance costs</w:t>
      </w:r>
    </w:p>
    <w:p>
      <w:pPr>
        <w:spacing w:after="0" w:line="121" w:lineRule="exact"/>
        <w:rPr>
          <w:sz w:val="20"/>
          <w:szCs w:val="20"/>
          <w:color w:val="auto"/>
        </w:rPr>
      </w:pPr>
    </w:p>
    <w:p>
      <w:pPr>
        <w:ind w:left="40"/>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Currency translation adjustment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Unrealized gains (losses) on securities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March 31,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40" w:type="dxa"/>
            <w:vAlign w:val="bottom"/>
          </w:tcPr>
          <w:p>
            <w:pPr>
              <w:jc w:val="right"/>
              <w:ind w:right="8"/>
              <w:spacing w:after="0"/>
              <w:rPr>
                <w:sz w:val="20"/>
                <w:szCs w:val="20"/>
                <w:color w:val="auto"/>
              </w:rPr>
            </w:pPr>
            <w:r>
              <w:rPr>
                <w:rFonts w:ascii="Arial" w:cs="Arial" w:eastAsia="Arial" w:hAnsi="Arial"/>
                <w:sz w:val="14"/>
                <w:szCs w:val="14"/>
                <w:color w:val="auto"/>
              </w:rPr>
              <w:t>115,600</w:t>
            </w:r>
          </w:p>
        </w:tc>
        <w:tc>
          <w:tcPr>
            <w:tcW w:w="300" w:type="dxa"/>
            <w:vAlign w:val="bottom"/>
          </w:tcPr>
          <w:p>
            <w:pPr>
              <w:spacing w:after="0"/>
              <w:rPr>
                <w:sz w:val="15"/>
                <w:szCs w:val="15"/>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145</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145</w:t>
            </w:r>
          </w:p>
        </w:tc>
      </w:tr>
      <w:tr>
        <w:trPr>
          <w:trHeight w:val="270"/>
        </w:trPr>
        <w:tc>
          <w:tcPr>
            <w:tcW w:w="740" w:type="dxa"/>
            <w:vAlign w:val="bottom"/>
          </w:tcPr>
          <w:p>
            <w:pPr>
              <w:jc w:val="right"/>
              <w:ind w:right="8"/>
              <w:spacing w:after="0"/>
              <w:rPr>
                <w:sz w:val="20"/>
                <w:szCs w:val="20"/>
                <w:color w:val="auto"/>
              </w:rPr>
            </w:pPr>
            <w:r>
              <w:rPr>
                <w:rFonts w:ascii="Arial" w:cs="Arial" w:eastAsia="Arial" w:hAnsi="Arial"/>
                <w:sz w:val="14"/>
                <w:szCs w:val="14"/>
                <w:color w:val="auto"/>
                <w:w w:val="91"/>
              </w:rPr>
              <w:t>22,188,706</w:t>
            </w:r>
          </w:p>
        </w:tc>
        <w:tc>
          <w:tcPr>
            <w:tcW w:w="30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30,940</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30,942</w:t>
            </w:r>
          </w:p>
        </w:tc>
      </w:tr>
      <w:tr>
        <w:trPr>
          <w:trHeight w:val="270"/>
        </w:trPr>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1,180</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1,180</w:t>
            </w:r>
          </w:p>
        </w:tc>
      </w:tr>
      <w:tr>
        <w:trPr>
          <w:trHeight w:val="270"/>
        </w:trPr>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22</w:t>
            </w:r>
          </w:p>
        </w:tc>
        <w:tc>
          <w:tcPr>
            <w:tcW w:w="28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22</w:t>
            </w:r>
          </w:p>
        </w:tc>
      </w:tr>
      <w:tr>
        <w:trPr>
          <w:trHeight w:val="270"/>
        </w:trPr>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6"/>
        </w:trPr>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(12,074)</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(12,074)</w:t>
            </w:r>
          </w:p>
        </w:tc>
      </w:tr>
      <w:tr>
        <w:trPr>
          <w:trHeight w:val="263"/>
        </w:trPr>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1"/>
              </w:rPr>
              <w:t>44,788,025</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$ 311,824</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  (292,477)</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(4,533)</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14,819</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-1062355</wp:posOffset>
            </wp:positionV>
            <wp:extent cx="71323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-719455</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-376555</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300"/>
          </w:cols>
          <w:pgMar w:left="320" w:top="612" w:right="339" w:bottom="1440" w:gutter="0" w:footer="0" w:header="0"/>
          <w:type w:val="continuous"/>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consolidated financial statements</w:t>
      </w:r>
      <w:r>
        <w:rPr>
          <w:rFonts w:ascii="Arial" w:cs="Arial" w:eastAsia="Arial" w:hAnsi="Arial"/>
          <w:sz w:val="14"/>
          <w:szCs w:val="14"/>
          <w:color w:val="auto"/>
        </w:rPr>
        <w: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612" w:right="339" w:bottom="1440" w:gutter="0" w:footer="0" w:header="0"/>
          <w:type w:val="continuous"/>
        </w:sectPr>
      </w:pPr>
    </w:p>
    <w:bookmarkStart w:id="8" w:name="page9"/>
    <w:bookmarkEnd w:id="8"/>
    <w:p>
      <w:pPr>
        <w:ind w:left="4180"/>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27"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00" w:type="dxa"/>
            <w:vAlign w:val="bottom"/>
          </w:tcPr>
          <w:p>
            <w:pPr>
              <w:spacing w:after="0"/>
              <w:rPr>
                <w:sz w:val="16"/>
                <w:szCs w:val="16"/>
                <w:color w:val="auto"/>
              </w:rPr>
            </w:pPr>
          </w:p>
        </w:tc>
        <w:tc>
          <w:tcPr>
            <w:tcW w:w="2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264"/>
        </w:trPr>
        <w:tc>
          <w:tcPr>
            <w:tcW w:w="9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02"/>
        </w:trPr>
        <w:tc>
          <w:tcPr>
            <w:tcW w:w="9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(Unaudited)</w:t>
            </w: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910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(12,074)</w:t>
            </w:r>
          </w:p>
        </w:tc>
        <w:tc>
          <w:tcPr>
            <w:tcW w:w="0" w:type="dxa"/>
            <w:vAlign w:val="bottom"/>
          </w:tcPr>
          <w:p>
            <w:pPr>
              <w:spacing w:after="0"/>
              <w:rPr>
                <w:sz w:val="1"/>
                <w:szCs w:val="1"/>
                <w:color w:val="auto"/>
              </w:rPr>
            </w:pPr>
          </w:p>
        </w:tc>
      </w:tr>
      <w:tr>
        <w:trPr>
          <w:trHeight w:val="264"/>
        </w:trPr>
        <w:tc>
          <w:tcPr>
            <w:tcW w:w="9100" w:type="dxa"/>
            <w:vAlign w:val="bottom"/>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64"/>
        </w:trPr>
        <w:tc>
          <w:tcPr>
            <w:tcW w:w="9100" w:type="dxa"/>
            <w:vAlign w:val="bottom"/>
          </w:tcPr>
          <w:p>
            <w:pPr>
              <w:ind w:left="280"/>
              <w:spacing w:after="0"/>
              <w:rPr>
                <w:sz w:val="20"/>
                <w:szCs w:val="20"/>
                <w:color w:val="auto"/>
              </w:rPr>
            </w:pPr>
            <w:r>
              <w:rPr>
                <w:rFonts w:ascii="Arial" w:cs="Arial" w:eastAsia="Arial" w:hAnsi="Arial"/>
                <w:sz w:val="14"/>
                <w:szCs w:val="14"/>
                <w:color w:val="auto"/>
              </w:rPr>
              <w:t>Amortization of premiums (accretion of discounts) on investments</w:t>
            </w: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Non-cash lease expense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264"/>
        </w:trPr>
        <w:tc>
          <w:tcPr>
            <w:tcW w:w="9100" w:type="dxa"/>
            <w:vAlign w:val="bottom"/>
          </w:tcPr>
          <w:p>
            <w:pPr>
              <w:ind w:left="260"/>
              <w:spacing w:after="0"/>
              <w:rPr>
                <w:sz w:val="20"/>
                <w:szCs w:val="20"/>
                <w:color w:val="auto"/>
              </w:rPr>
            </w:pPr>
            <w:r>
              <w:rPr>
                <w:rFonts w:ascii="Arial" w:cs="Arial" w:eastAsia="Arial" w:hAnsi="Arial"/>
                <w:sz w:val="14"/>
                <w:szCs w:val="14"/>
                <w:color w:val="auto"/>
              </w:rPr>
              <w:t>Loss on disposal of property and equipment</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260"/>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1,180</w:t>
            </w:r>
          </w:p>
        </w:tc>
        <w:tc>
          <w:tcPr>
            <w:tcW w:w="0" w:type="dxa"/>
            <w:vAlign w:val="bottom"/>
          </w:tcPr>
          <w:p>
            <w:pPr>
              <w:spacing w:after="0"/>
              <w:rPr>
                <w:sz w:val="1"/>
                <w:szCs w:val="1"/>
                <w:color w:val="auto"/>
              </w:rPr>
            </w:pPr>
          </w:p>
        </w:tc>
      </w:tr>
      <w:tr>
        <w:trPr>
          <w:trHeight w:val="264"/>
        </w:trPr>
        <w:tc>
          <w:tcPr>
            <w:tcW w:w="9100" w:type="dxa"/>
            <w:vAlign w:val="bottom"/>
          </w:tcPr>
          <w:p>
            <w:pPr>
              <w:ind w:left="26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cash interest expense</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Warrant liabilities revaluation</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100" w:type="dxa"/>
            <w:vAlign w:val="bottom"/>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100" w:type="dxa"/>
            <w:vAlign w:val="bottom"/>
          </w:tcPr>
          <w:p>
            <w:pPr>
              <w:ind w:left="380"/>
              <w:spacing w:after="0"/>
              <w:rPr>
                <w:sz w:val="20"/>
                <w:szCs w:val="20"/>
                <w:color w:val="auto"/>
              </w:rPr>
            </w:pPr>
            <w:r>
              <w:rPr>
                <w:rFonts w:ascii="Arial" w:cs="Arial" w:eastAsia="Arial" w:hAnsi="Arial"/>
                <w:sz w:val="14"/>
                <w:szCs w:val="14"/>
                <w:color w:val="auto"/>
              </w:rPr>
              <w:t>Prepaid expenses, deposits and other assets</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(6,158)</w:t>
            </w: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264"/>
        </w:trPr>
        <w:tc>
          <w:tcPr>
            <w:tcW w:w="910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9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expenses and other liabilities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(3,618)</w:t>
            </w:r>
          </w:p>
        </w:tc>
        <w:tc>
          <w:tcPr>
            <w:tcW w:w="0" w:type="dxa"/>
            <w:vAlign w:val="bottom"/>
          </w:tcPr>
          <w:p>
            <w:pPr>
              <w:spacing w:after="0"/>
              <w:rPr>
                <w:sz w:val="1"/>
                <w:szCs w:val="1"/>
                <w:color w:val="auto"/>
              </w:rPr>
            </w:pPr>
          </w:p>
        </w:tc>
      </w:tr>
      <w:tr>
        <w:trPr>
          <w:trHeight w:val="250"/>
        </w:trPr>
        <w:tc>
          <w:tcPr>
            <w:tcW w:w="9100" w:type="dxa"/>
            <w:vAlign w:val="bottom"/>
          </w:tcPr>
          <w:p>
            <w:pPr>
              <w:ind w:left="760"/>
              <w:spacing w:after="0"/>
              <w:rPr>
                <w:sz w:val="20"/>
                <w:szCs w:val="20"/>
                <w:color w:val="auto"/>
              </w:rPr>
            </w:pPr>
            <w:r>
              <w:rPr>
                <w:rFonts w:ascii="Arial" w:cs="Arial" w:eastAsia="Arial" w:hAnsi="Arial"/>
                <w:sz w:val="14"/>
                <w:szCs w:val="14"/>
                <w:color w:val="auto"/>
              </w:rPr>
              <w:t>Net cash used in operating activities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(20,240)</w:t>
            </w: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100" w:type="dxa"/>
            <w:vAlign w:val="bottom"/>
            <w:vMerge w:val="restart"/>
          </w:tcPr>
          <w:p>
            <w:pPr>
              <w:ind w:left="40"/>
              <w:spacing w:after="0"/>
              <w:rPr>
                <w:sz w:val="20"/>
                <w:szCs w:val="20"/>
                <w:color w:val="auto"/>
              </w:rPr>
            </w:pPr>
            <w:r>
              <w:rPr>
                <w:rFonts w:ascii="Arial" w:cs="Arial" w:eastAsia="Arial" w:hAnsi="Arial"/>
                <w:sz w:val="14"/>
                <w:szCs w:val="14"/>
                <w:color w:val="auto"/>
              </w:rPr>
              <w:t>Purchases of short-term investments</w:t>
            </w:r>
          </w:p>
        </w:tc>
        <w:tc>
          <w:tcPr>
            <w:tcW w:w="24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(18,188)</w:t>
            </w:r>
          </w:p>
        </w:tc>
        <w:tc>
          <w:tcPr>
            <w:tcW w:w="0" w:type="dxa"/>
            <w:vAlign w:val="bottom"/>
          </w:tcPr>
          <w:p>
            <w:pPr>
              <w:spacing w:after="0"/>
              <w:rPr>
                <w:sz w:val="1"/>
                <w:szCs w:val="1"/>
                <w:color w:val="auto"/>
              </w:rPr>
            </w:pPr>
          </w:p>
        </w:tc>
      </w:tr>
      <w:tr>
        <w:trPr>
          <w:trHeight w:val="74"/>
        </w:trPr>
        <w:tc>
          <w:tcPr>
            <w:tcW w:w="91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 of short term investments</w:t>
            </w: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1,992</w:t>
            </w:r>
          </w:p>
        </w:tc>
        <w:tc>
          <w:tcPr>
            <w:tcW w:w="0" w:type="dxa"/>
            <w:vAlign w:val="bottom"/>
          </w:tcPr>
          <w:p>
            <w:pPr>
              <w:spacing w:after="0"/>
              <w:rPr>
                <w:sz w:val="1"/>
                <w:szCs w:val="1"/>
                <w:color w:val="auto"/>
              </w:rPr>
            </w:pPr>
          </w:p>
        </w:tc>
      </w:tr>
      <w:tr>
        <w:trPr>
          <w:trHeight w:val="264"/>
        </w:trPr>
        <w:tc>
          <w:tcPr>
            <w:tcW w:w="9100" w:type="dxa"/>
            <w:vAlign w:val="bottom"/>
          </w:tcPr>
          <w:p>
            <w:pPr>
              <w:ind w:left="40"/>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the sale of property and equipment</w:t>
            </w: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50"/>
        </w:trPr>
        <w:tc>
          <w:tcPr>
            <w:tcW w:w="9100" w:type="dxa"/>
            <w:vAlign w:val="bottom"/>
          </w:tcPr>
          <w:p>
            <w:pPr>
              <w:ind w:left="76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(16,119)</w:t>
            </w: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100" w:type="dxa"/>
            <w:vAlign w:val="bottom"/>
          </w:tcPr>
          <w:p>
            <w:pPr>
              <w:ind w:left="40"/>
              <w:spacing w:after="0"/>
              <w:rPr>
                <w:sz w:val="20"/>
                <w:szCs w:val="20"/>
                <w:color w:val="auto"/>
              </w:rPr>
            </w:pPr>
            <w:r>
              <w:rPr>
                <w:rFonts w:ascii="Arial" w:cs="Arial" w:eastAsia="Arial" w:hAnsi="Arial"/>
                <w:sz w:val="14"/>
                <w:szCs w:val="14"/>
                <w:color w:val="auto"/>
              </w:rPr>
              <w:t>Repayments of principal on outstanding debt</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proceeds from issuance of common stock</w:t>
            </w: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30,942</w:t>
            </w:r>
          </w:p>
        </w:tc>
        <w:tc>
          <w:tcPr>
            <w:tcW w:w="0" w:type="dxa"/>
            <w:vAlign w:val="bottom"/>
          </w:tcPr>
          <w:p>
            <w:pPr>
              <w:spacing w:after="0"/>
              <w:rPr>
                <w:sz w:val="1"/>
                <w:szCs w:val="1"/>
                <w:color w:val="auto"/>
              </w:rPr>
            </w:pPr>
          </w:p>
        </w:tc>
      </w:tr>
      <w:tr>
        <w:trPr>
          <w:trHeight w:val="264"/>
        </w:trPr>
        <w:tc>
          <w:tcPr>
            <w:tcW w:w="9100" w:type="dxa"/>
            <w:vAlign w:val="bottom"/>
          </w:tcPr>
          <w:p>
            <w:pPr>
              <w:ind w:left="40"/>
              <w:spacing w:after="0"/>
              <w:rPr>
                <w:sz w:val="20"/>
                <w:szCs w:val="20"/>
                <w:color w:val="auto"/>
              </w:rPr>
            </w:pPr>
            <w:r>
              <w:rPr>
                <w:rFonts w:ascii="Arial" w:cs="Arial" w:eastAsia="Arial" w:hAnsi="Arial"/>
                <w:sz w:val="14"/>
                <w:szCs w:val="14"/>
                <w:color w:val="auto"/>
              </w:rPr>
              <w:t>Net proceeds from issuance of common stock- at-the-market offering</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1,141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costs paid for December 2019 financing</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100" w:type="dxa"/>
            <w:vAlign w:val="bottom"/>
          </w:tcPr>
          <w:p>
            <w:pPr>
              <w:ind w:left="40"/>
              <w:spacing w:after="0"/>
              <w:rPr>
                <w:sz w:val="20"/>
                <w:szCs w:val="20"/>
                <w:color w:val="auto"/>
              </w:rPr>
            </w:pPr>
            <w:r>
              <w:rPr>
                <w:rFonts w:ascii="Arial" w:cs="Arial" w:eastAsia="Arial" w:hAnsi="Arial"/>
                <w:sz w:val="14"/>
                <w:szCs w:val="14"/>
                <w:color w:val="auto"/>
              </w:rPr>
              <w:t>Other financing fees</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exercise of stock options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64"/>
        </w:trPr>
        <w:tc>
          <w:tcPr>
            <w:tcW w:w="9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Proceeds from issuance of common stock under Employee Stock Purchase Plan</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50"/>
        </w:trPr>
        <w:tc>
          <w:tcPr>
            <w:tcW w:w="91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Net cash (used in) provided by financing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31,107</w:t>
            </w:r>
          </w:p>
        </w:tc>
        <w:tc>
          <w:tcPr>
            <w:tcW w:w="0" w:type="dxa"/>
            <w:vAlign w:val="bottom"/>
          </w:tcPr>
          <w:p>
            <w:pPr>
              <w:spacing w:after="0"/>
              <w:rPr>
                <w:sz w:val="1"/>
                <w:szCs w:val="1"/>
                <w:color w:val="auto"/>
              </w:rPr>
            </w:pPr>
          </w:p>
        </w:tc>
      </w:tr>
      <w:tr>
        <w:trPr>
          <w:trHeight w:val="250"/>
        </w:trPr>
        <w:tc>
          <w:tcPr>
            <w:tcW w:w="9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56"/>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cash, cash equivalents, and restricted cash</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(17,287)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(5,230)</w:t>
            </w:r>
          </w:p>
        </w:tc>
        <w:tc>
          <w:tcPr>
            <w:tcW w:w="0" w:type="dxa"/>
            <w:vAlign w:val="bottom"/>
          </w:tcPr>
          <w:p>
            <w:pPr>
              <w:spacing w:after="0"/>
              <w:rPr>
                <w:sz w:val="1"/>
                <w:szCs w:val="1"/>
                <w:color w:val="auto"/>
              </w:rPr>
            </w:pPr>
          </w:p>
        </w:tc>
      </w:tr>
      <w:tr>
        <w:trPr>
          <w:trHeight w:val="264"/>
        </w:trPr>
        <w:tc>
          <w:tcPr>
            <w:tcW w:w="9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91,551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37,682</w:t>
            </w:r>
          </w:p>
        </w:tc>
        <w:tc>
          <w:tcPr>
            <w:tcW w:w="0" w:type="dxa"/>
            <w:vAlign w:val="bottom"/>
          </w:tcPr>
          <w:p>
            <w:pPr>
              <w:spacing w:after="0"/>
              <w:rPr>
                <w:sz w:val="1"/>
                <w:szCs w:val="1"/>
                <w:color w:val="auto"/>
              </w:rPr>
            </w:pPr>
          </w:p>
        </w:tc>
      </w:tr>
      <w:tr>
        <w:trPr>
          <w:trHeight w:val="242"/>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74,264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32,452</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Supplement cash flow information</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91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interest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64"/>
        </w:trPr>
        <w:tc>
          <w:tcPr>
            <w:tcW w:w="9100" w:type="dxa"/>
            <w:vAlign w:val="bottom"/>
          </w:tcPr>
          <w:p>
            <w:pPr>
              <w:ind w:left="40"/>
              <w:spacing w:after="0"/>
              <w:rPr>
                <w:sz w:val="20"/>
                <w:szCs w:val="20"/>
                <w:color w:val="auto"/>
              </w:rPr>
            </w:pPr>
            <w:r>
              <w:rPr>
                <w:rFonts w:ascii="Arial" w:cs="Arial" w:eastAsia="Arial" w:hAnsi="Arial"/>
                <w:sz w:val="14"/>
                <w:szCs w:val="14"/>
                <w:b w:val="1"/>
                <w:bCs w:val="1"/>
                <w:color w:val="auto"/>
              </w:rPr>
              <w:t>Noncash investing and financing activities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property and equipment not yet paid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100" w:type="dxa"/>
            <w:vAlign w:val="bottom"/>
          </w:tcPr>
          <w:p>
            <w:pPr>
              <w:ind w:left="40"/>
              <w:spacing w:after="0"/>
              <w:rPr>
                <w:sz w:val="20"/>
                <w:szCs w:val="20"/>
                <w:color w:val="auto"/>
              </w:rPr>
            </w:pPr>
            <w:r>
              <w:rPr>
                <w:rFonts w:ascii="Arial" w:cs="Arial" w:eastAsia="Arial" w:hAnsi="Arial"/>
                <w:sz w:val="14"/>
                <w:szCs w:val="14"/>
                <w:color w:val="auto"/>
              </w:rPr>
              <w:t>Equity offering costs in accrued liabilities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on marketable securities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r>
        <w:rPr>
          <w:rFonts w:ascii="Arial" w:cs="Arial" w:eastAsia="Arial" w:hAnsi="Arial"/>
          <w:sz w:val="16"/>
          <w:szCs w:val="16"/>
          <w:b w:val="1"/>
          <w:bCs w:val="1"/>
          <w:color w:val="auto"/>
        </w:rPr>
        <w:t>.</w:t>
      </w:r>
    </w:p>
    <w:p>
      <w:pPr>
        <w:sectPr>
          <w:pgSz w:w="11900" w:h="16838" w:orient="portrait"/>
          <w:cols w:equalWidth="0" w:num="1">
            <w:col w:w="11240"/>
          </w:cols>
          <w:pgMar w:left="320" w:top="909" w:right="339" w:bottom="1440" w:gutter="0" w:footer="0" w:header="0"/>
        </w:sect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909" w:right="339" w:bottom="1440" w:gutter="0" w:footer="0" w:header="0"/>
          <w:type w:val="continuous"/>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Selecta Biosciences, Inc. (the “Company”) was incorporated in Delaware on December 10, 2007, and is based in Watertown, Massachusetts. The Company is a clinical-stage biotechnology company focused on unlocking the full potential of biologic therapies based on its immune tolerance technology (ImmTOR™) platform. The Company plans to combine ImmTOR with a range of biologic therapies for rare and serious diseases that require new treatment options due to high immunogenicity of existing therapies. Since inception, the Company has devoted its efforts principally to research and development of its technology and product candidates, recruiting management and technical staff, acquiring operating assets, and raising capital.</w:t>
      </w:r>
    </w:p>
    <w:p>
      <w:pPr>
        <w:spacing w:after="0" w:line="16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accompanying financial statements have been prepared on a basis that assumes the Company is a going concern, and does not include any adjustments to reflect the possible future effects on the recoverability and classification of assets or the amounts and classifications of liabilities that may result from any uncertainty related to its ability to continue as a going concern.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accompanying unaudited consolidated financial statements for the three months ended March 31, 2020 and 2019 have been prepared by the Company, pursuant to the rules and regulations of the Securities and Exchange Commission (the “SEC”) for interim financial statements. Certain information and footnote disclosures normally included in financial statements prepared in accordance with accounting principles generally accepted in the United States of America (“GAAP”) have been condensed or omitted pursuant to such rules and regulations. However, the Company believes that the disclosures are adequate to make the information presented not misleading. These consolidated financial statements should be read in conjunction with the Company’s audited consolidated financial statements and the notes thereto for the year ended December 31, 2019 included in the Company’s Annual Report on Form 10-K that was filed with the SEC on March 12, 2020 (the “Annual Report on Form 10-K”).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March 31, 2020 and consolidated results of operations and cash flows for the three months ended March 31, 2020. Such adjustments are of a normal and recurring nature. The results of operations for the three months ended March 31, 2020 are not necessarily indicative of the results of operations that may be expected for the year ending December 31,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Management's Plan</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future success of the Company is dependent on its ability to develop its product candidates and ultimately upon its ability to attain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931" w:right="379" w:bottom="1440" w:gutter="0" w:footer="0" w:header="0"/>
        </w:sectPr>
      </w:pPr>
    </w:p>
    <w:bookmarkStart w:id="10" w:name="page11"/>
    <w:bookmarkEnd w:id="10"/>
    <w:p>
      <w:pPr>
        <w:ind w:right="220"/>
        <w:spacing w:after="0" w:line="273" w:lineRule="auto"/>
        <w:rPr>
          <w:sz w:val="20"/>
          <w:szCs w:val="20"/>
          <w:color w:val="auto"/>
        </w:rPr>
      </w:pPr>
      <w:r>
        <w:rPr>
          <w:rFonts w:ascii="Arial" w:cs="Arial" w:eastAsia="Arial" w:hAnsi="Arial"/>
          <w:sz w:val="17"/>
          <w:szCs w:val="17"/>
          <w:color w:val="auto"/>
        </w:rPr>
        <w:t>To date, the Company has financed its operations primarily through the initial public offering of its common stock, a private placement of its common stock, issuances of common and preferred stock, debt, research grants and research collaborations. The Company currently has no source of product revenue, and it does not expect to generate product revenue for the foreseeable future. To date, all of the Company's revenue has been collaboration and grant revenue. The Company has devoted substantially all of its financial resources and efforts to developing its ImmTOR platform, identifying potential product candidates and conducting preclinical studies and its clinical trials. The Company is in the early stages of development of its product candidates, and it has not completed development of any ImmTOR-enabled therapies.</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March 31, 2020, the Company’s cash, cash equivalents and restricted cash were $74.3 million, of which $1.7 million was restricted cash related to lease commitments and $0.3 million was held by its Russian subsidiary designated solely for use in its operations. The Company has incurred losses and negative cash flows from operating activities since inception. As of March 31, 2020 and December 31, 2019, the Company had an accumulated deficit of $355.4 million and $335.8 million, respectively. The Company anticipates operating losses to continue for the foreseeable future due to, among other things, costs related to research, development of its product candidates, conducting preclinical studies and clinical trials, and its administrative organization. The Company will require substantial additional financing to fund its operations and to continue to execute its strategy, and the Company will pursue a range of options to secure additional capital. These conditions raise substantial doubt about the Company's ability to continue as a going concern within one year after the date that the financial statements are issued.</w:t>
      </w:r>
    </w:p>
    <w:p>
      <w:pPr>
        <w:spacing w:after="0" w:line="17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Management is actively exploring licenses and other strategic collaborations that have the potential to provide non-dilutive capital and accelerate the development of new or existing product candidates incorporating the Company’s ImmTOR platform. Additionally, the Company may seek to fund its operations through issuances of equity and other securities. If the Company enters into strategic collaborations and alliances, which may include existing collaboration partners, the Company may have to relinquish valuable rights to its technologies or product candidates, or grant licenses on terms that are not favorable to the Company. To the extent that the Company raises additional capital through the sale of equity, the ownership interest of its existing shareholders will be diluted and other preferences may be necessary that adversely affect the rights of existing shareholders. The Company requires additional external sources of capital to complete the planned Phase 3 clinical program for SEL-212. If the Company is unable to raise sufficient capital through strategic collaborations and the sale of equity or other securities, it intends to curtail expenses contemplated by the current operating plan, and the Company may be required to delay, limit, reduce or terminate its product development efforts or grant rights to develop and market product candidates that it would otherwise prefer to develop and market itself. Because of the uncertainty in securing additional capital and the insufficient amount of capital resources at March 31, 2020, management has concluded that substantial doubt exists with respect to the Company's ability to continue as a going concern within one year after the date of the filing of this Quarterly Report on Form 10-Q.</w:t>
      </w:r>
    </w:p>
    <w:p>
      <w:pPr>
        <w:spacing w:after="0" w:line="17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At this time, there is significant uncertainty relating to the trajectory of the pandemic and the impact of related responses. Any impact of COVID-19 on our business, revenues, results of operations and financial condition will largely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the ultimate impact on financial markets and the global economy, and the effectiveness of actions taken in the United States and other countries to contain and treat the disease. See “Risk Factors - The outbreak of the novel coronavirus disease, COVID-19, could adversely impact our business, including our preclinical studies and clinical trials.” in Part II, Item 1A of this Quarterly Report on Form 10-Q.</w:t>
      </w:r>
    </w:p>
    <w:p>
      <w:pPr>
        <w:spacing w:after="0" w:line="19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All amounts due under the 2017 Term Loan (see Note 9) have been classified as a current liability as of March 31, 2020 due to the considerations discussed above and the assessment that the material adverse change clause under the 2017 Term Loan is not within the Company's control. The Company has not been notified of an event of default by the Lender as of the date of the filing of this Quarterly Report on Form 10-Q.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Indemnifications</w:t>
      </w:r>
    </w:p>
    <w:p>
      <w:pPr>
        <w:spacing w:after="0" w:line="2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As permitted under Delaware law, the Company indemnifies its officers, directors, consultants and employees for certain events or occurrences that happen by reason of the relationship with, or position held at, the Company. Through March 31, 2020,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55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Selecta RUS, LLC (“Selecta (RUS)”), a Russian limited liability corporation, and Selecta Biosciences Security Corporation, a Massachusetts Security Corporation. All significant intercompany accounts and transactions have been eliminated.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functional currency of Selecta (RUS) is the Russian ruble. Assets and liabilities of Selecta (RUS) are translated at period-end exchange rates, while revenues and expenses are translated at average exchange rates for the period. Translation gains and losses are reflected in accumulated other comprehensive loss within stockholders’ equity (deficit). Foreign currency transaction gains or losses are reflected in the consolidated statements of operations and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revenue recognition, accounting for stock-based compensation, the valuation of its warrant liabilities and estimating accrued research and development expenses. The Company assesses the above estimates on an ongoing basis; however, actual results could materially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Short-term Investments and Restricted Cash</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Cash equivalents include all highly liquid investments maturing within 90 days from the date of purchase. Investments consist of securities with remaining maturities greater than 90 days when purchased. The Company classifies these marketable securities and records them at fair value in the accompanying consolidated balance sheets. Investments with less than one year until maturity are classified as short term, while investments with maturities greater than one year are classified as long term. Unrealized gains or losses are included in accumulated other comprehensive income (loss). Premiums or discounts from par value are amortized to investment income over the life of the underlying investment.</w:t>
      </w:r>
    </w:p>
    <w:p>
      <w:pPr>
        <w:spacing w:after="0" w:line="17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three months ended March 31, 2020, there were no realized losses on sales of investments, and no investments were adjusted for other than temporary declines in fair value.</w:t>
      </w:r>
    </w:p>
    <w:p>
      <w:pPr>
        <w:spacing w:after="0" w:line="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March 31, 2020, the Company had restricted cash balances relating to secured letters of credit in connection with its current Headquarters Lease and New Headquarters Lease (as defined in Note 8). The following table provides a reconciliation of cash, cash equivalents, and restricted cash reported within the consolidated balance sheet that sum to the total of the same such amounts shown in the consolidated statement of cash flows:</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6"/>
                <w:szCs w:val="16"/>
                <w:color w:val="auto"/>
              </w:rPr>
            </w:pPr>
          </w:p>
        </w:tc>
      </w:tr>
      <w:tr>
        <w:trPr>
          <w:trHeight w:val="263"/>
        </w:trPr>
        <w:tc>
          <w:tcPr>
            <w:tcW w:w="78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270"/>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72,606</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32,173</w:t>
            </w:r>
          </w:p>
        </w:tc>
      </w:tr>
      <w:tr>
        <w:trPr>
          <w:trHeight w:val="264"/>
        </w:trPr>
        <w:tc>
          <w:tcPr>
            <w:tcW w:w="784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96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5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279</w:t>
            </w:r>
          </w:p>
        </w:tc>
      </w:tr>
      <w:tr>
        <w:trPr>
          <w:trHeight w:val="270"/>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restricted cash</w:t>
            </w:r>
          </w:p>
        </w:tc>
        <w:tc>
          <w:tcPr>
            <w:tcW w:w="9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1,379</w:t>
            </w:r>
          </w:p>
        </w:tc>
        <w:tc>
          <w:tcPr>
            <w:tcW w:w="5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840" w:type="dxa"/>
            <w:vAlign w:val="bottom"/>
          </w:tcPr>
          <w:p>
            <w:pPr>
              <w:ind w:left="20"/>
              <w:spacing w:after="0"/>
              <w:rPr>
                <w:sz w:val="20"/>
                <w:szCs w:val="20"/>
                <w:color w:val="auto"/>
              </w:rPr>
            </w:pPr>
            <w:r>
              <w:rPr>
                <w:rFonts w:ascii="Arial" w:cs="Arial" w:eastAsia="Arial" w:hAnsi="Arial"/>
                <w:sz w:val="14"/>
                <w:szCs w:val="14"/>
                <w:color w:val="auto"/>
              </w:rPr>
              <w:t>Total cash, cash equivalents, and restricted cash shown in the consolidated statement of cash flows</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74,264</w:t>
            </w:r>
          </w:p>
        </w:tc>
        <w:tc>
          <w:tcPr>
            <w:tcW w:w="5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32,452</w:t>
            </w:r>
          </w:p>
        </w:tc>
      </w:tr>
      <w:tr>
        <w:trPr>
          <w:trHeight w:val="20"/>
        </w:trPr>
        <w:tc>
          <w:tcPr>
            <w:tcW w:w="7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Concentrations of Credit Risk and 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Risk</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primarily of cash, cash equivalents, short-term deposits and investments, and accounts receivable. Cash and cash equivalents are deposited with</w:t>
      </w:r>
    </w:p>
    <w:p>
      <w:pPr>
        <w:sectPr>
          <w:pgSz w:w="11900" w:h="16838" w:orient="portrait"/>
          <w:cols w:equalWidth="0" w:num="1">
            <w:col w:w="11180"/>
          </w:cols>
          <w:pgMar w:left="320" w:top="661" w:right="399" w:bottom="1440" w:gutter="0" w:footer="0" w:header="0"/>
        </w:sectPr>
      </w:pP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80"/>
          </w:cols>
          <w:pgMar w:left="320" w:top="661" w:right="399" w:bottom="1440" w:gutter="0" w:footer="0" w:header="0"/>
          <w:type w:val="continuous"/>
        </w:sectPr>
      </w:pPr>
    </w:p>
    <w:bookmarkStart w:id="12" w:name="page13"/>
    <w:bookmarkEnd w:id="12"/>
    <w:p>
      <w:pPr>
        <w:ind w:right="220"/>
        <w:spacing w:after="0" w:line="275" w:lineRule="auto"/>
        <w:rPr>
          <w:sz w:val="20"/>
          <w:szCs w:val="20"/>
          <w:color w:val="auto"/>
        </w:rPr>
      </w:pPr>
      <w:r>
        <w:rPr>
          <w:rFonts w:ascii="Arial" w:cs="Arial" w:eastAsia="Arial" w:hAnsi="Arial"/>
          <w:sz w:val="17"/>
          <w:szCs w:val="17"/>
          <w:color w:val="auto"/>
        </w:rPr>
        <w:t>federally insured financial institutions in the United States and may, at times, exceed federally insured limits. Management believes that the financial institutions that hold the Company’s deposits are financially creditworthy and, accordingly, minimal risk exists with respect to those balances. Generally, these deposits may be redeemed upon demand and therefore bear minimal interest rate risk. As an integral part of operating its Russian subsidiary, the Company also maintains cash in Russian bank accounts in denominations of both Russian rubles and U.S. dollars. As of March 31, 2020, the Company maintained approximately $0.3 million in Russian bank accounts, all of which was held in U.S. dollars.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off-balance sheet arrangements as of March 31, 2020 and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financial instruments consist mainly of cash equivalents, restricted cash, accounts payable, loans payable, and common warrants. The carrying amounts of cash equivalents, restricted cash, accounts receivable, and accounts payable approximate their estimated fair value due to their short-term maturities. At March 31, 2020, the carrying amount of the Company's loan payable approximates its estimated fair value due to the short-term nature of the instrument.</w:t>
      </w:r>
    </w:p>
    <w:p>
      <w:pPr>
        <w:spacing w:after="0" w:line="187" w:lineRule="exact"/>
        <w:rPr>
          <w:sz w:val="20"/>
          <w:szCs w:val="20"/>
          <w:color w:val="auto"/>
        </w:rPr>
      </w:pPr>
    </w:p>
    <w:p>
      <w:pPr>
        <w:ind w:right="100"/>
        <w:spacing w:after="0" w:line="220" w:lineRule="exact"/>
        <w:rPr>
          <w:sz w:val="20"/>
          <w:szCs w:val="20"/>
          <w:color w:val="auto"/>
        </w:rPr>
      </w:pPr>
      <w:r>
        <w:rPr>
          <w:rFonts w:ascii="Arial" w:cs="Arial" w:eastAsia="Arial" w:hAnsi="Arial"/>
          <w:sz w:val="16"/>
          <w:szCs w:val="16"/>
          <w:color w:val="auto"/>
        </w:rPr>
        <w:t>Accounting standards define fair value as the price that would be received to sell an asset or paid to transfer a liability in an orderly transaction between market participants at the measurement date. A three</w:t>
      </w:r>
      <w:r>
        <w:rPr>
          <w:rFonts w:ascii="MS PGothic" w:cs="MS PGothic" w:eastAsia="MS PGothic" w:hAnsi="MS PGothic"/>
          <w:sz w:val="16"/>
          <w:szCs w:val="16"/>
          <w:color w:val="auto"/>
        </w:rPr>
        <w:t>‑</w:t>
      </w:r>
      <w:r>
        <w:rPr>
          <w:rFonts w:ascii="Arial" w:cs="Arial" w:eastAsia="Arial" w:hAnsi="Arial"/>
          <w:sz w:val="16"/>
          <w:szCs w:val="16"/>
          <w:color w:val="auto"/>
        </w:rPr>
        <w:t>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20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—Level 1 inputs are quoted prices in active markets for identical assets or liabilities that the reporting entity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70"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—Level 2 inputs are inputs other than quoted prices included within Level 1 that are observable for the asset or liability,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If the asset or liability has a specified (contractual) term, a Level 2 input must be observable for substantially the full term of the asset or liability.</w:t>
      </w:r>
    </w:p>
    <w:p>
      <w:pPr>
        <w:spacing w:after="0" w:line="184"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—Level 3 inputs are unobservable inputs for the asset or liability in which there is little, if any, market activity for the asset or liability at</w:t>
      </w:r>
      <w:r>
        <w:rPr>
          <w:rFonts w:ascii="Arial" w:cs="Arial" w:eastAsia="Arial" w:hAnsi="Arial"/>
          <w:sz w:val="18"/>
          <w:szCs w:val="18"/>
          <w:i w:val="1"/>
          <w:iCs w:val="1"/>
          <w:color w:val="auto"/>
        </w:rPr>
        <w:t xml:space="preserve"> </w:t>
      </w:r>
      <w:r>
        <w:rPr>
          <w:rFonts w:ascii="Arial" w:cs="Arial" w:eastAsia="Arial" w:hAnsi="Arial"/>
          <w:sz w:val="18"/>
          <w:szCs w:val="18"/>
          <w:color w:val="auto"/>
        </w:rPr>
        <w:t>the measurement date.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warrant liabilities were determined using Level 3 inputs.</w:t>
      </w:r>
    </w:p>
    <w:p>
      <w:pPr>
        <w:spacing w:after="0" w:line="187"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Fair value is a market</w:t>
      </w:r>
      <w:r>
        <w:rPr>
          <w:rFonts w:ascii="MS PGothic" w:cs="MS PGothic" w:eastAsia="MS PGothic" w:hAnsi="MS PGothic"/>
          <w:sz w:val="18"/>
          <w:szCs w:val="18"/>
          <w:color w:val="auto"/>
        </w:rPr>
        <w:t>‑</w:t>
      </w:r>
      <w:r>
        <w:rPr>
          <w:rFonts w:ascii="Arial" w:cs="Arial" w:eastAsia="Arial" w:hAnsi="Arial"/>
          <w:sz w:val="18"/>
          <w:szCs w:val="18"/>
          <w:color w:val="auto"/>
        </w:rPr>
        <w:t>based measure considered from the perspective of a market participant rather than an entity</w:t>
      </w:r>
      <w:r>
        <w:rPr>
          <w:rFonts w:ascii="MS PGothic" w:cs="MS PGothic" w:eastAsia="MS PGothic" w:hAnsi="MS PGothic"/>
          <w:sz w:val="18"/>
          <w:szCs w:val="18"/>
          <w:color w:val="auto"/>
        </w:rPr>
        <w:t>‑</w:t>
      </w:r>
      <w:r>
        <w:rPr>
          <w:rFonts w:ascii="Arial" w:cs="Arial" w:eastAsia="Arial" w:hAnsi="Arial"/>
          <w:sz w:val="18"/>
          <w:szCs w:val="18"/>
          <w:color w:val="auto"/>
        </w:rPr>
        <w:t>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three months ended March 31, 2020 or the year ended December 31, 2019.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Property and equipment are recorded at cost and depreciated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over the estimated useful lives of the respective assets, generally seven years for furniture and fixtures, five years for laboratory equipment, software and office equipment and three years for computer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19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Impairment of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Lived Assets</w:t>
      </w:r>
    </w:p>
    <w:p>
      <w:pPr>
        <w:spacing w:after="0" w:line="229" w:lineRule="exact"/>
        <w:rPr>
          <w:sz w:val="20"/>
          <w:szCs w:val="20"/>
          <w:color w:val="auto"/>
        </w:rPr>
      </w:pPr>
    </w:p>
    <w:p>
      <w:pPr>
        <w:ind w:right="100"/>
        <w:spacing w:after="0" w:line="219" w:lineRule="exact"/>
        <w:rPr>
          <w:sz w:val="20"/>
          <w:szCs w:val="20"/>
          <w:color w:val="auto"/>
        </w:rPr>
      </w:pPr>
      <w:r>
        <w:rPr>
          <w:rFonts w:ascii="Arial" w:cs="Arial" w:eastAsia="Arial" w:hAnsi="Arial"/>
          <w:sz w:val="16"/>
          <w:szCs w:val="16"/>
          <w:color w:val="auto"/>
        </w:rPr>
        <w:t>The Company reviews long</w:t>
      </w:r>
      <w:r>
        <w:rPr>
          <w:rFonts w:ascii="MS PGothic" w:cs="MS PGothic" w:eastAsia="MS PGothic" w:hAnsi="MS PGothic"/>
          <w:sz w:val="16"/>
          <w:szCs w:val="16"/>
          <w:color w:val="auto"/>
        </w:rPr>
        <w:t>‑</w:t>
      </w:r>
      <w:r>
        <w:rPr>
          <w:rFonts w:ascii="Arial" w:cs="Arial" w:eastAsia="Arial" w:hAnsi="Arial"/>
          <w:sz w:val="16"/>
          <w:szCs w:val="16"/>
          <w:color w:val="auto"/>
        </w:rPr>
        <w:t>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which is at the entity level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Based on management's evaluation, the fair value of the asset group, measured as the market capitalization</w:t>
      </w:r>
    </w:p>
    <w:p>
      <w:pPr>
        <w:sectPr>
          <w:pgSz w:w="11900" w:h="16838" w:orient="portrait"/>
          <w:cols w:equalWidth="0" w:num="1">
            <w:col w:w="11240"/>
          </w:cols>
          <w:pgMar w:left="320" w:top="665" w:right="33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665" w:right="339" w:bottom="1440" w:gutter="0" w:footer="0" w:header="0"/>
          <w:type w:val="continuous"/>
        </w:sectPr>
      </w:pPr>
    </w:p>
    <w:bookmarkStart w:id="13" w:name="page14"/>
    <w:bookmarkEnd w:id="13"/>
    <w:p>
      <w:pPr>
        <w:ind w:right="380"/>
        <w:spacing w:after="0" w:line="277" w:lineRule="auto"/>
        <w:rPr>
          <w:sz w:val="20"/>
          <w:szCs w:val="20"/>
          <w:color w:val="auto"/>
        </w:rPr>
      </w:pPr>
      <w:r>
        <w:rPr>
          <w:rFonts w:ascii="Arial" w:cs="Arial" w:eastAsia="Arial" w:hAnsi="Arial"/>
          <w:sz w:val="18"/>
          <w:szCs w:val="18"/>
          <w:color w:val="auto"/>
        </w:rPr>
        <w:t>of the Company exceeds its carrying value, and for this reason the Company did not recognize any material impairment losses during the three months ended March 31, 2020 and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Debt issuance costs and fees paid to lenders are classified as a debt discount and are recorded as a direct deduction from the face amount of the related debt. Issuance costs paid to third parties that are the direct result of the debt issuance are capitalized as a direct deduction from the face amount of the related debt. Debt issuance costs are amortized over the term of the related debt using the interest method and recorded as interest expense. Costs and fees paid to third parties are expensed as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ind w:right="220"/>
        <w:spacing w:after="0" w:line="219" w:lineRule="exact"/>
        <w:rPr>
          <w:sz w:val="20"/>
          <w:szCs w:val="20"/>
          <w:color w:val="auto"/>
        </w:rPr>
      </w:pPr>
      <w:r>
        <w:rPr>
          <w:rFonts w:ascii="Arial" w:cs="Arial" w:eastAsia="Arial" w:hAnsi="Arial"/>
          <w:sz w:val="18"/>
          <w:szCs w:val="18"/>
          <w:color w:val="auto"/>
        </w:rPr>
        <w:t>Comprehensive income (loss) is defined as the change in the equity of a business entity during a period from transactions and other events and circumstances from non</w:t>
      </w:r>
      <w:r>
        <w:rPr>
          <w:rFonts w:ascii="MS PGothic" w:cs="MS PGothic" w:eastAsia="MS PGothic" w:hAnsi="MS PGothic"/>
          <w:sz w:val="18"/>
          <w:szCs w:val="18"/>
          <w:color w:val="auto"/>
        </w:rPr>
        <w:t>‑</w:t>
      </w:r>
      <w:r>
        <w:rPr>
          <w:rFonts w:ascii="Arial" w:cs="Arial" w:eastAsia="Arial" w:hAnsi="Arial"/>
          <w:sz w:val="18"/>
          <w:szCs w:val="18"/>
          <w:color w:val="auto"/>
        </w:rPr>
        <w:t>owner sources. It includes all changes in equity during a period except those resulting from investments by owners and distributions to owners. Comprehensive income (loss) consists of: (i) all components of net loss and (ii) all components of comprehensive loss other than net loss, referred to as other comprehensive loss. Other comprehensive loss is comprised of foreign currency translation adjustments and the unrealized gains and losses recognized through net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Revenue is recognized when a customer obtains control of promised goods or services, in an amount that reflects the consideration which the entity expects to receive in exchange for those goods or services. Pursuant to ASC Topic 606, </w:t>
      </w:r>
      <w:r>
        <w:rPr>
          <w:rFonts w:ascii="Arial" w:cs="Arial" w:eastAsia="Arial" w:hAnsi="Arial"/>
          <w:sz w:val="16"/>
          <w:szCs w:val="16"/>
          <w:i w:val="1"/>
          <w:iCs w:val="1"/>
          <w:color w:val="auto"/>
        </w:rPr>
        <w:t>Revenue from Contracts with Customers (ASC 606)</w:t>
      </w:r>
      <w:r>
        <w:rPr>
          <w:rFonts w:ascii="Arial" w:cs="Arial" w:eastAsia="Arial" w:hAnsi="Arial"/>
          <w:sz w:val="16"/>
          <w:szCs w:val="16"/>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the Company performs the following five steps:</w:t>
      </w:r>
    </w:p>
    <w:p>
      <w:pPr>
        <w:spacing w:after="0" w:line="1" w:lineRule="exact"/>
        <w:rPr>
          <w:sz w:val="20"/>
          <w:szCs w:val="20"/>
          <w:color w:val="auto"/>
        </w:rPr>
      </w:pPr>
    </w:p>
    <w:p>
      <w:pPr>
        <w:ind w:right="20" w:firstLine="8"/>
        <w:spacing w:after="0" w:line="286" w:lineRule="auto"/>
        <w:tabs>
          <w:tab w:leader="none" w:pos="215"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If a promised good or service is not distinct, it is combined with other performance obligations. The Company then recognizes as revenue the amount of the transaction price that is allocated to the respective performance obligation when (or as) the performance obligation is satisfied. For example, certain performance obligations associated with Spark and AskBio (see Note 12) will be satisfied over time, and revenue will be recognized using the output method, based on the proportion of actual deliveries to the total expected deliveries over the initial term.</w:t>
      </w:r>
    </w:p>
    <w:p>
      <w:pPr>
        <w:spacing w:after="0" w:line="169"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i w:val="1"/>
          <w:iCs w:val="1"/>
          <w:color w:val="auto"/>
        </w:rPr>
        <w:t xml:space="preserve">Collaboration and Grant Revenue: </w:t>
      </w:r>
      <w:r>
        <w:rPr>
          <w:rFonts w:ascii="Arial" w:cs="Arial" w:eastAsia="Arial" w:hAnsi="Arial"/>
          <w:sz w:val="16"/>
          <w:szCs w:val="16"/>
          <w:color w:val="auto"/>
        </w:rPr>
        <w:t>The Company currently generates its revenue through grants, collaboration and license agreements with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collaborators for the development and commercialization of product candidates. Grants and license agreements with customers are accounted for in accordance with ASC 606. The Company analyzes collaboration arrangements by first assessing whether they are within the scope of ASC Topic 808, </w:t>
      </w:r>
      <w:r>
        <w:rPr>
          <w:rFonts w:ascii="Arial" w:cs="Arial" w:eastAsia="Arial" w:hAnsi="Arial"/>
          <w:sz w:val="16"/>
          <w:szCs w:val="16"/>
          <w:i w:val="1"/>
          <w:iCs w:val="1"/>
          <w:color w:val="auto"/>
        </w:rPr>
        <w:t>Collaborative Arrangements (ASC 808</w:t>
      </w:r>
      <w:r>
        <w:rPr>
          <w:rFonts w:ascii="Arial" w:cs="Arial" w:eastAsia="Arial" w:hAnsi="Arial"/>
          <w:sz w:val="16"/>
          <w:szCs w:val="16"/>
          <w:color w:val="auto"/>
        </w:rPr>
        <w:t>), and evaluates whether such arrangements involve joint operating activities performed by parties that are both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active participants in the activities and 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the Company also assesses whether any aspects of the agreement are within the scope of other accounting literature (specifically ASC 606). The Company early adopted ASU No. 2018-18, </w:t>
      </w:r>
      <w:r>
        <w:rPr>
          <w:rFonts w:ascii="Arial" w:cs="Arial" w:eastAsia="Arial" w:hAnsi="Arial"/>
          <w:sz w:val="16"/>
          <w:szCs w:val="16"/>
          <w:i w:val="1"/>
          <w:iCs w:val="1"/>
          <w:color w:val="auto"/>
        </w:rPr>
        <w:t>Collaborative Arrangements (Topic 808): Clarifying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Interaction between Topic 808 and Topic 606</w:t>
      </w:r>
      <w:r>
        <w:rPr>
          <w:rFonts w:ascii="Arial" w:cs="Arial" w:eastAsia="Arial" w:hAnsi="Arial"/>
          <w:sz w:val="16"/>
          <w:szCs w:val="16"/>
          <w:color w:val="auto"/>
        </w:rPr>
        <w:t>, which provides guidance on evaluating certain transactions between collaborative arrangement participants.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If the Company concludes that some or all aspects of the agreement are distinct and represent a transaction with a customer, the Company accounts for those aspects of the arrangement within the scope of ASC 606. The Company recognizes the shared costs incurred that are not within the scope of other accounting literature as a component of the related expense in the period incurred by analogy to ASC Topic 730, </w:t>
      </w:r>
      <w:r>
        <w:rPr>
          <w:rFonts w:ascii="Arial" w:cs="Arial" w:eastAsia="Arial" w:hAnsi="Arial"/>
          <w:sz w:val="16"/>
          <w:szCs w:val="16"/>
          <w:i w:val="1"/>
          <w:iCs w:val="1"/>
          <w:color w:val="auto"/>
        </w:rPr>
        <w:t>Research and Development (ASC 730)</w:t>
      </w:r>
      <w:r>
        <w:rPr>
          <w:rFonts w:ascii="Arial" w:cs="Arial" w:eastAsia="Arial" w:hAnsi="Arial"/>
          <w:sz w:val="16"/>
          <w:szCs w:val="16"/>
          <w:color w:val="auto"/>
        </w:rPr>
        <w:t>, and records reimbursements from counterparties as an offset to the related costs. In determining the appropriate amount of revenue to be recognized as it fulfills its obligations under the agreements in accordance with ASC 606, the Company performs the five steps above. As part of the accounting for the arrangement,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17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terms of the Company’s arrangements typically include one or more of the following: (i) up-front fees; (ii) milestone payments related to the achievement of development, regulatory, or commercial goals; (iii) royalties on net sales of licensed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665" w:right="339" w:bottom="1440" w:gutter="0" w:footer="0" w:header="0"/>
        </w:sectPr>
      </w:pPr>
    </w:p>
    <w:bookmarkStart w:id="14" w:name="page15"/>
    <w:bookmarkEnd w:id="14"/>
    <w:p>
      <w:pPr>
        <w:ind w:right="660"/>
        <w:spacing w:after="0" w:line="277" w:lineRule="auto"/>
        <w:rPr>
          <w:sz w:val="20"/>
          <w:szCs w:val="20"/>
          <w:color w:val="auto"/>
        </w:rPr>
      </w:pPr>
      <w:r>
        <w:rPr>
          <w:rFonts w:ascii="Arial" w:cs="Arial" w:eastAsia="Arial" w:hAnsi="Arial"/>
          <w:sz w:val="18"/>
          <w:szCs w:val="18"/>
          <w:color w:val="auto"/>
        </w:rPr>
        <w:t>products; (iv) reimbursements or cost-sharing of research and development (R&amp;D) expenses; and (v) profit/loss sharing arising from co-promotion arrangements.</w:t>
      </w:r>
    </w:p>
    <w:p>
      <w:pPr>
        <w:spacing w:after="0" w:line="17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i w:val="1"/>
          <w:iCs w:val="1"/>
          <w:color w:val="auto"/>
        </w:rPr>
        <w:t xml:space="preserve">Licenses of Intellectual Property: </w:t>
      </w:r>
      <w:r>
        <w:rPr>
          <w:rFonts w:ascii="Arial" w:cs="Arial" w:eastAsia="Arial" w:hAnsi="Arial"/>
          <w:sz w:val="17"/>
          <w:szCs w:val="17"/>
          <w:color w:val="auto"/>
        </w:rPr>
        <w:t>If the license to the Company’s intellectual property is determined to be distinct from the other performance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in the arrangement, the Company recognizes revenues from non-refundable, up-front fees allocated to the license when the license is transferred to the customer and the customer is able to use and benefit from the license. If not distinct, the license is combined with other performance obligations in the contract. For licenses that are combined with other performance obligations, the Company assesses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developmental and regulatory milestone payments, the Company evaluates</w:t>
      </w:r>
      <w:r>
        <w:rPr>
          <w:rFonts w:ascii="Arial" w:cs="Arial" w:eastAsia="Arial" w:hAnsi="Arial"/>
          <w:sz w:val="17"/>
          <w:szCs w:val="17"/>
          <w:i w:val="1"/>
          <w:iCs w:val="1"/>
          <w:color w:val="auto"/>
        </w:rPr>
        <w:t xml:space="preserve"> </w:t>
      </w:r>
      <w:r>
        <w:rPr>
          <w:rFonts w:ascii="Arial" w:cs="Arial" w:eastAsia="Arial" w:hAnsi="Arial"/>
          <w:sz w:val="17"/>
          <w:szCs w:val="17"/>
          <w:color w:val="auto"/>
        </w:rPr>
        <w:t>whether the achievement of each milestone specifically relates to the Company’s 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the Company’s effort to satisfy a performance obligation or transfer a distinct good or service, the amount is allocated to all performance obligations using the relative standalone selling price method. The Company also evaluates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the Company re-evaluates the probability of achievement of such development milestones and any related constraint, and if necessary, adjusts its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Manufacturing Supply Services: </w:t>
      </w:r>
      <w:r>
        <w:rPr>
          <w:rFonts w:ascii="Arial" w:cs="Arial" w:eastAsia="Arial" w:hAnsi="Arial"/>
          <w:sz w:val="18"/>
          <w:szCs w:val="18"/>
          <w:color w:val="auto"/>
        </w:rPr>
        <w:t>Arrangements that include a promise for future supply of drug substance or drug product for either clinical development or</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supply at the customer’s discretion are evaluated to determine if they are distinct and optional. For optional services that are distinct, the Company assesses if they are priced at a discount, and therefore, provide a material right to the licensee to be accounted for as separate performance obligations.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the Company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jc w:val="both"/>
        <w:ind w:right="200"/>
        <w:spacing w:after="0" w:line="301" w:lineRule="auto"/>
        <w:rPr>
          <w:sz w:val="20"/>
          <w:szCs w:val="20"/>
          <w:color w:val="auto"/>
        </w:rPr>
      </w:pPr>
      <w:r>
        <w:rPr>
          <w:rFonts w:ascii="Arial" w:cs="Arial" w:eastAsia="Arial" w:hAnsi="Arial"/>
          <w:sz w:val="16"/>
          <w:szCs w:val="16"/>
          <w:color w:val="auto"/>
        </w:rPr>
        <w:t>Costs incurred in the research and development of the Company’s products are expensed as incurred. Research and development expenses include costs incurred in performing research and development activities, including salaries and benefits,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Costs</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Clinical trial expenses are a significant component of research and development expenses, and the Company outsources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cancelable, and related costs are recorded as research and development expenses as incurred. Non-refundable advance clinical payments for goods or services that will be used or rendered for future R&amp;D activities are recorded as a prepaid asset and recognized as expense as the related goods are delivered or the related services are performed. The Company also records accruals for estimated ongoing clinical research and development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665" w:right="339" w:bottom="1440" w:gutter="0" w:footer="0" w:header="0"/>
        </w:sectPr>
      </w:pPr>
    </w:p>
    <w:bookmarkStart w:id="15" w:name="page16"/>
    <w:bookmarkEnd w:id="15"/>
    <w:p>
      <w:pPr>
        <w:ind w:right="80"/>
        <w:spacing w:after="0" w:line="277" w:lineRule="auto"/>
        <w:rPr>
          <w:sz w:val="20"/>
          <w:szCs w:val="20"/>
          <w:color w:val="auto"/>
        </w:rPr>
      </w:pPr>
      <w:r>
        <w:rPr>
          <w:rFonts w:ascii="Arial" w:cs="Arial" w:eastAsia="Arial" w:hAnsi="Arial"/>
          <w:sz w:val="18"/>
          <w:szCs w:val="18"/>
          <w:color w:val="auto"/>
        </w:rPr>
        <w:t>reporting period. Actual results could differ from the estimates made by the Company. The historical clinical accrual estimates made by the Company have not been materially different from the actual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187" w:lineRule="exact"/>
        <w:rPr>
          <w:sz w:val="20"/>
          <w:szCs w:val="20"/>
          <w:color w:val="auto"/>
        </w:rPr>
      </w:pPr>
    </w:p>
    <w:p>
      <w:pPr>
        <w:ind w:right="100"/>
        <w:spacing w:after="0" w:line="219" w:lineRule="exact"/>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 xml:space="preserve">The Company determines the accounting classification of warrants that are issued, as either liability or equity, by first assessing whether the warrants meet liability classification in accordance with ASC 480-10, </w:t>
      </w:r>
      <w:r>
        <w:rPr>
          <w:rFonts w:ascii="Arial" w:cs="Arial" w:eastAsia="Arial" w:hAnsi="Arial"/>
          <w:sz w:val="16"/>
          <w:szCs w:val="16"/>
          <w:i w:val="1"/>
          <w:iCs w:val="1"/>
          <w:color w:val="auto"/>
        </w:rPr>
        <w:t>Accounting for Certain Financial Instruments with Characteristics of both Liabilities and Equity</w:t>
      </w:r>
      <w:r>
        <w:rPr>
          <w:rFonts w:ascii="Arial" w:cs="Arial" w:eastAsia="Arial" w:hAnsi="Arial"/>
          <w:sz w:val="16"/>
          <w:szCs w:val="16"/>
          <w:color w:val="auto"/>
        </w:rPr>
        <w:t xml:space="preserve">, and then in accordance with ASC 815-40, </w:t>
      </w:r>
      <w:r>
        <w:rPr>
          <w:rFonts w:ascii="Arial" w:cs="Arial" w:eastAsia="Arial" w:hAnsi="Arial"/>
          <w:sz w:val="16"/>
          <w:szCs w:val="16"/>
          <w:i w:val="1"/>
          <w:iCs w:val="1"/>
          <w:color w:val="auto"/>
        </w:rPr>
        <w:t>Accounting for Derivative Financial Instruments Indexed to, and Potentially Settled in, a Company’s Own Stock</w:t>
      </w:r>
      <w:r>
        <w:rPr>
          <w:rFonts w:ascii="Arial" w:cs="Arial" w:eastAsia="Arial" w:hAnsi="Arial"/>
          <w:sz w:val="16"/>
          <w:szCs w:val="16"/>
          <w:color w:val="auto"/>
        </w:rPr>
        <w:t>. Under ASC 480, warrants are considered liability classified if the warrants are mandatorily redeemable, obligate the issuer to settle the warrants or the underlying shares by paying cash or other assets, or must or may require settlement by issuing variable number of shares.</w:t>
      </w:r>
    </w:p>
    <w:p>
      <w:pPr>
        <w:spacing w:after="0" w:line="16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16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229" w:lineRule="exact"/>
        <w:rPr>
          <w:sz w:val="20"/>
          <w:szCs w:val="20"/>
          <w:color w:val="auto"/>
        </w:rPr>
      </w:pPr>
    </w:p>
    <w:p>
      <w:pPr>
        <w:ind w:right="20"/>
        <w:spacing w:after="0" w:line="219" w:lineRule="exact"/>
        <w:rPr>
          <w:sz w:val="20"/>
          <w:szCs w:val="20"/>
          <w:color w:val="auto"/>
        </w:rPr>
      </w:pPr>
      <w:r>
        <w:rPr>
          <w:rFonts w:ascii="Arial" w:cs="Arial" w:eastAsia="Arial" w:hAnsi="Arial"/>
          <w:sz w:val="16"/>
          <w:szCs w:val="16"/>
          <w:color w:val="auto"/>
        </w:rPr>
        <w:t>The Company accounts for all stock</w:t>
      </w:r>
      <w:r>
        <w:rPr>
          <w:rFonts w:ascii="MS PGothic" w:cs="MS PGothic" w:eastAsia="MS PGothic" w:hAnsi="MS PGothic"/>
          <w:sz w:val="16"/>
          <w:szCs w:val="16"/>
          <w:color w:val="auto"/>
        </w:rPr>
        <w:t>‑</w:t>
      </w:r>
      <w:r>
        <w:rPr>
          <w:rFonts w:ascii="Arial" w:cs="Arial" w:eastAsia="Arial" w:hAnsi="Arial"/>
          <w:sz w:val="16"/>
          <w:szCs w:val="16"/>
          <w:color w:val="auto"/>
        </w:rPr>
        <w:t>based compensation granted to employees and non</w:t>
      </w:r>
      <w:r>
        <w:rPr>
          <w:rFonts w:ascii="MS PGothic" w:cs="MS PGothic" w:eastAsia="MS PGothic" w:hAnsi="MS PGothic"/>
          <w:sz w:val="16"/>
          <w:szCs w:val="16"/>
          <w:color w:val="auto"/>
        </w:rPr>
        <w:t>‑</w:t>
      </w:r>
      <w:r>
        <w:rPr>
          <w:rFonts w:ascii="Arial" w:cs="Arial" w:eastAsia="Arial" w:hAnsi="Arial"/>
          <w:sz w:val="16"/>
          <w:szCs w:val="16"/>
          <w:color w:val="auto"/>
        </w:rPr>
        <w:t>employees using a fair value method.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is measured at the grant date fair value and is recognized over the requisite service period of the awards, usually the vesting period,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net of estimated forfeitures. The Company reduces recorded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estimated forfeitures. To the extent that actual forfeitures differ from the Company’s estimates, the differences are recorded as a cumulative adjustment in the period the estimates were adjusted.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recognized in the consolidated financial statements is based on awards that are ultimately expected to vest.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The Company has reported losses since inception and has computed basic net loss per share by dividing net loss by the weighted average number of common shares and pre-funded warrants outstanding for the period. The Company has computed diluted net loss per common share after considering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w:t>
      </w:r>
      <w:r>
        <w:rPr>
          <w:rFonts w:ascii="MS PGothic" w:cs="MS PGothic" w:eastAsia="MS PGothic" w:hAnsi="MS PGothic"/>
          <w:sz w:val="18"/>
          <w:szCs w:val="18"/>
          <w:color w:val="auto"/>
        </w:rPr>
        <w:t>‑</w:t>
      </w:r>
      <w:r>
        <w:rPr>
          <w:rFonts w:ascii="Arial" w:cs="Arial" w:eastAsia="Arial" w:hAnsi="Arial"/>
          <w:sz w:val="18"/>
          <w:szCs w:val="18"/>
          <w:color w:val="auto"/>
        </w:rPr>
        <w:t>dilutive and basic and diluted loss per share have been the same.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The Company accounts for its contingent liabilities in accordance with ASC No.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As of March 31, 2020 and December 31, 2019, the Company was not a party to any litigation that could have a material adverse effect on the Company’s business,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ectPr>
          <w:pgSz w:w="11900" w:h="16838" w:orient="portrait"/>
          <w:cols w:equalWidth="0" w:num="1">
            <w:col w:w="11240"/>
          </w:cols>
          <w:pgMar w:left="320" w:top="665" w:right="33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665" w:right="339" w:bottom="1440" w:gutter="0" w:footer="0" w:header="0"/>
          <w:type w:val="continuous"/>
        </w:sectPr>
      </w:pPr>
    </w:p>
    <w:bookmarkStart w:id="16" w:name="page17"/>
    <w:bookmarkEnd w:id="16"/>
    <w:p>
      <w:pPr>
        <w:ind w:right="20"/>
        <w:spacing w:after="0" w:line="254" w:lineRule="auto"/>
        <w:rPr>
          <w:sz w:val="20"/>
          <w:szCs w:val="20"/>
          <w:color w:val="auto"/>
        </w:rPr>
      </w:pPr>
      <w:r>
        <w:rPr>
          <w:rFonts w:ascii="Arial" w:cs="Arial" w:eastAsia="Arial" w:hAnsi="Arial"/>
          <w:sz w:val="18"/>
          <w:szCs w:val="18"/>
          <w:color w:val="auto"/>
        </w:rPr>
        <w:t xml:space="preserve">The Company accounts for its leases in accordance with ASC Topic 842, </w:t>
      </w:r>
      <w:r>
        <w:rPr>
          <w:rFonts w:ascii="Arial" w:cs="Arial" w:eastAsia="Arial" w:hAnsi="Arial"/>
          <w:sz w:val="18"/>
          <w:szCs w:val="18"/>
          <w:i w:val="1"/>
          <w:iCs w:val="1"/>
          <w:color w:val="auto"/>
        </w:rPr>
        <w:t>Leases (ASC 842)</w:t>
      </w:r>
      <w:r>
        <w:rPr>
          <w:rFonts w:ascii="Arial" w:cs="Arial" w:eastAsia="Arial" w:hAnsi="Arial"/>
          <w:sz w:val="18"/>
          <w:szCs w:val="18"/>
          <w:color w:val="auto"/>
        </w:rPr>
        <w:t>, and determines whether the arrangement is or contains a lease based on the unique facts and circumstances present. Most leases with a term greater than one year are recognized on the balance sheet as right-of-use assets, lease liabilities and, if applicable, long-term lease liabilities. The Company elected not to recognize leases with a term less than one year on its balance sheet. Operating lease right-of-use (ROU) assets and their corresponding lease liabilities are recorded based on the present value of lease payments over the expected remaining lease term. The interest rate implicit in lease contracts is typically not readily determinable. As a result, the Company utilizes its incremental borrowing rates, which are the rates incurred to borrow on a collateralized basis over a similar term, an amount equal to the lease payments in a similar economic environment.</w:t>
      </w:r>
    </w:p>
    <w:p>
      <w:pPr>
        <w:spacing w:after="0" w:line="19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accordance with the guidance in ASC 842, components of a lease should be split into three categories: lease components (e.g. land, building, etc.), non-lease components (e.g. common area maintenance, consumables, etc.), and non-components (e.g. property taxes, insurance, etc.). Then the fixed and in-substance fixed contract consideration (including any related to non-components) must be allocated based on fair values to the lease components and non-lease components. Although separation of lease and non-lease components is required, the Company elected the practical expedient to not separate lease and non-lease components. The lease component results in an operating right-of-use asset being recorded on the balance sheet and amortized on a straight-line basis as lease expense. Right-of-use assets and operating lease liabilities are remeasured upon certain modifications to leases using the present value of remaining lease payments and estimated incremental borrowing rate upon lease modification. See Note 8 for details.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August 2018, 2018-13, </w:t>
      </w:r>
      <w:r>
        <w:rPr>
          <w:rFonts w:ascii="Arial" w:cs="Arial" w:eastAsia="Arial" w:hAnsi="Arial"/>
          <w:sz w:val="18"/>
          <w:szCs w:val="18"/>
          <w:i w:val="1"/>
          <w:iCs w:val="1"/>
          <w:color w:val="auto"/>
        </w:rPr>
        <w:t>Fair Value Measurement (Topic 820): Changes to the Disclosure Requirements for Fair Value Measurement</w:t>
      </w:r>
      <w:r>
        <w:rPr>
          <w:rFonts w:ascii="Arial" w:cs="Arial" w:eastAsia="Arial" w:hAnsi="Arial"/>
          <w:sz w:val="18"/>
          <w:szCs w:val="18"/>
          <w:color w:val="auto"/>
        </w:rPr>
        <w:t xml:space="preserve"> (ASU 2018-13) which changes the fair value measurement disclosure requirements of ASC 820. Entities will no longer be required to disclose the amount of, and reasons for, transfers between Level 1 and Level 2 of the fair value hierarchy, the policy of timing of transfers between levels of the fair value hierarchy and the valuation processes for Level 3 fair value measurements. The Company adopted the new standard effective January 1, 2020, and there was no impact on its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225"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 Simplifying the Accounting for Income Taxes.</w:t>
      </w:r>
      <w:r>
        <w:rPr>
          <w:rFonts w:ascii="Arial" w:cs="Arial" w:eastAsia="Arial" w:hAnsi="Arial"/>
          <w:sz w:val="16"/>
          <w:szCs w:val="16"/>
          <w:color w:val="auto"/>
        </w:rPr>
        <w:t xml:space="preserve"> ASU 2019-12 simplifies the accounting for income taxes by removing certain exceptions to the general principles in Topic 740. This ASU is effective for public entities for fiscal years beginning after December 15, 2020. The Company is assessing the impact this standard will have on its consolidated financial statements and disclosures.</w:t>
      </w:r>
    </w:p>
    <w:p>
      <w:pPr>
        <w:spacing w:after="0" w:line="14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 Instruments</w:t>
      </w:r>
      <w:r>
        <w:rPr>
          <w:rFonts w:ascii="Arial" w:cs="Arial" w:eastAsia="Arial" w:hAnsi="Arial"/>
          <w:sz w:val="17"/>
          <w:szCs w:val="17"/>
          <w:color w:val="auto"/>
        </w:rPr>
        <w:t xml:space="preserve">. Subsequently, in November 2018, the FASB issued ASU 2018-19, </w:t>
      </w:r>
      <w:r>
        <w:rPr>
          <w:rFonts w:ascii="Arial" w:cs="Arial" w:eastAsia="Arial" w:hAnsi="Arial"/>
          <w:sz w:val="17"/>
          <w:szCs w:val="17"/>
          <w:i w:val="1"/>
          <w:iCs w:val="1"/>
          <w:color w:val="auto"/>
        </w:rPr>
        <w:t>Codification Improvements to Topic 326, Financial Instruments-Credit Losses</w:t>
      </w:r>
      <w:r>
        <w:rPr>
          <w:rFonts w:ascii="Arial" w:cs="Arial" w:eastAsia="Arial" w:hAnsi="Arial"/>
          <w:sz w:val="17"/>
          <w:szCs w:val="17"/>
          <w:color w:val="auto"/>
        </w:rPr>
        <w:t>. ASU 2016-13 requires entities to measure all expected credit losses for most financial assets held at the reporting date based on an expected loss model which includes historical experience, current conditions, and reasonable and supportable forecasts. 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Company is assessing the impact this standard will have on its consolidated financial statements and disclosures.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and December 31, 2019, the Company did not have marketable securities.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The Company has reported a net loss for the three months ended March 31, 2020, and 2019. For this reason basic and diluted net loss per share are the same for all periods presented. Since the shares underlying the 8,342,128 pre-funded warrants are issuable for little or no consideration, they are considered outstanding for both basic and diluted earnings per share. The following table sets forth the computation of basic and diluted net loss per share (in thousands, except share and per</w:t>
      </w:r>
      <w:r>
        <w:rPr>
          <w:rFonts w:ascii="MS PGothic" w:cs="MS PGothic" w:eastAsia="MS PGothic" w:hAnsi="MS PGothic"/>
          <w:sz w:val="18"/>
          <w:szCs w:val="18"/>
          <w:color w:val="auto"/>
        </w:rPr>
        <w:t>‑</w:t>
      </w:r>
      <w:r>
        <w:rPr>
          <w:rFonts w:ascii="Arial" w:cs="Arial" w:eastAsia="Arial" w:hAnsi="Arial"/>
          <w:sz w:val="18"/>
          <w:szCs w:val="18"/>
          <w:color w:val="auto"/>
        </w:rPr>
        <w:t>share</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320" w:top="665"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17"/>
        </w:trPr>
        <w:tc>
          <w:tcPr>
            <w:tcW w:w="8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82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Numerator:</w:t>
            </w: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82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8220" w:type="dxa"/>
            <w:vAlign w:val="bottom"/>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(19,620)</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(12,074)</w:t>
            </w:r>
          </w:p>
        </w:tc>
        <w:tc>
          <w:tcPr>
            <w:tcW w:w="0" w:type="dxa"/>
            <w:vAlign w:val="bottom"/>
          </w:tcPr>
          <w:p>
            <w:pPr>
              <w:spacing w:after="0"/>
              <w:rPr>
                <w:sz w:val="1"/>
                <w:szCs w:val="1"/>
                <w:color w:val="auto"/>
              </w:rPr>
            </w:pPr>
          </w:p>
        </w:tc>
      </w:tr>
      <w:tr>
        <w:trPr>
          <w:trHeight w:val="106"/>
        </w:trPr>
        <w:tc>
          <w:tcPr>
            <w:tcW w:w="822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822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b w:val="1"/>
                <w:bCs w:val="1"/>
                <w:color w:val="auto"/>
              </w:rPr>
              <w:t>Denominator:</w:t>
            </w: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220" w:type="dxa"/>
            <w:vAlign w:val="bottom"/>
          </w:tcPr>
          <w:p>
            <w:pPr>
              <w:ind w:left="40"/>
              <w:spacing w:after="0" w:line="161" w:lineRule="exact"/>
              <w:rPr>
                <w:sz w:val="20"/>
                <w:szCs w:val="20"/>
                <w:color w:val="auto"/>
              </w:rPr>
            </w:pPr>
            <w:r>
              <w:rPr>
                <w:rFonts w:ascii="Arial" w:cs="Arial" w:eastAsia="Arial" w:hAnsi="Arial"/>
                <w:sz w:val="14"/>
                <w:szCs w:val="14"/>
                <w:color w:val="auto"/>
              </w:rPr>
              <w:t>Weighted</w:t>
            </w:r>
            <w:r>
              <w:rPr>
                <w:rFonts w:ascii="MS PGothic" w:cs="MS PGothic" w:eastAsia="MS PGothic" w:hAnsi="MS PGothic"/>
                <w:sz w:val="14"/>
                <w:szCs w:val="14"/>
                <w:color w:val="auto"/>
              </w:rPr>
              <w:t>‑</w:t>
            </w:r>
            <w:r>
              <w:rPr>
                <w:rFonts w:ascii="Arial" w:cs="Arial" w:eastAsia="Arial" w:hAnsi="Arial"/>
                <w:sz w:val="14"/>
                <w:szCs w:val="14"/>
                <w:color w:val="auto"/>
              </w:rPr>
              <w:t>average common shares and pre-funded warrants outstanding—basic and diluted</w:t>
            </w:r>
          </w:p>
        </w:tc>
        <w:tc>
          <w:tcPr>
            <w:tcW w:w="32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94,723,513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38,447,319</w:t>
            </w:r>
          </w:p>
        </w:tc>
        <w:tc>
          <w:tcPr>
            <w:tcW w:w="0" w:type="dxa"/>
            <w:vAlign w:val="bottom"/>
          </w:tcPr>
          <w:p>
            <w:pPr>
              <w:spacing w:after="0"/>
              <w:rPr>
                <w:sz w:val="1"/>
                <w:szCs w:val="1"/>
                <w:color w:val="auto"/>
              </w:rPr>
            </w:pPr>
          </w:p>
        </w:tc>
      </w:tr>
      <w:tr>
        <w:trPr>
          <w:trHeight w:val="73"/>
        </w:trPr>
        <w:tc>
          <w:tcPr>
            <w:tcW w:w="82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60"/>
        </w:trPr>
        <w:tc>
          <w:tcPr>
            <w:tcW w:w="82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All potential dilutive common shares have been excluded from the computation of the diluted net loss per share for all periods presented, as the effect would have been anti-dilutive. Potential dilutive common share equivalents consist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00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20" w:type="dxa"/>
            <w:vAlign w:val="bottom"/>
          </w:tcPr>
          <w:p>
            <w:pPr>
              <w:spacing w:after="0"/>
              <w:rPr>
                <w:sz w:val="18"/>
                <w:szCs w:val="18"/>
                <w:color w:val="auto"/>
              </w:rPr>
            </w:pPr>
          </w:p>
        </w:tc>
        <w:tc>
          <w:tcPr>
            <w:tcW w:w="1460" w:type="dxa"/>
            <w:vAlign w:val="bottom"/>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822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 to purchase common stock</w:t>
            </w:r>
          </w:p>
        </w:tc>
        <w:tc>
          <w:tcPr>
            <w:tcW w:w="14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7,745,936</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4,564,742</w:t>
            </w:r>
          </w:p>
        </w:tc>
        <w:tc>
          <w:tcPr>
            <w:tcW w:w="0" w:type="dxa"/>
            <w:vAlign w:val="bottom"/>
          </w:tcPr>
          <w:p>
            <w:pPr>
              <w:spacing w:after="0"/>
              <w:rPr>
                <w:sz w:val="1"/>
                <w:szCs w:val="1"/>
                <w:color w:val="auto"/>
              </w:rPr>
            </w:pPr>
          </w:p>
        </w:tc>
      </w:tr>
      <w:tr>
        <w:trPr>
          <w:trHeight w:val="80"/>
        </w:trPr>
        <w:tc>
          <w:tcPr>
            <w:tcW w:w="822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220" w:type="dxa"/>
            <w:vAlign w:val="bottom"/>
          </w:tcPr>
          <w:p>
            <w:pPr>
              <w:ind w:left="40"/>
              <w:spacing w:after="0"/>
              <w:rPr>
                <w:sz w:val="20"/>
                <w:szCs w:val="20"/>
                <w:color w:val="auto"/>
              </w:rPr>
            </w:pPr>
            <w:r>
              <w:rPr>
                <w:rFonts w:ascii="Arial" w:cs="Arial" w:eastAsia="Arial" w:hAnsi="Arial"/>
                <w:sz w:val="14"/>
                <w:szCs w:val="14"/>
                <w:color w:val="auto"/>
              </w:rPr>
              <w:t>Unvested restricted stock units</w:t>
            </w:r>
          </w:p>
        </w:tc>
        <w:tc>
          <w:tcPr>
            <w:tcW w:w="1460" w:type="dxa"/>
            <w:vAlign w:val="bottom"/>
            <w:vMerge w:val="restart"/>
          </w:tcPr>
          <w:p>
            <w:pPr>
              <w:jc w:val="right"/>
              <w:ind w:right="48"/>
              <w:spacing w:after="0"/>
              <w:rPr>
                <w:sz w:val="20"/>
                <w:szCs w:val="20"/>
                <w:color w:val="auto"/>
              </w:rPr>
            </w:pPr>
            <w:r>
              <w:rPr>
                <w:rFonts w:ascii="Arial" w:cs="Arial" w:eastAsia="Arial" w:hAnsi="Arial"/>
                <w:sz w:val="14"/>
                <w:szCs w:val="14"/>
                <w:color w:val="auto"/>
              </w:rPr>
              <w:t>170,313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275,000</w:t>
            </w:r>
          </w:p>
        </w:tc>
        <w:tc>
          <w:tcPr>
            <w:tcW w:w="0" w:type="dxa"/>
            <w:vAlign w:val="bottom"/>
          </w:tcPr>
          <w:p>
            <w:pPr>
              <w:spacing w:after="0"/>
              <w:rPr>
                <w:sz w:val="1"/>
                <w:szCs w:val="1"/>
                <w:color w:val="auto"/>
              </w:rPr>
            </w:pPr>
          </w:p>
        </w:tc>
      </w:tr>
      <w:tr>
        <w:trPr>
          <w:trHeight w:val="74"/>
        </w:trPr>
        <w:tc>
          <w:tcPr>
            <w:tcW w:w="82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warrants to purchase common stock</w:t>
            </w:r>
          </w:p>
        </w:tc>
        <w:tc>
          <w:tcPr>
            <w:tcW w:w="14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23,084,120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95,619</w:t>
            </w:r>
          </w:p>
        </w:tc>
        <w:tc>
          <w:tcPr>
            <w:tcW w:w="0" w:type="dxa"/>
            <w:vAlign w:val="bottom"/>
          </w:tcPr>
          <w:p>
            <w:pPr>
              <w:spacing w:after="0"/>
              <w:rPr>
                <w:sz w:val="1"/>
                <w:szCs w:val="1"/>
                <w:color w:val="auto"/>
              </w:rPr>
            </w:pPr>
          </w:p>
        </w:tc>
      </w:tr>
      <w:tr>
        <w:trPr>
          <w:trHeight w:val="74"/>
        </w:trPr>
        <w:tc>
          <w:tcPr>
            <w:tcW w:w="8220" w:type="dxa"/>
            <w:vAlign w:val="bottom"/>
            <w:shd w:val="clear" w:color="auto" w:fill="CCEEFF"/>
          </w:tcPr>
          <w:p>
            <w:pPr>
              <w:spacing w:after="0"/>
              <w:rPr>
                <w:sz w:val="6"/>
                <w:szCs w:val="6"/>
                <w:color w:val="auto"/>
              </w:rPr>
            </w:pPr>
          </w:p>
        </w:tc>
        <w:tc>
          <w:tcPr>
            <w:tcW w:w="14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4"/>
                <w:szCs w:val="14"/>
                <w:color w:val="auto"/>
              </w:rPr>
              <w:t>Total</w:t>
            </w: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31,000,369</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4,935,361</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tables below present information about the Company’s financial assets and liabilities that are measured and carried at fair value as of March 31, 2020 and December 31, 2019, and indicate the level within the fair value hierarchy where each measurement is classified. Below is a summary of assets and liabilities measured at fair value on a recurring basis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March 31, 2020</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5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ind w:right="388"/>
              <w:spacing w:after="0"/>
              <w:rPr>
                <w:sz w:val="20"/>
                <w:szCs w:val="20"/>
                <w:color w:val="auto"/>
              </w:rPr>
            </w:pPr>
            <w:r>
              <w:rPr>
                <w:rFonts w:ascii="Arial" w:cs="Arial" w:eastAsia="Arial" w:hAnsi="Arial"/>
                <w:sz w:val="14"/>
                <w:szCs w:val="14"/>
                <w:b w:val="1"/>
                <w:bCs w:val="1"/>
                <w:color w:val="auto"/>
              </w:rPr>
              <w:t>(Level 3)</w:t>
            </w:r>
          </w:p>
        </w:tc>
      </w:tr>
      <w:tr>
        <w:trPr>
          <w:trHeight w:val="269"/>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Money market funds</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50,528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50,528</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5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50,528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50,528</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Warrant liabilities</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42,395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42,395</w:t>
            </w:r>
          </w:p>
        </w:tc>
      </w:tr>
      <w:tr>
        <w:trPr>
          <w:trHeight w:val="243"/>
        </w:trPr>
        <w:tc>
          <w:tcPr>
            <w:tcW w:w="5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42,395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42,395</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December 31, 2019</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3"/>
        </w:trPr>
        <w:tc>
          <w:tcPr>
            <w:tcW w:w="5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2"/>
                <w:szCs w:val="22"/>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ind w:right="388"/>
              <w:spacing w:after="0"/>
              <w:rPr>
                <w:sz w:val="20"/>
                <w:szCs w:val="20"/>
                <w:color w:val="auto"/>
              </w:rPr>
            </w:pPr>
            <w:r>
              <w:rPr>
                <w:rFonts w:ascii="Arial" w:cs="Arial" w:eastAsia="Arial" w:hAnsi="Arial"/>
                <w:sz w:val="14"/>
                <w:szCs w:val="14"/>
                <w:b w:val="1"/>
                <w:bCs w:val="1"/>
                <w:color w:val="auto"/>
              </w:rPr>
              <w:t>(Level 3)</w:t>
            </w:r>
          </w:p>
        </w:tc>
      </w:tr>
      <w:tr>
        <w:trPr>
          <w:trHeight w:val="270"/>
        </w:trPr>
        <w:tc>
          <w:tcPr>
            <w:tcW w:w="5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Money market funds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50,401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50,401</w:t>
            </w:r>
          </w:p>
        </w:tc>
        <w:tc>
          <w:tcPr>
            <w:tcW w:w="2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2"/>
        </w:trPr>
        <w:tc>
          <w:tcPr>
            <w:tcW w:w="5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50,401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50,401</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0"/>
        </w:trPr>
        <w:tc>
          <w:tcPr>
            <w:tcW w:w="5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Warrant liabilities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41,549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41,549</w:t>
            </w:r>
          </w:p>
        </w:tc>
      </w:tr>
      <w:tr>
        <w:trPr>
          <w:trHeight w:val="269"/>
        </w:trPr>
        <w:tc>
          <w:tcPr>
            <w:tcW w:w="5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41,549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41,549</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each of March 31, 2020 and December 31, 2019, the money market funds were classified as cash and cash equivalent on the accompanying consolidated balance sheet as they mature within 90 days from the date of purchase.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 Used in Determining Fair Value of Common Warrants</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December 2019, the Company issued common warrants in connection with a private placement of common shares. Pursuant to the terms of the common warrants, the Company could be required to settle the common warrants in cash in the event of certain acquisitions of the Company and, as a result, the common warrants are required to be measured at fair value and</w:t>
      </w:r>
    </w:p>
    <w:p>
      <w:pPr>
        <w:sectPr>
          <w:pgSz w:w="11900" w:h="16838" w:orient="portrait"/>
          <w:cols w:equalWidth="0" w:num="1">
            <w:col w:w="11240"/>
          </w:cols>
          <w:pgMar w:left="320" w:top="665" w:right="339" w:bottom="156"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665" w:right="339" w:bottom="156" w:gutter="0" w:footer="0" w:header="0"/>
          <w:type w:val="continuous"/>
        </w:sectPr>
      </w:pPr>
    </w:p>
    <w:bookmarkStart w:id="18" w:name="page19"/>
    <w:bookmarkEnd w:id="18"/>
    <w:p>
      <w:pPr>
        <w:ind w:right="80"/>
        <w:spacing w:after="0" w:line="272" w:lineRule="auto"/>
        <w:rPr>
          <w:sz w:val="20"/>
          <w:szCs w:val="20"/>
          <w:color w:val="auto"/>
        </w:rPr>
      </w:pPr>
      <w:r>
        <w:rPr>
          <w:rFonts w:ascii="Arial" w:cs="Arial" w:eastAsia="Arial" w:hAnsi="Arial"/>
          <w:sz w:val="17"/>
          <w:szCs w:val="17"/>
          <w:color w:val="auto"/>
        </w:rPr>
        <w:t>reported as a liability on the balance sheet. The Company recorded the fair value of the common warrants upon issuance using the Black-Scholes valuation model and are required to revalue the common warrants at each reporting date with any changes in fair value recorded in the statement of operations. The valuation of the common warrants is considered under Level 3 of the fair value hierarchy due to the need to use assumptions in the valuation that are both significant to the fair value measurement and unobservable. The significant unobservable inputs used in the fair value measurement of the warrant liabilities were the volatility rate and the estimated term of the warrants. Generally, increases (decreases) in the fair value of the underlying stock and estimated term would result in a directionally similar impact to the fair value measurement. The change in the fair value of the Level 3 warrant liability is reflected in the statement of operations for the year ended March 31,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warrants is determined using Level 3 inputs inherent in the Black Scholes simulation valuation.</w:t>
      </w:r>
    </w:p>
    <w:p>
      <w:pPr>
        <w:spacing w:after="0" w:line="225"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i w:val="1"/>
          <w:iCs w:val="1"/>
          <w:color w:val="auto"/>
        </w:rPr>
        <w:t>Estimated fair value of the underlying stock</w:t>
      </w:r>
      <w:r>
        <w:rPr>
          <w:rFonts w:ascii="Arial" w:cs="Arial" w:eastAsia="Arial" w:hAnsi="Arial"/>
          <w:sz w:val="18"/>
          <w:szCs w:val="18"/>
          <w:color w:val="auto"/>
        </w:rPr>
        <w:t>. The Company estimates the fair value of the common stock based on the closing stock price at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each reporting period.</w:t>
      </w:r>
    </w:p>
    <w:p>
      <w:pPr>
        <w:spacing w:after="0" w:line="170"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at the valuation date commensurate with the expected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life assumption.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 The dividend rate is based on the historical rate, which the Company anticipates will remain at zero.</w:t>
      </w:r>
    </w:p>
    <w:p>
      <w:pPr>
        <w:spacing w:after="0" w:line="225"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i w:val="1"/>
          <w:iCs w:val="1"/>
          <w:color w:val="auto"/>
        </w:rPr>
        <w:t>Expected life</w:t>
      </w:r>
      <w:r>
        <w:rPr>
          <w:rFonts w:ascii="Arial" w:cs="Arial" w:eastAsia="Arial" w:hAnsi="Arial"/>
          <w:sz w:val="18"/>
          <w:szCs w:val="18"/>
          <w:color w:val="auto"/>
        </w:rPr>
        <w:t>. The expected life of the warrants is assumed to be equivalent to their remaining contractual term which expires on December 23,</w:t>
      </w:r>
      <w:r>
        <w:rPr>
          <w:rFonts w:ascii="Arial" w:cs="Arial" w:eastAsia="Arial" w:hAnsi="Arial"/>
          <w:sz w:val="18"/>
          <w:szCs w:val="18"/>
          <w:i w:val="1"/>
          <w:iCs w:val="1"/>
          <w:color w:val="auto"/>
        </w:rPr>
        <w:t xml:space="preserve"> </w:t>
      </w:r>
      <w:r>
        <w:rPr>
          <w:rFonts w:ascii="Arial" w:cs="Arial" w:eastAsia="Arial" w:hAnsi="Arial"/>
          <w:sz w:val="18"/>
          <w:szCs w:val="18"/>
          <w:color w:val="auto"/>
        </w:rPr>
        <w:t>2024.</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i w:val="1"/>
          <w:iCs w:val="1"/>
          <w:color w:val="auto"/>
        </w:rPr>
        <w:t>Volatility</w:t>
      </w:r>
      <w:r>
        <w:rPr>
          <w:rFonts w:ascii="Arial" w:cs="Arial" w:eastAsia="Arial" w:hAnsi="Arial"/>
          <w:sz w:val="18"/>
          <w:szCs w:val="18"/>
          <w:color w:val="auto"/>
        </w:rPr>
        <w:t>. The Company estimates stock price volatility based on the Company’s historical volatility and the historical volatility of peer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for a period of time commensurate with the expected remaining life of the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Black Scholes pricing model assumptions used to record the fair value of the warrants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20" w:type="dxa"/>
            <w:vAlign w:val="bottom"/>
          </w:tcPr>
          <w:p>
            <w:pPr>
              <w:spacing w:after="0"/>
              <w:rPr>
                <w:sz w:val="16"/>
                <w:szCs w:val="16"/>
                <w:color w:val="auto"/>
              </w:rPr>
            </w:pPr>
          </w:p>
        </w:tc>
        <w:tc>
          <w:tcPr>
            <w:tcW w:w="17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March 31,</w:t>
            </w:r>
          </w:p>
        </w:tc>
      </w:tr>
      <w:tr>
        <w:trPr>
          <w:trHeight w:val="196"/>
        </w:trPr>
        <w:tc>
          <w:tcPr>
            <w:tcW w:w="952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r>
      <w:tr>
        <w:trPr>
          <w:trHeight w:val="202"/>
        </w:trPr>
        <w:tc>
          <w:tcPr>
            <w:tcW w:w="9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Risk-free interest rate</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0.37%</w:t>
            </w:r>
          </w:p>
        </w:tc>
      </w:tr>
      <w:tr>
        <w:trPr>
          <w:trHeight w:val="210"/>
        </w:trPr>
        <w:tc>
          <w:tcPr>
            <w:tcW w:w="9520" w:type="dxa"/>
            <w:vAlign w:val="bottom"/>
          </w:tcPr>
          <w:p>
            <w:pPr>
              <w:ind w:left="40"/>
              <w:spacing w:after="0"/>
              <w:rPr>
                <w:sz w:val="20"/>
                <w:szCs w:val="20"/>
                <w:color w:val="auto"/>
              </w:rPr>
            </w:pPr>
            <w:r>
              <w:rPr>
                <w:rFonts w:ascii="Arial" w:cs="Arial" w:eastAsia="Arial" w:hAnsi="Arial"/>
                <w:sz w:val="14"/>
                <w:szCs w:val="14"/>
                <w:color w:val="auto"/>
              </w:rPr>
              <w:t>Dividend yield</w:t>
            </w:r>
          </w:p>
        </w:tc>
        <w:tc>
          <w:tcPr>
            <w:tcW w:w="17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9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life (in years)</w:t>
            </w:r>
          </w:p>
        </w:tc>
        <w:tc>
          <w:tcPr>
            <w:tcW w:w="1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4.73</w:t>
            </w:r>
          </w:p>
        </w:tc>
      </w:tr>
      <w:tr>
        <w:trPr>
          <w:trHeight w:val="190"/>
        </w:trPr>
        <w:tc>
          <w:tcPr>
            <w:tcW w:w="9520" w:type="dxa"/>
            <w:vAlign w:val="bottom"/>
          </w:tcPr>
          <w:p>
            <w:pPr>
              <w:ind w:left="40"/>
              <w:spacing w:after="0"/>
              <w:rPr>
                <w:sz w:val="20"/>
                <w:szCs w:val="20"/>
                <w:color w:val="auto"/>
              </w:rPr>
            </w:pPr>
            <w:r>
              <w:rPr>
                <w:rFonts w:ascii="Arial" w:cs="Arial" w:eastAsia="Arial" w:hAnsi="Arial"/>
                <w:sz w:val="14"/>
                <w:szCs w:val="14"/>
                <w:color w:val="auto"/>
              </w:rPr>
              <w:t>Expected volatility</w:t>
            </w:r>
          </w:p>
        </w:tc>
        <w:tc>
          <w:tcPr>
            <w:tcW w:w="1720" w:type="dxa"/>
            <w:vAlign w:val="bottom"/>
          </w:tcPr>
          <w:p>
            <w:pPr>
              <w:jc w:val="right"/>
              <w:spacing w:after="0"/>
              <w:rPr>
                <w:sz w:val="20"/>
                <w:szCs w:val="20"/>
                <w:color w:val="auto"/>
              </w:rPr>
            </w:pPr>
            <w:r>
              <w:rPr>
                <w:rFonts w:ascii="Arial" w:cs="Arial" w:eastAsia="Arial" w:hAnsi="Arial"/>
                <w:sz w:val="14"/>
                <w:szCs w:val="14"/>
                <w:color w:val="auto"/>
              </w:rPr>
              <w:t>93.43%</w:t>
            </w:r>
          </w:p>
        </w:tc>
      </w:tr>
    </w:tbl>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Level 3 Liabilities Measured at Fair Value on a Recurring Basis</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table reflects the change in the Company’s Level 3 warrant liabilities, (see Note 10), for the three months ended March 31, 2020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Warrant liabilities</w:t>
            </w:r>
          </w:p>
        </w:tc>
      </w:tr>
      <w:tr>
        <w:trPr>
          <w:trHeight w:val="215"/>
        </w:trPr>
        <w:tc>
          <w:tcPr>
            <w:tcW w:w="9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Fair value as of December 31, 2019</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41,549</w:t>
            </w:r>
          </w:p>
        </w:tc>
      </w:tr>
      <w:tr>
        <w:trPr>
          <w:trHeight w:val="210"/>
        </w:trPr>
        <w:tc>
          <w:tcPr>
            <w:tcW w:w="93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Change in fair value</w:t>
            </w: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846</w:t>
            </w:r>
          </w:p>
        </w:tc>
      </w:tr>
      <w:tr>
        <w:trPr>
          <w:trHeight w:val="215"/>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Fair value as of March 31, 2020</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42,395</w:t>
            </w:r>
          </w:p>
        </w:tc>
      </w:tr>
      <w:tr>
        <w:trPr>
          <w:trHeight w:val="20"/>
        </w:trPr>
        <w:tc>
          <w:tcPr>
            <w:tcW w:w="9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w w:val="96"/>
              </w:rPr>
              <w:t>December 31,</w:t>
            </w:r>
          </w:p>
        </w:tc>
      </w:tr>
      <w:tr>
        <w:trPr>
          <w:trHeight w:val="316"/>
        </w:trPr>
        <w:tc>
          <w:tcPr>
            <w:tcW w:w="86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r>
      <w:tr>
        <w:trPr>
          <w:trHeight w:val="25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Laboratory equipment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4,374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4,836</w:t>
            </w: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Computer equipment and software</w:t>
            </w: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515</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Leasehold improvements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Furniture and fixtures</w:t>
            </w: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237</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Office equipment</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r>
      <w:tr>
        <w:trPr>
          <w:trHeight w:val="264"/>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Construction in process</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r>
      <w:tr>
        <w:trPr>
          <w:trHeight w:val="216"/>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property and equipment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6,003</w:t>
            </w:r>
          </w:p>
        </w:tc>
      </w:tr>
      <w:tr>
        <w:trPr>
          <w:trHeight w:val="264"/>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depreciation</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(4,428)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(4,781)</w:t>
            </w:r>
          </w:p>
        </w:tc>
      </w:tr>
      <w:tr>
        <w:trPr>
          <w:trHeight w:val="216"/>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Property and equipment, net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1,222</w:t>
            </w:r>
          </w:p>
        </w:tc>
      </w:tr>
      <w:tr>
        <w:trPr>
          <w:trHeight w:val="20"/>
        </w:trPr>
        <w:tc>
          <w:tcPr>
            <w:tcW w:w="8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65" w:right="339" w:bottom="588"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665" w:right="339" w:bottom="588" w:gutter="0" w:footer="0" w:header="0"/>
          <w:type w:val="continuous"/>
        </w:sectPr>
      </w:pPr>
    </w:p>
    <w:bookmarkStart w:id="19" w:name="page20"/>
    <w:bookmarkEnd w:id="19"/>
    <w:p>
      <w:pPr>
        <w:ind w:right="20"/>
        <w:spacing w:after="0" w:line="263" w:lineRule="auto"/>
        <w:rPr>
          <w:sz w:val="20"/>
          <w:szCs w:val="20"/>
          <w:color w:val="auto"/>
        </w:rPr>
      </w:pPr>
      <w:r>
        <w:rPr>
          <w:rFonts w:ascii="Arial" w:cs="Arial" w:eastAsia="Arial" w:hAnsi="Arial"/>
          <w:sz w:val="18"/>
          <w:szCs w:val="18"/>
          <w:color w:val="auto"/>
        </w:rPr>
        <w:t>Depreciation expense was $0.2 million for the three months ended March 31, 2020, and 2019. The Company recorded accelerated depreciation costs of less than $0.1 million in the reported property and equipment for the three months ended March 31, 2020 relating to the new corporate headquarters move in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6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r>
      <w:tr>
        <w:trPr>
          <w:trHeight w:val="25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Payroll and employee related expenses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2,235</w:t>
            </w: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Collaboration and licensing</w:t>
            </w: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1,050</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patent fees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487</w:t>
            </w: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Accrued external research and development costs</w:t>
            </w: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5,414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4,379</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professional and consulting services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446</w:t>
            </w: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Accrued interest</w:t>
            </w: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82</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costs, December 2019 financing</w:t>
            </w: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4,381</w:t>
            </w:r>
          </w:p>
        </w:tc>
      </w:tr>
      <w:tr>
        <w:trPr>
          <w:trHeight w:val="264"/>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432</w:t>
            </w:r>
          </w:p>
        </w:tc>
      </w:tr>
      <w:tr>
        <w:trPr>
          <w:trHeight w:val="216"/>
        </w:trPr>
        <w:tc>
          <w:tcPr>
            <w:tcW w:w="8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Accrued expenses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8,775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13,492</w:t>
            </w:r>
          </w:p>
        </w:tc>
      </w:tr>
      <w:tr>
        <w:trPr>
          <w:trHeight w:val="20"/>
        </w:trPr>
        <w:tc>
          <w:tcPr>
            <w:tcW w:w="8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accounts for its leases in accordance with ASC Topic 842, </w:t>
      </w:r>
      <w:r>
        <w:rPr>
          <w:rFonts w:ascii="Arial" w:cs="Arial" w:eastAsia="Arial" w:hAnsi="Arial"/>
          <w:sz w:val="18"/>
          <w:szCs w:val="18"/>
          <w:i w:val="1"/>
          <w:iCs w:val="1"/>
          <w:color w:val="auto"/>
        </w:rPr>
        <w:t>Leases (ASC 842).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480 Arsenal Way Lease</w:t>
      </w:r>
    </w:p>
    <w:p>
      <w:pPr>
        <w:spacing w:after="0" w:line="225" w:lineRule="exact"/>
        <w:rPr>
          <w:sz w:val="20"/>
          <w:szCs w:val="20"/>
          <w:color w:val="auto"/>
        </w:rPr>
      </w:pPr>
    </w:p>
    <w:p>
      <w:pPr>
        <w:ind w:right="160"/>
        <w:spacing w:after="0" w:line="218" w:lineRule="exact"/>
        <w:rPr>
          <w:sz w:val="20"/>
          <w:szCs w:val="20"/>
          <w:color w:val="auto"/>
        </w:rPr>
      </w:pPr>
      <w:r>
        <w:rPr>
          <w:rFonts w:ascii="Arial" w:cs="Arial" w:eastAsia="Arial" w:hAnsi="Arial"/>
          <w:sz w:val="16"/>
          <w:szCs w:val="16"/>
          <w:color w:val="auto"/>
        </w:rPr>
        <w:t>The Company has a non</w:t>
      </w:r>
      <w:r>
        <w:rPr>
          <w:rFonts w:ascii="MS PGothic" w:cs="MS PGothic" w:eastAsia="MS PGothic" w:hAnsi="MS PGothic"/>
          <w:sz w:val="16"/>
          <w:szCs w:val="16"/>
          <w:color w:val="auto"/>
        </w:rPr>
        <w:t>‑</w:t>
      </w:r>
      <w:r>
        <w:rPr>
          <w:rFonts w:ascii="Arial" w:cs="Arial" w:eastAsia="Arial" w:hAnsi="Arial"/>
          <w:sz w:val="16"/>
          <w:szCs w:val="16"/>
          <w:color w:val="auto"/>
        </w:rPr>
        <w:t>cancellable operating lease for its laboratory and office space located at 480 Arsenal Way, Watertown, Massachusetts ("Headquarters Lease"). As part of the Headquarters Lease agreement, the landlord provided the Company a tenant improvement allowance of up to $0.7 million, which the Company fully utilized during 2012. The leasehold improvements are capitalized as a component of property and equipment. In connection with the Headquarters Lease, the Company secured a letter of credit for $0.3 million which renews automatically each year and is classified in restricted cash. In August 2016, the Company signed an amendment to the Headquarters Lease, which extended the term through March 31, 2020. In March 2020, the Company signed a new amendment to extend the lease term one additional month to April 30, 2020. The right-of-use asset and lease liability were remeasured and recorded based on the change in the lease term in which the net impact was immaterial.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75 North Beacon Street Lease</w:t>
      </w:r>
    </w:p>
    <w:p>
      <w:pPr>
        <w:spacing w:after="0" w:line="225"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In October 2017, the Company entered into a lease for approximately 5,100 square feet of additional office space located at 75 North Beacon Street, Watertown, Massachusetts (the “75 North Beacon Lease”) for a term through March 31, 2020. On January 11, 2019, the Company vacated 75 North Beacon Street, Watertown, MA and consolidated all employees at its corporate headquarters at 480 Arsenal Way, Watertown, MA. The right-of-use asset with carrying amount of $0.2 million attributable to the 75 North Beacon Lease was written down to zero during the first quarter of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65 Grove Street Lease</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July 2019, the Company entered into a lease for 25,078 square feet of laboratory and office space located at 65 Grove Street, Watertown, Massachusetts (the “New Headquarters Lease”). The Company estimates that it will incur $0.8 million in non-reimbursable construction costs. None of these costs were incurred as of March 31, 2020. The lease began in March 2020, consistent with when the Company took control of the office space and the lease term is 8 years. The discount rate of 8.9% was determined based on the Company’s incremental borrowing rate adjusted for the lease term including any reasonably certain renewal periods. Rent payments will begin in May 2020, and the base rent for the first year is $0.2 million per month. In connection with the New Headquarters Lease, the Company secured a letter of credit from Silicon Valley Bank for $1.4 million which renews automatically each year. The Company recorded the right-of-use asset and operating lease liabilities of $11.8 million during the three months ended March 31, 2020 as control of the premises was transferred to the Company.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Moscow, Russia Lease</w:t>
      </w:r>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Company has a month</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month facility agreement for its Moscow, Russia office. Rent expense is recognized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All Lease Costs Recognized Under ASC 842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the three months ended March 31, 2020 and 2019 was $0.6 million, $0.5 million, respectively.</w:t>
      </w:r>
    </w:p>
    <w:p>
      <w:pPr>
        <w:sectPr>
          <w:pgSz w:w="11900" w:h="16838" w:orient="portrait"/>
          <w:cols w:equalWidth="0" w:num="1">
            <w:col w:w="11240"/>
          </w:cols>
          <w:pgMar w:left="320" w:top="665"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66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t>For the three months ended March 31, 2020 and 2019 the components of lease costs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b w:val="1"/>
                <w:bCs w:val="1"/>
                <w:color w:val="auto"/>
              </w:rPr>
              <w:t>March 31,</w:t>
            </w:r>
          </w:p>
        </w:tc>
      </w:tr>
      <w:tr>
        <w:trPr>
          <w:trHeight w:val="203"/>
        </w:trPr>
        <w:tc>
          <w:tcPr>
            <w:tcW w:w="8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328"/>
              <w:spacing w:after="0"/>
              <w:rPr>
                <w:sz w:val="20"/>
                <w:szCs w:val="20"/>
                <w:color w:val="auto"/>
              </w:rPr>
            </w:pPr>
            <w:r>
              <w:rPr>
                <w:rFonts w:ascii="Arial" w:cs="Arial" w:eastAsia="Arial" w:hAnsi="Arial"/>
                <w:sz w:val="14"/>
                <w:szCs w:val="14"/>
                <w:b w:val="1"/>
                <w:bCs w:val="1"/>
                <w:color w:val="auto"/>
              </w:rPr>
              <w:t>2019</w:t>
            </w:r>
          </w:p>
        </w:tc>
      </w:tr>
      <w:tr>
        <w:trPr>
          <w:trHeight w:val="80"/>
        </w:trPr>
        <w:tc>
          <w:tcPr>
            <w:tcW w:w="89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250"/>
        </w:trPr>
        <w:tc>
          <w:tcPr>
            <w:tcW w:w="8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w:t>
            </w:r>
          </w:p>
        </w:tc>
      </w:tr>
      <w:tr>
        <w:trPr>
          <w:trHeight w:val="264"/>
        </w:trPr>
        <w:tc>
          <w:tcPr>
            <w:tcW w:w="8900" w:type="dxa"/>
            <w:vAlign w:val="bottom"/>
          </w:tcPr>
          <w:p>
            <w:pPr>
              <w:ind w:left="40"/>
              <w:spacing w:after="0"/>
              <w:rPr>
                <w:sz w:val="20"/>
                <w:szCs w:val="20"/>
                <w:color w:val="auto"/>
              </w:rPr>
            </w:pPr>
            <w:r>
              <w:rPr>
                <w:rFonts w:ascii="Arial" w:cs="Arial" w:eastAsia="Arial" w:hAnsi="Arial"/>
                <w:sz w:val="14"/>
                <w:szCs w:val="14"/>
                <w:color w:val="auto"/>
              </w:rPr>
              <w:t>Variable lease expense</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203</w:t>
            </w:r>
          </w:p>
        </w:tc>
      </w:tr>
      <w:tr>
        <w:trPr>
          <w:trHeight w:val="270"/>
        </w:trPr>
        <w:tc>
          <w:tcPr>
            <w:tcW w:w="8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lease expense</w:t>
            </w: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r>
      <w:tr>
        <w:trPr>
          <w:trHeight w:val="243"/>
        </w:trPr>
        <w:tc>
          <w:tcPr>
            <w:tcW w:w="8900" w:type="dxa"/>
            <w:vAlign w:val="bottom"/>
          </w:tcPr>
          <w:p>
            <w:pPr>
              <w:ind w:left="40"/>
              <w:spacing w:after="0"/>
              <w:rPr>
                <w:sz w:val="20"/>
                <w:szCs w:val="20"/>
                <w:color w:val="auto"/>
              </w:rPr>
            </w:pPr>
            <w:r>
              <w:rPr>
                <w:rFonts w:ascii="Arial" w:cs="Arial" w:eastAsia="Arial" w:hAnsi="Arial"/>
                <w:sz w:val="14"/>
                <w:szCs w:val="14"/>
                <w:color w:val="auto"/>
              </w:rPr>
              <w:t>Total lease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552</w:t>
            </w:r>
          </w:p>
        </w:tc>
      </w:tr>
      <w:tr>
        <w:trPr>
          <w:trHeight w:val="20"/>
        </w:trPr>
        <w:tc>
          <w:tcPr>
            <w:tcW w:w="8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maturity of the Company's operating lease liabilities as of March 31, 2020 and December 31, 2019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8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Operating leases:</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8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 (remainder)</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64"/>
        </w:trPr>
        <w:tc>
          <w:tcPr>
            <w:tcW w:w="8900" w:type="dxa"/>
            <w:vAlign w:val="bottom"/>
          </w:tcPr>
          <w:p>
            <w:pPr>
              <w:ind w:left="40"/>
              <w:spacing w:after="0"/>
              <w:rPr>
                <w:sz w:val="20"/>
                <w:szCs w:val="20"/>
                <w:color w:val="auto"/>
              </w:rPr>
            </w:pPr>
            <w:r>
              <w:rPr>
                <w:rFonts w:ascii="Arial" w:cs="Arial" w:eastAsia="Arial" w:hAnsi="Arial"/>
                <w:sz w:val="14"/>
                <w:szCs w:val="14"/>
                <w:color w:val="auto"/>
              </w:rPr>
              <w:t>2021</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2022</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900" w:type="dxa"/>
            <w:vAlign w:val="bottom"/>
          </w:tcPr>
          <w:p>
            <w:pPr>
              <w:ind w:left="40"/>
              <w:spacing w:after="0"/>
              <w:rPr>
                <w:sz w:val="20"/>
                <w:szCs w:val="20"/>
                <w:color w:val="auto"/>
              </w:rPr>
            </w:pPr>
            <w:r>
              <w:rPr>
                <w:rFonts w:ascii="Arial" w:cs="Arial" w:eastAsia="Arial" w:hAnsi="Arial"/>
                <w:sz w:val="14"/>
                <w:szCs w:val="14"/>
                <w:color w:val="auto"/>
              </w:rPr>
              <w:t>2023</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2024</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900" w:type="dxa"/>
            <w:vAlign w:val="bottom"/>
          </w:tcPr>
          <w:p>
            <w:pPr>
              <w:ind w:left="40"/>
              <w:spacing w:after="0"/>
              <w:rPr>
                <w:sz w:val="20"/>
                <w:szCs w:val="20"/>
                <w:color w:val="auto"/>
              </w:rPr>
            </w:pPr>
            <w:r>
              <w:rPr>
                <w:rFonts w:ascii="Arial" w:cs="Arial" w:eastAsia="Arial" w:hAnsi="Arial"/>
                <w:sz w:val="14"/>
                <w:szCs w:val="14"/>
                <w:color w:val="auto"/>
              </w:rPr>
              <w:t>Thereafter</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7,027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8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future minimum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16,546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imputed interest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4,681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43"/>
        </w:trPr>
        <w:tc>
          <w:tcPr>
            <w:tcW w:w="8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40"/>
              <w:spacing w:after="0"/>
              <w:rPr>
                <w:sz w:val="20"/>
                <w:szCs w:val="20"/>
                <w:color w:val="auto"/>
              </w:rPr>
            </w:pPr>
            <w:r>
              <w:rPr>
                <w:rFonts w:ascii="Arial" w:cs="Arial" w:eastAsia="Arial" w:hAnsi="Arial"/>
                <w:sz w:val="14"/>
                <w:szCs w:val="14"/>
                <w:color w:val="auto"/>
              </w:rPr>
              <w:t>Included in the condensed consolidated balance sheet:</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90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Current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Non-current operating lease liabilities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10,440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represents supplemental disclosure for the statement of cash flows related to operating leases (in thousands):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86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March 31,</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203"/>
        </w:trPr>
        <w:tc>
          <w:tcPr>
            <w:tcW w:w="8860" w:type="dxa"/>
            <w:vAlign w:val="bottom"/>
          </w:tcPr>
          <w:p>
            <w:pPr>
              <w:spacing w:after="0"/>
              <w:rPr>
                <w:sz w:val="20"/>
                <w:szCs w:val="20"/>
                <w:color w:val="auto"/>
              </w:rPr>
            </w:pPr>
            <w:r>
              <w:rPr>
                <w:rFonts w:ascii="Arial" w:cs="Arial" w:eastAsia="Arial" w:hAnsi="Arial"/>
                <w:sz w:val="14"/>
                <w:szCs w:val="14"/>
                <w:b w:val="1"/>
                <w:bCs w:val="1"/>
                <w:color w:val="auto"/>
              </w:rPr>
              <w:t>Operating leases:</w:t>
            </w:r>
          </w:p>
        </w:tc>
        <w:tc>
          <w:tcPr>
            <w:tcW w:w="11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1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78"/>
        </w:trPr>
        <w:tc>
          <w:tcPr>
            <w:tcW w:w="8860" w:type="dxa"/>
            <w:vAlign w:val="bottom"/>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20955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76" w:lineRule="exact"/>
        <w:rPr>
          <w:sz w:val="20"/>
          <w:szCs w:val="20"/>
          <w:color w:val="auto"/>
        </w:rPr>
      </w:pPr>
    </w:p>
    <w:p>
      <w:pPr>
        <w:ind w:left="280"/>
        <w:spacing w:after="0"/>
        <w:tabs>
          <w:tab w:leader="none" w:pos="8900" w:val="left"/>
          <w:tab w:leader="none" w:pos="9680" w:val="left"/>
          <w:tab w:leader="none" w:pos="10140" w:val="left"/>
          <w:tab w:leader="none" w:pos="10900" w:val="left"/>
        </w:tabs>
        <w:rPr>
          <w:sz w:val="20"/>
          <w:szCs w:val="20"/>
          <w:color w:val="auto"/>
        </w:rPr>
      </w:pPr>
      <w:r>
        <w:rPr>
          <w:rFonts w:ascii="Arial" w:cs="Arial" w:eastAsia="Arial" w:hAnsi="Arial"/>
          <w:sz w:val="14"/>
          <w:szCs w:val="14"/>
          <w:color w:val="auto"/>
        </w:rPr>
        <w:t>Operating cash flows from operating leases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487</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363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20955</wp:posOffset>
            </wp:positionV>
            <wp:extent cx="14916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25400"/>
                    </a:xfrm>
                    <a:prstGeom prst="rect">
                      <a:avLst/>
                    </a:prstGeom>
                    <a:noFill/>
                  </pic:spPr>
                </pic:pic>
              </a:graphicData>
            </a:graphic>
          </wp:anchor>
        </w:drawing>
      </w:r>
    </w:p>
    <w:p>
      <w:pPr>
        <w:spacing w:after="0" w:line="363"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Other than the initial recording of the right of use asset and lease liability for the New Headquarters Lease, which is non-cash, the changes in the Company’s right-of-use asset and lease liability for the three months ended March 31, 2020 and 2019 are reflected in the non-cash lease expense and accrued expenses and other liabilities, respectively, in the consolidated statements of cash flows.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additional information related to operating leases: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4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8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Operating leases:</w:t>
            </w: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r>
      <w:tr>
        <w:trPr>
          <w:trHeight w:val="256"/>
        </w:trPr>
        <w:tc>
          <w:tcPr>
            <w:tcW w:w="8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remaining lease term</w:t>
            </w: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8.0 years</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 years</w:t>
            </w:r>
          </w:p>
        </w:tc>
      </w:tr>
      <w:tr>
        <w:trPr>
          <w:trHeight w:val="258"/>
        </w:trPr>
        <w:tc>
          <w:tcPr>
            <w:tcW w:w="8840" w:type="dxa"/>
            <w:vAlign w:val="bottom"/>
          </w:tcPr>
          <w:p>
            <w:pPr>
              <w:ind w:left="40"/>
              <w:spacing w:after="0"/>
              <w:rPr>
                <w:sz w:val="20"/>
                <w:szCs w:val="20"/>
                <w:color w:val="auto"/>
              </w:rPr>
            </w:pPr>
            <w:r>
              <w:rPr>
                <w:rFonts w:ascii="Arial" w:cs="Arial" w:eastAsia="Arial" w:hAnsi="Arial"/>
                <w:sz w:val="14"/>
                <w:szCs w:val="14"/>
                <w:color w:val="auto"/>
              </w:rPr>
              <w:t>Weighted-average discount rate</w:t>
            </w:r>
          </w:p>
        </w:tc>
        <w:tc>
          <w:tcPr>
            <w:tcW w:w="114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ectPr>
          <w:pgSz w:w="11900" w:h="16838" w:orient="portrait"/>
          <w:cols w:equalWidth="0" w:num="1">
            <w:col w:w="11240"/>
          </w:cols>
          <w:pgMar w:left="320" w:top="665" w:right="33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66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2017 Term Loan</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September 12, 2017, the Company entered into a term loan facility of up to $21.0 million (the “2017 Term Loan”) with Silicon Valley Bank, a California corporation (“SVB”). The 2017 Term Loan is governed by a loan and security agreement, dated September 12, 2017, between the Company and SVB (the “Loan Agreement”). The 2017 Term Loan was funded in full on September 13, 2017 (the “Funding Date”).</w:t>
      </w:r>
    </w:p>
    <w:p>
      <w:pPr>
        <w:spacing w:after="0" w:line="16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On the Funding Date, the Company entered into a payoff letter with SVB, pursuant to which SVB utilized $10.0 million of the 2017 Term Loan to pay off all outstanding obligations under the 2015 Term Loan. The Company recognized a loss on extinguishment of debt in the amount of $0.7 million during the three months ended September 30, 2017.</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incurred less than $0.1 million in debt issuance costs in connection with the closing of the 2017 Term Loan. Debt issuance costs are presented in the consolidated balance sheet as a direct deduction from the associated liability and amortized to interest expense over the term of the related debt.</w:t>
      </w:r>
    </w:p>
    <w:p>
      <w:pPr>
        <w:spacing w:after="0" w:line="18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2017 Term Loan will mature on February 1, 2022. Each advance under the 2017 Term Loan accrues interest at a floating per annum rate equal to one-half of one percent above the prime rate (as published in the money rates section of The Wall Street Journal). The 2017 Term Loan provided for interest-only payments monthly until August 31, 2019. On September 1, 2019, the Company began making amortization payments on the Term Loan, which will continue to be payable monthly in equal installments of principal and variable interest to fully amortize the outstanding principal over the remaining term of the loan. The monthly interest is subject to recalculation upon a change in the prime rate. The Company may prepay the 2017 Term Loan in full but not in part provided that the Company (i) provides five business days’ prior written notice to SVB, (ii) pays on the date of such prepayment for all outstanding principal plus accrued and unpaid interest, 1% if prepaid after the second anniversary.</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Amounts outstanding during an event of default are payable upon SVB’s demand and shall accrue interest at an additional rate of 4.0% per annum of the past due amount outstanding. The events of default under the Loan Agreement include, but are not limited to, the Company’s failure to make any payments of principal or interest under the Loan Agreement or other transaction documents, the Company’s breach or default in the performance of any covenant under the Loan Agreement or other transaction documents, the occurrence of a material adverse effect, the Company making a false or misleading representation or warranty in any material respect under the Loan Agreement, the Company’s insolvency or bankruptcy, any attachment or judgment on the Company’s assets in excess of approximately $0.3 million, or the occurrence of any default under any agreement or obligation of the Company involving indebtedness in excess of approximately $0.3 million. If an event of default occurs, SVB is entitled to take enforcement action, including acceleration of amounts due under the Loan Agreement.</w:t>
      </w:r>
    </w:p>
    <w:p>
      <w:pPr>
        <w:spacing w:after="0" w:line="19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2017 Term Loan is secured by a lien on substantially all of the assets of the Company, other than intellectual property, provided that such lien on substantially all assets includes any rights to payments and proceeds from the sale, licensing or disposition of intellectual property. The Company has also granted SVB a negative pledge with respect to its intellectual property.</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2017 Term Loan does not include any financial covenants. The 2017 Term Loan requires a final payment fee of 5% on the aggregate principal amounts borrowed upon repayment at maturity, on a prepayment date, or upon default. The final payment fee totaling $1.1 million is recorded as a loan discount. Under the 2017 Term Loan, the Company is not required to maintain a minimum cash balance. All deposits in operating, depository and securities accounts are required to be maintained with SVB in an amount equal to the lessor of (i) 100% of the Company's cash balance or (ii) 105% of the dollar amount of the then outstanding obligations. In addition, the 2017 Term Loan contains a subjective acceleration clause whereby in an event of default, an immediate acceleration of repayment occurs if there is a material impairment of the lenders’ lien or the value of the collateral, a material adverse change in the business condition or operations, or a material uncertainty exists that any portion of the loan may not be repaid.</w:t>
      </w:r>
    </w:p>
    <w:p>
      <w:pPr>
        <w:spacing w:after="0" w:line="17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 assessed all terms and features of the 2017 Term Loan in order to identify any potential embedded features that would require bifurcation. As part of this analysis, the Company assessed the economic characteristics and risks of the 2017 Term Loan, including any put and call features. The Company determined that all features of the 2017 Term Loan were clearly and closely associated with the debt host and did not require bifurcation as a derivative liability, or the fair value of the embedded feature was immaterial to the Company's consolidated financial statements. The Company reassesses the identified features on a quarterly basis to determine if they require bifurcation.</w:t>
      </w:r>
    </w:p>
    <w:p>
      <w:pPr>
        <w:spacing w:after="0" w:line="17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As of March 31, 2020 and December 31, 2019, the outstanding principal balance under the 2017 Term Loan was $16.1 million and $18.2 million, respectively.</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66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Future minimum principal and interest payments on the 2017 Term Loan as of March 31, 2020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 (Remainder)</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6,629</w:t>
            </w:r>
          </w:p>
        </w:tc>
      </w:tr>
      <w:tr>
        <w:trPr>
          <w:trHeight w:val="190"/>
        </w:trPr>
        <w:tc>
          <w:tcPr>
            <w:tcW w:w="9780" w:type="dxa"/>
            <w:vAlign w:val="bottom"/>
          </w:tcPr>
          <w:p>
            <w:pPr>
              <w:ind w:left="40"/>
              <w:spacing w:after="0"/>
              <w:rPr>
                <w:sz w:val="20"/>
                <w:szCs w:val="20"/>
                <w:color w:val="auto"/>
              </w:rPr>
            </w:pPr>
            <w:r>
              <w:rPr>
                <w:rFonts w:ascii="Arial" w:cs="Arial" w:eastAsia="Arial" w:hAnsi="Arial"/>
                <w:sz w:val="14"/>
                <w:szCs w:val="14"/>
                <w:color w:val="auto"/>
              </w:rPr>
              <w:t>2021</w:t>
            </w:r>
          </w:p>
        </w:tc>
        <w:tc>
          <w:tcPr>
            <w:tcW w:w="50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8,626</w:t>
            </w:r>
          </w:p>
        </w:tc>
      </w:tr>
      <w:tr>
        <w:trPr>
          <w:trHeight w:val="26"/>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2022</w:t>
            </w:r>
          </w:p>
        </w:tc>
        <w:tc>
          <w:tcPr>
            <w:tcW w:w="5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2,457</w:t>
            </w:r>
          </w:p>
        </w:tc>
      </w:tr>
      <w:tr>
        <w:trPr>
          <w:trHeight w:val="184"/>
        </w:trPr>
        <w:tc>
          <w:tcPr>
            <w:tcW w:w="9780" w:type="dxa"/>
            <w:vAlign w:val="bottom"/>
          </w:tcPr>
          <w:p>
            <w:pPr>
              <w:ind w:left="40"/>
              <w:spacing w:after="0"/>
              <w:rPr>
                <w:sz w:val="20"/>
                <w:szCs w:val="20"/>
                <w:color w:val="auto"/>
              </w:rPr>
            </w:pPr>
            <w:r>
              <w:rPr>
                <w:rFonts w:ascii="Arial" w:cs="Arial" w:eastAsia="Arial" w:hAnsi="Arial"/>
                <w:sz w:val="14"/>
                <w:szCs w:val="14"/>
                <w:color w:val="auto"/>
              </w:rPr>
              <w:t>Total minimum debt payments</w:t>
            </w:r>
          </w:p>
        </w:tc>
        <w:tc>
          <w:tcPr>
            <w:tcW w:w="50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17,712</w:t>
            </w:r>
          </w:p>
        </w:tc>
      </w:tr>
      <w:tr>
        <w:trPr>
          <w:trHeight w:val="26"/>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3"/>
        </w:trPr>
        <w:tc>
          <w:tcPr>
            <w:tcW w:w="9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Amount representing interest</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r>
      <w:tr>
        <w:trPr>
          <w:trHeight w:val="196"/>
        </w:trPr>
        <w:tc>
          <w:tcPr>
            <w:tcW w:w="9780" w:type="dxa"/>
            <w:vAlign w:val="bottom"/>
          </w:tcPr>
          <w:p>
            <w:pPr>
              <w:ind w:left="40"/>
              <w:spacing w:after="0"/>
              <w:rPr>
                <w:sz w:val="20"/>
                <w:szCs w:val="20"/>
                <w:color w:val="auto"/>
              </w:rPr>
            </w:pPr>
            <w:r>
              <w:rPr>
                <w:rFonts w:ascii="Arial" w:cs="Arial" w:eastAsia="Arial" w:hAnsi="Arial"/>
                <w:sz w:val="14"/>
                <w:szCs w:val="14"/>
                <w:color w:val="auto"/>
              </w:rPr>
              <w:t>Less: Debt discount and deferred charges</w:t>
            </w: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(282)</w:t>
            </w:r>
          </w:p>
        </w:tc>
      </w:tr>
      <w:tr>
        <w:trPr>
          <w:trHeight w:val="203"/>
        </w:trPr>
        <w:tc>
          <w:tcPr>
            <w:tcW w:w="9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Current portion of loan payable</w:t>
            </w:r>
          </w:p>
        </w:tc>
        <w:tc>
          <w:tcPr>
            <w:tcW w:w="5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(16,868)</w:t>
            </w:r>
          </w:p>
        </w:tc>
      </w:tr>
      <w:tr>
        <w:trPr>
          <w:trHeight w:val="190"/>
        </w:trPr>
        <w:tc>
          <w:tcPr>
            <w:tcW w:w="9780" w:type="dxa"/>
            <w:vAlign w:val="bottom"/>
          </w:tcPr>
          <w:p>
            <w:pPr>
              <w:ind w:left="40"/>
              <w:spacing w:after="0"/>
              <w:rPr>
                <w:sz w:val="20"/>
                <w:szCs w:val="20"/>
                <w:color w:val="auto"/>
              </w:rPr>
            </w:pPr>
            <w:r>
              <w:rPr>
                <w:rFonts w:ascii="Arial" w:cs="Arial" w:eastAsia="Arial" w:hAnsi="Arial"/>
                <w:sz w:val="14"/>
                <w:szCs w:val="14"/>
                <w:color w:val="auto"/>
              </w:rPr>
              <w:t>Loan payable, net of current portion</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6"/>
        </w:trPr>
        <w:tc>
          <w:tcPr>
            <w:tcW w:w="97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9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All amounts due under the 2017 Term Loan have been classified as a current liability as of March 31, 2020 due to the considerations discussed in Note 1 and the assessment that the material adverse change clause under the 2017 Term Loan is not within the Company's control. The Company has not been notified of an event of default by SVB as of the date of the filing of this Quarterly Report on Form 10-Q.</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three months ended March 31, 2020 and 2019, the Company recognized $0.3 million and $0.4 million, respectively, of interest expense related to the 2017 Term Loan.</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August 2017 Shelf Registration Statement</w:t>
      </w:r>
    </w:p>
    <w:p>
      <w:pPr>
        <w:spacing w:after="0" w:line="22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On August 11, 2017, the Company filed a universal shelf registration statement on Form S-3 (Reg. No. 333-219900) with the SEC to sell an aggregate amount of up to $200.0 million of certain of its securities. The shelf registration statement was declared effective by the SEC on August 28,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Offerings</w:t>
      </w:r>
    </w:p>
    <w:p>
      <w:pPr>
        <w:spacing w:after="0" w:line="22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Concurrent with the filing of the shelf registration statement, the Company entered into a sales agreement (the “Sales Agreement”) with Jefferies LLC, as sales agent, pursuant to which the Company may, from time to time, issue and sell common stock with an aggregate value of up to $50 million in an "at-the-market" offering.</w:t>
      </w:r>
    </w:p>
    <w:p>
      <w:pPr>
        <w:spacing w:after="0" w:line="18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Sales of common stock, if any, pursuant to the Sales Agreement, may be made in sales deemed to be an “at the market offering” as defined in Rule 415(a) of the Securities Act, including sales made directly through the Nasdaq Global Market or on any other existing trading market for the Company’s common stock. The Company intends to use the proceeds from the offering for working capital and other general corporate purposes. The Company may suspend or terminate the Sales Agreement at any time.</w:t>
      </w:r>
    </w:p>
    <w:p>
      <w:pPr>
        <w:spacing w:after="0" w:line="7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From August 11, 2017, the date the Company entered into the Sales Agreement, to December 31, 2019, the Company sold 615,453 shares of its common stock pursuant to the Sales Agreement at an average price of approximately $1.84 per share for aggregate net proceeds of $1.0 million, after deducting commissions and other transaction costs.</w:t>
      </w:r>
    </w:p>
    <w:p>
      <w:pPr>
        <w:spacing w:after="0" w:line="7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During the three months ended March 31, 2020, the Company sold 598,977 shares of its common stock pursuant to the Sales Agreement at an average price of approximately $2.11 per share for aggregate net proceeds of $1.1 million, after deducting commissions and other transaction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2019 Financing</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December 18, 2019, the Company entered into a private purchase agreement (the "2019 Purchase Agreement"), and closed the Offering on December 23, 2019. Pursuant to the 2019 Purchase Agreement, the Company sold an aggregate of 37,634,883 shares of its common stock at a purchase price of $1.46 per share, warrants to purchase an aggregate of 22,988,501 shares of common stock at a purchase price of $0.125 per share underlying each common warrant, and pre-funded warrants to purchase an aggregate of 8,342,128 shares of common stock at a purchase price of $1.46 per share, all with five year terms. The exercise price of the pre-funded warrants was $0.0001 per share and the exercise price for the common warrants is $1.46 per share. In the event of a certain sale of the Company, the terms of the common warrants require us to make a payment to such common warrant holders based on a Black-Scholes valuation (using variables as specified in the warrants). This provision does not apply to the pre-funded warrants. Therefore, the Company is required to account for the common warrants as liabilities and record them at fair value, while the pre-funded warrants met the criteria to be classified as permanent equity. The Company recorded the fair value of the common warrants of $40.7 million upon issuance using the Black-Scholes valuation model. The common warrants were revalued as of December 31, 2019 at $41.5 million; a charge in fair value of $0.8 million was recorded in the</w:t>
      </w:r>
    </w:p>
    <w:p>
      <w:pPr>
        <w:sectPr>
          <w:pgSz w:w="11900" w:h="16838" w:orient="portrait"/>
          <w:cols w:equalWidth="0" w:num="1">
            <w:col w:w="11240"/>
          </w:cols>
          <w:pgMar w:left="320" w:top="665" w:right="339" w:bottom="144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665" w:right="339" w:bottom="1440" w:gutter="0" w:footer="0" w:header="0"/>
          <w:type w:val="continuous"/>
        </w:sectPr>
      </w:pPr>
    </w:p>
    <w:bookmarkStart w:id="23" w:name="page24"/>
    <w:bookmarkEnd w:id="23"/>
    <w:p>
      <w:pPr>
        <w:ind w:right="340"/>
        <w:spacing w:after="0" w:line="311" w:lineRule="auto"/>
        <w:rPr>
          <w:sz w:val="20"/>
          <w:szCs w:val="20"/>
          <w:color w:val="auto"/>
        </w:rPr>
      </w:pPr>
      <w:r>
        <w:rPr>
          <w:rFonts w:ascii="Arial" w:cs="Arial" w:eastAsia="Arial" w:hAnsi="Arial"/>
          <w:sz w:val="16"/>
          <w:szCs w:val="16"/>
          <w:color w:val="auto"/>
        </w:rPr>
        <w:t>statement of operations for the three months ended March 31, 2020. Issuance costs were allocated between the equity component with an offset to additional paid-in capital and the liability component recorded as expense on a relative fair value basis. Total net proceeds from the equity offering was $65.6 million, after deducting transaction costs and commissions of $4.4 million which was paid in the three months ended March 31, 2020.</w:t>
      </w:r>
    </w:p>
    <w:p>
      <w:pPr>
        <w:spacing w:after="0" w:line="14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Pursuant to the Registration Rights Agreement, the Company agreed to prepare and file a registration statement with the SEC within 45 days after the closing of the Offering for purposes of registering the resale of the Shares, shares of Common Stock issuable upon exercise of the Warrants, and any shares of Common Stock issued as a dividend or other distribution with respect to the Shares or shares of Common Stock issuable upon exercise of the Warrants. If the Company did not file such registration statement by the 45-day filing deadline, the Company would have been required to make pro-rata payments to each investor in an amount equal to 1% of the aggregate amount paid pursuant to the stock purchase agreement entered into by such investor for each 30-day period or pro-rata portion thereof following the filing deadline. The Company filed a registration statement on Form S-3 on January 29, 2020, which became effective on February 6, 2020, so no such payments were required.</w:t>
      </w:r>
    </w:p>
    <w:p>
      <w:pPr>
        <w:spacing w:after="0" w:line="177"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Company agreed, among other things, to indemnify the Investors, their officers, directors, members, employees and agents, successors and assigns under the registration statement from certain liabilities and to pay all fees and expenses (excluding any legal fees of the selling holder(s), and any underwriting discounts and selling commissions) incident to the Company’s obligations under the Registration Rights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2017 Financing</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June 26, 2017, the Company entered into a securities purchase agreement (the "Institutional Purchase Agreement") with a select group of institutional investors (the “Institutional Investors”) and a securities purchase agreement with Timothy A. Springer, Ph.D., a member of the board of directors (the "Springer Purchase Agreement") for a private placement of the Company's securities (the "2017 PIPE"). The closing of the 2017 PIPE occurred on June 27, 2017.</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Pursuant to the Institutional Purchase Agreement, the Company sold an aggregate of 2,750,000 shares of its common stock at a purchase price equal to $16.00 per share. Pursuant to the Springer Purchase Agreement, the Company sold to Dr. Springer an aggregate of 338,791 shares of common stock at a purchase price equal to $17.71 per share, which was equal to the most recent consolidated closing bid price on the Nasdaq Global Market on June 23, 2017, and warrants to purchase up to 79,130 shares of common stock (“Warrant Shares”), exercisable at $17.71 per Warrant Share, and with a term of five years. The purchase price for each warrant was equal to $0.125 for each Warrant Share, consistent with Nasdaq Global Market requirements for an “at the market” offering. Under the terms of the Common Stock Purchase Warrant, the warrants can be settled in unregistered shares. The Warrant Shares qualify for equity classification. The fair value of the allocated proceeds was determined on the relative fair value basis. After deducting for placement agent fees and offering expenses, the aggregate net proceeds from the 2017 PIPE were approximately $47.1 million.</w:t>
      </w:r>
    </w:p>
    <w:p>
      <w:pPr>
        <w:spacing w:after="0" w:line="165"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On June 27, 2017, in connection with the 2017 PIPE, the Company entered into a Registration Rights Agreement (the “Registration Rights Agreement”) with the Institutional Investors and Dr. Springer. Pursuant to the Registration Rights Agreement, the Company agreed to prepare and file a registration statement with the SEC within 20 days after the closing of the 2017 PIPE for purposes of registering the resale of the shares of common stock issued and sold in the 2017 PIPE (the “Shares”), the Warrant Shares, and any shares of common stock issued as a dividend or other distribution with respect to the Shares or Warrant Shares. The 2017 PIPE registration statement was declared effective by the SEC on July 21, 2017.</w:t>
      </w:r>
    </w:p>
    <w:p>
      <w:pPr>
        <w:spacing w:after="0" w:line="161"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The Company agreed to indemnify the Institutional Investors and Dr. Springer, their officers, directors, members, employees and agents, successors and assigns under the registration statement from certain liabilities and to pay all fees and expenses (excluding any legal fees of the selling holder(s), and any underwriting discounts and selling commissions) incident to the Company’s obligations under the Registration Rights Agreement.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2020, the Company did not have any exercised or canceled warrants.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6"/>
              </w:rPr>
              <w:t>Number of Warrants</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300" w:type="dxa"/>
            <w:vAlign w:val="bottom"/>
          </w:tcPr>
          <w:p>
            <w:pPr>
              <w:spacing w:after="0"/>
              <w:rPr>
                <w:sz w:val="12"/>
                <w:szCs w:val="12"/>
                <w:color w:val="auto"/>
              </w:rPr>
            </w:pPr>
          </w:p>
        </w:tc>
        <w:tc>
          <w:tcPr>
            <w:tcW w:w="14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Equity classified</w:t>
            </w:r>
          </w:p>
        </w:tc>
        <w:tc>
          <w:tcPr>
            <w:tcW w:w="172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w w:val="92"/>
              </w:rPr>
              <w:t>Liability classified</w:t>
            </w:r>
          </w:p>
        </w:tc>
        <w:tc>
          <w:tcPr>
            <w:tcW w:w="13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300" w:type="dxa"/>
            <w:vAlign w:val="bottom"/>
          </w:tcPr>
          <w:p>
            <w:pPr>
              <w:jc w:val="center"/>
              <w:ind w:right="88"/>
              <w:spacing w:after="0" w:line="139"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53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43"/>
        </w:trPr>
        <w:tc>
          <w:tcPr>
            <w:tcW w:w="5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Outstanding at March 31, 2020</w:t>
            </w:r>
          </w:p>
        </w:tc>
        <w:tc>
          <w:tcPr>
            <w:tcW w:w="14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8,437,747</w:t>
            </w:r>
          </w:p>
        </w:tc>
        <w:tc>
          <w:tcPr>
            <w:tcW w:w="172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22,988,501</w:t>
            </w:r>
          </w:p>
        </w:tc>
        <w:tc>
          <w:tcPr>
            <w:tcW w:w="1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31,426,248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March 31, 2020, the Company had 200,000,000 shares of common stock authorized for issuance, $0.0001 par value per share, with 87,019,172 shares issued and outstanding. The voting, dividend and liquidation rights of the common stockholders</w:t>
      </w:r>
    </w:p>
    <w:p>
      <w:pPr>
        <w:sectPr>
          <w:pgSz w:w="11900" w:h="16838" w:orient="portrait"/>
          <w:cols w:equalWidth="0" w:num="1">
            <w:col w:w="11240"/>
          </w:cols>
          <w:pgMar w:left="320" w:top="665"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66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color w:val="auto"/>
        </w:rPr>
        <w:t>are subject to and qualified by the rights, powers and preferences of the preferred stock. The common stock has the following characteristics: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common stockholders are entitled to one vote for each share of common stock held with respect to all matters voted on by the stockholders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common stockholders are entitled to receive dividends, if and when declared by the Board of Directors. Through March 31, 2020, no dividends have been declared or paid on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Upon liquidation of the Company, the common stockholders are entitled to receive all assets of the Company available for distribution to such stockholders.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authorized shares of common stock for future issuance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460" w:type="dxa"/>
            <w:vAlign w:val="bottom"/>
            <w:tcBorders>
              <w:bottom w:val="single" w:sz="8" w:color="auto"/>
            </w:tcBorders>
            <w:gridSpan w:val="3"/>
          </w:tcPr>
          <w:p>
            <w:pPr>
              <w:jc w:val="right"/>
              <w:ind w:right="1228"/>
              <w:spacing w:after="0"/>
              <w:rPr>
                <w:sz w:val="20"/>
                <w:szCs w:val="20"/>
                <w:color w:val="auto"/>
              </w:rPr>
            </w:pPr>
            <w:r>
              <w:rPr>
                <w:rFonts w:ascii="Arial" w:cs="Arial" w:eastAsia="Arial" w:hAnsi="Arial"/>
                <w:sz w:val="14"/>
                <w:szCs w:val="14"/>
                <w:b w:val="1"/>
                <w:bCs w:val="1"/>
                <w:color w:val="auto"/>
              </w:rPr>
              <w:t>Period ending</w:t>
            </w:r>
          </w:p>
        </w:tc>
      </w:tr>
      <w:tr>
        <w:trPr>
          <w:trHeight w:val="250"/>
        </w:trPr>
        <w:tc>
          <w:tcPr>
            <w:tcW w:w="7780" w:type="dxa"/>
            <w:vAlign w:val="bottom"/>
          </w:tcPr>
          <w:p>
            <w:pPr>
              <w:spacing w:after="0"/>
              <w:rPr>
                <w:sz w:val="21"/>
                <w:szCs w:val="21"/>
                <w:color w:val="auto"/>
              </w:rPr>
            </w:pPr>
          </w:p>
        </w:tc>
        <w:tc>
          <w:tcPr>
            <w:tcW w:w="1780" w:type="dxa"/>
            <w:vAlign w:val="bottom"/>
            <w:gridSpan w:val="2"/>
          </w:tcPr>
          <w:p>
            <w:pPr>
              <w:ind w:left="360"/>
              <w:spacing w:after="0"/>
              <w:rPr>
                <w:sz w:val="20"/>
                <w:szCs w:val="20"/>
                <w:color w:val="auto"/>
              </w:rPr>
            </w:pPr>
            <w:r>
              <w:rPr>
                <w:rFonts w:ascii="Arial" w:cs="Arial" w:eastAsia="Arial" w:hAnsi="Arial"/>
                <w:sz w:val="14"/>
                <w:szCs w:val="14"/>
                <w:b w:val="1"/>
                <w:bCs w:val="1"/>
                <w:color w:val="auto"/>
              </w:rPr>
              <w:t>March 31, 2020</w:t>
            </w:r>
          </w:p>
        </w:tc>
        <w:tc>
          <w:tcPr>
            <w:tcW w:w="168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7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Exercise of common and pre-funded warrants</w:t>
            </w:r>
          </w:p>
        </w:tc>
        <w:tc>
          <w:tcPr>
            <w:tcW w:w="1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31,426,248</w:t>
            </w:r>
          </w:p>
        </w:tc>
        <w:tc>
          <w:tcPr>
            <w:tcW w:w="100" w:type="dxa"/>
            <w:vAlign w:val="bottom"/>
            <w:tcBorders>
              <w:top w:val="single" w:sz="8" w:color="CCEEFF"/>
            </w:tcBorders>
            <w:shd w:val="clear" w:color="auto" w:fill="CCEEFF"/>
          </w:tcPr>
          <w:p>
            <w:pPr>
              <w:spacing w:after="0"/>
              <w:rPr>
                <w:sz w:val="22"/>
                <w:szCs w:val="22"/>
                <w:color w:val="auto"/>
              </w:rPr>
            </w:pPr>
          </w:p>
        </w:tc>
        <w:tc>
          <w:tcPr>
            <w:tcW w:w="1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31,426,248</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Shares available for future stock incentive awards</w:t>
            </w: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5,048,316</w:t>
            </w:r>
          </w:p>
        </w:tc>
        <w:tc>
          <w:tcPr>
            <w:tcW w:w="100" w:type="dxa"/>
            <w:vAlign w:val="bottom"/>
          </w:tcPr>
          <w:p>
            <w:pPr>
              <w:spacing w:after="0"/>
              <w:rPr>
                <w:sz w:val="22"/>
                <w:szCs w:val="22"/>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1,765,018</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Unvested restricted stock units</w:t>
            </w: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170,313</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181,250</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common stock options</w:t>
            </w: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7,745,936</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6,796,669</w:t>
            </w:r>
          </w:p>
        </w:tc>
      </w:tr>
      <w:tr>
        <w:trPr>
          <w:trHeight w:val="21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44,390,813</w:t>
            </w: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40,169,185</w:t>
            </w:r>
          </w:p>
        </w:tc>
      </w:tr>
      <w:tr>
        <w:trPr>
          <w:trHeight w:val="20"/>
        </w:trPr>
        <w:tc>
          <w:tcPr>
            <w:tcW w:w="77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9320" w:firstLine="8"/>
        <w:spacing w:after="0" w:line="503" w:lineRule="auto"/>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 Stock Options</w:t>
      </w:r>
    </w:p>
    <w:p>
      <w:pPr>
        <w:ind w:right="180"/>
        <w:spacing w:after="0" w:line="218" w:lineRule="exact"/>
        <w:rPr>
          <w:sz w:val="20"/>
          <w:szCs w:val="20"/>
          <w:color w:val="auto"/>
        </w:rPr>
      </w:pPr>
      <w:r>
        <w:rPr>
          <w:rFonts w:ascii="Arial" w:cs="Arial" w:eastAsia="Arial" w:hAnsi="Arial"/>
          <w:sz w:val="16"/>
          <w:szCs w:val="16"/>
          <w:color w:val="auto"/>
        </w:rPr>
        <w:t>The Company maintains the 2008 Stock Incentive Plan (the “2008 Plan”) for employees, consultants, advisors, and directors. The 2008 Plan provided for the granting of incentive and non</w:t>
      </w:r>
      <w:r>
        <w:rPr>
          <w:rFonts w:ascii="MS PGothic" w:cs="MS PGothic" w:eastAsia="MS PGothic" w:hAnsi="MS PGothic"/>
          <w:sz w:val="16"/>
          <w:szCs w:val="16"/>
          <w:color w:val="auto"/>
        </w:rPr>
        <w:t>‑</w:t>
      </w:r>
      <w:r>
        <w:rPr>
          <w:rFonts w:ascii="Arial" w:cs="Arial" w:eastAsia="Arial" w:hAnsi="Arial"/>
          <w:sz w:val="16"/>
          <w:szCs w:val="16"/>
          <w:color w:val="auto"/>
        </w:rPr>
        <w:t>qualified stock option and restricted stock awards as determined by the Board. At inception of the 2008 Plan, a total of 2,213,412 shares of common stock were authorized for grants under the 2008 Plan. The Company ceased granting awards under the 2008 Plan upon the effectiveness of the 2016 Plan (as defined below); however, awards issued under the 2008 Plan remain subject to the terms of the 2008 Plan and the applicable 2008 Plan agreement. Shares subject to awards that were granted under the 2008 Plan and that expire, lapse or terminate following the effectiveness of the 2016 Plan become available under the 2016 Plan as shares available for future grants. All unvested stock options granted under the 2008 Plan may be exercised into restricted stock subject to forfeiture upon termination prior to vesting.</w:t>
      </w:r>
    </w:p>
    <w:p>
      <w:pPr>
        <w:spacing w:after="0" w:line="204"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On June 7, 2016, the Company’s stockholders approved the 2016 Incentive Award Plan (the “2016 Plan”), which became effective June 21, 2016. The 2016 Plan provides for the granting of incentive and non</w:t>
      </w:r>
      <w:r>
        <w:rPr>
          <w:rFonts w:ascii="MS PGothic" w:cs="MS PGothic" w:eastAsia="MS PGothic" w:hAnsi="MS PGothic"/>
          <w:sz w:val="16"/>
          <w:szCs w:val="16"/>
          <w:color w:val="auto"/>
        </w:rPr>
        <w:t>‑</w:t>
      </w:r>
      <w:r>
        <w:rPr>
          <w:rFonts w:ascii="Arial" w:cs="Arial" w:eastAsia="Arial" w:hAnsi="Arial"/>
          <w:sz w:val="16"/>
          <w:szCs w:val="16"/>
          <w:color w:val="auto"/>
        </w:rPr>
        <w:t>qualified stock option, restricted stock and other stock and cash-based awards as determined by the Board. Shares subject to awards that are granted under the 2016 Plan and that expire, lapse or terminate are available for future grants under the 2016 Plan. At inception of the 2016 Plan, a total of 1,210,256 shares of common stock were authorized for future issuance under the 2016 Plan. The number of shares of common stock that may be issued under the 2016 Plan automatically increases on the first day of each calendar year, beginning in 2017 and ending in and including 2026, by an amount equal to the lesser of: (i) 4% of the number of shares of the Company’s common stock outstanding on the last day of the applicable preceding calendar year and (ii) such smaller number of shares as is determined by the Board. During the three months ended March 31, 2020 and 2019, the number of shares of common stock that may be issued under the 2016 Plan was increased by 3,453,022 shares and 898,871 shares, respectively. As of March 31, 2020, 2,416,239 shares remain available for future issuance under the 2016 Plan.</w:t>
      </w:r>
    </w:p>
    <w:p>
      <w:pPr>
        <w:spacing w:after="0" w:line="20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2008 Plan and 2016 Plan provide that the exercise price of incentive stock options cannot be less than 100% of the fair market value of the Company's common stock on the grant date for participants who own 10% or less of the total combined voting power of the Company, and not less than 110% for participants who own more than 10% of the Company’s voting power. Options and restricted stock awards granted under the 2008 Plan and 2016 Plan vest over periods as determined by the Board, which are generally four years and, for options, with terms that generally expire ten years from the grant date.</w:t>
      </w:r>
    </w:p>
    <w:p>
      <w:pPr>
        <w:sectPr>
          <w:pgSz w:w="11900" w:h="16838" w:orient="portrait"/>
          <w:cols w:equalWidth="0" w:num="1">
            <w:col w:w="11240"/>
          </w:cols>
          <w:pgMar w:left="320" w:top="665" w:right="339" w:bottom="1440" w:gutter="0" w:footer="0" w:header="0"/>
        </w:sect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665" w:right="339" w:bottom="1440" w:gutter="0" w:footer="0" w:header="0"/>
          <w:type w:val="continuous"/>
        </w:sectPr>
      </w:pPr>
    </w:p>
    <w:bookmarkStart w:id="25" w:name="page26"/>
    <w:bookmarkEnd w:id="25"/>
    <w:p>
      <w:pPr>
        <w:ind w:right="40"/>
        <w:spacing w:after="0" w:line="289" w:lineRule="auto"/>
        <w:rPr>
          <w:sz w:val="20"/>
          <w:szCs w:val="20"/>
          <w:color w:val="auto"/>
        </w:rPr>
      </w:pPr>
      <w:r>
        <w:rPr>
          <w:rFonts w:ascii="Arial" w:cs="Arial" w:eastAsia="Arial" w:hAnsi="Arial"/>
          <w:sz w:val="16"/>
          <w:szCs w:val="16"/>
          <w:color w:val="auto"/>
        </w:rPr>
        <w:t>The Company’s 2018 Employment Inducement Incentive Award Plan (the “Inducement Incentive Award Plan”), which was adopted by the Board on September 25, 2018 without stockholder approval pursuant to Rule 5635(c)(4) of the Nasdaq Stock Market LLC listing rules ("Rule 5635(c)(4)"), provides for the grant of equity-based awards in the form of non-qualified stock options, stock appreciation rights, restricted stock awards, restricted stock unit awards and other stock or cash based awards. In accordance with Rule 5635(c)(4), awards under the Inducement Incentive Award Plan may only be made to a newly hired employee who has not previously been a member of the Board, or an employee who is being rehired following a bona fide period of non-employment by the Company, as a material inducement to the employee’s entering into employment with the Company. The Company reserved 1,175,000 shares of its common stock for issuance under the Inducement Incentive Award Plan. On March 25, 2019, the Board approved the amendment and restatement of the Inducement Incentive Award Plan to reserve an additional 2,000,000 shares of the Company’s common stock for issuance thereunder. As of March 31, 2020, there are 1,100,000 shares available for future grant under the Inducement Incentive Award Plan.</w:t>
      </w:r>
    </w:p>
    <w:p>
      <w:pPr>
        <w:spacing w:after="0" w:line="166"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color w:val="auto"/>
        </w:rPr>
        <w:t>The fair value of each option award was estimated on the grant date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Expected volatilities are based on historical volatilities from guideline companies because the Company's common stock has not traded for a period that is at least equal to the expected term of its stock option awards. The Company uses the “simplified” method to estimate the expected life of options granted and are expected to be outstanding.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used is the rate for a U.S. Treasury zero coupon issue with a remaining life consistent with the options expected life on the grant date. The Company has not paid and does not expect to pay in the foreseeable future, any cash dividends. Forfeitures are estimated at the time of grant and are adjusted, if necessary, in subsequent periods if actual forfeitures differ from those estimates. The Company has estimated a forfeiture rate of 10% based on historical attrition trends. The Company records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only on awards that are expected to vest.</w:t>
      </w:r>
    </w:p>
    <w:p>
      <w:pPr>
        <w:spacing w:after="0" w:line="2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estimated grant date fair values of employee stock option awards granted under the 2016 Plan and the 2018 Inducement Incentive Award Plan were calculated using the Black-Scholes option pricing model, based on the following weighted-average assumptions: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2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22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6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r>
      <w:tr>
        <w:trPr>
          <w:trHeight w:val="256"/>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Risk-free interest rate</w:t>
            </w:r>
          </w:p>
        </w:tc>
        <w:tc>
          <w:tcPr>
            <w:tcW w:w="7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r>
      <w:tr>
        <w:trPr>
          <w:trHeight w:val="264"/>
        </w:trPr>
        <w:tc>
          <w:tcPr>
            <w:tcW w:w="8620" w:type="dxa"/>
            <w:vAlign w:val="bottom"/>
          </w:tcPr>
          <w:p>
            <w:pPr>
              <w:ind w:left="40"/>
              <w:spacing w:after="0"/>
              <w:rPr>
                <w:sz w:val="20"/>
                <w:szCs w:val="20"/>
                <w:color w:val="auto"/>
              </w:rPr>
            </w:pPr>
            <w:r>
              <w:rPr>
                <w:rFonts w:ascii="Arial" w:cs="Arial" w:eastAsia="Arial" w:hAnsi="Arial"/>
                <w:sz w:val="14"/>
                <w:szCs w:val="14"/>
                <w:color w:val="auto"/>
              </w:rPr>
              <w:t>Dividend yield</w:t>
            </w:r>
          </w:p>
        </w:tc>
        <w:tc>
          <w:tcPr>
            <w:tcW w:w="780" w:type="dxa"/>
            <w:vAlign w:val="bottom"/>
          </w:tcPr>
          <w:p>
            <w:pPr>
              <w:spacing w:after="0"/>
              <w:rPr>
                <w:sz w:val="22"/>
                <w:szCs w:val="2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term</w:t>
            </w: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6.06</w:t>
            </w:r>
          </w:p>
        </w:tc>
      </w:tr>
      <w:tr>
        <w:trPr>
          <w:trHeight w:val="264"/>
        </w:trPr>
        <w:tc>
          <w:tcPr>
            <w:tcW w:w="8620" w:type="dxa"/>
            <w:vAlign w:val="bottom"/>
          </w:tcPr>
          <w:p>
            <w:pPr>
              <w:ind w:left="40"/>
              <w:spacing w:after="0"/>
              <w:rPr>
                <w:sz w:val="20"/>
                <w:szCs w:val="20"/>
                <w:color w:val="auto"/>
              </w:rPr>
            </w:pPr>
            <w:r>
              <w:rPr>
                <w:rFonts w:ascii="Arial" w:cs="Arial" w:eastAsia="Arial" w:hAnsi="Arial"/>
                <w:sz w:val="14"/>
                <w:szCs w:val="14"/>
                <w:color w:val="auto"/>
              </w:rPr>
              <w:t>Expected volatility</w:t>
            </w:r>
          </w:p>
        </w:tc>
        <w:tc>
          <w:tcPr>
            <w:tcW w:w="7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88"/>
              </w:rPr>
              <w:t>87.96%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87.35%</w:t>
            </w:r>
          </w:p>
        </w:tc>
      </w:tr>
      <w:tr>
        <w:trPr>
          <w:trHeight w:val="276"/>
        </w:trPr>
        <w:tc>
          <w:tcPr>
            <w:tcW w:w="8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fair value of common stock</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2.41</w:t>
            </w:r>
          </w:p>
        </w:tc>
      </w:tr>
    </w:tbl>
    <w:p>
      <w:pPr>
        <w:spacing w:after="0" w:line="200" w:lineRule="exact"/>
        <w:rPr>
          <w:sz w:val="20"/>
          <w:szCs w:val="20"/>
          <w:color w:val="auto"/>
        </w:rPr>
      </w:pPr>
    </w:p>
    <w:p>
      <w:pPr>
        <w:spacing w:after="0" w:line="21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weighted average grant date fair value of stock options granted to employees during the three months ended March 31, 2020 and 2019 was $1.69, and $1.77, respectively. The aggregate intrinsic value of stock options exercised during the three months ended March 31, 2020 and 2019 was $0.1 million.</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March 31, 2020, total unrecognized compensation expense related to unvested employee stock options was $10.2 million, which is expected to be recognized over a weighted average period of 2.5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 awards were granted to non-employees during the three months ended March 31, 2020 and 2019.</w:t>
      </w:r>
    </w:p>
    <w:p>
      <w:pPr>
        <w:spacing w:after="0" w:line="225" w:lineRule="exact"/>
        <w:rPr>
          <w:sz w:val="20"/>
          <w:szCs w:val="20"/>
          <w:color w:val="auto"/>
        </w:rPr>
      </w:pPr>
    </w:p>
    <w:p>
      <w:pPr>
        <w:ind w:right="460"/>
        <w:spacing w:after="0" w:line="223" w:lineRule="exact"/>
        <w:rPr>
          <w:sz w:val="20"/>
          <w:szCs w:val="20"/>
          <w:color w:val="auto"/>
        </w:rPr>
      </w:pPr>
      <w:r>
        <w:rPr>
          <w:rFonts w:ascii="Arial" w:cs="Arial" w:eastAsia="Arial" w:hAnsi="Arial"/>
          <w:sz w:val="18"/>
          <w:szCs w:val="18"/>
          <w:color w:val="auto"/>
        </w:rPr>
        <w:t>As of March 31, 2020, total unrecognized compensation expense related to unvested non</w:t>
      </w:r>
      <w:r>
        <w:rPr>
          <w:rFonts w:ascii="MS PGothic" w:cs="MS PGothic" w:eastAsia="MS PGothic" w:hAnsi="MS PGothic"/>
          <w:sz w:val="18"/>
          <w:szCs w:val="18"/>
          <w:color w:val="auto"/>
        </w:rPr>
        <w:t>‑</w:t>
      </w:r>
      <w:r>
        <w:rPr>
          <w:rFonts w:ascii="Arial" w:cs="Arial" w:eastAsia="Arial" w:hAnsi="Arial"/>
          <w:sz w:val="18"/>
          <w:szCs w:val="18"/>
          <w:color w:val="auto"/>
        </w:rPr>
        <w:t>employee stock options was less than $0.1 million, which is expected to be recognized over a weighted average period of 0.2 years.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66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following table summarizes the activity under the 2008 Plan, 2016 Plan, and 2018 Inducement Incentive Award Plan: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100"/>
              <w:spacing w:after="0" w:line="161" w:lineRule="exact"/>
              <w:rPr>
                <w:sz w:val="20"/>
                <w:szCs w:val="20"/>
                <w:color w:val="auto"/>
              </w:rPr>
            </w:pPr>
            <w:r>
              <w:rPr>
                <w:rFonts w:ascii="Arial" w:cs="Arial" w:eastAsia="Arial" w:hAnsi="Arial"/>
                <w:sz w:val="14"/>
                <w:szCs w:val="14"/>
                <w:b w:val="1"/>
                <w:bCs w:val="1"/>
                <w:color w:val="auto"/>
                <w:w w:val="93"/>
              </w:rPr>
              <w:t>Weighted</w:t>
            </w:r>
            <w:r>
              <w:rPr>
                <w:rFonts w:ascii="MS PGothic" w:cs="MS PGothic" w:eastAsia="MS PGothic" w:hAnsi="MS PGothic"/>
                <w:sz w:val="14"/>
                <w:szCs w:val="14"/>
                <w:b w:val="1"/>
                <w:bCs w:val="1"/>
                <w:color w:val="auto"/>
                <w:w w:val="93"/>
              </w:rPr>
              <w:t>‑</w:t>
            </w:r>
            <w:r>
              <w:rPr>
                <w:rFonts w:ascii="Arial" w:cs="Arial" w:eastAsia="Arial" w:hAnsi="Arial"/>
                <w:sz w:val="14"/>
                <w:szCs w:val="14"/>
                <w:b w:val="1"/>
                <w:bCs w:val="1"/>
                <w:color w:val="auto"/>
                <w:w w:val="93"/>
              </w:rPr>
              <w:t>average</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70"/>
        </w:trPr>
        <w:tc>
          <w:tcPr>
            <w:tcW w:w="46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remaining</w:t>
            </w:r>
          </w:p>
        </w:tc>
        <w:tc>
          <w:tcPr>
            <w:tcW w:w="220" w:type="dxa"/>
            <w:vAlign w:val="bottom"/>
          </w:tcPr>
          <w:p>
            <w:pPr>
              <w:spacing w:after="0"/>
              <w:rPr>
                <w:sz w:val="23"/>
                <w:szCs w:val="23"/>
                <w:color w:val="auto"/>
              </w:rPr>
            </w:pPr>
          </w:p>
        </w:tc>
        <w:tc>
          <w:tcPr>
            <w:tcW w:w="1340" w:type="dxa"/>
            <w:vAlign w:val="bottom"/>
          </w:tcPr>
          <w:p>
            <w:pPr>
              <w:jc w:val="right"/>
              <w:ind w:right="388"/>
              <w:spacing w:after="0"/>
              <w:rPr>
                <w:sz w:val="20"/>
                <w:szCs w:val="20"/>
                <w:color w:val="auto"/>
              </w:rPr>
            </w:pPr>
            <w:r>
              <w:rPr>
                <w:rFonts w:ascii="Arial" w:cs="Arial" w:eastAsia="Arial" w:hAnsi="Arial"/>
                <w:sz w:val="14"/>
                <w:szCs w:val="14"/>
                <w:b w:val="1"/>
                <w:bCs w:val="1"/>
                <w:color w:val="auto"/>
              </w:rPr>
              <w:t>Aggregate</w:t>
            </w:r>
          </w:p>
        </w:tc>
      </w:tr>
      <w:tr>
        <w:trPr>
          <w:trHeight w:val="270"/>
        </w:trPr>
        <w:tc>
          <w:tcPr>
            <w:tcW w:w="4620" w:type="dxa"/>
            <w:vAlign w:val="bottom"/>
          </w:tcPr>
          <w:p>
            <w:pPr>
              <w:spacing w:after="0"/>
              <w:rPr>
                <w:sz w:val="23"/>
                <w:szCs w:val="23"/>
                <w:color w:val="auto"/>
              </w:rPr>
            </w:pPr>
          </w:p>
        </w:tc>
        <w:tc>
          <w:tcPr>
            <w:tcW w:w="1600" w:type="dxa"/>
            <w:vAlign w:val="bottom"/>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Weighted-average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23"/>
                <w:szCs w:val="23"/>
                <w:color w:val="auto"/>
              </w:rPr>
            </w:pPr>
          </w:p>
        </w:tc>
        <w:tc>
          <w:tcPr>
            <w:tcW w:w="1340" w:type="dxa"/>
            <w:vAlign w:val="bottom"/>
          </w:tcPr>
          <w:p>
            <w:pPr>
              <w:jc w:val="right"/>
              <w:ind w:right="268"/>
              <w:spacing w:after="0"/>
              <w:rPr>
                <w:sz w:val="20"/>
                <w:szCs w:val="20"/>
                <w:color w:val="auto"/>
              </w:rPr>
            </w:pPr>
            <w:r>
              <w:rPr>
                <w:rFonts w:ascii="Arial" w:cs="Arial" w:eastAsia="Arial" w:hAnsi="Arial"/>
                <w:sz w:val="14"/>
                <w:szCs w:val="14"/>
                <w:b w:val="1"/>
                <w:bCs w:val="1"/>
                <w:color w:val="auto"/>
              </w:rPr>
              <w:t>intrinsic value</w:t>
            </w:r>
          </w:p>
        </w:tc>
      </w:tr>
      <w:tr>
        <w:trPr>
          <w:trHeight w:val="276"/>
        </w:trPr>
        <w:tc>
          <w:tcPr>
            <w:tcW w:w="4620" w:type="dxa"/>
            <w:vAlign w:val="bottom"/>
          </w:tcPr>
          <w:p>
            <w:pPr>
              <w:spacing w:after="0"/>
              <w:rPr>
                <w:sz w:val="24"/>
                <w:szCs w:val="24"/>
                <w:color w:val="auto"/>
              </w:rPr>
            </w:pPr>
          </w:p>
        </w:tc>
        <w:tc>
          <w:tcPr>
            <w:tcW w:w="1600" w:type="dxa"/>
            <w:vAlign w:val="bottom"/>
          </w:tcPr>
          <w:p>
            <w:pPr>
              <w:jc w:val="right"/>
              <w:ind w:right="508"/>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exercise price ($)</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24"/>
                <w:szCs w:val="24"/>
                <w:color w:val="auto"/>
              </w:rPr>
            </w:pPr>
          </w:p>
        </w:tc>
        <w:tc>
          <w:tcPr>
            <w:tcW w:w="1340" w:type="dxa"/>
            <w:vAlign w:val="bottom"/>
          </w:tcPr>
          <w:p>
            <w:pPr>
              <w:jc w:val="right"/>
              <w:ind w:right="268"/>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Employee awards</w:t>
            </w:r>
          </w:p>
        </w:tc>
        <w:tc>
          <w:tcPr>
            <w:tcW w:w="1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spacing w:after="0"/>
              <w:rPr>
                <w:sz w:val="22"/>
                <w:szCs w:val="22"/>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Outstanding at December 31, 2019</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6,323,596</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8.71</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1,716</w:t>
            </w:r>
          </w:p>
        </w:tc>
      </w:tr>
      <w:tr>
        <w:trPr>
          <w:trHeight w:val="276"/>
        </w:trPr>
        <w:tc>
          <w:tcPr>
            <w:tcW w:w="4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1,708,309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4"/>
        </w:trPr>
        <w:tc>
          <w:tcPr>
            <w:tcW w:w="4620" w:type="dxa"/>
            <w:vAlign w:val="bottom"/>
          </w:tcPr>
          <w:p>
            <w:pPr>
              <w:ind w:left="280"/>
              <w:spacing w:after="0"/>
              <w:rPr>
                <w:sz w:val="20"/>
                <w:szCs w:val="20"/>
                <w:color w:val="auto"/>
              </w:rPr>
            </w:pPr>
            <w:r>
              <w:rPr>
                <w:rFonts w:ascii="Arial" w:cs="Arial" w:eastAsia="Arial" w:hAnsi="Arial"/>
                <w:sz w:val="14"/>
                <w:szCs w:val="14"/>
                <w:color w:val="auto"/>
              </w:rPr>
              <w:t>Exercised</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(5,128)</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0.47</w:t>
            </w: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0"/>
        </w:trPr>
        <w:tc>
          <w:tcPr>
            <w:tcW w:w="4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(753,914)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83"/>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March 31, 2020</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7,272,863</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4.44</w:t>
            </w:r>
          </w:p>
        </w:tc>
        <w:tc>
          <w:tcPr>
            <w:tcW w:w="12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8.71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1,728</w:t>
            </w:r>
          </w:p>
        </w:tc>
      </w:tr>
      <w:tr>
        <w:trPr>
          <w:trHeight w:val="156"/>
        </w:trPr>
        <w:tc>
          <w:tcPr>
            <w:tcW w:w="46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Vested at March 31, 2020</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1,822,514</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8.39</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7.01</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115</w:t>
            </w: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 and expected to vest at March 31, 2020</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6,661,467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4.61</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1,541</w:t>
            </w:r>
          </w:p>
        </w:tc>
      </w:tr>
      <w:tr>
        <w:trPr>
          <w:trHeight w:val="283"/>
        </w:trPr>
        <w:tc>
          <w:tcPr>
            <w:tcW w:w="4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4620" w:type="dxa"/>
            <w:vAlign w:val="bottom"/>
            <w:shd w:val="clear" w:color="auto" w:fill="CCEEFF"/>
          </w:tcPr>
          <w:p>
            <w:pPr>
              <w:ind w:left="40"/>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employee awards</w:t>
            </w: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Outstanding at December 31, 2019</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473,073</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6.23</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38</w:t>
            </w:r>
          </w:p>
        </w:tc>
      </w:tr>
      <w:tr>
        <w:trPr>
          <w:trHeight w:val="276"/>
        </w:trPr>
        <w:tc>
          <w:tcPr>
            <w:tcW w:w="4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4"/>
        </w:trPr>
        <w:tc>
          <w:tcPr>
            <w:tcW w:w="4620" w:type="dxa"/>
            <w:vAlign w:val="bottom"/>
          </w:tcPr>
          <w:p>
            <w:pPr>
              <w:ind w:left="280"/>
              <w:spacing w:after="0"/>
              <w:rPr>
                <w:sz w:val="20"/>
                <w:szCs w:val="20"/>
                <w:color w:val="auto"/>
              </w:rPr>
            </w:pPr>
            <w:r>
              <w:rPr>
                <w:rFonts w:ascii="Arial" w:cs="Arial" w:eastAsia="Arial" w:hAnsi="Arial"/>
                <w:sz w:val="14"/>
                <w:szCs w:val="14"/>
                <w:color w:val="auto"/>
              </w:rPr>
              <w:t>Exercised</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0"/>
        </w:trPr>
        <w:tc>
          <w:tcPr>
            <w:tcW w:w="4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83"/>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March 31, 2020</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473,073</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5.89</w:t>
            </w:r>
          </w:p>
        </w:tc>
        <w:tc>
          <w:tcPr>
            <w:tcW w:w="12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5.98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40</w:t>
            </w:r>
          </w:p>
        </w:tc>
      </w:tr>
      <w:tr>
        <w:trPr>
          <w:trHeight w:val="156"/>
        </w:trPr>
        <w:tc>
          <w:tcPr>
            <w:tcW w:w="46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Vested at March 31, 2020</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346,860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22</w:t>
            </w: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 and expected to vest at March 31, 2020</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473,073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5.89</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Unrecognized compensation expense for the restricted stock units was $0.7 million as of March 31, 2020, which is expected to be recognized over a weighted average period of 2.6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the Company’s restricted stock units: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Number of shares</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Weighted average</w:t>
            </w:r>
          </w:p>
        </w:tc>
        <w:tc>
          <w:tcPr>
            <w:tcW w:w="0" w:type="dxa"/>
            <w:vAlign w:val="bottom"/>
          </w:tcPr>
          <w:p>
            <w:pPr>
              <w:spacing w:after="0"/>
              <w:rPr>
                <w:sz w:val="1"/>
                <w:szCs w:val="1"/>
                <w:color w:val="auto"/>
              </w:rPr>
            </w:pPr>
          </w:p>
        </w:tc>
      </w:tr>
      <w:tr>
        <w:trPr>
          <w:trHeight w:val="192"/>
        </w:trPr>
        <w:tc>
          <w:tcPr>
            <w:tcW w:w="86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b w:val="1"/>
                <w:bCs w:val="1"/>
                <w:color w:val="auto"/>
                <w:w w:val="99"/>
              </w:rPr>
              <w:t>fair value ($)</w:t>
            </w:r>
          </w:p>
        </w:tc>
        <w:tc>
          <w:tcPr>
            <w:tcW w:w="0" w:type="dxa"/>
            <w:vAlign w:val="bottom"/>
          </w:tcPr>
          <w:p>
            <w:pPr>
              <w:spacing w:after="0"/>
              <w:rPr>
                <w:sz w:val="1"/>
                <w:szCs w:val="1"/>
                <w:color w:val="auto"/>
              </w:rPr>
            </w:pPr>
          </w:p>
        </w:tc>
      </w:tr>
      <w:tr>
        <w:trPr>
          <w:trHeight w:val="256"/>
        </w:trPr>
        <w:tc>
          <w:tcPr>
            <w:tcW w:w="8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Unvested at December 31, 2019</w:t>
            </w: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181,250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Granted</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10,937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Forfeited</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8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Unvested at March 31, 2020</w:t>
            </w:r>
          </w:p>
        </w:tc>
        <w:tc>
          <w:tcPr>
            <w:tcW w:w="12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170,313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June 7, 2016, the Company’s stockholders approved the 2016 Employee Stock Purchase Plan (the “ESPP”), which became effective June 21, 2016. The ESPP is intended to qualify as an "employee stock purchase plan" under Section 423 of the Internal Revenue Code of 1986 with the purpose of providing employees with an opportunity to purchase the Company's common stock through accumulated payroll deductions.</w:t>
      </w:r>
    </w:p>
    <w:p>
      <w:pPr>
        <w:spacing w:after="0" w:line="165" w:lineRule="exact"/>
        <w:rPr>
          <w:sz w:val="20"/>
          <w:szCs w:val="20"/>
          <w:color w:val="auto"/>
        </w:rPr>
      </w:pPr>
    </w:p>
    <w:p>
      <w:pPr>
        <w:ind w:right="120"/>
        <w:spacing w:after="0" w:line="230" w:lineRule="auto"/>
        <w:rPr>
          <w:sz w:val="20"/>
          <w:szCs w:val="20"/>
          <w:color w:val="auto"/>
        </w:rPr>
      </w:pPr>
      <w:r>
        <w:rPr>
          <w:rFonts w:ascii="Arial" w:cs="Arial" w:eastAsia="Arial" w:hAnsi="Arial"/>
          <w:sz w:val="17"/>
          <w:szCs w:val="17"/>
          <w:color w:val="auto"/>
        </w:rPr>
        <w:t>Under the ESPP, the Company has set two six-month offering periods during each calendar year, one beginning March 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and the other beginning September 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of each calendar year, during which employees may elect to have up to 25% of their eligible compensation deducted on each payday on an after-tax basis for use in purchasing the Company's common stock on the last trading day of each offering period, subject to limits imposed by the Internal Revenue Code. The purchase price of the shares may not be less than 85% of the fair market value on the first or last trading day of the offering period, whichever is lower. The first ESPP offering period began on March 1, 2017.</w:t>
      </w:r>
    </w:p>
    <w:p>
      <w:pPr>
        <w:spacing w:after="0" w:line="20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At inception of the ESPP, a total of 173,076 shares of common stock were authorized and reserved for future issuance under the ESPP. The number of shares of common stock that may be issued under the ESPP will automatically increase on the first day of each calendar year, beginning in 2017 and ending in and including 2026, by an amount equal to the lesser of: (i) 1% of the</w:t>
      </w:r>
    </w:p>
    <w:p>
      <w:pPr>
        <w:sectPr>
          <w:pgSz w:w="11900" w:h="16838" w:orient="portrait"/>
          <w:cols w:equalWidth="0" w:num="1">
            <w:col w:w="11240"/>
          </w:cols>
          <w:pgMar w:left="320" w:top="665" w:right="339" w:bottom="75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665" w:right="339" w:bottom="750" w:gutter="0" w:footer="0" w:header="0"/>
          <w:type w:val="continuous"/>
        </w:sectPr>
      </w:pPr>
    </w:p>
    <w:bookmarkStart w:id="27" w:name="page28"/>
    <w:bookmarkEnd w:id="27"/>
    <w:p>
      <w:pPr>
        <w:ind w:right="140"/>
        <w:spacing w:after="0" w:line="257" w:lineRule="auto"/>
        <w:rPr>
          <w:sz w:val="20"/>
          <w:szCs w:val="20"/>
          <w:color w:val="auto"/>
        </w:rPr>
      </w:pPr>
      <w:r>
        <w:rPr>
          <w:rFonts w:ascii="Arial" w:cs="Arial" w:eastAsia="Arial" w:hAnsi="Arial"/>
          <w:sz w:val="18"/>
          <w:szCs w:val="18"/>
          <w:color w:val="auto"/>
        </w:rPr>
        <w:t>number of shares of the Company’s common stock outstanding on the last day of the applicable preceding calendar year and (ii) such smaller number of shares as is determined by the Company’s Board of Directors. During the three months ended March 31, 2020 and 2019, the number of shares of common stock that may be issued under the ESPP was increased by 863,254 shares and 224,717 shares, respectively. During the three months ended March 31, 2020, the Company issued 78,583 shares of common stock under the ESPP. As of March 31, 2020, 1,532,077 shares remain available for future issuance under the ESPP.</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each of the three months ended March 31, 2020 and 2019, the Company recognized less than $0.1 million of stock-based compensation expense under the ESPP.</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recorded stock-based compensation expense related to stock option awards, restricted stock units and the ESPP in the following expense categories of its consolidated statements of operations and comprehensive loss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263"/>
        </w:trPr>
        <w:tc>
          <w:tcPr>
            <w:tcW w:w="79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r>
      <w:tr>
        <w:trPr>
          <w:trHeight w:val="256"/>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623</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w:t>
            </w: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General and administrative</w:t>
            </w:r>
          </w:p>
        </w:tc>
        <w:tc>
          <w:tcPr>
            <w:tcW w:w="10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786</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661</w:t>
            </w:r>
          </w:p>
        </w:tc>
      </w:tr>
      <w:tr>
        <w:trPr>
          <w:trHeight w:val="243"/>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stock-based compensation expense</w:t>
            </w: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1,180</w:t>
            </w:r>
          </w:p>
        </w:tc>
      </w:tr>
      <w:tr>
        <w:trPr>
          <w:trHeight w:val="20"/>
        </w:trPr>
        <w:tc>
          <w:tcPr>
            <w:tcW w:w="7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600" w:firstLine="8"/>
        <w:spacing w:after="0" w:line="566" w:lineRule="auto"/>
        <w:tabs>
          <w:tab w:leader="none" w:pos="27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Revenue Arrangements Asklepios Biopharmaceutical, Inc.</w:t>
      </w:r>
    </w:p>
    <w:p>
      <w:pPr>
        <w:spacing w:after="0"/>
        <w:rPr>
          <w:sz w:val="20"/>
          <w:szCs w:val="20"/>
          <w:color w:val="auto"/>
        </w:rPr>
      </w:pPr>
      <w:r>
        <w:rPr>
          <w:rFonts w:ascii="Arial" w:cs="Arial" w:eastAsia="Arial" w:hAnsi="Arial"/>
          <w:sz w:val="18"/>
          <w:szCs w:val="18"/>
          <w:i w:val="1"/>
          <w:iCs w:val="1"/>
          <w:color w:val="auto"/>
        </w:rPr>
        <w:t>License Agreement for Pompe Disease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December 17, 2019, the Company and AskBio entered into a License Agreement, referred to as the AskBio License Agreement. Pursuant to the AskBio License Agreement, AskBio has exercised its option to exclusively license the Company’s intellectual property rights covering the Company’s ImmTOR platform to research, develop, and commercialize certain AAV gene therapy products utilizing ImmTOR, and targeting the GAA gene, or derivatives thereof, to treat Pompe Disease.</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Pursuant to the AskBio License Agreement and ancillary documents, AskBio agreed to pay to the Company upfront fees of an aggregate of $7.0 million. Assuming successful development and commercialization, the Company could receive up to an additional $237.0 million in development, regulatory, and sales milestone payments. If commercialized, the Company would be eligible to receive tiered royalties on global net sales at percentages ranging from mid-to-high single digits. Under the terms of the agreement, the Company will be eligible to receive these royalties commencing on the first commercial sale of the licensed product until the expiration of the later of (i) ten years after the first commercial sale and (ii) expiration of the last to expire valid claim on patents covering the licensed product.</w:t>
      </w:r>
    </w:p>
    <w:p>
      <w:pPr>
        <w:spacing w:after="0" w:line="19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Pursuant to the AskBio License Agreement, the Company will supply AskBio with its ImmTOR platform ("Supply Obligation") and AskBio will be responsible for all preclinical, clinical and commercial manufacture and supply of licensed products (other than ImmTOR) and carry out all other activities related to the research, development, and commercialization of licensed products at its sole expense, including all regulatory activities related thereto.</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determined that the AskBio License was not capable of being distinct from the Supply Obligation. The Company has concluded that AskBio cannot derive benefit from the license without the simultaneous transfer of the patent protected ImmTOR supply. Therefore, the License Obligation and Supply Obligation represent the only promise in the arrangement and are combined as a single performance obligation (the “AskBio License and Supply Obligation”).</w:t>
      </w:r>
    </w:p>
    <w:p>
      <w:pPr>
        <w:spacing w:after="0" w:line="18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determining the transaction price, the Company concluded that the future development milestones, regulatory milestones, sales milestones, and sales royalties all represent variable consideration.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milestones is outside the control of the Company. Consideration related to sales-based milestones as well as royalties on net sales upon commercialization by AskBio, will be recognized when the related sales occur, as they were determined to relate predominantly to the intellectual property granted to AskBio and, therefore, have also been excluded from the transaction price in accordance with the royalty recognition constraint. As of March 31, 2020 and December 31, 2019, all milestones were constrained. The Company will re-evaluate the transaction price in each reporting period, as uncertain events are resolved, or as other changes in circumstances occur.</w:t>
      </w:r>
    </w:p>
    <w:p>
      <w:pPr>
        <w:spacing w:after="0" w:line="16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total initial transaction price of the contract on the effective date was $7.0 million, comprised of a $2.0 million initial up-front payment upon agreement of terms, and a $5.0 million initial up-front execution fee.</w:t>
      </w:r>
    </w:p>
    <w:p>
      <w:pPr>
        <w:sectPr>
          <w:pgSz w:w="11900" w:h="16838" w:orient="portrait"/>
          <w:cols w:equalWidth="0" w:num="1">
            <w:col w:w="11240"/>
          </w:cols>
          <w:pgMar w:left="320" w:top="665"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665" w:right="339" w:bottom="1440" w:gutter="0" w:footer="0" w:header="0"/>
          <w:type w:val="continuous"/>
        </w:sectPr>
      </w:pPr>
    </w:p>
    <w:bookmarkStart w:id="28" w:name="page29"/>
    <w:bookmarkEnd w:id="28"/>
    <w:p>
      <w:pPr>
        <w:ind w:right="580"/>
        <w:spacing w:after="0" w:line="277" w:lineRule="auto"/>
        <w:rPr>
          <w:sz w:val="20"/>
          <w:szCs w:val="20"/>
          <w:color w:val="auto"/>
        </w:rPr>
      </w:pPr>
      <w:r>
        <w:rPr>
          <w:rFonts w:ascii="Arial" w:cs="Arial" w:eastAsia="Arial" w:hAnsi="Arial"/>
          <w:sz w:val="18"/>
          <w:szCs w:val="18"/>
          <w:color w:val="auto"/>
        </w:rPr>
        <w:t>As of March 31, 2020 and December 31, 2019, the Company recorded $1.7 million as a short-term contract liability and $5.3 million as a long-term contract liability representing deferred revenue associated with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Spark Therapeutics,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Spark License Agreement</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December 2016, the Company entered into a License and Option Agreement (“Spark License Agreement”) with Spark Therapeutics, Inc. (“Spark”) pursuant to which the Company and Spark agreed to collaborate on the development of gene therapies for certain targets utilizing the ImmTOR platform. The Spark License Agreement provides Spark with certain exclusive, worldwide, royalty bearing licenses to the Company’s intellectual property, allowing Spark to develop and commercialize gene therapies in combination with ImmTOR for an initial identified target.</w:t>
      </w:r>
    </w:p>
    <w:p>
      <w:pPr>
        <w:spacing w:after="0" w:line="17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addition to an upfront cash payment of $10.0 million under the Spark License Agreement, additional payments of an aggregate of $5.0 million in two payments of $2.5 million each were paid within twelve months of December 2, 2016 (“Contract Date”). The first of the two additional payments was scheduled to be made on or before May 31, 2017 (the “May 2017 License Payment”) (see “Spark Letter Agreement” below) and the second was made on October 31, 2017. Spark may also exercise options to research, develop and commercialize gene therapies utilizing the ImmTOR platform for up to four additional targets. The Company was eligible to receive a variable fee up to $2.0 million for each additional target option elected, dependent on the incidence of the applicable indication. The election period in which Spark could have exercised additional targets under the Spark License Agreement was a term of three years from the Contract Date, which expired on December 1, 2019.</w:t>
      </w:r>
    </w:p>
    <w:p>
      <w:pPr>
        <w:spacing w:after="0" w:line="17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Assuming successful development and commercialization, the Company could receive up to an additional $65.0 million in development and regulatory milestone payments and $365.0 million in commercialization milestone payments for each indication. If commercialized, the Company would be eligible to receive tiered royalties on global net sales at percentages ranging from mid-single to low-double digits, all of which apply on a target-by-target basis. Under the terms of the agreement, the Company will be eligible to receive these royalties commencing on the first commercial sale of the licensed product and terminating upon the later of (i) ten years after the first commercial sale, (ii) expiration of the last to expire valid claim on patents covering the jointly invented field specific improvements, or (iii) the expiration of regulatory exclusivity in the applicable country for the licensed product.</w:t>
      </w:r>
    </w:p>
    <w:p>
      <w:pPr>
        <w:spacing w:after="0" w:line="16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Spark License Agreement may be terminated by Spark for convenience upon ninety days’ notice. Either party may terminate the Spark License Agreement on a target-by-target basis for material breach with respect to such target.</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December 2016, the Company also entered into a Share Purchase Agreement (the “Spark Purchase Agreement”) with Spark. Pursuant to the Spark Purchase Agreement, the Company sold 197,238 shares of the Company’s common stock to Spark for gross proceeds of $5.0 million, or $25.35 per share of common stock, at an initial closing (the “Initial Closing”). The purchase price per share represents an amount equal to 115% of the average daily volume weighted average price (“VWAP”) of the common stock during the thirty consecutive calendar days leading up to and ending on the day prior to the Contract Date.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Beyond the Initial Closing, the Spark Purchase Agreement contemplated potential future sales of shares by the Company to Spark as follows:</w:t>
      </w:r>
    </w:p>
    <w:p>
      <w:pPr>
        <w:spacing w:after="0" w:line="237" w:lineRule="exact"/>
        <w:rPr>
          <w:sz w:val="20"/>
          <w:szCs w:val="20"/>
          <w:color w:val="auto"/>
        </w:rPr>
      </w:pPr>
    </w:p>
    <w:p>
      <w:pPr>
        <w:ind w:left="660" w:right="46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First Acquisition Right. During the period beginning on May 1, 2017 and ending on June 1, 2017, Spark had the right (the “First Acquisition Right”) to purchase a number of shares of common stock equal to an aggregate price of $5.0 million. See "Spark Letter Agreement" below.</w:t>
      </w:r>
    </w:p>
    <w:p>
      <w:pPr>
        <w:spacing w:after="0" w:line="123" w:lineRule="exact"/>
        <w:rPr>
          <w:rFonts w:ascii="Arial" w:cs="Arial" w:eastAsia="Arial" w:hAnsi="Arial"/>
          <w:sz w:val="16"/>
          <w:szCs w:val="16"/>
          <w:color w:val="auto"/>
        </w:rPr>
      </w:pPr>
    </w:p>
    <w:p>
      <w:pPr>
        <w:ind w:left="660" w:right="40" w:hanging="328"/>
        <w:spacing w:after="0" w:line="27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Second Acquisition Right. During the period beginning on October 1, 2017 and ending on November 1, 2017, Spark had the right (the “Second Acquisition Right”) to purchase a number of shares of common stock equal to an aggregate price of $5.0 million. On October 31, 2017 Spark exercised this right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First Acquisition Rights and Second Acquisition Rights are collectively referred to herein as the “Acquisition Rights”.</w:t>
      </w:r>
    </w:p>
    <w:p>
      <w:pPr>
        <w:spacing w:after="0" w:line="22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Under the Spark Purchase Agreement, Spark agreed not to dispose of any of the shares acquired at either the Initial Closing or the from the subsequent Acquisition Rights that it may acquire until January 1, 2018 and, thereafter, transfers are contractually subject to volume limitations applicable to an “affiliate” under Rule 144 of the Securities Act.</w:t>
      </w:r>
    </w:p>
    <w:p>
      <w:pPr>
        <w:spacing w:after="0" w:line="18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connection with the Spark License Agreement and Spark Purchase Agreement, the Company has made contractual payments defined in the MIT license agreement (see Note 14) totaling $2.2 million for the MIT sub-license provided to Spark, and $0.4 million relative to the calculated premium paid by Spark for the equity investments made under the Spark Purchase Agreement.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665" w:right="339" w:bottom="1440" w:gutter="0" w:footer="0" w:header="0"/>
        </w:sectPr>
      </w:pPr>
    </w:p>
    <w:bookmarkStart w:id="29" w:name="page30"/>
    <w:bookmarkEnd w:id="29"/>
    <w:p>
      <w:pPr>
        <w:spacing w:after="0" w:line="269" w:lineRule="auto"/>
        <w:rPr>
          <w:sz w:val="20"/>
          <w:szCs w:val="20"/>
          <w:color w:val="auto"/>
        </w:rPr>
      </w:pPr>
      <w:r>
        <w:rPr>
          <w:rFonts w:ascii="Arial" w:cs="Arial" w:eastAsia="Arial" w:hAnsi="Arial"/>
          <w:sz w:val="17"/>
          <w:szCs w:val="17"/>
          <w:color w:val="auto"/>
        </w:rPr>
        <w:t>The terms of the Spark Purchase Agreement and the Spark License Agreement were negotiated at the same time between the parties and the terms of the Spark Purchase Agreement are referenced in the Spark License Agreement in multiple sections. The pricing and terms of the agreements are unique and must be considered in contemplation with each other. There are provisions within the Spark License Agreement that link to the Spark Purchase Agreement related to provisions that constitute a material breach of the license agreement. Therefore, the Company concluded that the two agreements must be combined and evaluated as a single agreement. While the Spark Purchase Agreement and the Spark License agreement are considered to be a single agreement, the Company determined that the purchase of common stock and future acquisition rights are not within the scope of ASC 606. The Company determined that the initial purchase of common stock combined with the embedded future stock Acquisition Rights had a fair value of $2.7 million and this amount was recorded in equity as of the effective date. The remaining $2.3 million of cash received in exchange for the stock and acquisition rights is included in allocable consideration, as this represents the premium paid by Spark on the purchase of common stock, and should be allocated to the remaining performance obligations.</w:t>
      </w:r>
    </w:p>
    <w:p>
      <w:pPr>
        <w:spacing w:after="0" w:line="18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identified the following components of the agreement: (1) certain exclusive, worldwide, royalty bearing licenses to the Company’s intellectual property and a license to conduct certain research activities under the collaboration, (the "Spark License"), (2) options to research, develop and commercialize gene therapies utilizing the ImmTOR platform for up to four additional target therapy options, (the "Option Obligation"), (3) manufactured supply of ImmTOR, (the "Supply Obligation") at a discount. In exchange, the Company received an upfront payment of $15.0 million and is eligible to receive additional payments of up to $35.0 million based on the achievement by Spark of future specified development milestones, up to $30.0 million based on the achievement by Spark of future specified regulatory milestones, up to $110.0 million based on the achievement by Spark of future specified commercial milestones, and up to $255.0 million based on the achievement by Spark of future specified sales milestones. The Company will also be eligible to receive tiered royalty payments that reach low double-digits based on future net sales for the duration of the royalty term.</w:t>
      </w:r>
    </w:p>
    <w:p>
      <w:pPr>
        <w:spacing w:after="0" w:line="16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Company determined that the Spark License and Supply Obligation represent a single promise and performance obligation (the “Combined License and Supply Obligation”). This is because Spark cannot derive benefit from the license without the simultaneous transfer of the patent protected ImmTOR supply. The Company also determined that the Target Options, which includes the related Supply Obligation, provides the customer with a material right and is considered a performance obligation in the arrangement since it was priced at an incremental discount. Therefore, the Company determined that the Spark agreement contains five distinct performance obligations: the Combined License and Supply Obligation, and the four separate Target Options.</w:t>
      </w:r>
    </w:p>
    <w:p>
      <w:pPr>
        <w:spacing w:after="0" w:line="16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In determining the transaction price, the Company considered the future development milestones, regulatory milestones, commercial milestones, sales milestone, and sales royalties all represent variable consideration.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milestones is outside the control of the Company. Separately, any consideration related to sales-based milestones as well as royalties on net sales upon commercialization by Spark, will be recognized when the related sales occur as they were determined to relate predominantly to the intellectual property granted to Spark and, therefore, have also been excluded from the transaction price in accordance with the royalty recognition constraint. As of March 31, 2020, all future milestones are constrained. The Company will re-evaluate the transaction price in each reporting period, as uncertain events are resolved, or as other changes in circumstances occur.</w:t>
      </w:r>
    </w:p>
    <w:p>
      <w:pPr>
        <w:spacing w:after="0" w:line="1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determined that the up-front payment of $12.3 million ($15.0 million, less fair value of the equity totaling $2.7 million as discussed above) was included in the transaction price and was allocated to the performance obligations based on the Company’s best estimate of their relative stand-alone selling prices. The Company allocated $7.1 million to the Combined License and Supply Obligation and $5.2 million to the discount on the Target Options ($1.3 million for each option) using the relative standalone selling price method to each obligation. The standalone selling price for the Combined License and Supply Obligation was determined using a discounted cash flow model. The standalone selling price for the Target Options were determined based on the fair value of the license minus the strike price of the option (the probability of exercise was included in the valuation) as well as the estimated discount of the Supply Obligation.</w:t>
      </w:r>
    </w:p>
    <w:p>
      <w:pPr>
        <w:spacing w:after="0" w:line="1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estimated proceeds expected to be received from the sale of the Supply Obligation were also included in the transaction price for the Combined License and Supply Obligation. The total consideration allocated to the Combined License and Supply Obligation will be recognized using the output method, based on the proportion of actual deliveries to the total expected deliveries over the initial term which was initially estimated to be approximately four years.</w:t>
      </w:r>
    </w:p>
    <w:p>
      <w:pPr>
        <w:spacing w:after="0" w:line="187"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On December 1, 2019, the term for Spark to exercise additional target options expired; the Company recognized $6.7 million in revenue from deferred revenue as originally allocated. In addition, during the year ended December 31, 2019, there were two deliveries resulting in less than $0.1 million of revenue recognized. No revenue related to the Spark License Agreement was recognized during the three months ended March 31, 2020.</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665" w:right="379" w:bottom="1440" w:gutter="0" w:footer="0" w:header="0"/>
        </w:sectPr>
      </w:pPr>
    </w:p>
    <w:bookmarkStart w:id="30" w:name="page31"/>
    <w:bookmarkEnd w:id="30"/>
    <w:p>
      <w:pPr>
        <w:ind w:right="620"/>
        <w:spacing w:after="0" w:line="277" w:lineRule="auto"/>
        <w:rPr>
          <w:sz w:val="20"/>
          <w:szCs w:val="20"/>
          <w:color w:val="auto"/>
        </w:rPr>
      </w:pPr>
      <w:r>
        <w:rPr>
          <w:rFonts w:ascii="Arial" w:cs="Arial" w:eastAsia="Arial" w:hAnsi="Arial"/>
          <w:sz w:val="18"/>
          <w:szCs w:val="18"/>
          <w:color w:val="auto"/>
        </w:rPr>
        <w:t>As of March 31, 2020 and December 31, 2019, there was a contract liability of $9.2 million representing deferred revenue presented as non-current associated with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Spark Letter Agreement</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June 6, 2017, the Company and Spark entered into a letter agreement (the “Letter Agreement”), pursuant to which the parties agreed that Spark would make the May 2017 License Payment by June 6, 2017. The May 2017 License Payment was received, and recorded as a liability as of June 30, 2017, of which some or all may potentially constitute the reimbursement described below. The parties also agreed that Spark would be deemed to have delivered notice on May 31, 2017 exercising its right to purchase the shares pursuant to the First Acquisition Right. The Letter Agreement further outlines a cost reimbursement arrangement, pursuant to which the Company agreed to reimburse Spark for all costs and expenses, including the cost of materials provided by the Company, associated with the preclinical research and toxicology studies being performed by Spark for any licensed products for a specified amount of time (the “Reimbursement Period”), in an amount not to exceed $2.5 million.</w:t>
      </w:r>
    </w:p>
    <w:p>
      <w:pPr>
        <w:spacing w:after="0" w:line="17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Consistent with the First Acquisition Right, Spark purchased 324,362 shares of common stock pursuant to the Spark Purchase Agreement, as amended by the Letter Agreement, for an aggregate purchase price of $5.0 million, or $15.41 per share of common stock. The purchase price per share represents an amount equal to 115.0% of the average daily VWAP of the common stock during the thirty consecutive calendar days leading up to and ending on the day prior to the First Acquisition Right notification date. At the initial contract assessment, the Company allocated $2.7 million to equity (representing the fair value of the initial purchase of common stock combined with the embedded future stock Acquisition Rights). Upon exercise of the First Acquisition Right, the Company recorded the purchase amount to stockholders</w:t>
      </w:r>
      <w:r>
        <w:rPr>
          <w:rFonts w:ascii="Arial" w:cs="Arial" w:eastAsia="Arial" w:hAnsi="Arial"/>
          <w:sz w:val="15"/>
          <w:szCs w:val="15"/>
          <w:b w:val="1"/>
          <w:bCs w:val="1"/>
          <w:color w:val="auto"/>
        </w:rPr>
        <w:t>’</w:t>
      </w:r>
      <w:r>
        <w:rPr>
          <w:rFonts w:ascii="Arial" w:cs="Arial" w:eastAsia="Arial" w:hAnsi="Arial"/>
          <w:sz w:val="17"/>
          <w:szCs w:val="17"/>
          <w:color w:val="auto"/>
        </w:rPr>
        <w:t xml:space="preserve"> equity (deficit).</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determined that the Letter Agreement resulted in a modification to the original agreement. The amount received totaling $2.5 million and the reimbursements pursuant to the Letter Agreement totaling $2.5 million were both included in the transaction price, and a liability was recorded for the amount expected to be repaid. As repayments were made, the underlying liability was reduced. To the extent that an amount was expected to be applied towards the clinical supply obligation, the analysis of variable consideration was updated accordingly.</w:t>
      </w:r>
    </w:p>
    <w:p>
      <w:pPr>
        <w:spacing w:after="0" w:line="171"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On October 31, 2017, Spark paid the Company a $2.5 million milestone payment pursuant to the Spark License Agreement, which was included in the transaction price and allocated to the performance obligations using the relative standalone selling price. In addition, Spark exercised the Second Acquisition Right set forth in Section 2.4 of the Spark Purchase Agreement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16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On June 5, 2019, the term of the Reimbursement Period under the Letter Agreement expired. During the year ended December 31, 2019, the Company updated its estimate of variable consideration included in the transaction price to include $1.2 million of unpaid reimbursements to Spark.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Skolkovo Foundation</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has received grant funding from the Russia-based Development Fund of New Technologies Development and Commercialization Center ("Skolkovo"). From grant inception through March 31, 2020, the Company received $2.0 million from Skolkovo.</w:t>
      </w:r>
    </w:p>
    <w:p>
      <w:pPr>
        <w:spacing w:after="0" w:line="170"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Based on the guidance in ASC 606, the Company concluded that the entire $2.0 million of grant funds received from Skolkovo is variable consideration. Although the Company believes it has an enforceable right to the amounts received, there is risk that an audit could result in the Company needing to refund certain amounts back to Skolkovo, resulting in variability in the transaction price. The Company utilized the “expected value” approach in determining the amount that can be recognized. The Company estimated that it will be entitled to revenue of $1.8 million from the Skolkovo grant, and recorded this amount. The remainder of $0.2 million was recorded as a contract liability.</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year ended December 31, 2018, the Company made a decision to cease work relating to the Skolkovo grant. As a result, Skolkovo performed a formal review of project expenses incurred by the Company. Skolkovo concluded that the Company should (i) return unused grant funds to Skolkovo in the amount of less than $0.1 million and (ii) reimburse $0.1 million of costs deemed to have been overspent relative to the cost share requirement stipulated in the grant.</w:t>
      </w:r>
    </w:p>
    <w:p>
      <w:pPr>
        <w:spacing w:after="0" w:line="18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As of March 31, 2020, a contract liability of $0.1 million remains on the balance sheet and will not be recognized as revenue until the expiration of the three-year audit period, expected April 2021, or sooner, if resolution is reached with Skolkovo or there is a change in the estimate.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665" w:right="35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Remaining performance obligations represent the transaction price of contracts for which work has not been performed (or has been partially performed).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the aggregate amount of the transaction price allocated to remaining performance obligations was $16.3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 (</w:t>
      </w:r>
      <w:r>
        <w:rPr>
          <w:rFonts w:ascii="Arial" w:cs="Arial" w:eastAsia="Arial" w:hAnsi="Arial"/>
          <w:sz w:val="18"/>
          <w:szCs w:val="18"/>
          <w:i w:val="1"/>
          <w:iCs w:val="1"/>
          <w:color w:val="auto"/>
        </w:rPr>
        <w:t>AskBio, Spark and Skolkovo Foundation</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contract liabilities during the three months ended March 31, 2020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Balance at</w:t>
            </w:r>
          </w:p>
        </w:tc>
        <w:tc>
          <w:tcPr>
            <w:tcW w:w="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right"/>
              <w:ind w:right="548"/>
              <w:spacing w:after="0"/>
              <w:rPr>
                <w:sz w:val="20"/>
                <w:szCs w:val="20"/>
                <w:color w:val="auto"/>
              </w:rPr>
            </w:pPr>
            <w:r>
              <w:rPr>
                <w:rFonts w:ascii="Arial" w:cs="Arial" w:eastAsia="Arial" w:hAnsi="Arial"/>
                <w:sz w:val="14"/>
                <w:szCs w:val="14"/>
                <w:b w:val="1"/>
                <w:bCs w:val="1"/>
                <w:color w:val="auto"/>
              </w:rPr>
              <w:t>Balance at</w:t>
            </w:r>
          </w:p>
        </w:tc>
      </w:tr>
      <w:tr>
        <w:trPr>
          <w:trHeight w:val="276"/>
        </w:trPr>
        <w:tc>
          <w:tcPr>
            <w:tcW w:w="3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beginning of period</w:t>
            </w:r>
          </w:p>
        </w:tc>
        <w:tc>
          <w:tcPr>
            <w:tcW w:w="380" w:type="dxa"/>
            <w:vAlign w:val="bottom"/>
          </w:tcPr>
          <w:p>
            <w:pPr>
              <w:spacing w:after="0"/>
              <w:rPr>
                <w:sz w:val="23"/>
                <w:szCs w:val="23"/>
                <w:color w:val="auto"/>
              </w:rPr>
            </w:pPr>
          </w:p>
        </w:tc>
        <w:tc>
          <w:tcPr>
            <w:tcW w:w="1660" w:type="dxa"/>
            <w:vAlign w:val="bottom"/>
            <w:gridSpan w:val="2"/>
          </w:tcPr>
          <w:p>
            <w:pPr>
              <w:ind w:left="280"/>
              <w:spacing w:after="0"/>
              <w:rPr>
                <w:sz w:val="20"/>
                <w:szCs w:val="20"/>
                <w:color w:val="auto"/>
              </w:rPr>
            </w:pPr>
            <w:r>
              <w:rPr>
                <w:rFonts w:ascii="Arial" w:cs="Arial" w:eastAsia="Arial" w:hAnsi="Arial"/>
                <w:sz w:val="14"/>
                <w:szCs w:val="14"/>
                <w:b w:val="1"/>
                <w:bCs w:val="1"/>
                <w:color w:val="auto"/>
              </w:rPr>
              <w:t>Additions</w:t>
            </w:r>
          </w:p>
        </w:tc>
        <w:tc>
          <w:tcPr>
            <w:tcW w:w="340" w:type="dxa"/>
            <w:vAlign w:val="bottom"/>
          </w:tcPr>
          <w:p>
            <w:pPr>
              <w:spacing w:after="0"/>
              <w:rPr>
                <w:sz w:val="23"/>
                <w:szCs w:val="23"/>
                <w:color w:val="auto"/>
              </w:rPr>
            </w:pP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23"/>
                <w:szCs w:val="23"/>
                <w:color w:val="auto"/>
              </w:rPr>
            </w:pPr>
          </w:p>
        </w:tc>
        <w:tc>
          <w:tcPr>
            <w:tcW w:w="1580" w:type="dxa"/>
            <w:vAlign w:val="bottom"/>
          </w:tcPr>
          <w:p>
            <w:pPr>
              <w:jc w:val="right"/>
              <w:ind w:right="468"/>
              <w:spacing w:after="0"/>
              <w:rPr>
                <w:sz w:val="20"/>
                <w:szCs w:val="20"/>
                <w:color w:val="auto"/>
              </w:rPr>
            </w:pPr>
            <w:r>
              <w:rPr>
                <w:rFonts w:ascii="Arial" w:cs="Arial" w:eastAsia="Arial" w:hAnsi="Arial"/>
                <w:sz w:val="14"/>
                <w:szCs w:val="14"/>
                <w:b w:val="1"/>
                <w:bCs w:val="1"/>
                <w:color w:val="auto"/>
              </w:rPr>
              <w:t>end of period</w:t>
            </w:r>
          </w:p>
        </w:tc>
      </w:tr>
      <w:tr>
        <w:trPr>
          <w:trHeight w:val="264"/>
        </w:trPr>
        <w:tc>
          <w:tcPr>
            <w:tcW w:w="3280" w:type="dxa"/>
            <w:vAlign w:val="bottom"/>
          </w:tcPr>
          <w:p>
            <w:pPr>
              <w:ind w:left="40"/>
              <w:spacing w:after="0"/>
              <w:rPr>
                <w:sz w:val="20"/>
                <w:szCs w:val="20"/>
                <w:color w:val="auto"/>
              </w:rPr>
            </w:pPr>
            <w:r>
              <w:rPr>
                <w:rFonts w:ascii="Arial" w:cs="Arial" w:eastAsia="Arial" w:hAnsi="Arial"/>
                <w:sz w:val="14"/>
                <w:szCs w:val="14"/>
                <w:b w:val="1"/>
                <w:bCs w:val="1"/>
                <w:color w:val="auto"/>
              </w:rPr>
              <w:t>Three Months Ended March 31, 2020</w:t>
            </w:r>
          </w:p>
        </w:tc>
        <w:tc>
          <w:tcPr>
            <w:tcW w:w="22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r>
      <w:tr>
        <w:trPr>
          <w:trHeight w:val="276"/>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Contract liabilities:</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4"/>
        </w:trPr>
        <w:tc>
          <w:tcPr>
            <w:tcW w:w="32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Deferred revenue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16,354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16,330</w:t>
            </w:r>
          </w:p>
        </w:tc>
      </w:tr>
      <w:tr>
        <w:trPr>
          <w:trHeight w:val="243"/>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contract liabilities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16,354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16,330</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13. Related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Services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incurred expenses for consulting services provided by its founders totaling $0.1 million during each of the three months ended March 31, 2020 and 2019. The Company entered into consulting agreements with its founders to serve on its Scientific Advisory Board, effective January 1, 2020 to December 31, 2021, under which they will be paid quarterly for their services.</w:t>
      </w:r>
    </w:p>
    <w:p>
      <w:pPr>
        <w:spacing w:after="0" w:line="180" w:lineRule="exact"/>
        <w:rPr>
          <w:sz w:val="20"/>
          <w:szCs w:val="20"/>
          <w:color w:val="auto"/>
        </w:rPr>
      </w:pPr>
    </w:p>
    <w:p>
      <w:pPr>
        <w:ind w:right="8600" w:firstLine="8"/>
        <w:spacing w:after="0" w:line="566" w:lineRule="auto"/>
        <w:tabs>
          <w:tab w:leader="none" w:pos="27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Agreements Asklepios Biopharmaceutical, Inc.</w:t>
      </w:r>
    </w:p>
    <w:p>
      <w:pPr>
        <w:spacing w:after="0"/>
        <w:rPr>
          <w:sz w:val="20"/>
          <w:szCs w:val="20"/>
          <w:color w:val="auto"/>
        </w:rPr>
      </w:pPr>
      <w:r>
        <w:rPr>
          <w:rFonts w:ascii="Arial" w:cs="Arial" w:eastAsia="Arial" w:hAnsi="Arial"/>
          <w:sz w:val="18"/>
          <w:szCs w:val="18"/>
          <w:i w:val="1"/>
          <w:iCs w:val="1"/>
          <w:color w:val="auto"/>
        </w:rPr>
        <w:t>Feasibility Study and License Agreement</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August 6, 2019, the Company entered into a Feasibility Study and License Agreement with AskBio, which is referred to as the AskBio Collaboration Agreement. Pursuant to the AskBio Collaboration Agreement, the Company and AskBio agreed to license intellectual property rights to each other as part of a collaboration to research, develop, and commercialize certain adeno-associated virus (“AAV”) gene therapy products utilizing the Company’s ImmTOR platform to enable re-dosing of such AAV gene therapy products to treat serious rare and orphan genetic diseases for which there is a significant unmet medical need.</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Pursuant to the AskBio Collaboration Agreement, the Company and AskBio agreed to conduct proof of concept studies to potentially validate the use of ImmTOR in conjunction with AAV for the treatment of methylmalonic acidemia (MMA), based on the Company’s product candidate SEL-302, to mitigate the formation of neutralizing anti-AAV capsid antibodies (the POC Studies). If the POC Studies are successful, or the parties otherwise elect to do so, the parties will proceed with a collaboration to pursue the development and commercialization of AAV gene therapy product candidates utilizing ImmTOR for the treatment of certain agreed serious rare and orphan genetic diseases. If the POC Studies fail to demonstrate a proof of concept, and the parties do not mutually agree in writing to proceed with the collaboration, the AskBio Collaboration Agreement will expire.</w:t>
      </w:r>
    </w:p>
    <w:p>
      <w:pPr>
        <w:spacing w:after="0" w:line="17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and AskBio will share responsibility for the research, development and commercialization of products developed under this collaboration. The parties will also share research, development and commercialization costs equally for all collaboration products, but with a right of either party to opt out of certain products, and thereby no longer be required to share costs for such products. Each party will receive a percentage of net profits for each product sold under the collaboration equal to the percentage of shared costs borne by such party in the development of such product. Pursuant to the AskBio Collaboration Agreement, AskBio is responsible for manufacturing the AAV capsids and AAV vectors and the Company is responsible for manufacturing ImmTOR.</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AskBio Collaboration Agreement is considered to be within the scope of ASC 808, as both parties are active participants and exposed to the risks and rewards of the collaborative activity. The Company evaluated the terms of the AskBio Collaboration Agreement and have identified the following promises in the arrangement (1) conducting research and development activities to develop and commercialize products under the collaboration, (the “R&amp;D Services”), (2) granting a non-exclusive, non-transferable, royalty-free, fully paid up, worldwide license to certain intellectual property of the Company, (the “IP Rights”) for the purpose of performing the POC Studies, (the “Research License”), (3) granting an exclusive, nontransferable, worldwide license to the IP Rights for use in certain indications (the” Collaboration License”), (4) providing manufactured supply of preclinical and clinical ImmTOR, (the “Manufactured Supply”), (5) participation on identified steering committees responsible for the oversight of the collaboration, (the “JSC Participation”), and (6) granting an exclusive option to</w:t>
      </w:r>
    </w:p>
    <w:p>
      <w:pPr>
        <w:sectPr>
          <w:pgSz w:w="11900" w:h="16838" w:orient="portrait"/>
          <w:cols w:equalWidth="0" w:num="1">
            <w:col w:w="11240"/>
          </w:cols>
          <w:pgMar w:left="320" w:top="665" w:right="339" w:bottom="1440"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665" w:right="339" w:bottom="1440" w:gutter="0" w:footer="0" w:header="0"/>
          <w:type w:val="continuous"/>
        </w:sectPr>
      </w:pPr>
    </w:p>
    <w:bookmarkStart w:id="32" w:name="page33"/>
    <w:bookmarkEnd w:id="32"/>
    <w:p>
      <w:pPr>
        <w:spacing w:after="0" w:line="291" w:lineRule="auto"/>
        <w:rPr>
          <w:sz w:val="20"/>
          <w:szCs w:val="20"/>
          <w:color w:val="auto"/>
        </w:rPr>
      </w:pPr>
      <w:r>
        <w:rPr>
          <w:rFonts w:ascii="Arial" w:cs="Arial" w:eastAsia="Arial" w:hAnsi="Arial"/>
          <w:sz w:val="16"/>
          <w:szCs w:val="16"/>
          <w:color w:val="auto"/>
        </w:rPr>
        <w:t>obtain a license under the IP Rights to research, develop and commercialize Licensed Products. The Company determined that the R&amp;D Services, Research License, Collaboration License, Manufactured Supply, and JSC Participation were not capable of being distinct, and therefore must be combined into a single performance obligation. Therefore, promises (1) through (5) identified above were combined into a single performance obligation. Furthermore, the Company evaluated the Option Agreement and determined that it does not provide AskBio with a material right under ASC 606 as the option was not priced at a discount (see discussion of the Option exercise in Note 12). The Company noted that AskBio did not meet the definition of a customer within the scope of ASC 606 for any distinct performance obligations as the Company concluded that such items were not an output of the Company’s ordinary activities. As such, the Company determined that the entire arrangement would be accounted for within the scope of ASC 808.</w:t>
      </w:r>
    </w:p>
    <w:p>
      <w:pPr>
        <w:spacing w:after="0" w:line="166"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In accordance with ASC 808, collaboration expenses are recognized within R&amp;D expense and selling, general and administrative expense on our condensed consolidated statements of operations. For the three months ended March 31, 2020, the Company recognized $1.2 million of collaboration expense under the AskBio Collaboration Agreement in which actual costs incurred by both parties approximate a 50% cost share.</w:t>
      </w:r>
    </w:p>
    <w:p>
      <w:pPr>
        <w:spacing w:after="0" w:line="16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Under certain collaborative arrangements, the Company is entitled to reimbursement of certain R&amp;D expense. Activities under collaborative arrangements for which the Company is entitled to reimbursement are considered to be collaborative activities under the scope of ASC 808. For these units of account, the Company does not analogize to ASC 606 or recognize revenue. Rather, the Company analogizes to the guidance in ASC 730, which requires that reimbursements from counterparties be recognized as an offset to the related costs. In accordance with ASC 730, the Company records reimbursement payments received from collaboration partners as reductions to R&amp;D expense.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Institute of Technology</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December 13, 2019, the Company entered into the Fourth Amendment (the MIT Amendment) to the Exclusive Patent License Agreement by and between the Company and the Massachusetts Institute of Technology (MIT) (the MIT Agreement). Pursuant to the MIT Amendment, a provision of the MIT Agreement under which the Company was obligated to initiate a Phase 3 clinical trial for a licensed product by a specified date in the fourth quarter of 2019 is tolled until the earlier of (i) a specified date in the second quarter of 2020 or (ii) the effective date of a written amendment to the MIT Agreement. Further, pursuant to the MIT Amendment, the parties agreed to negotiate in good faith to enter into a future amendment to the MIT Agreement after the Company provides MIT with an amended diligence plan. The parties have negotiated in good faith, which has included discussing an amended diligence plan, and the Company expects to enter into a new amendment to the MIT agreement.</w:t>
      </w:r>
    </w:p>
    <w:p>
      <w:pPr>
        <w:spacing w:after="0" w:line="177" w:lineRule="exact"/>
        <w:rPr>
          <w:sz w:val="20"/>
          <w:szCs w:val="20"/>
          <w:color w:val="auto"/>
        </w:rPr>
      </w:pPr>
    </w:p>
    <w:p>
      <w:pPr>
        <w:ind w:right="120"/>
        <w:spacing w:after="0" w:line="221" w:lineRule="exact"/>
        <w:rPr>
          <w:sz w:val="20"/>
          <w:szCs w:val="20"/>
          <w:color w:val="auto"/>
        </w:rPr>
      </w:pPr>
      <w:r>
        <w:rPr>
          <w:rFonts w:ascii="Arial" w:cs="Arial" w:eastAsia="Arial" w:hAnsi="Arial"/>
          <w:sz w:val="17"/>
          <w:szCs w:val="17"/>
          <w:color w:val="auto"/>
        </w:rPr>
        <w:t>On November 25, 2008, the Company entered into an Exclusive Patent License agreement with MIT, which is referred to as the Exclusive Patent License. The Company received an exclusive royalty</w:t>
      </w:r>
      <w:r>
        <w:rPr>
          <w:rFonts w:ascii="MS PGothic" w:cs="MS PGothic" w:eastAsia="MS PGothic" w:hAnsi="MS PGothic"/>
          <w:sz w:val="17"/>
          <w:szCs w:val="17"/>
          <w:color w:val="auto"/>
        </w:rPr>
        <w:t>‑</w:t>
      </w:r>
      <w:r>
        <w:rPr>
          <w:rFonts w:ascii="Arial" w:cs="Arial" w:eastAsia="Arial" w:hAnsi="Arial"/>
          <w:sz w:val="17"/>
          <w:szCs w:val="17"/>
          <w:color w:val="auto"/>
        </w:rPr>
        <w:t>bearing license to utilize patents held by MIT in exchange for upfront consideration and annual license maintenance fees. Such fees are expensed as incurred and have not been material to any period presented.</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31, 2020, and in connection with the execution of the Spark License Agreement, the Company has made contractual payments pursuant to the Exclusive Patent License totaling $2.2 million for the sublicense granted to Spark, and $0.4 million relative to the calculated premium paid by Spark for the equity investments made under the Spark Purchase Agreement. The Company made no additional payments during the three months ended March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Shenyang Sunshine Pharmaceutical Co., Ltd</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May 2014, the Company entered into a license agreement with Shenyang Sunshine Pharmaceutical Co., Ltd. (“3SBio”), which is referred to as the 3SBio License. The Company has paid to 3SBio an aggregate of $3.0 million in upfront and milestone-based payments under the 3SBio License as of March 31, 2020. The Company is required to make future payments to 3SBio contingent upon the occurrence of events related to the achievement of clinical and regulatory approval milestones of up to an aggregate of $21.0 million for products containing our ImmTOR platform, and up to an aggregate of $41.5 million for products without our ImmTOR platform.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2020 and 2019, the Company did not record a current or deferred income tax expense or benefit.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665" w:right="359" w:bottom="1440" w:gutter="0" w:footer="0" w:header="0"/>
        </w:sectPr>
      </w:pPr>
    </w:p>
    <w:bookmarkStart w:id="33" w:name="page34"/>
    <w:bookmarkEnd w:id="33"/>
    <w:p>
      <w:pPr>
        <w:ind w:right="320"/>
        <w:spacing w:after="0" w:line="277" w:lineRule="auto"/>
        <w:rPr>
          <w:sz w:val="20"/>
          <w:szCs w:val="20"/>
          <w:color w:val="auto"/>
        </w:rPr>
      </w:pPr>
      <w:r>
        <w:rPr>
          <w:rFonts w:ascii="Arial" w:cs="Arial" w:eastAsia="Arial" w:hAnsi="Arial"/>
          <w:sz w:val="18"/>
          <w:szCs w:val="18"/>
          <w:color w:val="auto"/>
        </w:rPr>
        <w:t>The Company has provided a full valuation allowance against its net deferred tax assets, as the Company believes that it is more likely than not that the deferred tax assets will not be realized.</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Utilization of the net operating loss and research and development credit carryforwards may be subject to a substantial annual limitation under Section 382 and 383 of the Internal Revenue Code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 As of December 31, 2019, the Company completed a Section 382 study, noting that an ownership change occurred during 2017. However, the Company has determined that all net operating losses would be available in the future. As a result, the deferred tax assets related to the federal and Massachusetts net operating losses and credit carryforwards are not currently limited.</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applies ASC 740 to uncertain tax positions. As of the adoption date of January 1, 2010 and through March 31, 2020, the Company had no unrecognized tax benefits or related interest and penalties accrued.</w:t>
      </w:r>
    </w:p>
    <w:p>
      <w:pPr>
        <w:spacing w:after="0" w:line="170"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The Company has not, as of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As a result, there would be no impact to the consolidated balance sheets, statements of operations and comprehensive loss, or cash flows if an adjustment was required.</w:t>
      </w:r>
    </w:p>
    <w:p>
      <w:pPr>
        <w:spacing w:after="0" w:line="16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statute of limitations for assessment by the Internal Revenue Service and Massachusetts tax authorities is open for tax years since inception. The Company files income tax returns in the United States and Massachusetts. There are currently no federal, state or foreign audits in progress.</w:t>
      </w:r>
    </w:p>
    <w:p>
      <w:pPr>
        <w:spacing w:after="0" w:line="124"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Upon adoption of ASC 842 and during the quarter ended March 31, 2020 for the New Headquarters lease, a deferred tax liability was recorded for the right-of-use asset. The deferred tax asset for the lease liability and the deferred tax asset for the lease incentives was reversed, with no impact to the valuation allowance or deferred tax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Defined Contribution Plan</w:t>
      </w:r>
    </w:p>
    <w:p>
      <w:pPr>
        <w:spacing w:after="0" w:line="229"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Company maintains a defined contribution plan under Section 401(k) of the Internal Revenue Code (the “401(k) Plan”).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All matching contributions vest ratably over 4 years and participant contributions vest immediately. Contributions by the Company totaled less than $0.1 million during each of the three months ended March 31, 2020 and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March 31, 2020, the Company had operating lease agreements for offices in Watertown, MA. See Note 8 for additional information regarding the Company's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w:t>
      </w:r>
      <w:r>
        <w:rPr>
          <w:rFonts w:ascii="MS PGothic" w:cs="MS PGothic" w:eastAsia="MS PGothic" w:hAnsi="MS PGothic"/>
          <w:sz w:val="18"/>
          <w:szCs w:val="18"/>
          <w:color w:val="auto"/>
        </w:rPr>
        <w:t>‑</w:t>
      </w:r>
      <w:r>
        <w:rPr>
          <w:rFonts w:ascii="Arial" w:cs="Arial" w:eastAsia="Arial" w:hAnsi="Arial"/>
          <w:sz w:val="18"/>
          <w:szCs w:val="18"/>
          <w:color w:val="auto"/>
        </w:rPr>
        <w:t>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20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Offerings</w:t>
      </w:r>
    </w:p>
    <w:p>
      <w:pPr>
        <w:sectPr>
          <w:pgSz w:w="11900" w:h="16838" w:orient="portrait"/>
          <w:cols w:equalWidth="0" w:num="1">
            <w:col w:w="11220"/>
          </w:cols>
          <w:pgMar w:left="320" w:top="665" w:right="359" w:bottom="1440" w:gutter="0" w:footer="0" w:header="0"/>
        </w:sect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20"/>
          </w:cols>
          <w:pgMar w:left="320" w:top="665" w:right="359" w:bottom="1440" w:gutter="0" w:footer="0" w:header="0"/>
          <w:type w:val="continuous"/>
        </w:sectPr>
      </w:pPr>
    </w:p>
    <w:bookmarkStart w:id="34" w:name="page35"/>
    <w:bookmarkEnd w:id="34"/>
    <w:p>
      <w:pPr>
        <w:ind w:right="1020"/>
        <w:spacing w:after="0" w:line="277" w:lineRule="auto"/>
        <w:rPr>
          <w:sz w:val="20"/>
          <w:szCs w:val="20"/>
          <w:color w:val="auto"/>
        </w:rPr>
      </w:pPr>
      <w:r>
        <w:rPr>
          <w:rFonts w:ascii="Arial" w:cs="Arial" w:eastAsia="Arial" w:hAnsi="Arial"/>
          <w:sz w:val="18"/>
          <w:szCs w:val="18"/>
          <w:color w:val="auto"/>
        </w:rPr>
        <w:t>Subsequent to March 31, 2020, the Company sold 470,509 shares of its common stock pursuant to the Sales Agreement at an average price of approximately $2.21 per share for net proceeds of $1.0 million.</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This discussion and other parts of this Quarterly Report on Form 10-Q contain forward-looking statements that involve risks and uncertainties, such as statements regarding our plans, objectives, expectations, intentions and projections. Our actual results could differ materially from those discussed in these forward-looking statements. Important factors that could cause or contribute to such differences include, but are not limited to, those discussed in Part II, Item 1A “Risk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are a clinical-stage biopharmaceutical company using our ImmTOR platform with the goal to effectively and safely treat rare and serious diseases by enabling the development of novel biologic therapies that would otherwise be limited by their immunogenicity. Many such diseases are treated with biologic therapies that are foreign to the patient’s immune system and therefore elicit an undesired immune response.</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proprietary tolerogenic ImmTOR platform encapsulates an immunomodulator in biodegradable nanoparticles and is designed to mitigate the formation of anti-drug antibodies, or ADAs, by inducing antigen-specific immune tolerance to biologic drugs. We believe ImmTOR has potential to enhance the efficacy without compromising the safety of existing approved biologic drugs, improve product candidates under development and enable novel therapeutic modalities, such as re-administration of systemic gene therapy.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Chronic Refractory Gout</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lead product candidate, SEL-212, is designed to be a monthly treatment for chronic refractory gout, a debilitating rare disease with an unmet medical need. SEL-212 consists of a combination of our ImmTOR platform co-administered with pegadricase. Pegadricase is an investigational recombinant pegylated uricase (urate oxidase), an enzyme not naturally found in humans, and is therefore highly immunogenic. This enzyme is designed to treat patients with symptomatic gout, refractory to standard uric acid lowering treatment, by breaking down the excess uric acid to the more soluble allantoin. In preclinical studies, we observed that ImmTOR, when co-administered with pegadricase, induced antigen-specific immune tolerance to pegadricase and substantially reduced the formation of associated ADAs. Based on our Phase 1/2 clinical data, we believe that SEL-212 has the potential to control serum uric acid, or SUA, levels and mitigate the formation of ADAs in response to the therapeutic enzyme.</w:t>
      </w:r>
    </w:p>
    <w:p>
      <w:pPr>
        <w:spacing w:after="0" w:line="1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Phase 1 data provided evidence that ImmTOR mitigated the formation of ADAs against pegadricase in a dose-dependent manner after a single dose of SEL-212. In our Phase 2 dose-finding study, ImmTOR inhibited the formation of ADAs in the majority of patients with up to five monthly doses, resulting in sustained reduction of SUA levels. We also observed a lower-than-expected rate of gout flares in the first months after initiation of SEL-212 treatment, with further reductions observed in months three to five. SEL-212, if successfully developed and approved, has the potential to offer a unique treatment for patients with chronic refractory gout, including reduced immunogenicity, improved efficacy, and monthly dosing compared to other U.S. Food and Drug Administration, or FDA, -approved treatments, and provide clinical evidence supporting the utility of our ImmTOR platform in providing patients with antigenic specific tolerance.</w:t>
      </w:r>
    </w:p>
    <w:p>
      <w:pPr>
        <w:spacing w:after="0" w:line="19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March 2019, we initiated a Phase 2 head-to-head clinical trial of SEL-212 (COMPARE), in which SEL-212 is being compared against the current FDA-approved therapy for chronic refractory gout, KRYSTEXXA, in multiple clinical sites in the United States. We completed enrollment of the COMPARE trial in December 2019 and expect to report top-line data in the third quarter of 2020, subject to the impact of the novel coronavirus disease, COVID-19, pandemic on our business. The two-armed, open label trial has enrolled approximately 150 patients, randomized 1:1, with one arm receiving KRYSTEXXA (as set forth in the prescribing information) and the other arm receiving six monthly doses of SEL-212. The primary endpoint in the study is the percentage of patients in each arm that maintain SUA control below 6.0 mg/dL, for at least 80% of the time during months three and six. Subject to the impact of the COVID-19 pandemic on our business, we plan to commence the Phase 3 clinical program in SEL-212 in the second half of 2020, and will require additional resources to complete it.</w:t>
      </w:r>
    </w:p>
    <w:p>
      <w:pPr>
        <w:spacing w:after="0" w:line="1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expect our clinical and, if approved, marketing strategy for SEL-212 to initially focus on the estimated 160,000 patients in the United States with chronic refractory gout, and to focus on those patients that are being treated by rheumatologists.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 Therapy</w:t>
      </w:r>
    </w:p>
    <w:p>
      <w:pPr>
        <w:sectPr>
          <w:pgSz w:w="11900" w:h="16838" w:orient="portrait"/>
          <w:cols w:equalWidth="0" w:num="1">
            <w:col w:w="11240"/>
          </w:cols>
          <w:pgMar w:left="320" w:top="665"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665" w:right="339" w:bottom="1440" w:gutter="0" w:footer="0" w:header="0"/>
          <w:type w:val="continuous"/>
        </w:sectPr>
      </w:pPr>
    </w:p>
    <w:bookmarkStart w:id="35" w:name="page36"/>
    <w:bookmarkEnd w:id="35"/>
    <w:p>
      <w:pPr>
        <w:spacing w:after="0" w:line="290" w:lineRule="auto"/>
        <w:rPr>
          <w:sz w:val="20"/>
          <w:szCs w:val="20"/>
          <w:color w:val="auto"/>
        </w:rPr>
      </w:pPr>
      <w:r>
        <w:rPr>
          <w:rFonts w:ascii="Arial" w:cs="Arial" w:eastAsia="Arial" w:hAnsi="Arial"/>
          <w:sz w:val="16"/>
          <w:szCs w:val="16"/>
          <w:color w:val="auto"/>
        </w:rPr>
        <w:t>In August 2019, we entered into a feasibility study and license agreement with AskBio, or the AskBio Collaboration Agreement, pursuant to which we and AskBio will conduct proof of concept studies to potentially validate the use of our ImmTOR platform in conjunction with an AAV gene therapy to mitigate the formation of neutralizing anti-AAV capsid antibodies, which currently precludes redosing. The initial product candidate being developed under this collaboration is gene therapy for MMA which can cause severe developmental defects and premature death as a result of an accumulation of toxic metabolites. We previously conducted preclinical studies for this product candidate based on SEL-302 and will leverage that previous work within the collaboration. If the proof of concept studies are successful, we will proceed with a collaboration to pursue the development and commercialization of AAV gene therapy product candidates utilizing ImmTOR for the treatment of certain agreed serious rare and orphan genetic diseases. Subject to the impact of the COVID-19 pandemic, we plan to enter the clinic under this collaboration in the second half of 2020 and report data in 2021.</w:t>
      </w:r>
    </w:p>
    <w:p>
      <w:pPr>
        <w:spacing w:after="0" w:line="16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Additionally, in December 2019 we entered into the AskBio License Agreement which provides AskBio with exclusive worldwide rights to our ImmTOR platform to research, develop and commercialize certain AAV-gene therapy products targeting the GAA gene, or derivatives thereof, to treat Pompe Disease.</w:t>
      </w:r>
    </w:p>
    <w:p>
      <w:pPr>
        <w:spacing w:after="0" w:line="18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September 2018, we announced a collaboration with the European consortium, CureCN, for an ImmTOR+AAV gene therapy combination product candidate in Crigler-Najjar syndrome, a rare genetic disorder characterized by an inability to properly convert and clear bilirubin from the body. We expect the CureCN consortium to obtain scientific advice from the German drug regulatory authority in the second half of 2020.</w:t>
      </w:r>
    </w:p>
    <w:p>
      <w:pPr>
        <w:spacing w:after="0" w:line="16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In December 2016, we entered into the Spark License Agreement which provides Spark with exclusive worldwide rights to our ImmTOR platform to research, develop and commercialize gene therapies for Factor VIII, an essential blood clotting protein relevant to the treatment of hemophilia A.</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Our proprietary gene therapy product candidate, SEL-313, is being developed to treat OTC deficiency and is currently in preclinical development.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Novel Coronavirus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closely monitoring how the spread of the novel coronavirus is affecting our employees, business, preclinical studies and clinical trials. In response to the spread of COVID-19, we have closed our executive offices with our administrative employees continuing their work outside of our offices and limited the number of staff in any given research and development laboratory. Disruptions caused by the COVID-19 pandemic may result in difficulties or delays in initiating, enrolling, conducting or completing our planned and ongoing clinical trials and the incurrence of unforeseen costs as a result of preclinical study or clinical trial delays. While the COVID-19 pandemic has not had a material impact on our clinical programs as of May 5, 2020, it could have an impact on our ability to successfully complete our ongoing COMPARE trial, our ability to access capital for the planned Phase 3 clinical program of SEL-212 and other programs, and our ability to obtain supply of both active drug substances and finished drug product as well as efficient execution of the overall supply chain for SEL-212 and our other programs. We have been proactively working with our contract research organization, or CRO, clinical sites, and principal investigators to provide patients with more convenient locations to have their SUA measured for the primary endpoint of the study, such as at local laboratories or their homes, as well as alternative sites to receive infusions of study drug. We are also working with our primary and back-up suppliers for SEL-037 (pegadricase) and SEL-110 (ImmTOR) to ensure that we have adequate supply of our materials for both our clinical and preclinical programs. As of May 5, 2020, we believe we have adequate supply of all material necessary to initiate our Phase 3 clinical program of SEL-212 in chronic refractory gout and to begin our clinical trial in gene therapy under our collaboration with AskBio.</w:t>
      </w:r>
    </w:p>
    <w:p>
      <w:pPr>
        <w:spacing w:after="0" w:line="1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At this time, there is significant uncertainty relating to the trajectory of the pandemic and the impact of related responses. Any impact of COVID-19 on our business, revenues, results of operations and financial condition will largely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the ultimate impact on financial markets and the global economy, and the effectiveness of actions taken in the United States and other countries to contain and treat the disease. See “Risk Factors - The outbreak of the novel coronavirus disease, COVID-19, could adversely impact our business, including our preclinical studies and clinical trials.” in Part II, Item 1A of this Quarterly Report on Form 10-Q.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To date, we have financed our operations primarily through the public offering and private placements of our securities, funding received from research grants and collaboration arrangements and our credit facility. We do not have any products approved for sale and have not generated any product sales. All of our revenue to date has been collaboration and grant revenue.</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665" w:right="359" w:bottom="1440" w:gutter="0" w:footer="0" w:header="0"/>
        </w:sectPr>
      </w:pPr>
    </w:p>
    <w:bookmarkStart w:id="36" w:name="page37"/>
    <w:bookmarkEnd w:id="36"/>
    <w:p>
      <w:pPr>
        <w:ind w:right="80"/>
        <w:spacing w:after="0" w:line="263" w:lineRule="auto"/>
        <w:rPr>
          <w:sz w:val="20"/>
          <w:szCs w:val="20"/>
          <w:color w:val="auto"/>
        </w:rPr>
      </w:pPr>
      <w:r>
        <w:rPr>
          <w:rFonts w:ascii="Arial" w:cs="Arial" w:eastAsia="Arial" w:hAnsi="Arial"/>
          <w:sz w:val="18"/>
          <w:szCs w:val="18"/>
          <w:color w:val="auto"/>
        </w:rPr>
        <w:t>Since inception, we have incurred significant operating losses. We incurred net losses of $19.6 million and $12.1 million for the three months ended March 31, 2020 and 2019, respectively. As of March 31, 2020, we had an accumulated deficit of $355.4 million. We expect to continue to incur significant expenses and operating losses for at least the next several years as we:</w:t>
      </w:r>
    </w:p>
    <w:p>
      <w:pPr>
        <w:spacing w:after="0" w:line="184" w:lineRule="exact"/>
        <w:rPr>
          <w:sz w:val="20"/>
          <w:szCs w:val="20"/>
          <w:color w:val="auto"/>
        </w:rPr>
      </w:pPr>
    </w:p>
    <w:p>
      <w:pPr>
        <w:ind w:left="340" w:hanging="332"/>
        <w:spacing w:after="0" w:line="207" w:lineRule="exact"/>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additional clinical trials for SEL</w:t>
      </w:r>
      <w:r>
        <w:rPr>
          <w:rFonts w:ascii="MS PGothic" w:cs="MS PGothic" w:eastAsia="MS PGothic" w:hAnsi="MS PGothic"/>
          <w:sz w:val="18"/>
          <w:szCs w:val="18"/>
          <w:color w:val="auto"/>
        </w:rPr>
        <w:t>‑</w:t>
      </w:r>
      <w:r>
        <w:rPr>
          <w:rFonts w:ascii="Arial" w:cs="Arial" w:eastAsia="Arial" w:hAnsi="Arial"/>
          <w:sz w:val="18"/>
          <w:szCs w:val="18"/>
          <w:color w:val="auto"/>
        </w:rPr>
        <w:t>212;</w:t>
      </w:r>
    </w:p>
    <w:p>
      <w:pPr>
        <w:spacing w:after="0" w:line="225" w:lineRule="exact"/>
        <w:rPr>
          <w:rFonts w:ascii="Arial" w:cs="Arial" w:eastAsia="Arial" w:hAnsi="Arial"/>
          <w:sz w:val="18"/>
          <w:szCs w:val="18"/>
          <w:color w:val="auto"/>
        </w:rPr>
      </w:pPr>
    </w:p>
    <w:p>
      <w:pPr>
        <w:ind w:left="340" w:right="80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 as well as product candidates that we may be developing jointly with collaboration partners;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to enhance our ImmTOR platform and discover and develop additional product candidates;</w:t>
      </w:r>
    </w:p>
    <w:p>
      <w:pPr>
        <w:spacing w:after="0" w:line="225" w:lineRule="exact"/>
        <w:rPr>
          <w:rFonts w:ascii="Arial" w:cs="Arial" w:eastAsia="Arial" w:hAnsi="Arial"/>
          <w:sz w:val="18"/>
          <w:szCs w:val="18"/>
          <w:color w:val="auto"/>
        </w:rPr>
      </w:pPr>
    </w:p>
    <w:p>
      <w:pPr>
        <w:ind w:left="340" w:right="40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to enter into collaboration, licensing and other agreements, including, but not limited to research and development, and/or commercialization agreements;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340" w:right="80" w:hanging="332"/>
        <w:spacing w:after="0" w:line="223" w:lineRule="exact"/>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scales</w:t>
      </w:r>
      <w:r>
        <w:rPr>
          <w:rFonts w:ascii="MS PGothic" w:cs="MS PGothic" w:eastAsia="MS PGothic" w:hAnsi="MS PGothic"/>
          <w:sz w:val="18"/>
          <w:szCs w:val="18"/>
          <w:color w:val="auto"/>
        </w:rPr>
        <w:t>‑</w:t>
      </w:r>
      <w:r>
        <w:rPr>
          <w:rFonts w:ascii="Arial" w:cs="Arial" w:eastAsia="Arial" w:hAnsi="Arial"/>
          <w:sz w:val="18"/>
          <w:szCs w:val="18"/>
          <w:color w:val="auto"/>
        </w:rPr>
        <w:t>up external manufacturing capabilities to commercialize any products for which we may obtain regulatory approval;</w:t>
      </w:r>
    </w:p>
    <w:p>
      <w:pPr>
        <w:spacing w:after="0" w:line="202"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 and</w:t>
      </w:r>
    </w:p>
    <w:p>
      <w:pPr>
        <w:spacing w:after="0" w:line="225" w:lineRule="exact"/>
        <w:rPr>
          <w:rFonts w:ascii="Arial" w:cs="Arial" w:eastAsia="Arial" w:hAnsi="Arial"/>
          <w:sz w:val="18"/>
          <w:szCs w:val="18"/>
          <w:color w:val="auto"/>
        </w:rPr>
      </w:pPr>
    </w:p>
    <w:p>
      <w:pPr>
        <w:ind w:left="340" w:right="720" w:hanging="332"/>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operations as a public company.</w:t>
      </w:r>
    </w:p>
    <w:p>
      <w:pPr>
        <w:spacing w:after="0" w:line="1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license and collaboration agreements,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will require additional external sources of capital to complete the planned Phase 3 clinical program for SEL-212. Under the terms of our exclusive patent license agreement with the Massachusetts Institute of Technology, or the MIT License, MIT may terminate the MIT License if we fail to meet a diligence obligation, including the initiation of a Phase 3 clinical trial by a specified date in the fourth quarter of 2019. On December 13, 2019, we entered into the Fourth Amendment, which we refer to as the MIT Amendment, to the Exclusive Patent License Agreement by and between us and the Massachusetts Institute of Technology, or the MIT Agreement. Pursuant to the MIT Amendment, a provision of the MIT Agreement under which we were obligated to initiate a Phase 3 clinical trial for a licensed product by a specified date in the fourth quarter of 2019 is tolled until the earlier of (i) a specified date in the second quarter of 2020 or (ii) the effective date of a written amendment to the MIT Agreement. Further, pursuant to the MIT Amendment, the parties agreed to negotiate in good faith to enter into a future amendment to the MIT Agreement after we provide MIT with an amended diligence plan. The parties have negotiated in good faith, which has included discussing an amended diligence plan, and we expect to enter into a new amendment to the MIT agreement. If we are unable to reach an agreement with MIT regarding an acceptable amendment of the MIT License and if we are unable to cure the breach, there could be a material adverse effect on our business.</w:t>
      </w: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believe that our existing cash, cash equivalents, investments, and restricted cash as of March 31, 2020 will enable us to fund our operating expenses and capital expenditure requirements into the first quarter of 2021. Because our current operating plan does not contain sufficient resources, we will require additional external sources of capital to complete the planned Phase 3 clinical program for SEL-212. Additionally, while the potential economic impact brought by and the duration of the COVID-19 pandemic may be difficult to assess or predict, the widespread pandemic has resulted in, and may continue to result in, significant disruption of global financial markets, reducing our ability to access capital as and when needed, including for the planned Phase 3 clinical program. We have based this estimate on assumptions that may prove to be wrong, and we could use our capital resources sooner than we currently expect. Because of the uncertainty in securing additional capital, we have concluded that substantial doubt exists with respect to our ability to continue as a going concern within one year after the date of the filing of this Quarterly Report on Form 10-Q. For additional information, see “Liquidity and Capital Resources.”</w:t>
      </w:r>
    </w:p>
    <w:p>
      <w:pPr>
        <w:spacing w:after="0" w:line="19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and collaboration revenue</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 date, we have not generated any product sales. Our revenue consists of grant and collaboration revenue, which includes amounts recognized related to upfront and milestone payments for research and development funding under collaboration and license agreements. In addition, we earn revenue under the terms of government contracts or grants, which require the performance of certain research and development activities. We expect that any revenue we generate will fluctuate from quarter</w:t>
      </w:r>
    </w:p>
    <w:p>
      <w:pPr>
        <w:sectPr>
          <w:pgSz w:w="11900" w:h="16838" w:orient="portrait"/>
          <w:cols w:equalWidth="0" w:num="1">
            <w:col w:w="11240"/>
          </w:cols>
          <w:pgMar w:left="320" w:top="665" w:right="3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665" w:right="339" w:bottom="1440" w:gutter="0" w:footer="0" w:header="0"/>
          <w:type w:val="continuous"/>
        </w:sectPr>
      </w:pPr>
    </w:p>
    <w:bookmarkStart w:id="37" w:name="page38"/>
    <w:bookmarkEnd w:id="37"/>
    <w:p>
      <w:pPr>
        <w:spacing w:after="0" w:line="219" w:lineRule="exact"/>
        <w:rPr>
          <w:sz w:val="20"/>
          <w:szCs w:val="20"/>
          <w:color w:val="auto"/>
        </w:rPr>
      </w:pPr>
      <w:r>
        <w:rPr>
          <w:rFonts w:ascii="Arial" w:cs="Arial" w:eastAsia="Arial" w:hAnsi="Arial"/>
          <w:sz w:val="17"/>
          <w:szCs w:val="17"/>
          <w:color w:val="auto"/>
        </w:rPr>
        <w:t>to quarter because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grant</w:t>
      </w:r>
      <w:r>
        <w:rPr>
          <w:rFonts w:ascii="MS PGothic" w:cs="MS PGothic" w:eastAsia="MS PGothic" w:hAnsi="MS PGothic"/>
          <w:sz w:val="17"/>
          <w:szCs w:val="17"/>
          <w:color w:val="auto"/>
        </w:rPr>
        <w:t>‑</w:t>
      </w:r>
      <w:r>
        <w:rPr>
          <w:rFonts w:ascii="Arial" w:cs="Arial" w:eastAsia="Arial" w:hAnsi="Arial"/>
          <w:sz w:val="17"/>
          <w:szCs w:val="17"/>
          <w:color w:val="auto"/>
        </w:rPr>
        <w:t>based revenue, see Notes 2 and 12 to our consolidated financial statements included elsewhere in this Quarterly Report on Form 10-Q.</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20"/>
        <w:spacing w:after="0" w:line="220" w:lineRule="exact"/>
        <w:rPr>
          <w:sz w:val="20"/>
          <w:szCs w:val="20"/>
          <w:color w:val="auto"/>
        </w:rPr>
      </w:pPr>
      <w:r>
        <w:rPr>
          <w:rFonts w:ascii="Arial" w:cs="Arial" w:eastAsia="Arial" w:hAnsi="Arial"/>
          <w:sz w:val="17"/>
          <w:szCs w:val="17"/>
          <w:color w:val="auto"/>
        </w:rPr>
        <w:t>Our research and development expenses consist of external research and development costs, which we track on a program</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program basis and primarily include CMO related costs, fees paid to CROs and internal research and development costs, which are primarily compensation expenses for our research and development employees, lab supplies, analytical testing, allocated overhead costs and other related expenses. Our internal research and development costs are often devoted to expanding our programs and are not necessarily allocable to a specific target.</w:t>
      </w:r>
    </w:p>
    <w:p>
      <w:pPr>
        <w:spacing w:after="0" w:line="204" w:lineRule="exact"/>
        <w:rPr>
          <w:sz w:val="20"/>
          <w:szCs w:val="20"/>
          <w:color w:val="auto"/>
        </w:rPr>
      </w:pPr>
    </w:p>
    <w:p>
      <w:pPr>
        <w:jc w:val="both"/>
        <w:ind w:right="80"/>
        <w:spacing w:after="0" w:line="220" w:lineRule="exact"/>
        <w:rPr>
          <w:sz w:val="20"/>
          <w:szCs w:val="20"/>
          <w:color w:val="auto"/>
        </w:rPr>
      </w:pPr>
      <w:r>
        <w:rPr>
          <w:rFonts w:ascii="Arial" w:cs="Arial" w:eastAsia="Arial" w:hAnsi="Arial"/>
          <w:sz w:val="18"/>
          <w:szCs w:val="18"/>
          <w:color w:val="auto"/>
        </w:rPr>
        <w:t>We have incurred a total of $255.5 million in research and development expenses from inception through March 31, 2020, with a majority of the expenses being spent on the development of SEL</w:t>
      </w:r>
      <w:r>
        <w:rPr>
          <w:rFonts w:ascii="MS PGothic" w:cs="MS PGothic" w:eastAsia="MS PGothic" w:hAnsi="MS PGothic"/>
          <w:sz w:val="18"/>
          <w:szCs w:val="18"/>
          <w:color w:val="auto"/>
        </w:rPr>
        <w:t>‑</w:t>
      </w:r>
      <w:r>
        <w:rPr>
          <w:rFonts w:ascii="Arial" w:cs="Arial" w:eastAsia="Arial" w:hAnsi="Arial"/>
          <w:sz w:val="18"/>
          <w:szCs w:val="18"/>
          <w:color w:val="auto"/>
        </w:rPr>
        <w:t>212 and a prior nicotine vaccine candidate, and the remainder being spent on our various discovery and preclinical stage product candidate programs and the general expansion of our technology.</w:t>
      </w:r>
    </w:p>
    <w:p>
      <w:pPr>
        <w:spacing w:after="0" w:line="20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 connection with our intention to focus on advancing our ImmTOR platform, as stated in January 2019, we have ceased ongoing work on our immune stimulation programs SELA-070 and SEL-701, and currently do not have plans to move these programs forward or to perform any additional work on either of these programs.</w:t>
      </w:r>
    </w:p>
    <w:p>
      <w:pPr>
        <w:spacing w:after="0" w:line="184"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As we expand the clinical development of SEL</w:t>
      </w:r>
      <w:r>
        <w:rPr>
          <w:rFonts w:ascii="MS PGothic" w:cs="MS PGothic" w:eastAsia="MS PGothic" w:hAnsi="MS PGothic"/>
          <w:sz w:val="17"/>
          <w:szCs w:val="17"/>
          <w:color w:val="auto"/>
        </w:rPr>
        <w:t>‑</w:t>
      </w:r>
      <w:r>
        <w:rPr>
          <w:rFonts w:ascii="Arial" w:cs="Arial" w:eastAsia="Arial" w:hAnsi="Arial"/>
          <w:sz w:val="17"/>
          <w:szCs w:val="17"/>
          <w:color w:val="auto"/>
        </w:rPr>
        <w:t>212 and our gene therapy programs, we expect our research and development expenses to increase.</w:t>
      </w:r>
    </w:p>
    <w:p>
      <w:pPr>
        <w:spacing w:after="0" w:line="237"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We plan to increase our research and development expenses for the foreseeable future as we seek to complete development of SEL</w:t>
      </w:r>
      <w:r>
        <w:rPr>
          <w:rFonts w:ascii="MS PGothic" w:cs="MS PGothic" w:eastAsia="MS PGothic" w:hAnsi="MS PGothic"/>
          <w:sz w:val="16"/>
          <w:szCs w:val="16"/>
          <w:color w:val="auto"/>
        </w:rPr>
        <w:t>‑</w:t>
      </w:r>
      <w:r>
        <w:rPr>
          <w:rFonts w:ascii="Arial" w:cs="Arial" w:eastAsia="Arial" w:hAnsi="Arial"/>
          <w:sz w:val="16"/>
          <w:szCs w:val="16"/>
          <w:color w:val="auto"/>
        </w:rPr>
        <w:t>212, and to further advance our preclinical and earlier stage research and development projects. The successful development of our clinical and preclinical product candidates is highly uncertain. At this time, we cannot reasonably estimate the nature, timing or costs of the efforts that will be necessary to complete the development of SEL</w:t>
      </w:r>
      <w:r>
        <w:rPr>
          <w:rFonts w:ascii="MS PGothic" w:cs="MS PGothic" w:eastAsia="MS PGothic" w:hAnsi="MS PGothic"/>
          <w:sz w:val="16"/>
          <w:szCs w:val="16"/>
          <w:color w:val="auto"/>
        </w:rPr>
        <w:t>‑</w:t>
      </w:r>
      <w:r>
        <w:rPr>
          <w:rFonts w:ascii="Arial" w:cs="Arial" w:eastAsia="Arial" w:hAnsi="Arial"/>
          <w:sz w:val="16"/>
          <w:szCs w:val="16"/>
          <w:color w:val="auto"/>
        </w:rPr>
        <w:t>212 or any of our preclinical programs or the period, if any, in which material net cash inflows from these product candidates may commence.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research and development expenses during the periods indicated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 expenses (key projects and initiatives):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220" w:type="dxa"/>
            <w:vAlign w:val="bottom"/>
          </w:tcPr>
          <w:p>
            <w:pPr>
              <w:ind w:left="280"/>
              <w:spacing w:after="0"/>
              <w:rPr>
                <w:sz w:val="20"/>
                <w:szCs w:val="20"/>
                <w:color w:val="auto"/>
              </w:rPr>
            </w:pPr>
            <w:r>
              <w:rPr>
                <w:rFonts w:ascii="Arial" w:cs="Arial" w:eastAsia="Arial" w:hAnsi="Arial"/>
                <w:sz w:val="14"/>
                <w:szCs w:val="14"/>
                <w:color w:val="auto"/>
              </w:rPr>
              <w:t>SEL-212</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8,648</w:t>
            </w:r>
          </w:p>
        </w:tc>
        <w:tc>
          <w:tcPr>
            <w:tcW w:w="12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2,861</w:t>
            </w:r>
          </w:p>
        </w:tc>
        <w:tc>
          <w:tcPr>
            <w:tcW w:w="0" w:type="dxa"/>
            <w:vAlign w:val="bottom"/>
          </w:tcPr>
          <w:p>
            <w:pPr>
              <w:spacing w:after="0"/>
              <w:rPr>
                <w:sz w:val="1"/>
                <w:szCs w:val="1"/>
                <w:color w:val="auto"/>
              </w:rPr>
            </w:pPr>
          </w:p>
        </w:tc>
      </w:tr>
      <w:tr>
        <w:trPr>
          <w:trHeight w:val="73"/>
        </w:trPr>
        <w:tc>
          <w:tcPr>
            <w:tcW w:w="82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AskBio collaboration</w:t>
            </w:r>
          </w:p>
        </w:tc>
        <w:tc>
          <w:tcPr>
            <w:tcW w:w="3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976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82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20" w:type="dxa"/>
            <w:vAlign w:val="bottom"/>
          </w:tcPr>
          <w:p>
            <w:pPr>
              <w:ind w:left="280"/>
              <w:spacing w:after="0"/>
              <w:rPr>
                <w:sz w:val="20"/>
                <w:szCs w:val="20"/>
                <w:color w:val="auto"/>
              </w:rPr>
            </w:pPr>
            <w:r>
              <w:rPr>
                <w:rFonts w:ascii="Arial" w:cs="Arial" w:eastAsia="Arial" w:hAnsi="Arial"/>
                <w:sz w:val="14"/>
                <w:szCs w:val="14"/>
                <w:color w:val="auto"/>
              </w:rPr>
              <w:t>SELA-070</w:t>
            </w:r>
          </w:p>
        </w:tc>
        <w:tc>
          <w:tcPr>
            <w:tcW w:w="320" w:type="dxa"/>
            <w:vAlign w:val="bottom"/>
          </w:tcPr>
          <w:p>
            <w:pPr>
              <w:spacing w:after="0"/>
              <w:rPr>
                <w:sz w:val="16"/>
                <w:szCs w:val="16"/>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73"/>
        </w:trPr>
        <w:tc>
          <w:tcPr>
            <w:tcW w:w="8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Discovery and preclinical stage product candidate programs, collectively</w:t>
            </w:r>
          </w:p>
        </w:tc>
        <w:tc>
          <w:tcPr>
            <w:tcW w:w="3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79"/>
        </w:trPr>
        <w:tc>
          <w:tcPr>
            <w:tcW w:w="82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220" w:type="dxa"/>
            <w:vAlign w:val="bottom"/>
          </w:tcPr>
          <w:p>
            <w:pPr>
              <w:ind w:left="40"/>
              <w:spacing w:after="0"/>
              <w:rPr>
                <w:sz w:val="20"/>
                <w:szCs w:val="20"/>
                <w:color w:val="auto"/>
              </w:rPr>
            </w:pPr>
            <w:r>
              <w:rPr>
                <w:rFonts w:ascii="Arial" w:cs="Arial" w:eastAsia="Arial" w:hAnsi="Arial"/>
                <w:sz w:val="14"/>
                <w:szCs w:val="14"/>
                <w:color w:val="auto"/>
              </w:rPr>
              <w:t>Other internal research and development expenses</w:t>
            </w:r>
          </w:p>
        </w:tc>
        <w:tc>
          <w:tcPr>
            <w:tcW w:w="32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4,934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4,150</w:t>
            </w:r>
          </w:p>
        </w:tc>
        <w:tc>
          <w:tcPr>
            <w:tcW w:w="0" w:type="dxa"/>
            <w:vAlign w:val="bottom"/>
          </w:tcPr>
          <w:p>
            <w:pPr>
              <w:spacing w:after="0"/>
              <w:rPr>
                <w:sz w:val="1"/>
                <w:szCs w:val="1"/>
                <w:color w:val="auto"/>
              </w:rPr>
            </w:pPr>
          </w:p>
        </w:tc>
      </w:tr>
      <w:tr>
        <w:trPr>
          <w:trHeight w:val="73"/>
        </w:trPr>
        <w:tc>
          <w:tcPr>
            <w:tcW w:w="82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research and development expenses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14,724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7,353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66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Investment income consists primarily of interest income earned on our cash and cash equivalents and short-term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interest expense on amounts borrowed under our credit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was de minimis during the three months ended March 31, 2020, and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warrant liabilities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Common warrants classified as liabilities are remeasured at fair value, utilizing a Black-Scholes valuation methodology, quarterly with the change in fair value recognized as a component of earnings.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functional currency of our Russian subsidiary is the Russian ruble. In addition to holding cash denominated in Russian rubles, our Russian bank accounts also hold cash balances denominated in U.S. dollars to facilitate payments to be settled in U.S. dollars or other currencies. As of March 31, 2020 and December 31, 2019, we maintained cash of $0.3 million and $0.4 million, respectively, in Russian banks, all of which was denominated in U.S. dollars. The amounts denominated in U.S. dollars and used in transacting the day-to-day operations of our Russian subsidiary are subject to transaction gains and losses, which are reported as incurred.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comparison of revenue for the three months ended March 31, 2020 and 2019 (in thousands, except percentages):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46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00" w:type="dxa"/>
            <w:vAlign w:val="bottom"/>
            <w:gridSpan w:val="3"/>
            <w:vMerge w:val="restart"/>
          </w:tcPr>
          <w:p>
            <w:pPr>
              <w:jc w:val="center"/>
              <w:ind w:left="188"/>
              <w:spacing w:after="0"/>
              <w:rPr>
                <w:sz w:val="20"/>
                <w:szCs w:val="20"/>
                <w:color w:val="auto"/>
              </w:rPr>
            </w:pPr>
            <w:r>
              <w:rPr>
                <w:rFonts w:ascii="Arial" w:cs="Arial" w:eastAsia="Arial" w:hAnsi="Arial"/>
                <w:sz w:val="14"/>
                <w:szCs w:val="14"/>
                <w:b w:val="1"/>
                <w:bCs w:val="1"/>
                <w:color w:val="auto"/>
                <w:w w:val="91"/>
              </w:rPr>
              <w:t>Increase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80" w:type="dxa"/>
            <w:vAlign w:val="bottom"/>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50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5480" w:type="dxa"/>
            <w:vAlign w:val="bottom"/>
          </w:tcPr>
          <w:p>
            <w:pPr>
              <w:spacing w:after="0"/>
              <w:rPr>
                <w:sz w:val="22"/>
                <w:szCs w:val="22"/>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center"/>
              <w:ind w:left="168"/>
              <w:spacing w:after="0"/>
              <w:rPr>
                <w:sz w:val="20"/>
                <w:szCs w:val="20"/>
                <w:color w:val="auto"/>
              </w:rPr>
            </w:pPr>
            <w:r>
              <w:rPr>
                <w:rFonts w:ascii="Arial" w:cs="Arial" w:eastAsia="Arial" w:hAnsi="Arial"/>
                <w:sz w:val="14"/>
                <w:szCs w:val="14"/>
                <w:b w:val="1"/>
                <w:bCs w:val="1"/>
                <w:color w:val="auto"/>
                <w:w w:val="88"/>
              </w:rPr>
              <w:t>(decrease)</w:t>
            </w: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Collaboration revenue</w:t>
            </w:r>
          </w:p>
        </w:tc>
        <w:tc>
          <w:tcPr>
            <w:tcW w:w="9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42"/>
        </w:trPr>
        <w:tc>
          <w:tcPr>
            <w:tcW w:w="5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three months ended March 31, 2020, we did not recognize revenue. During the three months ended March 31, 2019, we recognized less than $0.1 million of revenue for a shipment under our collaboration agreement with Spark.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following is a comparison of research and development expenses for the three months ended March 31, 2020 and 2019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Pr>
          <w:p>
            <w:pPr>
              <w:spacing w:after="0"/>
              <w:rPr>
                <w:sz w:val="16"/>
                <w:szCs w:val="16"/>
                <w:color w:val="auto"/>
              </w:rPr>
            </w:pPr>
          </w:p>
        </w:tc>
        <w:tc>
          <w:tcPr>
            <w:tcW w:w="160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91"/>
              </w:rPr>
              <w:t>Increase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55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88"/>
              </w:rPr>
              <w:t>(decrease)</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5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14,724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7,353</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7,371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During the three months ended March 31, 2020</w:t>
      </w:r>
      <w:r>
        <w:rPr>
          <w:rFonts w:ascii="Arial" w:cs="Arial" w:eastAsia="Arial" w:hAnsi="Arial"/>
          <w:sz w:val="18"/>
          <w:szCs w:val="18"/>
          <w:color w:val="2C2C2C"/>
        </w:rPr>
        <w:t>, our research and development expenses increased by $7.4 million, or 100%, as com</w:t>
      </w:r>
      <w:r>
        <w:rPr>
          <w:rFonts w:ascii="Arial" w:cs="Arial" w:eastAsia="Arial" w:hAnsi="Arial"/>
          <w:sz w:val="18"/>
          <w:szCs w:val="18"/>
          <w:color w:val="auto"/>
        </w:rPr>
        <w:t>pared to 2019. The increase in costs was primarily the result of expenses incurred for our Phase 2 COMPARE trial for SEL-212 and for our gene therapy program in collaboration with AskBio.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following is a comparison of general and administrative expenses for the three months ended March 31, 2020 and 2019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88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Pr>
          <w:p>
            <w:pPr>
              <w:spacing w:after="0"/>
              <w:rPr>
                <w:sz w:val="16"/>
                <w:szCs w:val="16"/>
                <w:color w:val="auto"/>
              </w:rPr>
            </w:pPr>
          </w:p>
        </w:tc>
        <w:tc>
          <w:tcPr>
            <w:tcW w:w="162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1"/>
              </w:rPr>
              <w:t>Increase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548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88"/>
              </w:rPr>
              <w:t>(decrease)</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5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4,098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4,513</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(415)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During the three months ended March 31, 2020, our general and administrative expenses decreased by $0.4 million, or 9%, as compared to 2019. The reduction in costs was the result of reduced salaries, consulting and professional fees offset by increased stock compensation expense.</w:t>
      </w:r>
    </w:p>
    <w:p>
      <w:pPr>
        <w:sectPr>
          <w:pgSz w:w="11900" w:h="16838" w:orient="portrait"/>
          <w:cols w:equalWidth="0" w:num="1">
            <w:col w:w="11240"/>
          </w:cols>
          <w:pgMar w:left="320" w:top="665" w:right="339" w:bottom="453" w:gutter="0" w:footer="0" w:header="0"/>
        </w:sect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665" w:right="339" w:bottom="453"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remained relatively unchanged during the three months ended March 31, 2020 as compared to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recognized minimal foreign currency gains of less than $0.1 million and minimal losses of less than $0.1 million during each of the three months ended March 31,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Interest expense was $0.3 million and $0.4 million for the three months ended March 31, 2020 and 2019, respectively, representing interest expense and amortization of the carrying costs of our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warrant liabilities</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recognized $0.8 million charge for the increase in the fair value of warrant liabilities utilizing a Black-Scholes valuation methodology, for the three months ended March 31, 2020, primarily driven by an increase in the share price and volatility, offset by a decreased discount rate this quarter (see Note 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was de minimis for each of the three months ended March 31, 2020 and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Net loss for the three months ended March 31, 2020 was $19.6 million compared to $12.1 million for the three months ended March 31, 2019.</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Since our inception, we have incurred recurring net losses.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w:t>
      </w:r>
      <w:r>
        <w:rPr>
          <w:rFonts w:ascii="MS PGothic" w:cs="MS PGothic" w:eastAsia="MS PGothic" w:hAnsi="MS PGothic"/>
          <w:sz w:val="18"/>
          <w:szCs w:val="18"/>
          <w:color w:val="auto"/>
        </w:rPr>
        <w:t>‑</w:t>
      </w:r>
      <w:r>
        <w:rPr>
          <w:rFonts w:ascii="Arial" w:cs="Arial" w:eastAsia="Arial" w:hAnsi="Arial"/>
          <w:sz w:val="18"/>
          <w:szCs w:val="18"/>
          <w:color w:val="auto"/>
        </w:rPr>
        <w:t>party funding and other collaborations and strategic alliances.</w:t>
      </w:r>
    </w:p>
    <w:p>
      <w:pPr>
        <w:spacing w:after="0" w:line="20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From our inception through March 31, 2020, we have raised an aggregate of $422.1 million to fund our operations, which includes $118.5 million from the sale of preferred stock, $11.1 million in government grant funding, $25.3 million from borrowings under our credit facility, $51.3 million from our collaborations and license agreements, $64.5 million in combined net proceeds from our initial public offering, $149.3 million in combined net proceeds from private placements and follow-on offerings of our common stock, and $2.1 million in aggregate net proceeds from "at-the-market" offerings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December 17, 2019, we entered into the AskBio License Agreement. Pursuant to the AskBio License Agreement, AskBio has exercised its option to exclusively license intellectual property rights covering ImmTOR to research, develop, and commercialize certain AAV genetherapy products utilizing ImmTOR, and targeting the GAA gene, or derivatives thereof, to treat Pompe Disease. As of March 31, 2020, we had received $7.0 million of upfront fees pursuant to the AskBio License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Financings</w:t>
      </w:r>
    </w:p>
    <w:p>
      <w:pPr>
        <w:spacing w:after="0" w:line="22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In August 2017, we entered into a sales agreement, or the Sales Agreement, with Jefferies LLC, as sales agent, pursuant to which we may, from time to time, issue and sell common stock with an aggregate value of up to $50 million in an "at-the-market" offering. Sales of common stock, if any, pursuant to the Sales Agreement, may be made in sales deemed to be an “at the market offering” as defined in Rule 415(a) of the Securities Act, including sales made directly through the Nasdaq Global Market or on any other existing trading market for our common stock. We intend to use the proceeds from the offering for working capital and other general corporate purposes. We may suspend or terminate the Sales Agreement at any time.</w:t>
      </w:r>
    </w:p>
    <w:p>
      <w:pPr>
        <w:spacing w:after="0" w:line="16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From August 11, 2017, the date we entered into the Sales Agreement, to December 31, 2019, we sold 615,453 shares of our common stock pursuant to the Sales Agreement at an average price of approximately $1.84 per share for aggregate net proceeds of $1.0 million, after deducting commissions and other transaction costs.</w:t>
      </w:r>
    </w:p>
    <w:p>
      <w:pPr>
        <w:spacing w:after="0" w:line="18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During the three months ended March 31, 2020, we sold 598,977 shares of our common stock pursuant to the Sales Agreement at an average price of approximately $2.11 per share for aggregate net proceeds of $1.1 million, after deducting commissions and other transaction costs.</w:t>
      </w:r>
    </w:p>
    <w:p>
      <w:pPr>
        <w:sectPr>
          <w:pgSz w:w="11900" w:h="16838" w:orient="portrait"/>
          <w:cols w:equalWidth="0" w:num="1">
            <w:col w:w="11240"/>
          </w:cols>
          <w:pgMar w:left="320" w:top="661" w:right="339"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661" w:right="339" w:bottom="1440" w:gutter="0" w:footer="0" w:header="0"/>
          <w:type w:val="continuous"/>
        </w:sectPr>
      </w:pPr>
    </w:p>
    <w:bookmarkStart w:id="40" w:name="page41"/>
    <w:bookmarkEnd w:id="40"/>
    <w:p>
      <w:pPr>
        <w:ind w:right="140"/>
        <w:spacing w:after="0" w:line="263" w:lineRule="auto"/>
        <w:rPr>
          <w:sz w:val="20"/>
          <w:szCs w:val="20"/>
          <w:color w:val="auto"/>
        </w:rPr>
      </w:pPr>
      <w:r>
        <w:rPr>
          <w:rFonts w:ascii="Arial" w:cs="Arial" w:eastAsia="Arial" w:hAnsi="Arial"/>
          <w:sz w:val="18"/>
          <w:szCs w:val="18"/>
          <w:color w:val="auto"/>
        </w:rPr>
        <w:t>As of March 31, 2020, our cash, cash equivalents, and restricted cash were $74.3 million, of which $1.7 million was restricted cash related to lease commitments and $0.3 million was held by our Russian subsidiary designated solely for use in its operations. Our Russian subsidiary cash is consolidated for financial reporting purposes.</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to our existing cash equivalents, we receive research and development funding pursuant to our collaboration agreements. Currently, funding from payments under our collaboration agreements represent our only source of committed external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September 12, 2017, we entered into a term loan facility of up to $21.0 million with Silicon Valley Bank, a California corporation, or SVB, the proceeds of which were used to repay our previously existing term loan facility with Oxford Finance LLC and Pacific Western Bank, as successor in interest to Square 1 Bank, and for general corporate and working capital purposes. The term loan facility is governed by a loan and security agreement, dated September 12, 2017, between us and SVB, which was funded in full on September 13, 2017. The term loan facility with SVB is secured by a lien on substantially all assets, other than intellectual property, provided that such lien on assets includes any rights to payments and proceeds from the sale, licensing or disposition of intellectual property. We also granted SVB a negative pledge with respect to our intellectual property.</w:t>
      </w:r>
    </w:p>
    <w:p>
      <w:pPr>
        <w:spacing w:after="0" w:line="16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term loan facility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term loan facility also contains other customary provisions, such as expense reimbursement, non-disclosure obligations as well as indemnification rights for the benefit of SVB.</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events of default under the term loan facility include, but are not limited to, our failure to make any payments of principal or interest under the term loan facility or other transaction documents, our breach or default in the performance of any covenant under the term loan facility or other transaction documents, the occurrence of a material adverse effect, making a false or misleading representation or warranty in any material respect under the term loan facility, our insolvency or bankruptcy, any attachment or judgment on our assets in excess of approximately $0.3 million, or the occurrence of any default under any of our agreements or obligations involving indebtedness in excess of approximately $0.3 million. If an event of default occurs, SVB is entitled to take enforcement action, including acceleration of amounts due under the term loan facility. If we raise any additional debt financing, the terms of such additional debt could further restrict our operating and financial flexibility.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 and future funding requirements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the date of this Quarterly Report on Form 10-Q,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16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As of March 31, 2020 and December 31, 2019, we had an accumulated deficit of $355.4 million and $335.8 million, respectively.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Management is exploring various sources of funding such as strategic collaborations and the issuance of equity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the ownership interest of our existing shareholders will be diluted and other preferences may be necessary that adversely affect the rights of existing shareholders.</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will require additional external sources of capital to complete the planned Phase 3 clinical program for SEL-212. Under the terms of our exclusive patent license agreement with the Massachusetts Institute of Technology, or the MIT License, MIT may terminate the MIT License if we fail to meet a diligence obligation, including the initiation of a Phase 3 clinical trial by a specified date in the fourth quarter of 2019. On December 13, 2019, we entered into the Fourth Amendment, which we refer to as the MIT Amendment, to the Exclusive Patent License Agreement by and between us and the Massachusetts Institute of</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665" w:right="359" w:bottom="1440" w:gutter="0" w:footer="0" w:header="0"/>
        </w:sectPr>
      </w:pPr>
    </w:p>
    <w:bookmarkStart w:id="41" w:name="page42"/>
    <w:bookmarkEnd w:id="41"/>
    <w:p>
      <w:pPr>
        <w:ind w:right="60"/>
        <w:spacing w:after="0" w:line="254" w:lineRule="auto"/>
        <w:rPr>
          <w:sz w:val="20"/>
          <w:szCs w:val="20"/>
          <w:color w:val="auto"/>
        </w:rPr>
      </w:pPr>
      <w:r>
        <w:rPr>
          <w:rFonts w:ascii="Arial" w:cs="Arial" w:eastAsia="Arial" w:hAnsi="Arial"/>
          <w:sz w:val="18"/>
          <w:szCs w:val="18"/>
          <w:color w:val="auto"/>
        </w:rPr>
        <w:t>Technology, or the MIT Agreement. Pursuant to the MIT Amendment, a provision of the MIT Agreement under which we were obligated to initiate a Phase 3 clinical trial for a licensed product by a specified date in the fourth quarter of 2019 is tolled until the earlier of (i) a specified date in the second quarter of 2020 or (ii) the effective date of a written amendment to the MIT Agreement. Further, pursuant to the MIT Amendment, the parties agreed to negotiate in good faith to enter into a future amendment to the MIT Agreement after we provide MIT with an amended diligence plan. The parties have negotiated in good faith, which has included discussing an amended diligence plan, and we expect to enter into a new amendment to the MIT agreement. If we are unable to reach an agreement with MIT regarding an acceptable amendment of the MIT License and if we are unable to cure the breach, there could be a material adverse effect on our business.</w:t>
      </w:r>
    </w:p>
    <w:p>
      <w:pPr>
        <w:spacing w:after="0" w:line="19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believe that our existing cash, cash equivalents, investments, and restricted cash as of March 31, 2020 will enable us to fund our operating expenses and capital expenditure requirements into the first quarter of 2021. Subject to the impact of the COVID-19 pandemic on our business, we plan to commence our Phase 3 clinical program in SEL-212 in the second half of 2020. Because our current operating plan does not contain sufficient resources, we will require additional external sources of capital to complete the planned Phase 3 clinical program for SEL-212. Additionally, while the potential economic impact brought by and the duration of the COVID-19 pandemic may be difficult to assess or predict, the widespread pandemic has resulted in, and may continue to result in, significant disruption of global financial markets, reducing our ability to access capital as and when needed, including for the planned Phase 3 clinical program. We have based this estimate on assumptions that may prove to be wrong, and we could use our capital resources sooner than we currently expect. Because of the uncertainty in securing additional capital, we have concluded that substantial doubt exists with respect to our ability to continue as a going concern within one year after the date of the filing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progress, results and costs of our clinical trials of SEL-212;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225"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340" w:right="7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2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As noted above, the magnitude and duration of the COVID-19 pandemic and its impact on our liquidity future funding requirements is uncertain as of the filing date of this Quarterly Report on Form 10-Q as this continues to evolve globally. See “Impact of Novel Coronavirus” above and “Risk Factors - The outbreak of the novel coronavirus disease, COVID-19, could adversely impact our business, including our preclinical studies and clinical trials.” in Part II, Item 1A of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665"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4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color w:val="auto"/>
              </w:rPr>
              <w:t>Cash provided by (used in):</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activities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(20,240)</w:t>
            </w: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Investing activities</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(16,119)</w:t>
            </w: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Financing activities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31,107</w:t>
            </w:r>
          </w:p>
        </w:tc>
      </w:tr>
      <w:tr>
        <w:trPr>
          <w:trHeight w:val="26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r>
      <w:tr>
        <w:trPr>
          <w:trHeight w:val="242"/>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change in cash, cash equivalents, and restricted cash</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(5,230)</w:t>
            </w: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Net cash used in operating activities for the three months ended March 31, 2020 was $11.7 million compared to $20.2 million in the same period in 2019, a decrease of $8.5 million. The decrease in net cash used in operating activities was primarily due to a decrease of $6.1 million in prepaid expenses, a decrease of $5.0 million in accounts receivable, a decrease of $2.8 million in accrued expenses and other liabilities, an increase of $1.2 million in accounts payable, offset by a $6.7 million increase in recorded net loss after adjusting for non-cash charge of $0.8 million for the warrant liability.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cash used in investing activities for the three months ended March 31, 2020 was $0.1 million compared to net cash used in investing activities of $16.1 million in the same period in 2019. The net cash used in investing activities in 2020 was to purchase property and equipment. During the first quarter of 2019, the net cash used by investing was the result of purchases of short-term investments of $18.2 million to purchase short-term investments, offset by $2.0 million in sales of short-term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Net cash used in financing activities for the three months ended March 31, 2020 was $5.4 million compared to net cash provided by financing activities of $31.1 million in the same period in 2019. The net cash used in financing activities in 2020 was the result of $4.4 million of issuance costs paid for December 2019 financing, $2.1 million principal payment on outstanding debt, offset by $1.1 million net proceeds from "at-the-market" offerings. The net cash provided by financing activities in 2019 was due to $30.9 million net proceeds from the issuance of common stock under the January 2019 Public Offering and $0.1 million from the exercise of employee stock options.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a discussion of recently adopted or issued accounting pronouncements please refer to Part I, Note 2 to our consolidated financial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As of March 31, 2020, we did not have any off-balance sheet arrangements as defined in the rules and regulations of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and liabilities and the disclosure of contingent assets and liabilities in our consolidated financial statements, as well as the reported revenues and expenses during the reporting periods.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Costs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Clinical trial expenses are a significant component of research and development expenses, and we outsource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w:t>
      </w:r>
    </w:p>
    <w:p>
      <w:pPr>
        <w:sectPr>
          <w:pgSz w:w="11900" w:h="16838" w:orient="portrait"/>
          <w:cols w:equalWidth="0" w:num="1">
            <w:col w:w="11240"/>
          </w:cols>
          <w:pgMar w:left="320" w:top="819" w:right="339" w:bottom="1440" w:gutter="0" w:footer="0" w:header="0"/>
        </w:sect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819" w:right="339" w:bottom="1440" w:gutter="0" w:footer="0" w:header="0"/>
          <w:type w:val="continuous"/>
        </w:sectPr>
      </w:pPr>
    </w:p>
    <w:bookmarkStart w:id="43" w:name="page44"/>
    <w:bookmarkEnd w:id="43"/>
    <w:p>
      <w:pPr>
        <w:ind w:right="20"/>
        <w:spacing w:after="0" w:line="291" w:lineRule="auto"/>
        <w:rPr>
          <w:sz w:val="20"/>
          <w:szCs w:val="20"/>
          <w:color w:val="auto"/>
        </w:rPr>
      </w:pPr>
      <w:r>
        <w:rPr>
          <w:rFonts w:ascii="Arial" w:cs="Arial" w:eastAsia="Arial" w:hAnsi="Arial"/>
          <w:sz w:val="16"/>
          <w:szCs w:val="16"/>
          <w:color w:val="auto"/>
        </w:rPr>
        <w:t>consolidated balance sheets as a prepaid asset or accrued clinical trial cost. These third party agreements are generally cancelable, and related costs are recorded as research and development expenses as incurred. Non-refundable advance clinical payments for goods or services that will be used or rendered for future R&amp;D activities are recorded as a prepaid asset and recognized as expense as the related goods are delivered or the related services are performed. We also record accruals for estimated ongoing clinical research and development costs. When evaluating the adequacy of the accrued liabilities,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Revenue is recognized when a customer obtains control of promised goods or services, in an amount that reflects the consideration which the entity expects to receive in exchange for those goods or services. Pursuant to ASC 606, </w:t>
      </w:r>
      <w:r>
        <w:rPr>
          <w:rFonts w:ascii="Arial" w:cs="Arial" w:eastAsia="Arial" w:hAnsi="Arial"/>
          <w:sz w:val="16"/>
          <w:szCs w:val="16"/>
          <w:i w:val="1"/>
          <w:iCs w:val="1"/>
          <w:color w:val="auto"/>
        </w:rPr>
        <w:t>Revenue from Contracts with Customers (ASC 606)</w:t>
      </w:r>
      <w:r>
        <w:rPr>
          <w:rFonts w:ascii="Arial" w:cs="Arial" w:eastAsia="Arial" w:hAnsi="Arial"/>
          <w:sz w:val="16"/>
          <w:szCs w:val="16"/>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we perform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we satisfy each performance obligation. We only apply the five-step model to contracts when it is probable that the entity will collect the consideration it is entitled to in exchange for the goods or services it transfers to the customer. At contract inception, once the contract is determined to be within the scope of ASC 606, we assess the goods or services promised within each contract and determines those that are performance obligations, and assesses whether each promised good or service is distinct. If a promised good or service is not distinct, it is combined with other performance obligations. We then recognize as revenue the amount of the transaction price that is allocated to the respective performance obligation when (or as) the performance obligation is satisfied. For example, certain performance obligations associated with Spark (see Note 12 to our consolidated financial statements included elsewhere in this Quarterly Report on Form 10-Q) will be satisfied over time, and revenue will be recognized using the output method, based on the proportion of actual deliveries to the total expected deliveries over the initial term.</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Collaboration and Grant Revenue: </w:t>
      </w:r>
      <w:r>
        <w:rPr>
          <w:rFonts w:ascii="Arial" w:cs="Arial" w:eastAsia="Arial" w:hAnsi="Arial"/>
          <w:sz w:val="16"/>
          <w:szCs w:val="16"/>
          <w:color w:val="auto"/>
        </w:rPr>
        <w:t>We currently generate our revenue through grants, collaboration and license agreements with strategic collaborators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development and commercialization of product candidates. Grants and license agreements with customers are accounted for in accordance with ASC</w:t>
      </w:r>
    </w:p>
    <w:p>
      <w:pPr>
        <w:ind w:left="360" w:hanging="352"/>
        <w:spacing w:after="0"/>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We analyze collaboration arrangements by first assessing whether they are within the scope of ASC Topic 808, </w:t>
      </w:r>
      <w:r>
        <w:rPr>
          <w:rFonts w:ascii="Arial" w:cs="Arial" w:eastAsia="Arial" w:hAnsi="Arial"/>
          <w:sz w:val="16"/>
          <w:szCs w:val="16"/>
          <w:i w:val="1"/>
          <w:iCs w:val="1"/>
          <w:color w:val="auto"/>
        </w:rPr>
        <w:t>Collaborative Arrangements (ASC</w:t>
      </w:r>
    </w:p>
    <w:p>
      <w:pPr>
        <w:spacing w:after="0" w:line="32" w:lineRule="exact"/>
        <w:rPr>
          <w:rFonts w:ascii="Arial" w:cs="Arial" w:eastAsia="Arial" w:hAnsi="Arial"/>
          <w:sz w:val="16"/>
          <w:szCs w:val="16"/>
          <w:color w:val="auto"/>
        </w:rPr>
      </w:pPr>
    </w:p>
    <w:p>
      <w:pPr>
        <w:ind w:right="40"/>
        <w:spacing w:after="0" w:line="285" w:lineRule="auto"/>
        <w:rPr>
          <w:rFonts w:ascii="Arial" w:cs="Arial" w:eastAsia="Arial" w:hAnsi="Arial"/>
          <w:sz w:val="16"/>
          <w:szCs w:val="16"/>
          <w:color w:val="auto"/>
        </w:rPr>
      </w:pPr>
      <w:r>
        <w:rPr>
          <w:rFonts w:ascii="Arial" w:cs="Arial" w:eastAsia="Arial" w:hAnsi="Arial"/>
          <w:sz w:val="16"/>
          <w:szCs w:val="16"/>
          <w:i w:val="1"/>
          <w:iCs w:val="1"/>
          <w:color w:val="auto"/>
        </w:rPr>
        <w:t>808)</w:t>
      </w:r>
      <w:r>
        <w:rPr>
          <w:rFonts w:ascii="Arial" w:cs="Arial" w:eastAsia="Arial" w:hAnsi="Arial"/>
          <w:sz w:val="16"/>
          <w:szCs w:val="16"/>
          <w:color w:val="auto"/>
        </w:rPr>
        <w:t>, and evaluate whether such arrangements involve joint operating activities performed by parties that are both active participants in the activities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we also assess whether any aspects of the agreement are within the scope of other accounting literature (specifically ASC 606). We early adopted ASU No. 2018-18, </w:t>
      </w:r>
      <w:r>
        <w:rPr>
          <w:rFonts w:ascii="Arial" w:cs="Arial" w:eastAsia="Arial" w:hAnsi="Arial"/>
          <w:sz w:val="16"/>
          <w:szCs w:val="16"/>
          <w:i w:val="1"/>
          <w:iCs w:val="1"/>
          <w:color w:val="auto"/>
        </w:rPr>
        <w:t>Collaborative Arrangements (Topic 808): Clarifying the Interaction between Topic 808 and Topic 606</w:t>
      </w:r>
      <w:r>
        <w:rPr>
          <w:rFonts w:ascii="Arial" w:cs="Arial" w:eastAsia="Arial" w:hAnsi="Arial"/>
          <w:sz w:val="16"/>
          <w:szCs w:val="16"/>
          <w:color w:val="auto"/>
        </w:rPr>
        <w:t xml:space="preserve">, which provides guidance on evaluating certain transactions between collaborative arrangement participants. If we conclude that some or all aspects of the agreement are distinct and represent a transaction with a customer, we account for those aspects of the arrangement within the scope of ASC 606. We recognize the shared costs incurred that are not within the scope of other accounting literature as a component of the related expense in the period incurred by analogy to ASC 730, </w:t>
      </w:r>
      <w:r>
        <w:rPr>
          <w:rFonts w:ascii="Arial" w:cs="Arial" w:eastAsia="Arial" w:hAnsi="Arial"/>
          <w:sz w:val="16"/>
          <w:szCs w:val="16"/>
          <w:i w:val="1"/>
          <w:iCs w:val="1"/>
          <w:color w:val="auto"/>
        </w:rPr>
        <w:t>Research and</w:t>
      </w:r>
      <w:r>
        <w:rPr>
          <w:rFonts w:ascii="Arial" w:cs="Arial" w:eastAsia="Arial" w:hAnsi="Arial"/>
          <w:sz w:val="16"/>
          <w:szCs w:val="16"/>
          <w:color w:val="auto"/>
        </w:rPr>
        <w:t xml:space="preserve"> </w:t>
      </w:r>
      <w:r>
        <w:rPr>
          <w:rFonts w:ascii="Arial" w:cs="Arial" w:eastAsia="Arial" w:hAnsi="Arial"/>
          <w:sz w:val="16"/>
          <w:szCs w:val="16"/>
          <w:i w:val="1"/>
          <w:iCs w:val="1"/>
          <w:color w:val="auto"/>
        </w:rPr>
        <w:t>Development (ASC 730)</w:t>
      </w:r>
      <w:r>
        <w:rPr>
          <w:rFonts w:ascii="Arial" w:cs="Arial" w:eastAsia="Arial" w:hAnsi="Arial"/>
          <w:sz w:val="16"/>
          <w:szCs w:val="16"/>
          <w:color w:val="auto"/>
        </w:rPr>
        <w:t>, and record reimbursements from counterparties as an offset to the related costs. In determining the appropriate amount of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to be recognized as it fulfills our obligations under the agreements in accordance with ASC 606, we perform the five steps above. As part of the accounting for the arrangement, we must develop assumptions that require judgment to determine the stand-alone selling price for each performance obligation identified in the contract. We use key assumptions to determine the stand-alone selling price, which may include market conditions, reimbursement rates for personnel costs, development timelines and probabilities of regulatory success.</w:t>
      </w:r>
    </w:p>
    <w:p>
      <w:pPr>
        <w:spacing w:after="0" w:line="16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terms of our arrangements typically include one or more of the following: (i) up-front fees; (ii) milestone payments related to the achievement of development, regulatory, or commercial goals; (iii) royalties on net sales of licensed products; (iv) reimbursements or cost-sharing of R&amp;D expenses; and (v) profit/loss sharing arising from co-promotion arrangements.</w:t>
      </w:r>
    </w:p>
    <w:p>
      <w:pPr>
        <w:spacing w:after="0" w:line="184"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i w:val="1"/>
          <w:iCs w:val="1"/>
          <w:color w:val="auto"/>
        </w:rPr>
        <w:t xml:space="preserve">Licenses of intellectual property: </w:t>
      </w:r>
      <w:r>
        <w:rPr>
          <w:rFonts w:ascii="Arial" w:cs="Arial" w:eastAsia="Arial" w:hAnsi="Arial"/>
          <w:sz w:val="16"/>
          <w:szCs w:val="16"/>
          <w:color w:val="auto"/>
        </w:rPr>
        <w:t>If the license to our intellectual property is determined to be distinct from the other performance obligations identified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arrangement, we recognize revenues from non-refundable, up-front fees allocated to the license when the license is transferred to the customer and the customer is able to use and benefit from the license. If not distinct, the license is combined with other performance obligations in the contract. For licenses that are combined with other performance obligations, we assess the nature of the combined performance obligation to determine whether the combined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665" w:right="339" w:bottom="1440" w:gutter="0" w:footer="0" w:header="0"/>
        </w:sectPr>
      </w:pPr>
    </w:p>
    <w:bookmarkStart w:id="44" w:name="page45"/>
    <w:bookmarkEnd w:id="44"/>
    <w:p>
      <w:pPr>
        <w:ind w:right="120"/>
        <w:spacing w:after="0" w:line="259" w:lineRule="auto"/>
        <w:rPr>
          <w:sz w:val="20"/>
          <w:szCs w:val="20"/>
          <w:color w:val="auto"/>
        </w:rPr>
      </w:pPr>
      <w:r>
        <w:rPr>
          <w:rFonts w:ascii="Arial" w:cs="Arial" w:eastAsia="Arial" w:hAnsi="Arial"/>
          <w:sz w:val="18"/>
          <w:szCs w:val="18"/>
          <w:color w:val="auto"/>
        </w:rPr>
        <w:t>performance obligation is satisfied over time or at a point in time and, if over time, the appropriate method of measuring progress for purposes of recognizing revenue. We evaluate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187"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developmental and regulatory milestone payments, we evaluate whether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of each milestone specifically relates to our efforts to satisfy a performance 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our effort to satisfy a performance obligation or transfer a distinct good or service, the amount is allocated to all performance obligations using the relative standalone selling price method. We also evaluate the milestones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we re-evaluate the probability of achievement of such development milestones and any related constraint, and if necessary, adjusts our estimate of the transaction</w:t>
      </w:r>
    </w:p>
    <w:p>
      <w:pPr>
        <w:spacing w:after="0" w:line="5"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9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i w:val="1"/>
          <w:iCs w:val="1"/>
          <w:color w:val="auto"/>
        </w:rPr>
        <w:t xml:space="preserve">Manufacturing Supply Services: </w:t>
      </w:r>
      <w:r>
        <w:rPr>
          <w:rFonts w:ascii="Arial" w:cs="Arial" w:eastAsia="Arial" w:hAnsi="Arial"/>
          <w:sz w:val="16"/>
          <w:szCs w:val="16"/>
          <w:color w:val="auto"/>
        </w:rPr>
        <w:t>Arrangements that include a promise for future supply of drug substance or drug product for either clinical development or</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supply at the customer’s discretion are evaluated to determine if they are distinct and optional. For optional services that are distinct, we assess if they are priced at a discount, and therefore, provide a material right to the licensee to be accounted for as separate performance obligations.</w:t>
      </w:r>
    </w:p>
    <w:p>
      <w:pPr>
        <w:spacing w:after="0" w:line="14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we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Liabilities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December 2019, we issued common warrants in connection with the 2019 Purchase Agreement. Pursuant to the terms of these common warrants, we could be required to settle the common warrants in cash in the event of certain acquisitions of the Company and, as a result, the common warrants are required to be measured at fair value and reported as a liability on the balance sheet. We recorded the fair value of the common warrants of $40.7 million upon issuance using the Black-Scholes valuation model, and are required to revalue the common warrants at each reporting date with any changes in fair value recorded on our statement of operations. Inputs used to determine estimated fair value of the common warrant liabilities include the estimated fair value of the underlying stock at the valuation date, the estimated term of the warrants, risk-free interest rates, expected dividends and the expected volatility of the underlying stock. As of March 31, 2020, the fair value of the common warrants of $42.4 million was recorded as a long-term liability on our balance sheet, which resulted in a change in fair value of $0.8 million for the three months ended March 31, 2020.</w:t>
      </w:r>
    </w:p>
    <w:p>
      <w:pPr>
        <w:spacing w:after="0" w:line="16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229" w:lineRule="exact"/>
        <w:rPr>
          <w:sz w:val="20"/>
          <w:szCs w:val="20"/>
          <w:color w:val="auto"/>
        </w:rPr>
      </w:pPr>
    </w:p>
    <w:p>
      <w:pPr>
        <w:ind w:right="160"/>
        <w:spacing w:after="0" w:line="219" w:lineRule="exact"/>
        <w:rPr>
          <w:sz w:val="20"/>
          <w:szCs w:val="20"/>
          <w:color w:val="auto"/>
        </w:rPr>
      </w:pPr>
      <w:r>
        <w:rPr>
          <w:rFonts w:ascii="Arial" w:cs="Arial" w:eastAsia="Arial" w:hAnsi="Arial"/>
          <w:sz w:val="16"/>
          <w:szCs w:val="16"/>
          <w:color w:val="auto"/>
        </w:rPr>
        <w:t>We account for all stock</w:t>
      </w:r>
      <w:r>
        <w:rPr>
          <w:rFonts w:ascii="MS PGothic" w:cs="MS PGothic" w:eastAsia="MS PGothic" w:hAnsi="MS PGothic"/>
          <w:sz w:val="16"/>
          <w:szCs w:val="16"/>
          <w:color w:val="auto"/>
        </w:rPr>
        <w:t>‑</w:t>
      </w:r>
      <w:r>
        <w:rPr>
          <w:rFonts w:ascii="Arial" w:cs="Arial" w:eastAsia="Arial" w:hAnsi="Arial"/>
          <w:sz w:val="16"/>
          <w:szCs w:val="16"/>
          <w:color w:val="auto"/>
        </w:rPr>
        <w:t>based compensation granted to employees and non</w:t>
      </w:r>
      <w:r>
        <w:rPr>
          <w:rFonts w:ascii="MS PGothic" w:cs="MS PGothic" w:eastAsia="MS PGothic" w:hAnsi="MS PGothic"/>
          <w:sz w:val="16"/>
          <w:szCs w:val="16"/>
          <w:color w:val="auto"/>
        </w:rPr>
        <w:t>‑</w:t>
      </w:r>
      <w:r>
        <w:rPr>
          <w:rFonts w:ascii="Arial" w:cs="Arial" w:eastAsia="Arial" w:hAnsi="Arial"/>
          <w:sz w:val="16"/>
          <w:szCs w:val="16"/>
          <w:color w:val="auto"/>
        </w:rPr>
        <w:t>employees using a fair value method.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is measured at the grant date fair value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and is recognized over the requisite service period of the awards, usually the vesting period,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net of estimated forfeitures. We reduce recorded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estimated forfeitures. To the extent that actual forfeitures differ from management’s estimates, the differences are recorded as a cumulative adjustment in the period the estimates were adjusted.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recognized in the consolidated financial statements is based on awards that are ultimately expected to vest.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66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Smaller Reporting Company</w:t>
      </w:r>
    </w:p>
    <w:p>
      <w:pPr>
        <w:spacing w:after="0" w:line="121"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We qualify as a “smaller reporting company” under the rules of the Securities Act and the Exchange Act. As a result, in addition to the exemptions available to us as an “emerging growth company,” we may choose to take advantage of certain scaled disclosure requirements available specifically to smaller reporting companies. Additionally, even if we cease to be an emerging growth company as noted above, as long as we continue to be a smaller reporting company, we may continue to rely on the reduced executive compensation disclosure obligations available to emerging growth companies. We will remain a smaller reporting company until the last day of the fiscal year in which the aggregate market value of our common stock held by non-affiliated persons and entities, or our public float, was less than $250 million as of the last business day of our most recently completed second fiscal quarter, or the last day of the fiscal year in which we have at least $100 million in revenue and at least $700 million in public float as of the last business day of our most recently completed second fiscal quarter.</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March 31, 2020 and December 31, 2019, we had cash, cash equivalents, restricted cash and investments of $74.3 million and $91.6 million, respectively, consisting of non</w:t>
      </w:r>
      <w:r>
        <w:rPr>
          <w:rFonts w:ascii="MS PGothic" w:cs="MS PGothic" w:eastAsia="MS PGothic" w:hAnsi="MS PGothic"/>
          <w:sz w:val="18"/>
          <w:szCs w:val="18"/>
          <w:color w:val="auto"/>
        </w:rPr>
        <w:t>‑</w:t>
      </w:r>
      <w:r>
        <w:rPr>
          <w:rFonts w:ascii="Arial" w:cs="Arial" w:eastAsia="Arial" w:hAnsi="Arial"/>
          <w:sz w:val="18"/>
          <w:szCs w:val="18"/>
          <w:color w:val="auto"/>
        </w:rPr>
        <w:t>interest and interest</w:t>
      </w:r>
      <w:r>
        <w:rPr>
          <w:rFonts w:ascii="MS PGothic" w:cs="MS PGothic" w:eastAsia="MS PGothic" w:hAnsi="MS PGothic"/>
          <w:sz w:val="18"/>
          <w:szCs w:val="18"/>
          <w:color w:val="auto"/>
        </w:rPr>
        <w:t>‑</w:t>
      </w:r>
      <w:r>
        <w:rPr>
          <w:rFonts w:ascii="Arial" w:cs="Arial" w:eastAsia="Arial" w:hAnsi="Arial"/>
          <w:sz w:val="18"/>
          <w:szCs w:val="18"/>
          <w:color w:val="auto"/>
        </w:rPr>
        <w:t>bearing money market accounts. Our primary exposure to market risk is interest rate sensitivity, which is affected by changes in the general level of U.S. interest rates. Due to the short</w:t>
      </w:r>
      <w:r>
        <w:rPr>
          <w:rFonts w:ascii="MS PGothic" w:cs="MS PGothic" w:eastAsia="MS PGothic" w:hAnsi="MS PGothic"/>
          <w:sz w:val="18"/>
          <w:szCs w:val="18"/>
          <w:color w:val="auto"/>
        </w:rPr>
        <w:t>‑</w:t>
      </w:r>
      <w:r>
        <w:rPr>
          <w:rFonts w:ascii="Arial" w:cs="Arial" w:eastAsia="Arial" w:hAnsi="Arial"/>
          <w:sz w:val="18"/>
          <w:szCs w:val="18"/>
          <w:color w:val="auto"/>
        </w:rPr>
        <w:t>term and the low risk profile of our money market accounts and investments, and our current plan to hold investments to maturity, an immediate 100 basis point change in interest rates would not have a material effect on the fair market value of our cash equivalents or short-term investments.</w:t>
      </w:r>
    </w:p>
    <w:p>
      <w:pPr>
        <w:spacing w:after="0" w:line="2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we are subject to currency risk for balances held in Russian rubles in our foreign subsidiary. We hold portions of our funds in both U.S. dollars and Russian rubles. The exchange rate between the U.S. dollar and Russian ruble changes from period to period. As of March 31, 2020, we held cash and cash equivalents totaling $0.3 million in Russian banks to support our Russian subsidiary, all of which were denominated in U.S. dollars. We do not hedge against foreign currency risks. We do not believe that inflation and changing prices had a significant impact on our results of operations for any periods presented herein.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March 31,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identified in management’s evaluation pursuant to Rules 13a-15(d) or 15d-15(d) of the Exchange Act that occurred during the three months ended March 31, 2020 that have materially affected, or are reasonably likely to materially affect, our internal control over financial reporting.</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320" w:top="661" w:right="37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party to any material legal proceedings.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described below, together with the other information included or incorporated by reference in this Quarterly Report on Form 10-Q.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80"/>
        <w:spacing w:after="0" w:line="223" w:lineRule="exact"/>
        <w:rPr>
          <w:sz w:val="20"/>
          <w:szCs w:val="20"/>
          <w:color w:val="auto"/>
        </w:rPr>
      </w:pPr>
      <w:r>
        <w:rPr>
          <w:rFonts w:ascii="Arial" w:cs="Arial" w:eastAsia="Arial" w:hAnsi="Arial"/>
          <w:sz w:val="18"/>
          <w:szCs w:val="18"/>
          <w:b w:val="1"/>
          <w:bCs w:val="1"/>
          <w:i w:val="1"/>
          <w:iCs w:val="1"/>
          <w:color w:val="auto"/>
        </w:rPr>
        <w:t>We are a development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stage company and have incurred significant losses since our inception. We expect to incur losses for the foreseeable future and may never achieve or maintain profitability.</w:t>
      </w:r>
    </w:p>
    <w:p>
      <w:pPr>
        <w:spacing w:after="0" w:line="20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Since inception, we have incurred significant operating losses in every year. Our net loss was $19.6 million for the three months ended March 31, 2020, and $55.4 million and $65.3 million for each of the years ended December 31, 2019 and 2018, respectively. As of March 31, 2020, we had an accumulated deficit of $355.4 million. To date, we have financed our operations primarily through the public offering and private placements of our securities, funding received from research grants and collaboration arrangements and our credit facility. We currently have no source of product revenue, and we do not expect to generate product revenue for the foreseeable future. All of our revenue to date has been collaboration and grant revenue. We have devoted substantially all of our financial resources and efforts to developing our ImmTOR platform, identifying potential product candidates and conducting preclinical studies and our clinical trials. We are in the early stages of development of most of our product candidates, and we have not completed development of any ImmTOR-enabled therapies. We expect to continue to incur significant expenses and operating losses for the foreseeable future. We expect that our expenses will increase substantially as we:</w:t>
      </w:r>
    </w:p>
    <w:p>
      <w:pPr>
        <w:spacing w:after="0" w:line="181" w:lineRule="exact"/>
        <w:rPr>
          <w:sz w:val="20"/>
          <w:szCs w:val="20"/>
          <w:color w:val="auto"/>
        </w:rPr>
      </w:pPr>
    </w:p>
    <w:p>
      <w:pPr>
        <w:ind w:left="340" w:hanging="332"/>
        <w:spacing w:after="0" w:line="207" w:lineRule="exact"/>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conduct additional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 our lead product candidate;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to enhance our ImmTOR platform and discover and develop additional product candidates;</w:t>
      </w:r>
    </w:p>
    <w:p>
      <w:pPr>
        <w:spacing w:after="0" w:line="225" w:lineRule="exact"/>
        <w:rPr>
          <w:rFonts w:ascii="Arial" w:cs="Arial" w:eastAsia="Arial" w:hAnsi="Arial"/>
          <w:sz w:val="18"/>
          <w:szCs w:val="18"/>
          <w:color w:val="auto"/>
        </w:rPr>
      </w:pPr>
    </w:p>
    <w:p>
      <w:pPr>
        <w:ind w:left="340" w:right="80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to maintain and enter into collaboration, licensing and other agreements, including, but not limited to research and development, and/or commercialization agreements;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 up external manufacturing capabilities to commercialize any products for which we may obtain regulatory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w:t>
      </w:r>
    </w:p>
    <w:p>
      <w:pPr>
        <w:spacing w:after="0" w:line="225" w:lineRule="exact"/>
        <w:rPr>
          <w:rFonts w:ascii="Arial" w:cs="Arial" w:eastAsia="Arial" w:hAnsi="Arial"/>
          <w:sz w:val="18"/>
          <w:szCs w:val="18"/>
          <w:color w:val="auto"/>
        </w:rPr>
      </w:pPr>
    </w:p>
    <w:p>
      <w:pPr>
        <w:ind w:left="340" w:right="72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manufacturing or scale-up challenges.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Because of the numerous risks and uncertainties associated with pharmaceutical and biological product development, we are unable to accurately predict the timing or amount of increased expenses or when, or if, we will be able to achieve profitability.</w:t>
      </w:r>
    </w:p>
    <w:p>
      <w:pPr>
        <w:sectPr>
          <w:pgSz w:w="11900" w:h="16838" w:orient="portrait"/>
          <w:cols w:equalWidth="0" w:num="1">
            <w:col w:w="11240"/>
          </w:cols>
          <w:pgMar w:left="320" w:top="661"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320" w:top="661" w:right="339" w:bottom="1440" w:gutter="0" w:footer="0" w:header="0"/>
          <w:type w:val="continuous"/>
        </w:sectPr>
      </w:pPr>
    </w:p>
    <w:bookmarkStart w:id="47" w:name="page48"/>
    <w:bookmarkEnd w:id="47"/>
    <w:p>
      <w:pPr>
        <w:ind w:right="480"/>
        <w:spacing w:after="0" w:line="342" w:lineRule="auto"/>
        <w:rPr>
          <w:sz w:val="20"/>
          <w:szCs w:val="20"/>
          <w:color w:val="auto"/>
        </w:rPr>
      </w:pPr>
      <w:r>
        <w:rPr>
          <w:rFonts w:ascii="Arial" w:cs="Arial" w:eastAsia="Arial" w:hAnsi="Arial"/>
          <w:sz w:val="16"/>
          <w:szCs w:val="16"/>
          <w:color w:val="auto"/>
        </w:rPr>
        <w:t>If we are required by the FDA or other regulatory authorities to perform studies in addition to those currently expected, or if there are any delays in completing our clinical trials or the development of any of our product candidates, our expenses could increase and revenue could be further delayed.</w:t>
      </w:r>
    </w:p>
    <w:p>
      <w:pPr>
        <w:spacing w:after="0" w:line="12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will need substantial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r>
        <w:rPr>
          <w:rFonts w:ascii="Arial" w:cs="Arial" w:eastAsia="Arial" w:hAnsi="Arial"/>
          <w:sz w:val="18"/>
          <w:szCs w:val="18"/>
          <w:b w:val="1"/>
          <w:bCs w:val="1"/>
          <w:color w:val="auto"/>
        </w:rPr>
        <w:t>.</w:t>
      </w:r>
    </w:p>
    <w:p>
      <w:pPr>
        <w:spacing w:after="0" w:line="184"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We expect our expenses to increase in connection with our ongoing activities, particularly as we conduct our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 continue to develop our gene therapy program, including our collaboration with AskBio,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clinical trials, our other research and development programs or any future commercialization efforts.</w:t>
      </w:r>
    </w:p>
    <w:p>
      <w:pPr>
        <w:spacing w:after="0" w:line="20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believe that our existing cash, cash equivalents, investments, and restricted cash as of March 31, 2020 will enable us to fund our operating expenses and capital expenditure requirements into the first quarter of 2021. Subject to the impact of the COVID-19 pandemic on our business, we plan to commence our Phase 3 clinical program in SEL-212 in the second half of 2020. Because our current operating plan does not contain sufficient resources, we will require additional external sources of capital to complete the planned Phase 3 clinical program for SEL-212. Additionally, while the potential economic impact brought by and the duration of the COVID-19 pandemic may be difficult to assess or predict, the widespread pandemic has resulted in, and may continue to result in, significant disruption of global financial markets, reducing our ability to access capital as and when needed, including for the planned Phase 3 clinical program. We have based this estimate on assumptions that may prove to be wrong, and we could use our capital resources sooner than we currently expect. Because of the uncertainty in securing additional capital, we have concluded that substantial doubt exists with respect to our ability to continue as a going concern within one year after the date of the filing of this Quarterly Report on Form 10-Q.</w:t>
      </w:r>
    </w:p>
    <w:p>
      <w:pPr>
        <w:spacing w:after="0" w:line="16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Moreover, under the terms of the MIT License, MIT may terminate the MIT License if we fail to meet a diligence obligation, including the initiation of a Phase 3 clinical trial by a specified date in the fourth quarter of 2019. If we are unable to reach an agreement with MIT regarding an acceptable amendment of the MIT License and if we are unable to cure the breach, which is currently tolled until the earlier of (i) a specified date in the second quarter of 2020 or</w:t>
      </w:r>
    </w:p>
    <w:p>
      <w:pPr>
        <w:spacing w:after="0" w:line="2" w:lineRule="exact"/>
        <w:rPr>
          <w:sz w:val="20"/>
          <w:szCs w:val="20"/>
          <w:color w:val="auto"/>
        </w:rPr>
      </w:pPr>
    </w:p>
    <w:p>
      <w:pPr>
        <w:ind w:right="20" w:firstLine="8"/>
        <w:spacing w:after="0" w:line="260" w:lineRule="auto"/>
        <w:tabs>
          <w:tab w:leader="none" w:pos="2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 date of a written amendment to the MIT Agreement, there could be a material adverse effect on our business. See “Business - Licenses and Collaborations – Massachusetts Institute of Technology.”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340" w:hanging="332"/>
        <w:spacing w:after="0" w:line="207" w:lineRule="exact"/>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our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225"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340" w:right="7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25" w:lineRule="exact"/>
        <w:rPr>
          <w:rFonts w:ascii="Arial" w:cs="Arial" w:eastAsia="Arial" w:hAnsi="Arial"/>
          <w:sz w:val="18"/>
          <w:szCs w:val="18"/>
          <w:color w:val="auto"/>
        </w:rPr>
      </w:pPr>
    </w:p>
    <w:p>
      <w:pPr>
        <w:ind w:left="340" w:right="160" w:hanging="332"/>
        <w:spacing w:after="0" w:line="223" w:lineRule="exact"/>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202"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ectPr>
          <w:pgSz w:w="11900" w:h="16838" w:orient="portrait"/>
          <w:cols w:equalWidth="0" w:num="1">
            <w:col w:w="11240"/>
          </w:cols>
          <w:pgMar w:left="320" w:top="665"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665" w:right="339" w:bottom="1440" w:gutter="0" w:footer="0" w:header="0"/>
          <w:type w:val="continuous"/>
        </w:sectPr>
      </w:pPr>
    </w:p>
    <w:bookmarkStart w:id="48" w:name="page49"/>
    <w:bookmarkEnd w:id="48"/>
    <w:p>
      <w:pPr>
        <w:ind w:left="340" w:right="20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Any additional fundraising efforts may divert our management from their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activities, which may adversely affect our ability to develop and commercialize our product candidates. In addition, we cannot guarantee that future financing will be available in sufficient amounts or on terms acceptable to us, if at all. Market volatility resulting from the COVID-19 pandemic or other factors could also adversely impact our ability to access capital as and when needed.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20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including our clinical trial programs, or the commercialization of any product candidates, or be unable to sustain or expand our operations or otherwise capitalize on our business opportunities, as desired, which could materially affect our business, financial condition and results of operations.</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recurring losses from operations and negative cash flows from operations raise substantial doubt regarding our ability to continue as a going concern.</w:t>
      </w:r>
    </w:p>
    <w:p>
      <w:pPr>
        <w:spacing w:after="0" w:line="17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As of March 31, 2020 and December 31, 2019, we had an accumulated deficit of $355.4 million and $335.8 million, respectively.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 These conditions raise substantial doubt about our ability to continue as a going concern within one year after the date of filing this Quarterly Report on Form 10-Q.</w:t>
      </w:r>
    </w:p>
    <w:p>
      <w:pPr>
        <w:spacing w:after="0" w:line="17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are exploring various sources of funding such as strategic collaborations and the issuance of equity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the ownership interest of our existing shareholders will be diluted and other preferences may be necessary that adversely affect the rights of existing shareholders. Because our current operating plan does not contain sufficient resources, we will require additional external sources of capital to complete the planned Phase 3 clinical program for SEL-212. Additionally, while the potential economic impact brought by and the duration of the COVID-19 pandemic may be difficult to assess or predict, the widespread pandemic has resulted in, and may continue to result in, significant disruption of global financial markets, reducing our ability to access capital as and when needed, including for the planned Phase 3 clinical program. If we are unable to raise sufficient capital, we intend to curtail expenses contemplated by the current operating plan, and we may be required to delay, limit, reduce or terminate our product development efforts or grant rights to develop and market product candidates that we would otherwise prefer to develop and market ourselves. If the foregoing plans are unsuccessful and we are unable to continue as a going concern, you could lose all or part of your investment in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248"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We commenced active operations in 2007, and our operations to date have been limited to developing and researching our ImmTOR platform and related products and programs, building our intellectual property portfolio, developing our supply chain, planning our business, raising capital and providing general and administrative support for these operations. Other than SEL-212, our lead product candidate, our other product candidates are still in preclinical development. While we have completed our early development clinical trials and a Phase 2 clinical trial for SEL</w:t>
      </w:r>
      <w:r>
        <w:rPr>
          <w:rFonts w:ascii="MS PGothic" w:cs="MS PGothic" w:eastAsia="MS PGothic" w:hAnsi="MS PGothic"/>
          <w:sz w:val="16"/>
          <w:szCs w:val="16"/>
          <w:color w:val="auto"/>
        </w:rPr>
        <w:t>‑</w:t>
      </w:r>
      <w:r>
        <w:rPr>
          <w:rFonts w:ascii="Arial" w:cs="Arial" w:eastAsia="Arial" w:hAnsi="Arial"/>
          <w:sz w:val="16"/>
          <w:szCs w:val="16"/>
          <w:color w:val="auto"/>
        </w:rPr>
        <w:t>212, we have not completed a clinical trial for any other product candidate, nor have we demonstrated our ability to successfully complete any Phase 3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quarter and year</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year due to a variety of factors, many of which are beyond our control. Consequently, any predictions you make about our future success or viability may not be as accurate as they could be if we had a longer operating history.</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665" w:right="339" w:bottom="1440" w:gutter="0" w:footer="0" w:header="0"/>
        </w:sectPr>
      </w:pPr>
    </w:p>
    <w:bookmarkStart w:id="49" w:name="page50"/>
    <w:bookmarkEnd w:id="49"/>
    <w:p>
      <w:pPr>
        <w:ind w:right="260"/>
        <w:spacing w:after="0" w:line="277" w:lineRule="auto"/>
        <w:rPr>
          <w:sz w:val="20"/>
          <w:szCs w:val="20"/>
          <w:color w:val="auto"/>
        </w:rPr>
      </w:pPr>
      <w:r>
        <w:rPr>
          <w:rFonts w:ascii="Arial" w:cs="Arial" w:eastAsia="Arial" w:hAnsi="Arial"/>
          <w:sz w:val="18"/>
          <w:szCs w:val="18"/>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September 12, 2017, we entered into a term loan facility of up to $21.0 million with Silicon Valley Bank, or SVB. The term loan facility is governed by a loan and security agreement, dated September 12, 2017, between us and SVB, which was funded in full on September 13, 2017. The term loan facility with SVB is secured by a lien on substantially all of our assets, other than intellectual property, provided that such lien on substantially all assets includes any rights to payments and proceeds from the sale, licensing or disposition of intellectual property. We also granted SVB a negative pledge with respect to our intellectual property.</w:t>
      </w:r>
    </w:p>
    <w:p>
      <w:pPr>
        <w:spacing w:after="0" w:line="18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term loan facility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term loan facility also contains other customary provisions, such as expense reimbursement, non-disclosure obligations as well as indemnification rights for the benefit of SVB. The events of default under the term loan facility include, but are not limited to, our failure to make any payments of principal or interest under the term loan facility or other transaction documents, our breach or default in the performance of any covenant under the term loan facility or other transaction documents, the occurrence of a material adverse effect, making a false or misleading representation or warranty in any material respect under the term loan facility, our insolvency or bankruptcy, any attachment or judgment on our assets of at least approximately $0.3 million, or the occurrence of any default under any of our agreements or obligations involving indebtedness in excess of approximately $0.3 million. If an event of default occurs, SVB is entitled to take enforcement action, including acceleration of amounts due under the term loan facility. If we raise any additional debt financing, the terms of such additional debt could further restrict our operating and financial flexibility.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tax law may materially adversely affect our financial condition, results of operations and cash flows.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Tax Cuts and Jobs Act of 2017, or TCJA, has significantly changed the U.S. federal income taxation of U.S. corporations. The TCJA remains unclear in many respects and has been, and may continue to be, the subject of amendments and technical corrections, as well as interpretations and implementing regulations by the Treasury and Internal Revenue Service, which have lessened or increased certain adverse impacts of the TCJA and may do so in the future. We continue to work with our tax advisors and auditors to determine the full impact that the TCJA will have on us. We urge our investors to consult with their legal and tax advisors with respect to the TCJA.</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and research and development tax credit carryforwards to offset future taxable income may be subject to certain limitations.</w:t>
      </w:r>
    </w:p>
    <w:p>
      <w:pPr>
        <w:spacing w:after="0" w:line="170"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We have net operating loss carryforwards, or NOLs, for federal and state income tax purposes that may be available to offset our future taxable income, if any. In general, under Sections 382 and 383 of the U.S. Internal Revenue Code of 1986, as amended, or the Code, a corporation that undergoes an “ownership change” is subject to limitations on its ability to use its pre</w:t>
      </w:r>
      <w:r>
        <w:rPr>
          <w:rFonts w:ascii="MS PGothic" w:cs="MS PGothic" w:eastAsia="MS PGothic" w:hAnsi="MS PGothic"/>
          <w:sz w:val="16"/>
          <w:szCs w:val="16"/>
          <w:color w:val="auto"/>
        </w:rPr>
        <w:t>‑</w:t>
      </w:r>
      <w:r>
        <w:rPr>
          <w:rFonts w:ascii="Arial" w:cs="Arial" w:eastAsia="Arial" w:hAnsi="Arial"/>
          <w:sz w:val="16"/>
          <w:szCs w:val="16"/>
          <w:color w:val="auto"/>
        </w:rPr>
        <w:t>change NOLs to offset future taxable income. If the U.S. Internal Revenue Service, or IRS, challenges our analysis that existing NOLs will not expire before utilization due to previous ownership changes, or if we undergo an ownership change in connection with or after a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As a result, we may not be able to use a material portion of the NOLs reflected on our balance sheet, even if we attain profitability. The reduction of the corporate tax rate under the TCJA may cause a reduction in the economic benefit of our NOLs and other deferred tax assets available to us. Under the TCJA, although the treatment of NOLs arising on or before December 31, 2017 has generally not changed, NOLs arising on or after January 1, 2018 will generally only be able to offset 80% of taxable income. This change may require us to pay federal income taxes in future years despite generating a loss for federal income tax purposes in prior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REGULATORY APPROVAL OF OUR PRODUCT CANDIDATES</w:t>
      </w:r>
    </w:p>
    <w:p>
      <w:pPr>
        <w:spacing w:after="0" w:line="229"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b w:val="1"/>
          <w:bCs w:val="1"/>
          <w:i w:val="1"/>
          <w:iCs w:val="1"/>
          <w:color w:val="auto"/>
        </w:rPr>
        <w:t>Our product candidates are based on our ImmTOR platform, which is an unproven approach designed to induce antigen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specific immune tolerance to biologic drugs. We are very early in most of our clinical development efforts and may not be successful in our efforts to use our ImmTOR platform to build a pipeline of product candidates and develop marketable drugs.</w:t>
      </w:r>
    </w:p>
    <w:p>
      <w:pPr>
        <w:spacing w:after="0" w:line="204" w:lineRule="exact"/>
        <w:rPr>
          <w:sz w:val="20"/>
          <w:szCs w:val="20"/>
          <w:color w:val="auto"/>
        </w:rPr>
      </w:pPr>
    </w:p>
    <w:p>
      <w:pPr>
        <w:ind w:right="80"/>
        <w:spacing w:after="0" w:line="220" w:lineRule="exact"/>
        <w:rPr>
          <w:sz w:val="20"/>
          <w:szCs w:val="20"/>
          <w:color w:val="auto"/>
        </w:rPr>
      </w:pPr>
      <w:r>
        <w:rPr>
          <w:rFonts w:ascii="Arial" w:cs="Arial" w:eastAsia="Arial" w:hAnsi="Arial"/>
          <w:sz w:val="16"/>
          <w:szCs w:val="16"/>
          <w:color w:val="auto"/>
        </w:rPr>
        <w:t>All of our product candidates are derived from our ImmTOR platform, which is an unproven approach to induce antigen</w:t>
      </w:r>
      <w:r>
        <w:rPr>
          <w:rFonts w:ascii="MS PGothic" w:cs="MS PGothic" w:eastAsia="MS PGothic" w:hAnsi="MS PGothic"/>
          <w:sz w:val="16"/>
          <w:szCs w:val="16"/>
          <w:color w:val="auto"/>
        </w:rPr>
        <w:t>‑</w:t>
      </w:r>
      <w:r>
        <w:rPr>
          <w:rFonts w:ascii="Arial" w:cs="Arial" w:eastAsia="Arial" w:hAnsi="Arial"/>
          <w:sz w:val="16"/>
          <w:szCs w:val="16"/>
          <w:color w:val="auto"/>
        </w:rPr>
        <w:t>specific immune tolerance and to mitigate the immunogenicity of biologic therapies currently being implemented to treat patients. We are primarily developing our ImmTOR platform to improve and enable activity in biologics that are designed to treat rare and serious diseases, with an initial focus on developing SEL</w:t>
      </w:r>
      <w:r>
        <w:rPr>
          <w:rFonts w:ascii="MS PGothic" w:cs="MS PGothic" w:eastAsia="MS PGothic" w:hAnsi="MS PGothic"/>
          <w:sz w:val="16"/>
          <w:szCs w:val="16"/>
          <w:color w:val="auto"/>
        </w:rPr>
        <w:t>‑</w:t>
      </w:r>
      <w:r>
        <w:rPr>
          <w:rFonts w:ascii="Arial" w:cs="Arial" w:eastAsia="Arial" w:hAnsi="Arial"/>
          <w:sz w:val="16"/>
          <w:szCs w:val="16"/>
          <w:color w:val="auto"/>
        </w:rPr>
        <w:t>212 for the treatment of chronic refractory gout. We are also leveraging our ImmTOR platform to pursue programs in additional therapeutic areas with a focus on gene therapy.</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320" w:top="665" w:right="379" w:bottom="1440" w:gutter="0" w:footer="0" w:header="0"/>
        </w:sectPr>
      </w:pPr>
    </w:p>
    <w:bookmarkStart w:id="50" w:name="page51"/>
    <w:bookmarkEnd w:id="50"/>
    <w:p>
      <w:pPr>
        <w:ind w:right="100"/>
        <w:spacing w:after="0" w:line="269" w:lineRule="auto"/>
        <w:rPr>
          <w:sz w:val="20"/>
          <w:szCs w:val="20"/>
          <w:color w:val="auto"/>
        </w:rPr>
      </w:pPr>
      <w:r>
        <w:rPr>
          <w:rFonts w:ascii="Arial" w:cs="Arial" w:eastAsia="Arial" w:hAnsi="Arial"/>
          <w:sz w:val="17"/>
          <w:szCs w:val="17"/>
          <w:color w:val="auto"/>
        </w:rPr>
        <w:t>We are developing two gene therapy product candidates for rare inborn errors of metabolism. Our lead gene therapy program, known as SEL-302, is a potential gene therapy product candidate for MMA</w:t>
      </w:r>
      <w:r>
        <w:rPr>
          <w:rFonts w:ascii="Arial" w:cs="Arial" w:eastAsia="Arial" w:hAnsi="Arial"/>
          <w:sz w:val="17"/>
          <w:szCs w:val="17"/>
          <w:color w:val="333333"/>
        </w:rPr>
        <w:t>.</w:t>
      </w:r>
      <w:r>
        <w:rPr>
          <w:rFonts w:ascii="Arial" w:cs="Arial" w:eastAsia="Arial" w:hAnsi="Arial"/>
          <w:sz w:val="17"/>
          <w:szCs w:val="17"/>
          <w:color w:val="auto"/>
        </w:rPr>
        <w:t xml:space="preserve"> In August 2019, we entered into a feasibility study and license agreement with AskBio, or the AskBio Collaboration Agreement, pursuant to which we and AskBio agreed to conduct proof of concept studies to potentially validate the use of our ImmTOR platform in conjunction with an AAV gene therapy for the treatment of MMA, based on SEL-302, to mitigate the formation of neutralizing anti-AAV capsid antibodies. If the proof of concept studies are successful, we will proceed with a collaboration to pursue the development and commercialization of AAV gene therapy product candidates utilizing ImmTOR for the treatment of certain agreed serious rare and orphan genetic diseases. Our second gene therapy product candidate, known as SEL-313, is being developed to treat ornithine transcarbamylase deficiency. In September 2018, we announced a collaboration with the European consortium, CureCN, for an ImmTOR+AAV gene therapy combination product candidate in Crigler-Najjar syndrome, a rare genetic disorder characterized by an inability to properly convert and clear bilirubin from the body. We expect the CureCN consortium to obtain scientific advice from the German drug regulatory authority in the second half of 2020.</w:t>
      </w:r>
    </w:p>
    <w:p>
      <w:pPr>
        <w:spacing w:after="0" w:line="18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are at an early stage of development of most of our product candidates and our technology has not yet led to, and may never lead to, approvable or marketable drugs. We may have problems identifying new product candidates and applying our technologies to these other areas. Even if we are successful in identifying new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176"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 initiation and completion of preclinical studies and clinical trials with positive results;</w:t>
      </w:r>
    </w:p>
    <w:p>
      <w:pPr>
        <w:spacing w:after="0" w:line="225" w:lineRule="exact"/>
        <w:rPr>
          <w:rFonts w:ascii="Arial" w:cs="Arial" w:eastAsia="Arial" w:hAnsi="Arial"/>
          <w:sz w:val="18"/>
          <w:szCs w:val="18"/>
          <w:color w:val="auto"/>
        </w:rPr>
      </w:pPr>
    </w:p>
    <w:p>
      <w:pPr>
        <w:ind w:left="340" w:right="108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reliance on third parties (including but not limited to collaborators, licensees, clinical research organizations and contract manufacturing organizations);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225" w:lineRule="exact"/>
        <w:rPr>
          <w:rFonts w:ascii="Arial" w:cs="Arial" w:eastAsia="Arial" w:hAnsi="Arial"/>
          <w:sz w:val="18"/>
          <w:szCs w:val="18"/>
          <w:color w:val="auto"/>
        </w:rPr>
      </w:pPr>
    </w:p>
    <w:p>
      <w:pPr>
        <w:ind w:left="340" w:right="40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 or establishing such capabilities ourselves;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225"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existing collaboration agreements remaining in effect and our ability to enter into new collaborations throughout the development process as appropriate, from preclinical studies through to commercialization;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and the medical community;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25" w:lineRule="exact"/>
        <w:rPr>
          <w:rFonts w:ascii="Arial" w:cs="Arial" w:eastAsia="Arial" w:hAnsi="Arial"/>
          <w:sz w:val="18"/>
          <w:szCs w:val="18"/>
          <w:color w:val="auto"/>
        </w:rPr>
      </w:pPr>
    </w:p>
    <w:p>
      <w:pPr>
        <w:ind w:left="340" w:hanging="332"/>
        <w:spacing w:after="0" w:line="184" w:lineRule="exact"/>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obtaining and maintaining coverage and adequate reimbursement by third</w:t>
      </w:r>
      <w:r>
        <w:rPr>
          <w:rFonts w:ascii="MS PGothic" w:cs="MS PGothic" w:eastAsia="MS PGothic" w:hAnsi="MS PGothic"/>
          <w:sz w:val="16"/>
          <w:szCs w:val="16"/>
          <w:color w:val="auto"/>
        </w:rPr>
        <w:t>‑</w:t>
      </w:r>
      <w:r>
        <w:rPr>
          <w:rFonts w:ascii="Arial" w:cs="Arial" w:eastAsia="Arial" w:hAnsi="Arial"/>
          <w:sz w:val="16"/>
          <w:szCs w:val="16"/>
          <w:color w:val="auto"/>
        </w:rPr>
        <w:t>party payors, including government payors, for our products, if approved;</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without infringing or violating the valid and enforceable patents or other intellectual property of third parties;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products following approval;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maintaining and growing an organization of scientists and business people who can develop and commercialize our product candidates and technology.</w:t>
      </w:r>
    </w:p>
    <w:p>
      <w:pPr>
        <w:spacing w:after="0" w:line="24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we do not successfully develop and commercialize product candidates based upon our technological approach, we will not be able to obtain future revenues, which would result in significant harm to our financial position and adversely affect our stock price.</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a result, we cannot be certain that our approach, or our development of SEL-212, will lead to the development or approval of marketable products. In addition:</w:t>
      </w:r>
    </w:p>
    <w:p>
      <w:pPr>
        <w:spacing w:after="0" w:line="170"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due to the unproven nature of our ImmTOR therapeutics, there may be different efficacy and safety rates in various indications;</w:t>
      </w:r>
    </w:p>
    <w:p>
      <w:pPr>
        <w:spacing w:after="0" w:line="225" w:lineRule="exact"/>
        <w:rPr>
          <w:rFonts w:ascii="Arial" w:cs="Arial" w:eastAsia="Arial" w:hAnsi="Arial"/>
          <w:sz w:val="18"/>
          <w:szCs w:val="18"/>
          <w:color w:val="auto"/>
        </w:rPr>
      </w:pPr>
    </w:p>
    <w:p>
      <w:pPr>
        <w:ind w:left="340" w:right="100" w:hanging="332"/>
        <w:spacing w:after="0" w:line="220" w:lineRule="exact"/>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other regulatory agencies may lack experience in evaluating the efficacy and safety of products based on ImmTOR or a biologic sourced from China or other jurisdictions, which could result in a longer</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expected regulatory review process, increase our expected development costs or delay or prevent commercialization of our product candidates; and</w:t>
      </w:r>
    </w:p>
    <w:p>
      <w:pPr>
        <w:sectPr>
          <w:pgSz w:w="11900" w:h="16838" w:orient="portrait"/>
          <w:cols w:equalWidth="0" w:num="1">
            <w:col w:w="11220"/>
          </w:cols>
          <w:pgMar w:left="320" w:top="665" w:right="359" w:bottom="1440" w:gutter="0" w:footer="0" w:header="0"/>
        </w:sect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20"/>
          </w:cols>
          <w:pgMar w:left="320" w:top="665" w:right="359" w:bottom="1440" w:gutter="0" w:footer="0" w:header="0"/>
          <w:type w:val="continuous"/>
        </w:sectPr>
      </w:pPr>
    </w:p>
    <w:bookmarkStart w:id="51" w:name="page52"/>
    <w:bookmarkEnd w:id="51"/>
    <w:p>
      <w:pPr>
        <w:ind w:left="340" w:right="120" w:hanging="332"/>
        <w:spacing w:after="0" w:line="221" w:lineRule="exact"/>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the event of a biologics license application, or BLA, for SEL</w:t>
      </w:r>
      <w:r>
        <w:rPr>
          <w:rFonts w:ascii="MS PGothic" w:cs="MS PGothic" w:eastAsia="MS PGothic" w:hAnsi="MS PGothic"/>
          <w:sz w:val="17"/>
          <w:szCs w:val="17"/>
          <w:color w:val="auto"/>
        </w:rPr>
        <w:t>‑</w:t>
      </w:r>
      <w:r>
        <w:rPr>
          <w:rFonts w:ascii="Arial" w:cs="Arial" w:eastAsia="Arial" w:hAnsi="Arial"/>
          <w:sz w:val="17"/>
          <w:szCs w:val="17"/>
          <w:color w:val="auto"/>
        </w:rPr>
        <w:t>212 or another product and a pre</w:t>
      </w:r>
      <w:r>
        <w:rPr>
          <w:rFonts w:ascii="MS PGothic" w:cs="MS PGothic" w:eastAsia="MS PGothic" w:hAnsi="MS PGothic"/>
          <w:sz w:val="17"/>
          <w:szCs w:val="17"/>
          <w:color w:val="auto"/>
        </w:rPr>
        <w:t>‑</w:t>
      </w:r>
      <w:r>
        <w:rPr>
          <w:rFonts w:ascii="Arial" w:cs="Arial" w:eastAsia="Arial" w:hAnsi="Arial"/>
          <w:sz w:val="17"/>
          <w:szCs w:val="17"/>
          <w:color w:val="auto"/>
        </w:rPr>
        <w:t>approval inspection by the FDA of the facilities of Shenyang Sunshine Pharmaceutical Co., Ltd., or 3SBio, or any other third party manufacturers we may use, the FDA may not approve the facility for production or may make observations that will take significant time for 3SBio or such other manufacturer to address.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of the foregoing, would effectively prevent or delay approval of our lead and other product candidates.</w:t>
      </w:r>
    </w:p>
    <w:p>
      <w:pPr>
        <w:spacing w:after="0" w:line="22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b w:val="1"/>
          <w:bCs w:val="1"/>
          <w:i w:val="1"/>
          <w:iCs w:val="1"/>
          <w:color w:val="auto"/>
        </w:rPr>
        <w:t>We are applying our ImmTOR platform to antigen-specific immune tolerance for gene therapy involving gene augmentation, replacement or editing. Regulatory authorities in the United States and European Union have limited experience in reviewing and approving gene therapy products, which could affect the time and data required to obtain marketing authorization of any of our product candidates.</w:t>
      </w:r>
    </w:p>
    <w:p>
      <w:pPr>
        <w:spacing w:after="0" w:line="14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Our future success depends in part on our successful development of viable gene therapy product candidates utilizing ImmTOR platform. We may experience problems or delays in developing such product candidates and any such problems or delays (i) may result in unanticipated costs and time to develop our product candidates and/or (ii) may not be resolved in a satisfactory manner.</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process of obtaining marketing approvals, both in the United States and abroad, is expensive and may take many years. If additional clinical trials are required for certain jurisdictions, these trials can vary substantially based upon a variety of factors, including the type, complexity and novelty of the product candidates involved, and may ultimately be unsuccessful. Changes in marketing approval policies during the development period, changes in or the enactment or promulgation of additional statutes or regulations, respectively, or changes in the regulatory review process for each submitted product application, may cause delays in the review and approval of an application.</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regulatory approval process and clinical trial requirements for novel product candidates can be more expensive and take longer than for other, better known or more extensively studied product candidates, and we cannot predict how long it will take or how much it will cost to complete clinical developments and obtain regulatory approvals for a gene therapy product candidate in either the United States or the European Union or how long it will take to commercialize a gene therapy product candidate, if and when approved. Regulatory requirements governing gene therapy products have changed frequently and may continue to change in the future. For example, the FDA established the Office of Tissues and Advanced Therapies within its Center for Biologics Evaluation and Research, or CBER, to consolidate the review of gene therapy and related products, and the Cellular, Tissue and Gene Therapies Advisory Committee to advise CBER on its review. These and other regulatory review agencies, committees and advisory groups and the requirements and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Additionally, under the National Institutes of Health, or NIH, Guidelines for Research Involving Recombinant DNA Molecules, or the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8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 similar framework is in place in the European Union, or the EU. The European Medicines Agency, or the EMA, has a Committee for Advanced Therapies, or CAT, that is responsible for assessing the quality, safety and efficacy of advanced-therapy medicinal products. Advanced-therapy medical products include gene therapy medicine, somatic-cell therapy medicines and tissue-engineered medicines. The role of the CAT is to prepare a draft opinion on an application for marketing authorization for a gene therapy medicinal candidate that is submitted to the EMA. In the EU, the development and evaluation of a gene therapy medicinal product must be considered in the context of the relevant EU guidelines. The EMA may issue new guidelines concerning the development and marketing authorization for gene therapy medicinal products and require that we comply with these new guidelines. Similarly, complex regulatory environments exist in other jurisdictions in which we might consider seeking regulatory approvals for our product candidates, further complicating the regulatory landscape. As a result, the procedures and standards applied to gene therapy products and cell therapy products may be applied to any of our gene therapy or genome editing product candidates, but that remains uncertain at this point.</w:t>
      </w:r>
    </w:p>
    <w:p>
      <w:pPr>
        <w:spacing w:after="0" w:line="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clinical trial requirements of the FDA, the EMA and other regulatory authorities and the criteria these regulators use to evaluate the safety and efficacy of a product candidate vary substantially according to the type, complexity, novelty and intended use and market of the potential products. The regulatory approval process for product candidates created with novel genome editing technology such as ours can be more lengthy, rigorous and expensive than the process for other better known or more extensively studied product candidates and technologies. Since we are developing novel treatments for diseases in which</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665" w:right="359" w:bottom="1440" w:gutter="0" w:footer="0" w:header="0"/>
        </w:sectPr>
      </w:pPr>
    </w:p>
    <w:bookmarkStart w:id="52" w:name="page53"/>
    <w:bookmarkEnd w:id="52"/>
    <w:p>
      <w:pPr>
        <w:spacing w:after="0" w:line="271" w:lineRule="auto"/>
        <w:rPr>
          <w:sz w:val="20"/>
          <w:szCs w:val="20"/>
          <w:color w:val="auto"/>
        </w:rPr>
      </w:pPr>
      <w:r>
        <w:rPr>
          <w:rFonts w:ascii="Arial" w:cs="Arial" w:eastAsia="Arial" w:hAnsi="Arial"/>
          <w:sz w:val="17"/>
          <w:szCs w:val="17"/>
          <w:color w:val="auto"/>
        </w:rPr>
        <w:t>there is little clinical experience with new endpoints and methodologies, there is heightened risk that the FDA, the EMA or comparable regulatory bodies may not consider the clinical trial endpoints to provide clinically meaningful results, and the resulting clinical data and results may be more difficult to analyze. This may be a particularly significant risk for many of the genetically defined diseases for which we may develop product candidates alone or with collaborators due to small patient populations for those diseases, and designing and executing a rigorous clinical trial with appropriate statistical power is more difficult than with diseases that have larger patient populations. Regulatory agencies administering existing or future regulations or legislation may not allow production and marketing of products utilizing genome editing technology in a timely manner or under technically or commercially feasible conditions. Even if our product candidates obtain required regulatory approvals, such approvals may later be withdrawn as a result of changes in regulations or the interpretation of regulations by applicable regulatory agencies.</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Changes in applicable regulatory guidelines may lengthen the regulatory review process for our product candidates, require additional studies or trials, increase development costs, lead to changes in regulatory positions and interpretations, delay or prevent approval and commercialization of such product candidates, or lead to significant post-approval limitations or restrictions. Additionally, adverse developments in clinical trials conducted by others of gene therapy products or products created using genome editing technology, or adverse public perception of the field of genome editing, may cause the FDA, the EMA and other regulatory bodies to revise the requirements for approval of any product candidates we may develop or limit the use of products utilizing genome editing technologies, either of which could materially harm our business. Furthermore, regulatory action or private litigation could result in expenses, delays or other impediments to our research programs or the development or commercialization of current or future product candidates.</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we advance any gene therapy product candidates, we will be required to consult with various regulatory authorities, and we must comply with applicable laws, rules, and regulations, which may change from time to time including during the course of development of our product candidates. If we fail to do so, we may be required to delay or discontinue the clinical development of certain of our product candidates. These additional processes may result in a review and approval process that is longer than we otherwise would have expected. Even if we comply with applicable laws, rules, and regulations, and even if we maintain close coordination with the applicable regulatory authorities with oversight over our product candidates, our development programs may fail to succeed.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Delay or failure to obtain, or unexpected costs in obtaining, the regulatory approval necessary to bring a potential product to market would materially and adversely affect our business, financial condition, results of operations and prospects.</w:t>
      </w:r>
    </w:p>
    <w:p>
      <w:pPr>
        <w:spacing w:after="0" w:line="18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lead product candidate, SEL-212, was evaluated in a Phase 2 clinical program that was initiated in October 2016 and the final patient's last visit occurred in January 2019. In March 2019, we initiated COMPARE, a Phase 2 clinical trial designed to directly compare the safety, efficacy and tolerability of SEL-212 to the currently FDA-approved uricase therapy, KRYSTEXXA, for the treatment of patients with chronic refractory gout, and completed our targeted enrollment of the COMPARE trial in December 2019. We are preparing for the start of a pivotal Phase 3 program for SEL-212.</w:t>
      </w:r>
    </w:p>
    <w:p>
      <w:pPr>
        <w:spacing w:after="0" w:line="15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May 2017 we licensed LMB-100, a potent immunotoxin, from the National Cancer Institute (NCI) and a Phase 1 clinical trial of LMB-100 plus ImmTOR (SEL-403) initiated in March 2018 by NCI in patients with malignant pleural or peritoneal mesothelioma who had undergone at least one regimen of chemotherapy under a Cooperative Research and Development Agreement (CRADA) between the NCI and the Company. In October 2018, the NCI informed the Company of a Grade 5 Serious Adverse Event (patient death) in this clinical trial related to pneumonitis, which was deemed by the trial investigator to be probably related to SVP-Rapamycin and possibly related to the patient’s pleural mesothelioma condition. This patient had received previous therapies, including two courses of radiation therapy and three different immune check point inhibitors, which have been reported to be associated with pneumonitis. However, the possible relationship to SVP-Rapamycin could not be excluded. Pneumonitis has been reported in patients receiving daily oral rapamycin. In addition, a Serious Adverse Event (pericardial effusion) was seen in one of the other three patients dosed in the SEL-403 clinical trial. Pericardial effusion can also be a side effect of immunotoxin therapies targeting mesothelin. The FDA placed the IND for SEL-403 on full clinical hold in response to adverse events observed during the Phase 1 trial. Selecta has terminated the license of LMB-100 from NCI, effective April 9, 2019 and is no longer pursuing this product candidate.</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Aside from these programs, our other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665" w:right="359" w:bottom="1440" w:gutter="0" w:footer="0" w:header="0"/>
        </w:sectPr>
      </w:pPr>
    </w:p>
    <w:bookmarkStart w:id="53" w:name="page54"/>
    <w:bookmarkEnd w:id="53"/>
    <w:p>
      <w:pPr>
        <w:ind w:right="20"/>
        <w:spacing w:after="0" w:line="255" w:lineRule="auto"/>
        <w:rPr>
          <w:sz w:val="20"/>
          <w:szCs w:val="20"/>
          <w:color w:val="auto"/>
        </w:rPr>
      </w:pPr>
      <w:r>
        <w:rPr>
          <w:rFonts w:ascii="Arial" w:cs="Arial" w:eastAsia="Arial" w:hAnsi="Arial"/>
          <w:sz w:val="18"/>
          <w:szCs w:val="18"/>
          <w:color w:val="auto"/>
        </w:rPr>
        <w:t>safety and efficacy of our product candidates in humans. Preclinical development is costly and inherently uncertain. For example, we have invested significant resources in our preclinical gene therapy program, which has demonstrated the potential for treatment of rare inborn errors of metabolism. Early preclinical results may not be predictive of future results, however, if our technology proves to be ineffective or unsafe as a result of, among other things, adverse side effects, pre-existing anti-drug antibodies that can neutralize the viral vector and block gene transfer, or cellular immune response to the transduced cells, we may incur additional costs or experience delays in completing, or ultimately be unable to complete, the clinical development and commercialization of our product candidates.</w:t>
      </w:r>
    </w:p>
    <w:p>
      <w:pPr>
        <w:spacing w:after="0" w:line="19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extensive clinical trials to demonstrate the safety and efficacy of the product candidate for its intended indications.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 For example, the clinical trial results from our Phase 2 head-to-head (COMPARE) study of SEL-212, including interim results, may not be predictive of future results. Moreover, we may not be able to complete, or may be required to deviate from the current clinical trial protocol for a variety of reasons.</w:t>
      </w:r>
    </w:p>
    <w:p>
      <w:pPr>
        <w:spacing w:after="0" w:line="19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Many companies in the pharmaceutical and biotechnology industries have suffered significant setbacks in clinical trials after achieving positive results in preclinical development or early-stage clinical trials, and we cannot be certain that we will not face similar setbacks. These setbacks have been caused by, among other things, preclinical findings made while clinical trials were underway or safety or efficacy observations made in clinical trials, including adverse events. SAEs caused by, or other unexpected properties of, any product candidates that we may choose to develop could cause us, an institutional review board or regulatory authority to interrupt, delay or halt clinical trials of one or more of such product candidates and could result in a more restrictive label or the delay or denial of marketing approval by the FDA or comparable non-U.S. regulatory authorities. If any product candidate that we may choose to develop is associated with SAEs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For example, in the SEL-403 Phase 1 clinical trial, a Grade 5 SAE (patient death) occurred that was deemed by the trial investigator to be probably related to SVP-Rapamycin and possibly related to the patient's pleural mesothelioma condition which led the Company to abandon development of SEL-403. In the SEL-212 Phase 1/2 clinical program, multiple SAEs have occurred, and future SAEs may occur causing the Company to incur additional costs or experience delays in completing, or causing the Company to ultimately be unable to complete, the development and commercialization of our product candidates, and delay or prevent our ability to obtain FDA approval.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clinical trials of our product candidates, the development timeline and regulatory approval and commercialization prospects for our product candidates, and, correspondingly, our business and financial prospects, would be negatively impacted.</w:t>
      </w:r>
    </w:p>
    <w:p>
      <w:pPr>
        <w:spacing w:after="0" w:line="17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we cannot be certain as to what type and how many clinical trials the FDA will require us to conduct before we may gain regulatory approval to market SEL-212 or any of our other product candidates in the United States or other countries, if any. Prior to approving a new therapeutic product, the FDA generally requires that safety and efficacy be demonstrated in two adequate and well-controlled clinical trials. We expect that we may need to conduct more than one Phase 3 trial for SEL-212 for a chronic refractory gout indication in order to gain approval from the FDA. Even if we conduct more than one Phase 3 trial for SEL-212, the FDA may not accept the data, and may delay, limit or deny approval of SEL-212. Additional clinical trials could cause us to incur significant development costs, delay or prevent the commercialization of SEL-212 or otherwise adversely affect our business.</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for, or commercialize, our product candidates, including:</w:t>
      </w:r>
    </w:p>
    <w:p>
      <w:pPr>
        <w:spacing w:after="0" w:line="17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unfavorable, incomplete or inconclusive results;</w:t>
      </w:r>
    </w:p>
    <w:p>
      <w:pPr>
        <w:spacing w:after="0" w:line="225" w:lineRule="exact"/>
        <w:rPr>
          <w:rFonts w:ascii="Arial" w:cs="Arial" w:eastAsia="Arial" w:hAnsi="Arial"/>
          <w:sz w:val="18"/>
          <w:szCs w:val="18"/>
          <w:color w:val="auto"/>
        </w:rPr>
      </w:pPr>
    </w:p>
    <w:p>
      <w:pPr>
        <w:ind w:left="340" w:right="8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contract research organizations, or CROs, or clinical trial sites;</w:t>
      </w:r>
    </w:p>
    <w:p>
      <w:pPr>
        <w:spacing w:after="0" w:line="170"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clinical trial sites required for clinical trials of our product candidates may be larger than we expect;</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665" w:right="359" w:bottom="1440" w:gutter="0" w:footer="0" w:header="0"/>
        </w:sectPr>
      </w:pPr>
    </w:p>
    <w:bookmarkStart w:id="54" w:name="page55"/>
    <w:bookmarkEnd w:id="54"/>
    <w:p>
      <w:pPr>
        <w:ind w:left="340" w:hanging="332"/>
        <w:spacing w:after="0" w:line="196" w:lineRule="exact"/>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third</w:t>
      </w:r>
      <w:r>
        <w:rPr>
          <w:rFonts w:ascii="MS PGothic" w:cs="MS PGothic" w:eastAsia="MS PGothic" w:hAnsi="MS PGothic"/>
          <w:sz w:val="17"/>
          <w:szCs w:val="17"/>
          <w:color w:val="auto"/>
        </w:rPr>
        <w:t>‑</w:t>
      </w:r>
      <w:r>
        <w:rPr>
          <w:rFonts w:ascii="Arial" w:cs="Arial" w:eastAsia="Arial" w:hAnsi="Arial"/>
          <w:sz w:val="17"/>
          <w:szCs w:val="17"/>
          <w:color w:val="auto"/>
        </w:rPr>
        <w:t>party contractors may fail to comply with regulatory requirements or meet their contractual obligations to us in a timely manner, or at all;</w:t>
      </w:r>
    </w:p>
    <w:p>
      <w:pPr>
        <w:spacing w:after="0" w:line="236" w:lineRule="exact"/>
        <w:rPr>
          <w:rFonts w:ascii="Arial" w:cs="Arial" w:eastAsia="Arial" w:hAnsi="Arial"/>
          <w:sz w:val="17"/>
          <w:szCs w:val="17"/>
          <w:color w:val="auto"/>
        </w:rPr>
      </w:pPr>
    </w:p>
    <w:p>
      <w:pPr>
        <w:ind w:left="340" w:right="32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170"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investigators, regulators, data safety monitoring boards or institutional review boards may require that we or our investigators suspend or terminate clinical research, or we may decide to do so ourselves;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investigators may deviate from the trial protocol, fail to conduct the trial in accordance with regulatory requirements or misreport study data;</w:t>
      </w:r>
    </w:p>
    <w:p>
      <w:pPr>
        <w:spacing w:after="0" w:line="236" w:lineRule="exact"/>
        <w:rPr>
          <w:rFonts w:ascii="Arial" w:cs="Arial" w:eastAsia="Arial" w:hAnsi="Arial"/>
          <w:sz w:val="17"/>
          <w:szCs w:val="17"/>
          <w:color w:val="auto"/>
        </w:rPr>
      </w:pPr>
    </w:p>
    <w:p>
      <w:pPr>
        <w:ind w:left="340" w:right="1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expect or we may have insufficient resources to pursue or complete certain aspects of our clinical trial programs or to do so within the timeframe we planned;</w:t>
      </w:r>
    </w:p>
    <w:p>
      <w:pPr>
        <w:spacing w:after="0" w:line="170"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supply or quality of raw materials or manufactured product candidates (whether provided by us or third parties) or other materials necessary to conduct clinical trials of our product candidates may be insufficient, inadequate or not available at an acceptable cost, or in a timely manner, or we may experience interruptions in supply;</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expect;</w:t>
      </w:r>
    </w:p>
    <w:p>
      <w:pPr>
        <w:spacing w:after="0" w:line="225" w:lineRule="exact"/>
        <w:rPr>
          <w:rFonts w:ascii="Arial" w:cs="Arial" w:eastAsia="Arial" w:hAnsi="Arial"/>
          <w:sz w:val="18"/>
          <w:szCs w:val="18"/>
          <w:color w:val="auto"/>
        </w:rPr>
      </w:pPr>
    </w:p>
    <w:p>
      <w:pPr>
        <w:ind w:left="340" w:right="200" w:hanging="332"/>
        <w:spacing w:after="0" w:line="34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 and</w:t>
      </w:r>
    </w:p>
    <w:p>
      <w:pPr>
        <w:spacing w:after="0" w:line="123"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regarding trials managed by our existing or any future collaborators, our collaborators may face any of the above issues, and may conduct clinical trials in ways they view as advantageous to them but potentially suboptimal for us.</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or if we are forced to delay or abandon certain clinical trials or other testing in order to conserve capital resources, we may:</w:t>
      </w:r>
    </w:p>
    <w:p>
      <w:pPr>
        <w:spacing w:after="0" w:line="18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lose the support of collaborators, requiring us to bear more of the burden of research and development;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requirements;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a product removed from the market after obtaining marketing approval.</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w:t>
      </w:r>
    </w:p>
    <w:p>
      <w:pPr>
        <w:sectPr>
          <w:pgSz w:w="11900" w:h="16838" w:orient="portrait"/>
          <w:cols w:equalWidth="0" w:num="1">
            <w:col w:w="11240"/>
          </w:cols>
          <w:pgMar w:left="320" w:top="665" w:right="3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40"/>
          </w:cols>
          <w:pgMar w:left="320" w:top="665"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6"/>
          <w:szCs w:val="16"/>
          <w:color w:val="auto"/>
        </w:rPr>
        <w:t>before we do, potentially impairing our ability to successfully commercialize our product candidates and harming our business and results of operations.</w:t>
      </w:r>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pacing w:after="0" w:line="171"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We are initially developing our lead product candidate, SEL</w:t>
      </w:r>
      <w:r>
        <w:rPr>
          <w:rFonts w:ascii="MS PGothic" w:cs="MS PGothic" w:eastAsia="MS PGothic" w:hAnsi="MS PGothic"/>
          <w:sz w:val="18"/>
          <w:szCs w:val="18"/>
          <w:color w:val="auto"/>
        </w:rPr>
        <w:t>‑</w:t>
      </w:r>
      <w:r>
        <w:rPr>
          <w:rFonts w:ascii="Arial" w:cs="Arial" w:eastAsia="Arial" w:hAnsi="Arial"/>
          <w:sz w:val="18"/>
          <w:szCs w:val="18"/>
          <w:color w:val="auto"/>
        </w:rPr>
        <w:t>212, for the treatment of chronic refractory gout, which affects approximately 160,000 patients in the United States. Accordingly, there is a limited number of patients who could enroll in our clinical studies.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size of the patient population, patient enrollment is also affected by other factors including:</w:t>
      </w:r>
    </w:p>
    <w:p>
      <w:pPr>
        <w:spacing w:after="0" w:line="22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patient eligibility criteria for the study in question;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other treatments for the disease under investigation;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existence of competing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efforts to facilitate timely enrollment in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investigators engagement with, or enthusiasm about, the trial;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payments for participating in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 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19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outbreak of the novel coronavirus disease, COVID-19, may continue to adversely impact our business, including our preclinical studies and clinical trials.</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December 2019, a novel strain of coronavirus, which causes COVID-19, was reported to have surfaced in Wuhan, China. Since then, the COVID-19 coronavirus has spread to multiple countries, including the United States, where we have planned or ongoing preclinical studies and clinical trials. On March 11, 2020, the World Health Organization declared the outbreak of COVID-19 as a global pandemic. On March 23, 2020, the governor of Massachusetts ordered the closure of all non-essential businesses effective March 24, 2020, through May 4, 2020. Because of the nature of our operations, we are currently considered to be an essential business so, to date, our operations have only been partially affected by this order. The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closed our principal executive office with our administrative employees continuing their work outside of our office and limited the number of staff in any given research and development laboratory. If the COVID-19 coronavirus continues to spread in the United States and</w:t>
      </w:r>
    </w:p>
    <w:p>
      <w:pPr>
        <w:sectPr>
          <w:pgSz w:w="11900" w:h="16838" w:orient="portrait"/>
          <w:cols w:equalWidth="0" w:num="1">
            <w:col w:w="11220"/>
          </w:cols>
          <w:pgMar w:left="320" w:top="665" w:right="359" w:bottom="1440" w:gutter="0" w:footer="0" w:header="0"/>
        </w:sect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20"/>
          </w:cols>
          <w:pgMar w:left="320" w:top="665" w:right="35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color w:val="auto"/>
        </w:rPr>
        <w:t>elsewhere, we may experience disruptions that could severely impact our business, preclinical studies and clinical trials, including:</w:t>
      </w:r>
    </w:p>
    <w:p>
      <w:pPr>
        <w:spacing w:after="0" w:line="225" w:lineRule="exact"/>
        <w:rPr>
          <w:sz w:val="20"/>
          <w:szCs w:val="20"/>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225" w:lineRule="exact"/>
        <w:rPr>
          <w:rFonts w:ascii="Arial" w:cs="Arial" w:eastAsia="Arial" w:hAnsi="Arial"/>
          <w:sz w:val="18"/>
          <w:szCs w:val="18"/>
          <w:color w:val="auto"/>
        </w:rPr>
      </w:pPr>
    </w:p>
    <w:p>
      <w:pPr>
        <w:ind w:left="340" w:right="42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 such as ImmTOR including interruption in global shipping that may affect the transport of clinical trial materials;</w:t>
      </w:r>
    </w:p>
    <w:p>
      <w:pPr>
        <w:spacing w:after="0" w:line="170" w:lineRule="exact"/>
        <w:rPr>
          <w:rFonts w:ascii="Arial" w:cs="Arial" w:eastAsia="Arial" w:hAnsi="Arial"/>
          <w:sz w:val="18"/>
          <w:szCs w:val="18"/>
          <w:color w:val="auto"/>
        </w:rPr>
      </w:pPr>
    </w:p>
    <w:p>
      <w:pPr>
        <w:ind w:left="340" w:right="48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coronavirus pandemic which may require us to change the ways in which our clinical trials are conducted, which may result in unexpected costs, or to discontinue the clinical trials altogether;</w:t>
      </w:r>
    </w:p>
    <w:p>
      <w:pPr>
        <w:spacing w:after="0" w:line="170" w:lineRule="exact"/>
        <w:rPr>
          <w:rFonts w:ascii="Arial" w:cs="Arial" w:eastAsia="Arial" w:hAnsi="Arial"/>
          <w:sz w:val="18"/>
          <w:szCs w:val="18"/>
          <w:color w:val="auto"/>
        </w:rPr>
      </w:pPr>
    </w:p>
    <w:p>
      <w:pPr>
        <w:ind w:left="340" w:right="26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and clinics serving as our clinical trial sites and hospital and clinic staff supporting the conduct of our clinical trials;</w:t>
      </w:r>
    </w:p>
    <w:p>
      <w:pPr>
        <w:spacing w:after="0" w:line="170"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or the closing of clinical trial sites due to the virus, the occurrence of which could affect the integrity of clinical trial data;</w:t>
      </w:r>
    </w:p>
    <w:p>
      <w:pPr>
        <w:spacing w:after="0" w:line="183"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or will withdraw from the clinical trial due to concerns over COVID-19, which could impact the results of the clinical trial, including by increasing the number of observed adverse events, or reducing the statistical power of the clinical trials;</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interruptions or delays in preclinical studies due to restricted or limited operations at our research and development laboratory facility;</w:t>
      </w:r>
    </w:p>
    <w:p>
      <w:pPr>
        <w:spacing w:after="0" w:line="225"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170"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w:t>
      </w:r>
    </w:p>
    <w:p>
      <w:pPr>
        <w:spacing w:after="0" w:line="225"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to the clinical endpoints, statistical analysis plan, or enrollment plans for ongoing clinical trials due to limitations in patients, resources, or sites due to COVID-19;</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impacts from prolonged remote work arrangements, such as increased cybersecurity risks and strains on our business continuity plans.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COVID-19 pandemic continues to rapidly evolve. The extent to which the pandemic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conduct clinical trials for product candidates at sites outside the United States, and the FDA may not accept data from trials conducted in such locations or the complexity of regulatory burdens may otherwise adversely impact us.</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Opening trial sites outside the United States may involve additional regulatory, administrative and financial burdens, including compliance with foreign and local requirements relating to regulatory submission and clinical trial practices.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practices, or GCPs, and the FDA must be able to validate the data from the trial through an onsite inspection, if necessary.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w:t>
      </w:r>
    </w:p>
    <w:p>
      <w:pPr>
        <w:sectPr>
          <w:pgSz w:w="11900" w:h="16838" w:orient="portrait"/>
          <w:cols w:equalWidth="0" w:num="1">
            <w:col w:w="11240"/>
          </w:cols>
          <w:pgMar w:left="320" w:top="665" w:right="339" w:bottom="1440" w:gutter="0" w:footer="0" w:header="0"/>
        </w:sect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40"/>
          </w:cols>
          <w:pgMar w:left="320" w:top="665" w:right="339" w:bottom="1440" w:gutter="0" w:footer="0" w:header="0"/>
          <w:type w:val="continuous"/>
        </w:sectPr>
      </w:pPr>
    </w:p>
    <w:bookmarkStart w:id="57" w:name="page58"/>
    <w:bookmarkEnd w:id="57"/>
    <w:p>
      <w:pPr>
        <w:ind w:right="280"/>
        <w:spacing w:after="0" w:line="277" w:lineRule="auto"/>
        <w:rPr>
          <w:sz w:val="20"/>
          <w:szCs w:val="20"/>
          <w:color w:val="auto"/>
        </w:rPr>
      </w:pPr>
      <w:r>
        <w:rPr>
          <w:rFonts w:ascii="Arial" w:cs="Arial" w:eastAsia="Arial" w:hAnsi="Arial"/>
          <w:sz w:val="18"/>
          <w:szCs w:val="18"/>
          <w:color w:val="auto"/>
        </w:rPr>
        <w:t>that we conduct outside the United States, it would likely result in the need for additional clinical trials, which would be costly and time-consuming and delay or permanently halt our development of any applicable product candidates.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the conduct of clinical trials outside the United States could have a significant impact on us. Risks inherent in conducting international clinical trials include:</w:t>
      </w:r>
    </w:p>
    <w:p>
      <w:pPr>
        <w:spacing w:after="0" w:line="170"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regulatory requirements that could burden or limit our ability to conduct our clinical trials;</w:t>
      </w:r>
    </w:p>
    <w:p>
      <w:pPr>
        <w:spacing w:after="0" w:line="225"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costs and heightened supply constraints associated with the acquisition of standard of care drugs and/or combination or comparator agents for which we may bear responsibility in certain jurisdictions;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administrative burdens of conducting clinical trials under multiple foreign regulatory schema;</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more burdensome manufacturing, customs, shipment and storage requirements;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consistency in standard of care from country to country;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country or regional regulatory requirements.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not be able to obtain orphan drug designation for our product candidates, and even if we do, we may be unable to maintain the benefits associated with orphan drug designation, including the potential for market exclusivity.</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for relatively small patient populations as orphan drugs. We expect to seek orphan drug designation for several of our product candidates. Under the Orphan Drug Act of 1983, the FDA may designate a product as an orphan product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or biologic will be recovered from sales in the United States.</w:t>
      </w:r>
    </w:p>
    <w:p>
      <w:pPr>
        <w:spacing w:after="0" w:line="176" w:lineRule="exact"/>
        <w:rPr>
          <w:sz w:val="20"/>
          <w:szCs w:val="20"/>
          <w:color w:val="auto"/>
        </w:rPr>
      </w:pPr>
    </w:p>
    <w:p>
      <w:pPr>
        <w:ind w:right="140"/>
        <w:spacing w:after="0" w:line="219" w:lineRule="exact"/>
        <w:rPr>
          <w:sz w:val="20"/>
          <w:szCs w:val="20"/>
          <w:color w:val="auto"/>
        </w:rPr>
      </w:pPr>
      <w:r>
        <w:rPr>
          <w:rFonts w:ascii="Arial" w:cs="Arial" w:eastAsia="Arial" w:hAnsi="Arial"/>
          <w:sz w:val="18"/>
          <w:szCs w:val="18"/>
          <w:color w:val="auto"/>
        </w:rPr>
        <w:t>In the United States, orphan designation entitles a party to financial incentives such as opportunities for grant funding towards clinical trial costs, tax advantages and user</w:t>
      </w:r>
      <w:r>
        <w:rPr>
          <w:rFonts w:ascii="MS PGothic" w:cs="MS PGothic" w:eastAsia="MS PGothic" w:hAnsi="MS PGothic"/>
          <w:sz w:val="18"/>
          <w:szCs w:val="18"/>
          <w:color w:val="auto"/>
        </w:rPr>
        <w:t>‑</w:t>
      </w:r>
      <w:r>
        <w:rPr>
          <w:rFonts w:ascii="Arial" w:cs="Arial" w:eastAsia="Arial" w:hAnsi="Arial"/>
          <w:sz w:val="18"/>
          <w:szCs w:val="18"/>
          <w:color w:val="auto"/>
        </w:rPr>
        <w:t>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full BLA or full new drug application, or NDA, to market the same biologic or drug for the same indication for seven years, except in limited circumstances, such as a showing of clinical superiority to the product with orphan drug exclusivity or where the manufacturer is unable to assure sufficient product quantity.</w:t>
      </w:r>
    </w:p>
    <w:p>
      <w:pPr>
        <w:spacing w:after="0" w:line="2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applicable exclusivity period is ten years in the European Union, but such exclusivity period can be reduced to six years if a product no longer meets the criteria for orphan designation or if the product is sufficiently profitable so that market exclusivity is no longer justified.</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if it is shown to be safer, more effective or makes a major contribution to patient care. Orphan drug designation neither shortens the development time or regulatory review time of a drug or biologic nor gives the drug or biologic any advantage in the regulatory review or approval process.</w:t>
      </w:r>
    </w:p>
    <w:p>
      <w:pPr>
        <w:spacing w:after="0" w:line="18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From time to time, we may publish interim, top-line or preliminary data from our clinical studies, which is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preliminary and top-line data should be viewed with caution until the final data are available. We may also disclose interim data from our clinical trials. Interim data from clinical trials that we may</w:t>
      </w:r>
    </w:p>
    <w:p>
      <w:pPr>
        <w:sectPr>
          <w:pgSz w:w="11900" w:h="16838" w:orient="portrait"/>
          <w:cols w:equalWidth="0" w:num="1">
            <w:col w:w="11220"/>
          </w:cols>
          <w:pgMar w:left="320" w:top="665" w:right="359" w:bottom="1440" w:gutter="0" w:footer="0" w:header="0"/>
        </w:sect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20"/>
          </w:cols>
          <w:pgMar w:left="320" w:top="665" w:right="359" w:bottom="1440" w:gutter="0" w:footer="0" w:header="0"/>
          <w:type w:val="continuous"/>
        </w:sectPr>
      </w:pPr>
    </w:p>
    <w:bookmarkStart w:id="58" w:name="page59"/>
    <w:bookmarkEnd w:id="58"/>
    <w:p>
      <w:pPr>
        <w:ind w:right="420"/>
        <w:spacing w:after="0" w:line="342" w:lineRule="auto"/>
        <w:rPr>
          <w:sz w:val="20"/>
          <w:szCs w:val="20"/>
          <w:color w:val="auto"/>
        </w:rPr>
      </w:pPr>
      <w:r>
        <w:rPr>
          <w:rFonts w:ascii="Arial" w:cs="Arial" w:eastAsia="Arial" w:hAnsi="Arial"/>
          <w:sz w:val="16"/>
          <w:szCs w:val="16"/>
          <w:color w:val="auto"/>
        </w:rPr>
        <w:t>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1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If the interim, top-line, or preliminary data that we report differ from final results, or if others, including regulatory authorities, disagree with the conclusions reached, our ability to obtain approval for, and commercialize, product candidates may be harmed, which could seriously harm our business.</w:t>
      </w:r>
    </w:p>
    <w:p>
      <w:pPr>
        <w:spacing w:after="0" w:line="16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2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SEL-212 or any other product candidates we may seek to develop in the future will ever obtain regulatory approval. Neither we nor any future collaborator is permitted to market any of our product candidates in the United States until we receive regulatory approval of a Biologics License Application, or BLA, from the FDA.</w:t>
      </w:r>
    </w:p>
    <w:p>
      <w:pPr>
        <w:spacing w:after="0" w:line="16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Prior to obtaining approval to commercialize a product candidate in the United States or abroad, we or our collaborators must demonstrate with substantial evidence from well-controlled clinical trials, and to the satisfaction of the FDA or foreign regulatory agencies, that such product candidates are safe and effective, or in the case of biologics, safe, pure, and potent, for their intended uses. Results from nonclinical studies and clinical trials can be interpreted in different ways. Even if we believe the nonclinical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post-approval, or it may object to elements of our clinical development program.</w:t>
      </w:r>
    </w:p>
    <w:p>
      <w:pPr>
        <w:spacing w:after="0" w:line="1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FDA or any foreign regulatory bodies can delay, limit or deny approval of our drug or device product candidates or require us to conduct additional nonclinical or clinical testing or abandon a program for, including the following:</w:t>
      </w:r>
    </w:p>
    <w:p>
      <w:pPr>
        <w:spacing w:after="0" w:line="170" w:lineRule="exact"/>
        <w:rPr>
          <w:sz w:val="20"/>
          <w:szCs w:val="20"/>
          <w:color w:val="auto"/>
        </w:rPr>
      </w:pPr>
    </w:p>
    <w:p>
      <w:pPr>
        <w:ind w:left="720" w:hanging="321"/>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25" w:lineRule="exact"/>
        <w:rPr>
          <w:rFonts w:ascii="Arial" w:cs="Arial" w:eastAsia="Arial" w:hAnsi="Arial"/>
          <w:sz w:val="18"/>
          <w:szCs w:val="18"/>
          <w:color w:val="auto"/>
        </w:rPr>
      </w:pPr>
    </w:p>
    <w:p>
      <w:pPr>
        <w:ind w:left="720" w:right="120" w:hanging="321"/>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70" w:lineRule="exact"/>
        <w:rPr>
          <w:rFonts w:ascii="Arial" w:cs="Arial" w:eastAsia="Arial" w:hAnsi="Arial"/>
          <w:sz w:val="18"/>
          <w:szCs w:val="18"/>
          <w:color w:val="auto"/>
        </w:rPr>
      </w:pPr>
    </w:p>
    <w:p>
      <w:pPr>
        <w:ind w:left="720" w:right="60" w:hanging="321"/>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720" w:right="420" w:hanging="321"/>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clinical trials or by individuals using drugs similar to our product candidates;</w:t>
      </w:r>
    </w:p>
    <w:p>
      <w:pPr>
        <w:spacing w:after="0" w:line="170" w:lineRule="exact"/>
        <w:rPr>
          <w:rFonts w:ascii="Arial" w:cs="Arial" w:eastAsia="Arial" w:hAnsi="Arial"/>
          <w:sz w:val="18"/>
          <w:szCs w:val="18"/>
          <w:color w:val="auto"/>
        </w:rPr>
      </w:pPr>
    </w:p>
    <w:p>
      <w:pPr>
        <w:ind w:left="720" w:hanging="321"/>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25" w:lineRule="exact"/>
        <w:rPr>
          <w:rFonts w:ascii="Arial" w:cs="Arial" w:eastAsia="Arial" w:hAnsi="Arial"/>
          <w:sz w:val="18"/>
          <w:szCs w:val="18"/>
          <w:color w:val="auto"/>
        </w:rPr>
      </w:pPr>
    </w:p>
    <w:p>
      <w:pPr>
        <w:ind w:left="720" w:hanging="321"/>
        <w:spacing w:after="0"/>
        <w:tabs>
          <w:tab w:leader="none" w:pos="7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236" w:lineRule="exact"/>
        <w:rPr>
          <w:rFonts w:ascii="Arial" w:cs="Arial" w:eastAsia="Arial" w:hAnsi="Arial"/>
          <w:sz w:val="17"/>
          <w:szCs w:val="17"/>
          <w:color w:val="auto"/>
        </w:rPr>
      </w:pPr>
    </w:p>
    <w:p>
      <w:pPr>
        <w:ind w:left="720" w:right="220" w:hanging="321"/>
        <w:spacing w:after="0" w:line="342" w:lineRule="auto"/>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acceptable or sufficient to support the submission of a BLA or other submission or to obtain regulatory approval in the United States or elsewhere, and we may be required to conduct additional clinical studies;</w:t>
      </w:r>
    </w:p>
    <w:p>
      <w:pPr>
        <w:spacing w:after="0" w:line="123" w:lineRule="exact"/>
        <w:rPr>
          <w:rFonts w:ascii="Arial" w:cs="Arial" w:eastAsia="Arial" w:hAnsi="Arial"/>
          <w:sz w:val="16"/>
          <w:szCs w:val="16"/>
          <w:color w:val="auto"/>
        </w:rPr>
      </w:pPr>
    </w:p>
    <w:p>
      <w:pPr>
        <w:ind w:left="720" w:right="200" w:hanging="321"/>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FDA’s or the applicable foreign regulatory agency may disagree regarding the formulation, labeling and/or the specifications of our product candidates;</w:t>
      </w:r>
    </w:p>
    <w:p>
      <w:pPr>
        <w:spacing w:after="0" w:line="170" w:lineRule="exact"/>
        <w:rPr>
          <w:rFonts w:ascii="Arial" w:cs="Arial" w:eastAsia="Arial" w:hAnsi="Arial"/>
          <w:sz w:val="18"/>
          <w:szCs w:val="18"/>
          <w:color w:val="auto"/>
        </w:rPr>
      </w:pPr>
    </w:p>
    <w:p>
      <w:pPr>
        <w:ind w:left="720" w:right="180" w:hanging="321"/>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665" w:right="339" w:bottom="1440" w:gutter="0" w:footer="0" w:header="0"/>
        </w:sectPr>
      </w:pPr>
    </w:p>
    <w:bookmarkStart w:id="59" w:name="page60"/>
    <w:bookmarkEnd w:id="59"/>
    <w:p>
      <w:pPr>
        <w:ind w:left="720" w:right="120" w:hanging="321"/>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including Phase 4 clinical trials, and/or the implementation of a Risk Evaluation and Mitigation Strategy, or REMS, which may be required to assure safe use of the drug after approval. The FDA or the applicable foreign regulatory agency also may approve a product candidate for a more limited indication or patient population than we originally requested,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77" w:lineRule="exact"/>
        <w:rPr>
          <w:sz w:val="20"/>
          <w:szCs w:val="20"/>
          <w:color w:val="auto"/>
        </w:rPr>
      </w:pPr>
    </w:p>
    <w:p>
      <w:pPr>
        <w:ind w:right="780"/>
        <w:spacing w:after="0" w:line="381" w:lineRule="auto"/>
        <w:rPr>
          <w:sz w:val="20"/>
          <w:szCs w:val="20"/>
          <w:color w:val="auto"/>
        </w:rPr>
      </w:pPr>
      <w:r>
        <w:rPr>
          <w:rFonts w:ascii="Arial" w:cs="Arial" w:eastAsia="Arial" w:hAnsi="Arial"/>
          <w:sz w:val="15"/>
          <w:szCs w:val="15"/>
          <w:b w:val="1"/>
          <w:bCs w:val="1"/>
          <w:i w:val="1"/>
          <w:iCs w:val="1"/>
          <w:color w:val="auto"/>
        </w:rPr>
        <w:t>Any breakthrough therapy designation that we may receive from the FDA for our product candidates may not lead to a faster development or regulatory review or approval process, and it does not increase the likelihood that our product candidates will receive marketing approval.</w:t>
      </w:r>
    </w:p>
    <w:p>
      <w:pPr>
        <w:spacing w:after="0" w:line="100" w:lineRule="exact"/>
        <w:rPr>
          <w:sz w:val="20"/>
          <w:szCs w:val="20"/>
          <w:color w:val="auto"/>
        </w:rPr>
      </w:pPr>
    </w:p>
    <w:p>
      <w:pPr>
        <w:ind w:right="60"/>
        <w:spacing w:after="0" w:line="219" w:lineRule="exact"/>
        <w:rPr>
          <w:sz w:val="20"/>
          <w:szCs w:val="20"/>
          <w:color w:val="auto"/>
        </w:rPr>
      </w:pPr>
      <w:r>
        <w:rPr>
          <w:rFonts w:ascii="Arial" w:cs="Arial" w:eastAsia="Arial" w:hAnsi="Arial"/>
          <w:sz w:val="18"/>
          <w:szCs w:val="18"/>
          <w:color w:val="auto"/>
        </w:rPr>
        <w:t>We may in the future seek breakthrough therapy designation for some of our product candidates. A breakthrough therapy is defined as a drug that is intended, alone or in combination with one or more other drugs, to treat a serious or life</w:t>
      </w:r>
      <w:r>
        <w:rPr>
          <w:rFonts w:ascii="MS PGothic" w:cs="MS PGothic" w:eastAsia="MS PGothic" w:hAnsi="MS PGothic"/>
          <w:sz w:val="18"/>
          <w:szCs w:val="18"/>
          <w:color w:val="auto"/>
        </w:rPr>
        <w:t>‑</w:t>
      </w:r>
      <w:r>
        <w:rPr>
          <w:rFonts w:ascii="Arial" w:cs="Arial" w:eastAsia="Arial" w:hAnsi="Arial"/>
          <w:sz w:val="18"/>
          <w:szCs w:val="18"/>
          <w:color w:val="auto"/>
        </w:rPr>
        <w:t>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20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with the passage of the Food and Drug Administration Safety and Innovation Act of 2012. We cannot be sure that any evaluation we may make of our product 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70"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b w:val="1"/>
          <w:bCs w:val="1"/>
          <w:i w:val="1"/>
          <w:iCs w:val="1"/>
          <w:color w:val="auto"/>
        </w:rPr>
        <w:t>Negative public opinion and increased regulatory scrutiny of gene therapy and genetic research may damage public perception of our product candidates or compromise our ability to conduct our business or obtain regulatory approvals for our product candidates.</w:t>
      </w:r>
    </w:p>
    <w:p>
      <w:pPr>
        <w:spacing w:after="0" w:line="124"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Gene therapy remains a novel technology.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and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Our product candidates, including our products that utilize viral delivery systems, could produce adverse events. Adverse events in our clinical trials or following approval of any of our product candidates, even if not ultimately attributable to our product candidates,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7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665" w:right="339" w:bottom="1440" w:gutter="0" w:footer="0" w:header="0"/>
        </w:sectPr>
      </w:pPr>
    </w:p>
    <w:bookmarkStart w:id="60" w:name="page61"/>
    <w:bookmarkEnd w:id="60"/>
    <w:p>
      <w:pPr>
        <w:spacing w:after="0" w:line="271" w:lineRule="auto"/>
        <w:rPr>
          <w:sz w:val="20"/>
          <w:szCs w:val="20"/>
          <w:color w:val="auto"/>
        </w:rPr>
      </w:pPr>
      <w:r>
        <w:rPr>
          <w:rFonts w:ascii="Arial" w:cs="Arial" w:eastAsia="Arial" w:hAnsi="Arial"/>
          <w:sz w:val="17"/>
          <w:szCs w:val="17"/>
          <w:color w:val="auto"/>
        </w:rPr>
        <w:t>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For example, a patient in the Phase 1 trial of SEL-403 experienced a Grade 5 SAE (patient death) related to pneumonitis, which was deemed by the trial investigator to be probably related to ImmTOR and possibly related to the patient’s pleural mesothelioma condition, and in November 2018, the FDA placed the IND for SEL-403 on full clinical hold due to adverse events observed in the Phase 1 trial. Selecta has terminated the license of LMB-100 from NCI, effective April 9, 2019 and is no longer pursuing this product candidate.</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 the SEL-212 multi-year clinical development program requiring multiple clinical trials resulted in the use of different formulations of ImmTOR. While we do not believe that differences in formulation will affect the safety or the efficacy of SEL-212, we cannot guarantee that any such formulation changes will not negatively impact the results of any clinical trials related to SEL-212, or result in a significant difference in the safety and efficacy of SEL-212.</w:t>
      </w:r>
    </w:p>
    <w:p>
      <w:pPr>
        <w:spacing w:after="0" w:line="187" w:lineRule="exact"/>
        <w:rPr>
          <w:sz w:val="20"/>
          <w:szCs w:val="20"/>
          <w:color w:val="auto"/>
        </w:rPr>
      </w:pPr>
    </w:p>
    <w:p>
      <w:pPr>
        <w:ind w:right="120"/>
        <w:spacing w:after="0" w:line="224" w:lineRule="exact"/>
        <w:rPr>
          <w:sz w:val="20"/>
          <w:szCs w:val="20"/>
          <w:color w:val="auto"/>
        </w:rPr>
      </w:pPr>
      <w:r>
        <w:rPr>
          <w:rFonts w:ascii="Arial" w:cs="Arial" w:eastAsia="Arial" w:hAnsi="Arial"/>
          <w:sz w:val="17"/>
          <w:szCs w:val="17"/>
          <w:color w:val="auto"/>
        </w:rPr>
        <w:t>The drug</w:t>
      </w:r>
      <w:r>
        <w:rPr>
          <w:rFonts w:ascii="MS PGothic" w:cs="MS PGothic" w:eastAsia="MS PGothic" w:hAnsi="MS PGothic"/>
          <w:sz w:val="17"/>
          <w:szCs w:val="17"/>
          <w:color w:val="auto"/>
        </w:rPr>
        <w:t>‑</w:t>
      </w:r>
      <w:r>
        <w:rPr>
          <w:rFonts w:ascii="Arial" w:cs="Arial" w:eastAsia="Arial" w:hAnsi="Arial"/>
          <w:sz w:val="17"/>
          <w:szCs w:val="17"/>
          <w:color w:val="auto"/>
        </w:rPr>
        <w:t>related side effects could also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70"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impose additional restrictions on the marketing of, or the manufacturing processes for, the particular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could be sued and held liable for harm caused to patients, or become subject to fines, injunctions or the imposition of civil or criminal penalties;</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 and</w:t>
      </w:r>
    </w:p>
    <w:p>
      <w:pPr>
        <w:spacing w:after="0" w:line="225" w:lineRule="exact"/>
        <w:rPr>
          <w:rFonts w:ascii="Arial" w:cs="Arial" w:eastAsia="Arial" w:hAnsi="Arial"/>
          <w:sz w:val="18"/>
          <w:szCs w:val="18"/>
          <w:color w:val="auto"/>
        </w:rPr>
      </w:pPr>
    </w:p>
    <w:p>
      <w:pPr>
        <w:ind w:left="340" w:right="28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be required to develop a risk evaluation and mitigation strategy (REMS) plan to prevent, monitor and/or manage a specific serious risk by informing, educating and/or reinforcing actions to reduce the frequency and/or severity of the event.</w:t>
      </w:r>
    </w:p>
    <w:p>
      <w:pPr>
        <w:spacing w:after="0" w:line="17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particular product candidate, if approved, and could significantly harm our business, results of operations and prospects.</w:t>
      </w:r>
    </w:p>
    <w:p>
      <w:pPr>
        <w:spacing w:after="0" w:line="170" w:lineRule="exact"/>
        <w:rPr>
          <w:sz w:val="20"/>
          <w:szCs w:val="20"/>
          <w:color w:val="auto"/>
        </w:rPr>
      </w:pPr>
    </w:p>
    <w:p>
      <w:pPr>
        <w:ind w:right="100"/>
        <w:spacing w:after="0" w:line="221" w:lineRule="exact"/>
        <w:rPr>
          <w:sz w:val="20"/>
          <w:szCs w:val="20"/>
          <w:color w:val="auto"/>
        </w:rPr>
      </w:pPr>
      <w:r>
        <w:rPr>
          <w:rFonts w:ascii="Arial" w:cs="Arial" w:eastAsia="Arial" w:hAnsi="Arial"/>
          <w:sz w:val="16"/>
          <w:szCs w:val="16"/>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any of which would harm our business.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 AND MANUFACTURING</w:t>
      </w:r>
    </w:p>
    <w:p>
      <w:pPr>
        <w:spacing w:after="0" w:line="229"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b w:val="1"/>
          <w:bCs w:val="1"/>
          <w:i w:val="1"/>
          <w:iCs w:val="1"/>
          <w:color w:val="auto"/>
        </w:rPr>
        <w:t>We rely on 3SBio in China as our primary supplier of pegadricase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or in compliance with regulatory requirements, which could delay, prevent or impair our development or commercialization efforts.</w:t>
      </w:r>
    </w:p>
    <w:p>
      <w:pPr>
        <w:spacing w:after="0" w:line="157"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We obtain the biologic pegadricase, a component of SEL</w:t>
      </w:r>
      <w:r>
        <w:rPr>
          <w:rFonts w:ascii="MS PGothic" w:cs="MS PGothic" w:eastAsia="MS PGothic" w:hAnsi="MS PGothic"/>
          <w:sz w:val="18"/>
          <w:szCs w:val="18"/>
          <w:color w:val="auto"/>
        </w:rPr>
        <w:t>‑</w:t>
      </w:r>
      <w:r>
        <w:rPr>
          <w:rFonts w:ascii="Arial" w:cs="Arial" w:eastAsia="Arial" w:hAnsi="Arial"/>
          <w:sz w:val="18"/>
          <w:szCs w:val="18"/>
          <w:color w:val="auto"/>
        </w:rPr>
        <w:t>212, primarily from 3SBio in China. Under our license agreement with 3SBio, we have limited rights to manufacture pegadricase and, while we have entered into a contract with a back-up supplier located outside of China, we expect to continue to rely on 3SBio as the primary supplier of pegadricase for the foreseeable future.</w:t>
      </w:r>
    </w:p>
    <w:p>
      <w:pPr>
        <w:spacing w:after="0" w:line="204"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Any disruption in production or inability of 3SBio in China to produce adequate quantities of pegadricase to meet our needs, whether as a result of a natural disaster, public health emergency, such as the COVID-19 pandemic, failure to comply with regulatory requirements or other causes, could impair our ability to operate our business on a day</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day basis and to continue our research and development of our future product candidates. Furthermore, since 3SBio is located in China, we are exposed to the possibility of product supply disruption and increased costs in the event of changes in the policies, laws, rules and</w:t>
      </w:r>
    </w:p>
    <w:p>
      <w:pPr>
        <w:sectPr>
          <w:pgSz w:w="11900" w:h="16838" w:orient="portrait"/>
          <w:cols w:equalWidth="0" w:num="1">
            <w:col w:w="11240"/>
          </w:cols>
          <w:pgMar w:left="320" w:top="665" w:right="339" w:bottom="1440"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40"/>
          </w:cols>
          <w:pgMar w:left="320" w:top="665" w:right="339" w:bottom="1440" w:gutter="0" w:footer="0" w:header="0"/>
          <w:type w:val="continuous"/>
        </w:sectPr>
      </w:pPr>
    </w:p>
    <w:bookmarkStart w:id="61" w:name="page62"/>
    <w:bookmarkEnd w:id="61"/>
    <w:p>
      <w:pPr>
        <w:ind w:right="40"/>
        <w:spacing w:after="0" w:line="255" w:lineRule="auto"/>
        <w:rPr>
          <w:sz w:val="20"/>
          <w:szCs w:val="20"/>
          <w:color w:val="auto"/>
        </w:rPr>
      </w:pPr>
      <w:r>
        <w:rPr>
          <w:rFonts w:ascii="Arial" w:cs="Arial" w:eastAsia="Arial" w:hAnsi="Arial"/>
          <w:sz w:val="18"/>
          <w:szCs w:val="18"/>
          <w:color w:val="auto"/>
        </w:rPr>
        <w:t>regulations of the United States or Chinese governments, political unrest or unstable economic conditions 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were followed by a round of retaliatory Chinese tariffs on U.S. exports to China. Pegadricase is subject to, and any other components we purchase from China may be subject to these tariffs, which could increase our manufacturing costs and could make our products, if successfully developed and approved, less competitive than those of our competitors whose inputs are not subject to these tariffs.</w:t>
      </w:r>
    </w:p>
    <w:p>
      <w:pPr>
        <w:spacing w:after="0" w:line="19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Moreover, as a result of the COVID-19 pandemic, certain of our suppliers and CMOs in the United States, China and other countries may be affected, which could disrupt their activities. We could face difficulty sourcing key components necessary to produce supply of SEL-212, which may negatively affect our clinical development activities. If the COVID-19 coronavirus further impacts U.S. business operations, including our CMOs and suppliers, we could face additional disruption to our supply chain that could affect the supply of drug product for both the preclinical studies and clinical trials. Additionally, as our CMOs are producers of drug substances and drug products, including vaccines and therapeutics, they could be compelled by a national government, or choose themselves, to shift their resources to the production of a COVID-19 coronavirus vaccine and/or therapeutics for COVID-19, which could disrupt any scheduled drug substance or drug product batches we may have and may prevent us from obtaining supplies for our programs in a timely manner to meet our development timelines.</w:t>
      </w:r>
    </w:p>
    <w:p>
      <w:pPr>
        <w:spacing w:after="0" w:line="178"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Any of these matters could materially and adversely affect our business and results of operations. Any issues related to the manufacturing lots or similar action regarding pegadricase used in preclinical studies or clinical trials could delay the studies or trials or detract from the integrity of the trial data and its potential use in future regulatory filings. In addition, manufacturing interruptions or failure to comply or maintain compliance with regulatory requirements by 3SBio could significantly delay our clinical development of potential products and reduce third</w:t>
      </w:r>
      <w:r>
        <w:rPr>
          <w:rFonts w:ascii="MS PGothic" w:cs="MS PGothic" w:eastAsia="MS PGothic" w:hAnsi="MS PGothic"/>
          <w:sz w:val="18"/>
          <w:szCs w:val="18"/>
          <w:color w:val="auto"/>
        </w:rPr>
        <w:t>‑</w:t>
      </w:r>
      <w:r>
        <w:rPr>
          <w:rFonts w:ascii="Arial" w:cs="Arial" w:eastAsia="Arial" w:hAnsi="Arial"/>
          <w:sz w:val="18"/>
          <w:szCs w:val="18"/>
          <w:color w:val="auto"/>
        </w:rPr>
        <w:t>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labor costs could continue to rise as wage rates increase due to increased demand for skilled laborers and the availability of skilled labor declines in China.</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3SBio, we rely, and expect to continue to rely, on other third parties for the manufacture of our product candidates for preclinical and clinical testing,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 For example, we rely on third parties for the manufacture of our gene therapy preclinical materials. Gene therapy is a relatively new area for commercial biopharmaceutical development and there are a limited number of CMOs with adequate facilities and expertise in this area. As a result, we may be unable to successfully manufacture our gene therapy preclinical materials through a third party or scale up the manufacture of our gene therapy product candidates for clinical testing or commercialization, if at all.</w:t>
      </w:r>
    </w:p>
    <w:p>
      <w:pPr>
        <w:spacing w:after="0" w:line="192" w:lineRule="exact"/>
        <w:rPr>
          <w:sz w:val="20"/>
          <w:szCs w:val="20"/>
          <w:color w:val="auto"/>
        </w:rPr>
      </w:pPr>
    </w:p>
    <w:p>
      <w:pPr>
        <w:ind w:right="320"/>
        <w:spacing w:after="0" w:line="223" w:lineRule="exact"/>
        <w:rPr>
          <w:sz w:val="20"/>
          <w:szCs w:val="20"/>
          <w:color w:val="auto"/>
        </w:rPr>
      </w:pPr>
      <w:r>
        <w:rPr>
          <w:rFonts w:ascii="Arial" w:cs="Arial" w:eastAsia="Arial" w:hAnsi="Arial"/>
          <w:sz w:val="18"/>
          <w:szCs w:val="18"/>
          <w:color w:val="auto"/>
        </w:rPr>
        <w:t>We may be unable to establish any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on acceptable terms or at all. Even if we are able to establish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reliance on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entails additional risks, including the:</w:t>
      </w:r>
    </w:p>
    <w:p>
      <w:pPr>
        <w:spacing w:after="0" w:line="203" w:lineRule="exact"/>
        <w:rPr>
          <w:sz w:val="20"/>
          <w:szCs w:val="20"/>
          <w:color w:val="auto"/>
        </w:rPr>
      </w:pPr>
    </w:p>
    <w:p>
      <w:pPr>
        <w:ind w:left="340" w:right="280" w:hanging="332"/>
        <w:spacing w:after="0" w:line="223" w:lineRule="exact"/>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failure or unwillingness of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to comply with regulatory requirements, maintain quality assurance, meet our needs, specifications or schedules or continue to supply products to us;</w:t>
      </w:r>
    </w:p>
    <w:p>
      <w:pPr>
        <w:spacing w:after="0" w:line="202" w:lineRule="exact"/>
        <w:rPr>
          <w:rFonts w:ascii="Arial" w:cs="Arial" w:eastAsia="Arial" w:hAnsi="Arial"/>
          <w:sz w:val="18"/>
          <w:szCs w:val="18"/>
          <w:color w:val="auto"/>
        </w:rPr>
      </w:pPr>
    </w:p>
    <w:p>
      <w:pPr>
        <w:ind w:left="340" w:right="520" w:hanging="332"/>
        <w:spacing w:after="0" w:line="223" w:lineRule="exact"/>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control we have over product development, including with respect to our lead product candidate, due to our reliance on such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202"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breach of manufacturing agreements by the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misappropriation or disclosure of our proprietary information, including our trade secrets and know</w:t>
      </w:r>
      <w:r>
        <w:rPr>
          <w:rFonts w:ascii="MS PGothic" w:cs="MS PGothic" w:eastAsia="MS PGothic" w:hAnsi="MS PGothic"/>
          <w:sz w:val="18"/>
          <w:szCs w:val="18"/>
          <w:color w:val="auto"/>
        </w:rPr>
        <w:t>‑</w:t>
      </w:r>
      <w:r>
        <w:rPr>
          <w:rFonts w:ascii="Arial" w:cs="Arial" w:eastAsia="Arial" w:hAnsi="Arial"/>
          <w:sz w:val="18"/>
          <w:szCs w:val="18"/>
          <w:color w:val="auto"/>
        </w:rPr>
        <w:t>how;</w:t>
      </w:r>
    </w:p>
    <w:p>
      <w:pPr>
        <w:spacing w:after="0" w:line="225" w:lineRule="exact"/>
        <w:rPr>
          <w:rFonts w:ascii="Arial" w:cs="Arial" w:eastAsia="Arial" w:hAnsi="Arial"/>
          <w:sz w:val="18"/>
          <w:szCs w:val="18"/>
          <w:color w:val="auto"/>
        </w:rPr>
      </w:pPr>
    </w:p>
    <w:p>
      <w:pPr>
        <w:ind w:left="340" w:right="120" w:hanging="332"/>
        <w:spacing w:after="0" w:line="220" w:lineRule="exact"/>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relationships that the third-party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w:t>
      </w:r>
      <w:r>
        <w:rPr>
          <w:rFonts w:ascii="MS PGothic" w:cs="MS PGothic" w:eastAsia="MS PGothic" w:hAnsi="MS PGothic"/>
          <w:sz w:val="18"/>
          <w:szCs w:val="18"/>
          <w:color w:val="auto"/>
        </w:rPr>
        <w:t>‑</w:t>
      </w:r>
      <w:r>
        <w:rPr>
          <w:rFonts w:ascii="Arial" w:cs="Arial" w:eastAsia="Arial" w:hAnsi="Arial"/>
          <w:sz w:val="18"/>
          <w:szCs w:val="18"/>
          <w:color w:val="auto"/>
        </w:rPr>
        <w:t>effective; and</w:t>
      </w:r>
    </w:p>
    <w:p>
      <w:pPr>
        <w:spacing w:after="0" w:line="204"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or nonrenewal of agreements by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at times that are costly or inconvenient for us.</w:t>
      </w:r>
    </w:p>
    <w:p>
      <w:pPr>
        <w:spacing w:after="0" w:line="22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after we submit our marketing application to the FDA. We do not control the manufacturing process of, and are completely dependent on, our contract manufacturing partners for compliance with the regulatory requirements, known as current good manufacturing practices, or cGMPs, for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w:t>
      </w:r>
    </w:p>
    <w:p>
      <w:pPr>
        <w:sectPr>
          <w:pgSz w:w="11900" w:h="16838" w:orient="portrait"/>
          <w:cols w:equalWidth="0" w:num="1">
            <w:col w:w="11220"/>
          </w:cols>
          <w:pgMar w:left="320" w:top="665" w:right="359" w:bottom="1440" w:gutter="0" w:footer="0" w:header="0"/>
        </w:sect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20"/>
          </w:cols>
          <w:pgMar w:left="320" w:top="665" w:right="359" w:bottom="1440" w:gutter="0" w:footer="0" w:header="0"/>
          <w:type w:val="continuous"/>
        </w:sectPr>
      </w:pPr>
    </w:p>
    <w:bookmarkStart w:id="62" w:name="page63"/>
    <w:bookmarkEnd w:id="62"/>
    <w:p>
      <w:pPr>
        <w:spacing w:after="0" w:line="217" w:lineRule="exact"/>
        <w:rPr>
          <w:sz w:val="20"/>
          <w:szCs w:val="20"/>
          <w:color w:val="auto"/>
        </w:rPr>
      </w:pPr>
      <w:r>
        <w:rPr>
          <w:rFonts w:ascii="Arial" w:cs="Arial" w:eastAsia="Arial" w:hAnsi="Arial"/>
          <w:sz w:val="16"/>
          <w:szCs w:val="16"/>
          <w:color w:val="auto"/>
        </w:rPr>
        <w:t>manufacturing facilities. In addition, we have no control over the ability of our contract manufacturers or suppliers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In addition, there are a limited number of manufacturers that operate under cGMP regulations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20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CMO to produce multiple product components. For instance, one of our CMOs produces several polymers used in our ImmTOR platform. If our current CMOs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178"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Our existing collaborations are important to our business, and future licenses may also be important to us. If we are unable to maintain any of these collaborations, or if these arrangements are not successful, or we are unable to enter into future licenses, our business could be adversely affected.</w:t>
      </w:r>
    </w:p>
    <w:p>
      <w:pPr>
        <w:spacing w:after="0" w:line="10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entered into collaborations with other parties, including pharmaceutical companies and universities, to develop products based on our ImmTOR platform, and such collaborations and licensing arrangements currently represent a significant portion of our product pipeline and are expected to represent a larger portion of our pipeline in the future. Certain of our collaborations have provided us with important funding for some of our development programs and we expect to receive additional funding under collaborations in the future although not all of our collaborations may result in funding to the Company, and certain collaborations, licenses and agreements may result in increased expenditures by the Company. Our existing collaborations, and any future collaborations we enter into, may pose a number of risks, including the following:</w:t>
      </w:r>
    </w:p>
    <w:p>
      <w:pPr>
        <w:spacing w:after="0" w:line="178"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340" w:right="400" w:hanging="332"/>
        <w:spacing w:after="0" w:line="311"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148" w:lineRule="exact"/>
        <w:rPr>
          <w:rFonts w:ascii="Arial" w:cs="Arial" w:eastAsia="Arial" w:hAnsi="Arial"/>
          <w:sz w:val="16"/>
          <w:szCs w:val="16"/>
          <w:color w:val="auto"/>
        </w:rPr>
      </w:pPr>
    </w:p>
    <w:p>
      <w:pPr>
        <w:ind w:left="340" w:right="36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0" w:lineRule="exact"/>
        <w:rPr>
          <w:rFonts w:ascii="Arial" w:cs="Arial" w:eastAsia="Arial" w:hAnsi="Arial"/>
          <w:sz w:val="18"/>
          <w:szCs w:val="18"/>
          <w:color w:val="auto"/>
        </w:rPr>
      </w:pPr>
    </w:p>
    <w:p>
      <w:pPr>
        <w:ind w:left="340" w:right="20" w:hanging="332"/>
        <w:spacing w:after="0" w:line="311"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148" w:lineRule="exact"/>
        <w:rPr>
          <w:rFonts w:ascii="Arial" w:cs="Arial" w:eastAsia="Arial" w:hAnsi="Arial"/>
          <w:sz w:val="16"/>
          <w:szCs w:val="16"/>
          <w:color w:val="auto"/>
        </w:rPr>
      </w:pPr>
    </w:p>
    <w:p>
      <w:pPr>
        <w:ind w:left="340" w:right="5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70" w:lineRule="exact"/>
        <w:rPr>
          <w:rFonts w:ascii="Arial" w:cs="Arial" w:eastAsia="Arial" w:hAnsi="Arial"/>
          <w:sz w:val="18"/>
          <w:szCs w:val="18"/>
          <w:color w:val="auto"/>
        </w:rPr>
      </w:pPr>
    </w:p>
    <w:p>
      <w:pPr>
        <w:ind w:left="340" w:right="220" w:hanging="332"/>
        <w:spacing w:after="0" w:line="221" w:lineRule="exact"/>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w:t>
      </w:r>
      <w:r>
        <w:rPr>
          <w:rFonts w:ascii="MS PGothic" w:cs="MS PGothic" w:eastAsia="MS PGothic" w:hAnsi="MS PGothic"/>
          <w:sz w:val="16"/>
          <w:szCs w:val="16"/>
          <w:color w:val="auto"/>
        </w:rPr>
        <w:t>‑</w:t>
      </w:r>
      <w:r>
        <w:rPr>
          <w:rFonts w:ascii="Arial" w:cs="Arial" w:eastAsia="Arial" w:hAnsi="Arial"/>
          <w:sz w:val="16"/>
          <w:szCs w:val="16"/>
          <w:color w:val="auto"/>
        </w:rPr>
        <w:t>consuming and expensive;</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665" w:right="359" w:bottom="1440" w:gutter="0" w:footer="0" w:header="0"/>
        </w:sectPr>
      </w:pPr>
    </w:p>
    <w:bookmarkStart w:id="63" w:name="page64"/>
    <w:bookmarkEnd w:id="63"/>
    <w:p>
      <w:pPr>
        <w:ind w:left="340" w:right="32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25" w:lineRule="exact"/>
        <w:rPr>
          <w:rFonts w:ascii="Arial" w:cs="Arial" w:eastAsia="Arial" w:hAnsi="Arial"/>
          <w:sz w:val="18"/>
          <w:szCs w:val="18"/>
          <w:color w:val="auto"/>
        </w:rPr>
      </w:pPr>
    </w:p>
    <w:p>
      <w:pPr>
        <w:ind w:left="340" w:right="34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or for our failure to comply with our obligations under existing or future collaborations and, if terminated, we would potentially lose the right to pursue further development or commercialization of the applicable product candidates;</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learn about our technology and use this knowledge to compete with us in the future;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may be conflicts between different collaborators that could negatively affect those collaborations and potentially others;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future collaborators or acquirers.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If our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If we do not receive the funding we expect under these agreements, our continued development of our ImmTOR platform and product candidates could be delayed and we may need additional resources to develop additional product candidates. All of the risks relating to product development, regulatory approval and commercialization described in this Quarterly Report on Form 10-Q also apply to the activities of our therapeutic program collaborators and there can be no assurance that our collaborations will produce positive results or successful products on a timely basis or at all.</w:t>
      </w:r>
    </w:p>
    <w:p>
      <w:pPr>
        <w:spacing w:after="0" w:line="17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Additionally, subject to its contractual obligations to us, if one of our collaborators is involved in a business combination or otherwise changes its business priorities, the collaborator might deemphasize or terminate the development or commercialization of any product candidate licensed to it by us. If one of our collaborators terminates its agreement with us, we may find it more difficult to attract new collaborators and the perception of our business in the business and financial communities, and our stock price, could be adversely affected. In addition, we have a limited number of collaborations and if our relationship with any one or more of such collaborators were to cease, our business would be harmed as a result. For example, MIT may terminate the MIT License if we fail to meet a diligence obligation, including the initiation of a Phase 3 clinical trial by a specified date in the fourth quarter of 2019. In December 2019, we entered into the MIT Amendment. Pursuant to the MIT Amendment, the provision of the MIT License under which we were obligated to initiate a Phase 3 clinical trial for a licensed product by a specified date in the fourth quarter of 2019 is tolled until the earlier of (i) a specified date in the second quarter of 2020 or (ii) the effective date of a written amendment to the MIT Agreement. The parties agreed to negotiate in good faith to enter into a future amendment to the MIT License after we provide MIT with an amended diligence plan. However, if we are unable to reach an agreement with MIT regarding an acceptable amendment of the MIT License and if we are unable to cure the breach, there could be a material adverse effect on our business. See “Business - Licenses and Collaborations - Massachusetts Institute of Technology.”</w:t>
      </w:r>
    </w:p>
    <w:p>
      <w:pPr>
        <w:spacing w:after="0" w:line="6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are actively exploring licenses and other strategic collaborations with additional pharmaceutical and biotechnology companies for development and potential commercialization of therapeutic products. However, we face significant competition in seeking appropriate collaborators.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7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170" w:lineRule="exact"/>
        <w:rPr>
          <w:sz w:val="20"/>
          <w:szCs w:val="20"/>
          <w:color w:val="auto"/>
        </w:rPr>
      </w:pPr>
    </w:p>
    <w:p>
      <w:pPr>
        <w:ind w:right="40"/>
        <w:spacing w:after="0" w:line="220" w:lineRule="exact"/>
        <w:rPr>
          <w:sz w:val="20"/>
          <w:szCs w:val="20"/>
          <w:color w:val="auto"/>
        </w:rPr>
      </w:pPr>
      <w:r>
        <w:rPr>
          <w:rFonts w:ascii="Arial" w:cs="Arial" w:eastAsia="Arial" w:hAnsi="Arial"/>
          <w:sz w:val="18"/>
          <w:szCs w:val="18"/>
          <w:color w:val="auto"/>
        </w:rPr>
        <w:t>We expect to continue to rely on third parties, such as CROs, clinical data management organizations, medical institutions and clinical investigators, to conduct and manage our clinical trials, including our Phase 2 and Phase 3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 and for our other product candidates. We also expect to rely on other third parties to store and distribute drug supplies for our clinical trials.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665" w:right="339" w:bottom="1440" w:gutter="0" w:footer="0" w:header="0"/>
        </w:sectPr>
      </w:pPr>
    </w:p>
    <w:bookmarkStart w:id="64" w:name="page65"/>
    <w:bookmarkEnd w:id="64"/>
    <w:p>
      <w:pPr>
        <w:ind w:right="20"/>
        <w:spacing w:after="0" w:line="217" w:lineRule="exact"/>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Regulatory authorities enforce these GCPs through periodic inspections of trial sponsors, principal investigators and trial sites. If we or any of our CROs or third-party contractors fail to comply with applicable GCPs, the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regulations. Our failure to comply with these regulations may require us to repeat clinical trials, which would delay the regulatory approval process. We also are required to register ongoing clinical trials and post the results of completed clinical trials on a government</w:t>
      </w:r>
      <w:r>
        <w:rPr>
          <w:rFonts w:ascii="MS PGothic" w:cs="MS PGothic" w:eastAsia="MS PGothic" w:hAnsi="MS PGothic"/>
          <w:sz w:val="16"/>
          <w:szCs w:val="16"/>
          <w:color w:val="auto"/>
        </w:rPr>
        <w:t>‑</w:t>
      </w:r>
      <w:r>
        <w:rPr>
          <w:rFonts w:ascii="Arial" w:cs="Arial" w:eastAsia="Arial" w:hAnsi="Arial"/>
          <w:sz w:val="16"/>
          <w:szCs w:val="16"/>
          <w:color w:val="auto"/>
        </w:rPr>
        <w:t xml:space="preserve">sponsored database, </w:t>
      </w:r>
      <w:r>
        <w:rPr>
          <w:rFonts w:ascii="Arial" w:cs="Arial" w:eastAsia="Arial" w:hAnsi="Arial"/>
          <w:sz w:val="16"/>
          <w:szCs w:val="16"/>
          <w:i w:val="1"/>
          <w:iCs w:val="1"/>
          <w:color w:val="auto"/>
        </w:rPr>
        <w:t>ClinicalTrials.gov</w:t>
      </w:r>
      <w:r>
        <w:rPr>
          <w:rFonts w:ascii="Arial" w:cs="Arial" w:eastAsia="Arial" w:hAnsi="Arial"/>
          <w:sz w:val="16"/>
          <w:szCs w:val="16"/>
          <w:color w:val="auto"/>
        </w:rPr>
        <w:t>, within specified timeframes. Failure to do so can result in fines, adverse publicity and civil and criminal sanctions.</w:t>
      </w:r>
    </w:p>
    <w:p>
      <w:pPr>
        <w:spacing w:after="0" w:line="9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If these third parties do not successfully carry out their contractual duties, do not comply with confidentiality obligations,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178"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b w:val="1"/>
          <w:bCs w:val="1"/>
          <w:i w:val="1"/>
          <w:i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184"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color w:val="auto"/>
        </w:rPr>
        <w:t>We have a pilot manufacturing facility at our Watertown, Massachusetts location where we conduct process development, scale</w:t>
      </w:r>
      <w:r>
        <w:rPr>
          <w:rFonts w:ascii="MS PGothic" w:cs="MS PGothic" w:eastAsia="MS PGothic" w:hAnsi="MS PGothic"/>
          <w:sz w:val="16"/>
          <w:szCs w:val="16"/>
          <w:color w:val="auto"/>
        </w:rPr>
        <w:t>‑</w:t>
      </w:r>
      <w:r>
        <w:rPr>
          <w:rFonts w:ascii="Arial" w:cs="Arial" w:eastAsia="Arial" w:hAnsi="Arial"/>
          <w:sz w:val="16"/>
          <w:szCs w:val="16"/>
          <w:color w:val="auto"/>
        </w:rPr>
        <w:t>up activities and the manufacture of ImmTOR product candidates for preclinical use. We rely on our scaled equipment installed at our CMOs for the manufacture of the clinical supply of all of our product candidates. If our facility, or our CMOs’ facilities, were damaged or destroyed, or otherwise subject to disruption, it would require substantial lead</w:t>
      </w:r>
      <w:r>
        <w:rPr>
          <w:rFonts w:ascii="MS PGothic" w:cs="MS PGothic" w:eastAsia="MS PGothic" w:hAnsi="MS PGothic"/>
          <w:sz w:val="16"/>
          <w:szCs w:val="16"/>
          <w:color w:val="auto"/>
        </w:rPr>
        <w:t>‑</w:t>
      </w:r>
      <w:r>
        <w:rPr>
          <w:rFonts w:ascii="Arial" w:cs="Arial" w:eastAsia="Arial" w:hAnsi="Arial"/>
          <w:sz w:val="16"/>
          <w:szCs w:val="16"/>
          <w:color w:val="auto"/>
        </w:rPr>
        <w:t>time to replace our manufacturing capabilities. In such event, we would be forced to identify and rely entirely on alternative third</w:t>
      </w:r>
      <w:r>
        <w:rPr>
          <w:rFonts w:ascii="MS PGothic" w:cs="MS PGothic" w:eastAsia="MS PGothic" w:hAnsi="MS PGothic"/>
          <w:sz w:val="16"/>
          <w:szCs w:val="16"/>
          <w:color w:val="auto"/>
        </w:rPr>
        <w:t>‑</w:t>
      </w:r>
      <w:r>
        <w:rPr>
          <w:rFonts w:ascii="Arial" w:cs="Arial" w:eastAsia="Arial" w:hAnsi="Arial"/>
          <w:sz w:val="16"/>
          <w:szCs w:val="16"/>
          <w:color w:val="auto"/>
        </w:rPr>
        <w:t>party contract manufacturers for an indefinite period of time. Any disruptions or delays at our facility or its failure to meet regulatory compliance would impair our ability to develop and commercialize our product candidates, which would adversely affect our business and results of operations.</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FDA and other comparable foreign regulatory agencies must, pursuant to inspections that are conducted after submitting a BLA or relevant foreign marketing submission, confirm that the 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79" w:lineRule="exact"/>
        <w:rPr>
          <w:sz w:val="20"/>
          <w:szCs w:val="20"/>
          <w:color w:val="auto"/>
        </w:rPr>
      </w:pPr>
    </w:p>
    <w:p>
      <w:pPr>
        <w:ind w:right="180"/>
        <w:spacing w:after="0" w:line="220" w:lineRule="exact"/>
        <w:rPr>
          <w:sz w:val="20"/>
          <w:szCs w:val="20"/>
          <w:color w:val="auto"/>
        </w:rPr>
      </w:pPr>
      <w:r>
        <w:rPr>
          <w:rFonts w:ascii="Arial" w:cs="Arial" w:eastAsia="Arial" w:hAnsi="Arial"/>
          <w:sz w:val="18"/>
          <w:szCs w:val="18"/>
          <w:color w:val="auto"/>
        </w:rPr>
        <w:t>We may choose to establish a manufacturing facility for our product candidates for production at a commercial scale. However, we have no experience in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of our product candidates and this activity will require substantial additional funds and additional qualified employees. We may not be able to develop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facilities that are adequate to produce materials for additional later</w:t>
      </w:r>
      <w:r>
        <w:rPr>
          <w:rFonts w:ascii="MS PGothic" w:cs="MS PGothic" w:eastAsia="MS PGothic" w:hAnsi="MS PGothic"/>
          <w:sz w:val="18"/>
          <w:szCs w:val="18"/>
          <w:color w:val="auto"/>
        </w:rPr>
        <w:t>‑</w:t>
      </w:r>
      <w:r>
        <w:rPr>
          <w:rFonts w:ascii="Arial" w:cs="Arial" w:eastAsia="Arial" w:hAnsi="Arial"/>
          <w:sz w:val="18"/>
          <w:szCs w:val="18"/>
          <w:color w:val="auto"/>
        </w:rPr>
        <w:t>stage clinical trials or commercial use.</w:t>
      </w:r>
    </w:p>
    <w:p>
      <w:pPr>
        <w:spacing w:after="0" w:line="9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equipment and facilities employed in the manufacture of pharmaceuticals are subject to stringent qualification requirements by regulatory agencies, including validation of such facilities, equipment, systems, processes and analytics. We may be subject to lengthy delays and expense in conducting validation studies, if we can meet the requirements at 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 AND OTHER LEGAL COMPLIANCE MATTERS</w:t>
      </w:r>
    </w:p>
    <w:p>
      <w:pPr>
        <w:spacing w:after="0" w:line="229" w:lineRule="exact"/>
        <w:rPr>
          <w:sz w:val="20"/>
          <w:szCs w:val="20"/>
          <w:color w:val="auto"/>
        </w:rPr>
      </w:pPr>
    </w:p>
    <w:p>
      <w:pPr>
        <w:ind w:right="480"/>
        <w:spacing w:after="0" w:line="223" w:lineRule="exact"/>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and others in the medical community necessary for commercial success.</w:t>
      </w:r>
    </w:p>
    <w:p>
      <w:pPr>
        <w:spacing w:after="0" w:line="203" w:lineRule="exact"/>
        <w:rPr>
          <w:sz w:val="20"/>
          <w:szCs w:val="20"/>
          <w:color w:val="auto"/>
        </w:rPr>
      </w:pPr>
    </w:p>
    <w:p>
      <w:pPr>
        <w:ind w:right="220"/>
        <w:spacing w:after="0" w:line="219" w:lineRule="exact"/>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w:t>
      </w:r>
      <w:r>
        <w:rPr>
          <w:rFonts w:ascii="MS PGothic" w:cs="MS PGothic" w:eastAsia="MS PGothic" w:hAnsi="MS PGothic"/>
          <w:sz w:val="18"/>
          <w:szCs w:val="18"/>
          <w:color w:val="auto"/>
        </w:rPr>
        <w:t>‑</w:t>
      </w:r>
      <w:r>
        <w:rPr>
          <w:rFonts w:ascii="Arial" w:cs="Arial" w:eastAsia="Arial" w:hAnsi="Arial"/>
          <w:sz w:val="18"/>
          <w:szCs w:val="18"/>
          <w:color w:val="auto"/>
        </w:rPr>
        <w:t>party payors and others in the medical community. If our product candidates do not achieve an adequate level of acceptance, we may not generate significant product revenues and we may not become profitable. For example, even if the statistical results from our Phase 2 head-to-head (COMPARE) trial vs. KRYSTEXXA favor SEL-212 and SEL-212 receives marketing approval, the drug may fail to gain market acceptance from physicians, patients, third-party payors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557" w:right="339" w:bottom="1440" w:gutter="0" w:footer="0" w:header="0"/>
        </w:sectPr>
      </w:pPr>
    </w:p>
    <w:bookmarkStart w:id="65" w:name="page66"/>
    <w:bookmarkEnd w:id="65"/>
    <w:p>
      <w:pPr>
        <w:ind w:right="220"/>
        <w:spacing w:after="0" w:line="277" w:lineRule="auto"/>
        <w:rPr>
          <w:sz w:val="20"/>
          <w:szCs w:val="20"/>
          <w:color w:val="auto"/>
        </w:rPr>
      </w:pPr>
      <w:r>
        <w:rPr>
          <w:rFonts w:ascii="Arial" w:cs="Arial" w:eastAsia="Arial" w:hAnsi="Arial"/>
          <w:sz w:val="18"/>
          <w:szCs w:val="18"/>
          <w:color w:val="auto"/>
        </w:rPr>
        <w:t>and others in the medical community who may continue to favor KRYSTEXXA. The degree of market acceptance of our product candidates, if any, will depend on a number of factors, including:</w:t>
      </w:r>
    </w:p>
    <w:p>
      <w:pPr>
        <w:spacing w:after="0" w:line="170"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their efficacy, safety and other potential advantages compared to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offer them for sale at competitive prices;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their convenience and ease of administration compared to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third</w:t>
      </w:r>
      <w:r>
        <w:rPr>
          <w:rFonts w:ascii="MS PGothic" w:cs="MS PGothic" w:eastAsia="MS PGothic" w:hAnsi="MS PGothic"/>
          <w:sz w:val="18"/>
          <w:szCs w:val="18"/>
          <w:color w:val="auto"/>
        </w:rPr>
        <w:t>‑</w:t>
      </w:r>
      <w:r>
        <w:rPr>
          <w:rFonts w:ascii="Arial" w:cs="Arial" w:eastAsia="Arial" w:hAnsi="Arial"/>
          <w:sz w:val="18"/>
          <w:szCs w:val="18"/>
          <w:color w:val="auto"/>
        </w:rPr>
        <w:t>party coverage and adequate reimbursement for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their side effects and their overall safety profiles;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restrictions on the use of our product candidates together with other medications;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interactions of our product candidates with other medicines patients are taking;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create awareness with patients and physicians about the harmful effects of uric acid deposits;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market introduction of any approved product candidates as well as competitive products and other therapies;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of certain types of patients, particularly with respect to certain rare diseases or conditions, to take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their ability to remain attractive in the event of changing treatment guidelines;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25"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00"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w:t>
      </w:r>
    </w:p>
    <w:p>
      <w:pPr>
        <w:spacing w:after="0" w:line="165"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In the future, we expect to build a focused sales and marketing infrastructure to market or co</w:t>
      </w:r>
      <w:r>
        <w:rPr>
          <w:rFonts w:ascii="MS PGothic" w:cs="MS PGothic" w:eastAsia="MS PGothic" w:hAnsi="MS PGothic"/>
          <w:sz w:val="18"/>
          <w:szCs w:val="18"/>
          <w:color w:val="auto"/>
        </w:rPr>
        <w:t>‑</w:t>
      </w:r>
      <w:r>
        <w:rPr>
          <w:rFonts w:ascii="Arial" w:cs="Arial" w:eastAsia="Arial" w:hAnsi="Arial"/>
          <w:sz w:val="18"/>
          <w:szCs w:val="18"/>
          <w:color w:val="auto"/>
        </w:rPr>
        <w:t>promote our product candidates in the United States and potentially elsewhere, if and when they are approved. There are risks involved with establishing our own sales, marketing and distribution capabilities. For example, recruiting and training a sales force is expensive and time</w:t>
      </w:r>
      <w:r>
        <w:rPr>
          <w:rFonts w:ascii="MS PGothic" w:cs="MS PGothic" w:eastAsia="MS PGothic" w:hAnsi="MS PGothic"/>
          <w:sz w:val="18"/>
          <w:szCs w:val="18"/>
          <w:color w:val="auto"/>
        </w:rPr>
        <w:t>‑</w:t>
      </w:r>
      <w:r>
        <w:rPr>
          <w:rFonts w:ascii="Arial" w:cs="Arial" w:eastAsia="Arial" w:hAnsi="Arial"/>
          <w:sz w:val="18"/>
          <w:szCs w:val="18"/>
          <w:color w:val="auto"/>
        </w:rPr>
        <w:t>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Outside the United States, we may rely on third parties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7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including from biosimilars, which may result in others discovering, developing or commercializing competing products before or more successfully than we do.</w:t>
      </w:r>
    </w:p>
    <w:p>
      <w:pPr>
        <w:spacing w:after="0" w:line="1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development and commercialization of new drug and biologic products and technologies is highly competitive and is characterized by rapid and substantial technological development and product innovations. We are aware that pharmaceutical and biotechnology companies, including Horizon Pharma plc, offer or are pursuing the development of pharmaceutical products or technologies that may address one or more indications that our product candidates target, as well as smaller, early-stage companies, that offer or are pursuing the development of pharmaceutical products or technologies that may address one or more indications that our product candidates target. We face competition with respect to our current product candidates, and</w:t>
      </w:r>
    </w:p>
    <w:p>
      <w:pPr>
        <w:sectPr>
          <w:pgSz w:w="11900" w:h="16838" w:orient="portrait"/>
          <w:cols w:equalWidth="0" w:num="1">
            <w:col w:w="11220"/>
          </w:cols>
          <w:pgMar w:left="320" w:top="665" w:right="359" w:bottom="1440" w:gutter="0" w:footer="0" w:header="0"/>
        </w:sect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20"/>
          </w:cols>
          <w:pgMar w:left="320" w:top="665" w:right="359" w:bottom="1440" w:gutter="0" w:footer="0" w:header="0"/>
          <w:type w:val="continuous"/>
        </w:sectPr>
      </w:pPr>
    </w:p>
    <w:bookmarkStart w:id="66" w:name="page67"/>
    <w:bookmarkEnd w:id="66"/>
    <w:p>
      <w:pPr>
        <w:ind w:right="520"/>
        <w:spacing w:after="0" w:line="277" w:lineRule="auto"/>
        <w:rPr>
          <w:sz w:val="20"/>
          <w:szCs w:val="20"/>
          <w:color w:val="auto"/>
        </w:rPr>
      </w:pPr>
      <w:r>
        <w:rPr>
          <w:rFonts w:ascii="Arial" w:cs="Arial" w:eastAsia="Arial" w:hAnsi="Arial"/>
          <w:sz w:val="18"/>
          <w:szCs w:val="18"/>
          <w:color w:val="auto"/>
        </w:rPr>
        <w:t>will face competition with respect to any product candidates that we may seek to develop or commercialize in the future, from major pharmaceutical companies, specialty pharmaceutical companies and biotechnology companies worldwide.</w:t>
      </w:r>
    </w:p>
    <w:p>
      <w:pPr>
        <w:spacing w:after="0" w:line="170"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Mergers and acquisitions in the pharmaceutical and biotechnology industries may result in even more resources being concentrated among a smaller number of our competitors.</w:t>
      </w:r>
    </w:p>
    <w:p>
      <w:pPr>
        <w:spacing w:after="0" w:line="15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46" w:lineRule="exact"/>
        <w:rPr>
          <w:sz w:val="20"/>
          <w:szCs w:val="20"/>
          <w:color w:val="auto"/>
        </w:rPr>
      </w:pPr>
    </w:p>
    <w:p>
      <w:pPr>
        <w:ind w:right="120"/>
        <w:spacing w:after="0" w:line="219" w:lineRule="exact"/>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competing immunomodulating therapeutic that will likely share our same regulatory approval requirements. In addition, our ability to compete may be affected in many cases by insurers or other third</w:t>
      </w:r>
      <w:r>
        <w:rPr>
          <w:rFonts w:ascii="MS PGothic" w:cs="MS PGothic" w:eastAsia="MS PGothic" w:hAnsi="MS PGothic"/>
          <w:sz w:val="17"/>
          <w:szCs w:val="17"/>
          <w:color w:val="auto"/>
        </w:rPr>
        <w:t>‑</w:t>
      </w:r>
      <w:r>
        <w:rPr>
          <w:rFonts w:ascii="Arial" w:cs="Arial" w:eastAsia="Arial" w:hAnsi="Arial"/>
          <w:sz w:val="17"/>
          <w:szCs w:val="17"/>
          <w:color w:val="auto"/>
        </w:rPr>
        <w:t>party payors seeking to encourage the use of generic or biosimilar products.</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expect the product candidates we develop will be regulated as biological products, or biologics, and therefore they may be subject to competition sooner than anticipated.</w:t>
      </w:r>
    </w:p>
    <w:p>
      <w:pPr>
        <w:spacing w:after="0" w:line="11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Biologics Price Competition and Innovation Act of 2009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have a material adverse effect on the future commercial prospects for our biological products.</w:t>
      </w:r>
    </w:p>
    <w:p>
      <w:pPr>
        <w:spacing w:after="0" w:line="4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believe that any product candidate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84" w:lineRule="exact"/>
        <w:rPr>
          <w:sz w:val="20"/>
          <w:szCs w:val="20"/>
          <w:color w:val="auto"/>
        </w:rPr>
      </w:pPr>
    </w:p>
    <w:p>
      <w:pPr>
        <w:ind w:right="560"/>
        <w:spacing w:after="0" w:line="224" w:lineRule="exact"/>
        <w:rPr>
          <w:sz w:val="20"/>
          <w:szCs w:val="20"/>
          <w:color w:val="auto"/>
        </w:rPr>
      </w:pPr>
      <w:r>
        <w:rPr>
          <w:rFonts w:ascii="Arial" w:cs="Arial" w:eastAsia="Arial" w:hAnsi="Arial"/>
          <w:sz w:val="17"/>
          <w:szCs w:val="17"/>
          <w:b w:val="1"/>
          <w:bCs w:val="1"/>
          <w:i w:val="1"/>
          <w:iCs w:val="1"/>
          <w:color w:val="auto"/>
        </w:rPr>
        <w:t>Even if we are able to commercialize any product candidates, the products may become subject to unfavorable pricing regulations or third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party coverage or reimbursement policies, any of which would have a material adverse effect on our business.</w:t>
      </w:r>
    </w:p>
    <w:p>
      <w:pPr>
        <w:spacing w:after="0" w:line="202"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obtain regulatory approval, especially novel products like our gene therapy product candidates, and may be particularly difficult because of the higher prices associated with gene therapy product candidates.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such as private health insurers and health maintenance organizations, decide which medications they will pay for and establish reimbursement levels.</w:t>
      </w:r>
    </w:p>
    <w:p>
      <w:pPr>
        <w:spacing w:after="0" w:line="202"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Obtaining and maintaining adequate reimbursement for our products may be difficult. We cannot be certain if and when we will obtain an adequate level of reimbursement for our products by third</w:t>
      </w:r>
      <w:r>
        <w:rPr>
          <w:rFonts w:ascii="MS PGothic" w:cs="MS PGothic" w:eastAsia="MS PGothic" w:hAnsi="MS PGothic"/>
          <w:sz w:val="17"/>
          <w:szCs w:val="17"/>
          <w:color w:val="auto"/>
        </w:rPr>
        <w:t>‑</w:t>
      </w:r>
      <w:r>
        <w:rPr>
          <w:rFonts w:ascii="Arial" w:cs="Arial" w:eastAsia="Arial" w:hAnsi="Arial"/>
          <w:sz w:val="17"/>
          <w:szCs w:val="17"/>
          <w:color w:val="auto"/>
        </w:rPr>
        <w:t>party payors. Even if we do obtain adequate levels of reimbursement, third</w:t>
      </w:r>
      <w:r>
        <w:rPr>
          <w:rFonts w:ascii="MS PGothic" w:cs="MS PGothic" w:eastAsia="MS PGothic" w:hAnsi="MS PGothic"/>
          <w:sz w:val="17"/>
          <w:szCs w:val="17"/>
          <w:color w:val="auto"/>
        </w:rPr>
        <w:t>‑</w:t>
      </w:r>
      <w:r>
        <w:rPr>
          <w:rFonts w:ascii="Arial" w:cs="Arial" w:eastAsia="Arial" w:hAnsi="Arial"/>
          <w:sz w:val="17"/>
          <w:szCs w:val="17"/>
          <w:color w:val="auto"/>
        </w:rPr>
        <w:t>party payors, such as government or private healthcare insurers, carefully review and increasingly question the coverage of, and challenge the prices charged for, products. Government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have attempted to control costs by limiting coverage and the amount of reimbursement for particular medications. Increasingly, third</w:t>
      </w:r>
      <w:r>
        <w:rPr>
          <w:rFonts w:ascii="MS PGothic" w:cs="MS PGothic" w:eastAsia="MS PGothic" w:hAnsi="MS PGothic"/>
          <w:sz w:val="17"/>
          <w:szCs w:val="17"/>
          <w:color w:val="auto"/>
        </w:rPr>
        <w:t>‑</w:t>
      </w:r>
      <w:r>
        <w:rPr>
          <w:rFonts w:ascii="Arial" w:cs="Arial" w:eastAsia="Arial" w:hAnsi="Arial"/>
          <w:sz w:val="17"/>
          <w:szCs w:val="17"/>
          <w:color w:val="auto"/>
        </w:rPr>
        <w:t>party payors are requiring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Some third-party payors may require pre-approval of coverage for new and innovative therapies, such as our product candidates, before they will provide</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665" w:right="359" w:bottom="1440" w:gutter="0" w:footer="0" w:header="0"/>
        </w:sectPr>
      </w:pPr>
    </w:p>
    <w:bookmarkStart w:id="67" w:name="page68"/>
    <w:bookmarkEnd w:id="67"/>
    <w:p>
      <w:pPr>
        <w:ind w:right="240"/>
        <w:spacing w:after="0" w:line="277" w:lineRule="auto"/>
        <w:rPr>
          <w:sz w:val="20"/>
          <w:szCs w:val="20"/>
          <w:color w:val="auto"/>
        </w:rPr>
      </w:pPr>
      <w:r>
        <w:rPr>
          <w:rFonts w:ascii="Arial" w:cs="Arial" w:eastAsia="Arial" w:hAnsi="Arial"/>
          <w:sz w:val="18"/>
          <w:szCs w:val="18"/>
          <w:color w:val="auto"/>
        </w:rPr>
        <w:t>reimbursement. If coverage and reimbursement are not available or reimbursement is available only to limited levels, we may not be able to successfully commercialize any product candidate for which we obtain marketing approval.</w:t>
      </w:r>
    </w:p>
    <w:p>
      <w:pPr>
        <w:spacing w:after="0" w:line="170" w:lineRule="exact"/>
        <w:rPr>
          <w:sz w:val="20"/>
          <w:szCs w:val="20"/>
          <w:color w:val="auto"/>
        </w:rPr>
      </w:pPr>
    </w:p>
    <w:p>
      <w:pPr>
        <w:ind w:right="120"/>
        <w:spacing w:after="0" w:line="217" w:lineRule="exact"/>
        <w:rPr>
          <w:sz w:val="20"/>
          <w:szCs w:val="20"/>
          <w:color w:val="auto"/>
        </w:rPr>
      </w:pPr>
      <w:r>
        <w:rPr>
          <w:rFonts w:ascii="Arial" w:cs="Arial" w:eastAsia="Arial" w:hAnsi="Arial"/>
          <w:sz w:val="16"/>
          <w:szCs w:val="16"/>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w:t>
      </w:r>
      <w:r>
        <w:rPr>
          <w:rFonts w:ascii="MS PGothic" w:cs="MS PGothic" w:eastAsia="MS PGothic" w:hAnsi="MS PGothic"/>
          <w:sz w:val="16"/>
          <w:szCs w:val="16"/>
          <w:color w:val="auto"/>
        </w:rPr>
        <w:t>‑</w:t>
      </w:r>
      <w:r>
        <w:rPr>
          <w:rFonts w:ascii="Arial" w:cs="Arial" w:eastAsia="Arial" w:hAnsi="Arial"/>
          <w:sz w:val="16"/>
          <w:szCs w:val="16"/>
          <w:color w:val="auto"/>
        </w:rPr>
        <w:t>funded and private payors for any approved products that we develop could have a material adverse effect on our operating results, our ability to raise capital needed to commercialize products and our overall financial condition.</w:t>
      </w:r>
    </w:p>
    <w:p>
      <w:pPr>
        <w:spacing w:after="0" w:line="207" w:lineRule="exact"/>
        <w:rPr>
          <w:sz w:val="20"/>
          <w:szCs w:val="20"/>
          <w:color w:val="auto"/>
        </w:rPr>
      </w:pPr>
    </w:p>
    <w:p>
      <w:pPr>
        <w:ind w:right="100"/>
        <w:spacing w:after="0" w:line="217" w:lineRule="exact"/>
        <w:rPr>
          <w:sz w:val="20"/>
          <w:szCs w:val="20"/>
          <w:color w:val="auto"/>
        </w:rPr>
      </w:pPr>
      <w:r>
        <w:rPr>
          <w:rFonts w:ascii="Arial" w:cs="Arial" w:eastAsia="Arial" w:hAnsi="Arial"/>
          <w:sz w:val="17"/>
          <w:szCs w:val="17"/>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w:t>
      </w:r>
      <w:r>
        <w:rPr>
          <w:rFonts w:ascii="MS PGothic" w:cs="MS PGothic" w:eastAsia="MS PGothic" w:hAnsi="MS PGothic"/>
          <w:sz w:val="17"/>
          <w:szCs w:val="17"/>
          <w:color w:val="auto"/>
        </w:rPr>
        <w:t>‑</w:t>
      </w:r>
      <w:r>
        <w:rPr>
          <w:rFonts w:ascii="Arial" w:cs="Arial" w:eastAsia="Arial" w:hAnsi="Arial"/>
          <w:sz w:val="17"/>
          <w:szCs w:val="17"/>
          <w:color w:val="auto"/>
        </w:rPr>
        <w:t>effective, or that coverage or an adequate level of reimbursement will be available.</w:t>
      </w:r>
    </w:p>
    <w:p>
      <w:pPr>
        <w:spacing w:after="0" w:line="10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There can be no assurance that our product candidates, if approved for sale in the United States or in other countries, will not be subject to heightened governmental scrutiny, unfavorable regulatory inquiry or action, or congressional inquiry.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limit commercialization of any products that we may develop.</w:t>
      </w:r>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6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clinical trial participants or increased difficulty in enrolling future participants;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or to reach a settlement;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payments to trial participants or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ectPr>
          <w:pgSz w:w="11900" w:h="16838" w:orient="portrait"/>
          <w:cols w:equalWidth="0" w:num="1">
            <w:col w:w="11240"/>
          </w:cols>
          <w:pgMar w:left="320" w:top="665"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40"/>
          </w:cols>
          <w:pgMar w:left="320" w:top="665" w:right="339" w:bottom="1440" w:gutter="0" w:footer="0" w:header="0"/>
          <w:type w:val="continuous"/>
        </w:sectPr>
      </w:pPr>
    </w:p>
    <w:bookmarkStart w:id="68" w:name="page69"/>
    <w:bookmarkEnd w:id="68"/>
    <w:p>
      <w:pPr>
        <w:spacing w:after="0" w:line="255" w:lineRule="auto"/>
        <w:rPr>
          <w:sz w:val="20"/>
          <w:szCs w:val="20"/>
          <w:color w:val="auto"/>
        </w:rPr>
      </w:pPr>
      <w:r>
        <w:rPr>
          <w:rFonts w:ascii="Arial" w:cs="Arial" w:eastAsia="Arial" w:hAnsi="Arial"/>
          <w:sz w:val="18"/>
          <w:szCs w:val="18"/>
          <w:color w:val="auto"/>
        </w:rPr>
        <w:t>We maintain general liability, product liability and umbrella liability insurance. Our existing insurance coverage may not fully cover potential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successful product liability claim or series of claims brought against us could cause our share price to decline and, if judgments exceed our insurance coverage, could adversely affect our results of operations and business, including preventing or limiting the commercialization of any product candidates we develop.</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23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Although we do not have any current plans to market and sell our products in other jurisdictions outside of the United States, we may decide to do so in the future and either we or our collaborators would need to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64" w:lineRule="exact"/>
        <w:rPr>
          <w:sz w:val="20"/>
          <w:szCs w:val="20"/>
          <w:color w:val="auto"/>
        </w:rPr>
      </w:pPr>
    </w:p>
    <w:p>
      <w:pPr>
        <w:ind w:right="260"/>
        <w:spacing w:after="0" w:line="220" w:lineRule="exact"/>
        <w:rPr>
          <w:sz w:val="20"/>
          <w:szCs w:val="20"/>
          <w:color w:val="auto"/>
        </w:rPr>
      </w:pPr>
      <w:r>
        <w:rPr>
          <w:rFonts w:ascii="Arial" w:cs="Arial" w:eastAsia="Arial" w:hAnsi="Arial"/>
          <w:sz w:val="18"/>
          <w:szCs w:val="18"/>
          <w:b w:val="1"/>
          <w:bCs w:val="1"/>
          <w:i w:val="1"/>
          <w:iCs w:val="1"/>
          <w:color w:val="auto"/>
        </w:rPr>
        <w:t>Our relationships with healthcare providers, customers and third</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party payors will be subject to applicable anti</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20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Arrangements with physicians, others who may be in a position to generate business for us, and customers may expose us to broadly applicable fraud and abuse and other healthcare laws and regulations that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79" w:lineRule="exact"/>
        <w:rPr>
          <w:sz w:val="20"/>
          <w:szCs w:val="20"/>
          <w:color w:val="auto"/>
        </w:rPr>
      </w:pPr>
    </w:p>
    <w:p>
      <w:pPr>
        <w:ind w:left="340" w:right="240" w:hanging="332"/>
        <w:spacing w:after="0" w:line="219" w:lineRule="exact"/>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w:t>
      </w:r>
    </w:p>
    <w:p>
      <w:pPr>
        <w:spacing w:after="0" w:line="205" w:lineRule="exact"/>
        <w:rPr>
          <w:rFonts w:ascii="Arial" w:cs="Arial" w:eastAsia="Arial" w:hAnsi="Arial"/>
          <w:sz w:val="18"/>
          <w:szCs w:val="18"/>
          <w:color w:val="auto"/>
        </w:rPr>
      </w:pPr>
    </w:p>
    <w:p>
      <w:pPr>
        <w:ind w:left="340" w:right="160" w:hanging="332"/>
        <w:spacing w:after="0" w:line="220" w:lineRule="exact"/>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False Claims Act, which impose criminal and civil penalties against individuals or entities for knowingly presenting, or causing to be presented, to the federal government claims for payment that are false or fraudulent. Private individuals (e.g., whistleblowers) can bring these actions on behalf of the government; in addition, the government may assert that a claim including items or services resulting from a violation of 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constitutes a false or fraudulent claim for purposes of the False Claims Act;</w:t>
      </w:r>
    </w:p>
    <w:p>
      <w:pPr>
        <w:spacing w:after="0" w:line="203" w:lineRule="exact"/>
        <w:rPr>
          <w:rFonts w:ascii="Arial" w:cs="Arial" w:eastAsia="Arial" w:hAnsi="Arial"/>
          <w:sz w:val="17"/>
          <w:szCs w:val="17"/>
          <w:color w:val="auto"/>
        </w:rPr>
      </w:pPr>
    </w:p>
    <w:p>
      <w:pPr>
        <w:ind w:left="340" w:right="80" w:hanging="332"/>
        <w:spacing w:after="0" w:line="311"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A person or entity does not need to have actual knowledge of the statute or specific intent to violate it to have committed a violation;</w:t>
      </w:r>
    </w:p>
    <w:p>
      <w:pPr>
        <w:spacing w:after="0" w:line="148" w:lineRule="exact"/>
        <w:rPr>
          <w:rFonts w:ascii="Arial" w:cs="Arial" w:eastAsia="Arial" w:hAnsi="Arial"/>
          <w:sz w:val="16"/>
          <w:szCs w:val="16"/>
          <w:color w:val="auto"/>
        </w:rPr>
      </w:pPr>
    </w:p>
    <w:p>
      <w:pPr>
        <w:ind w:left="3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83" w:lineRule="exact"/>
        <w:rPr>
          <w:rFonts w:ascii="Arial" w:cs="Arial" w:eastAsia="Arial" w:hAnsi="Arial"/>
          <w:sz w:val="18"/>
          <w:szCs w:val="18"/>
          <w:color w:val="auto"/>
        </w:rPr>
      </w:pPr>
    </w:p>
    <w:p>
      <w:pPr>
        <w:ind w:left="340" w:right="140" w:hanging="332"/>
        <w:spacing w:after="0" w:line="301"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applicable manufacturers of certain products for which payment is available under a federal healthcare program to report annually to the government information related to certain payments or other “transfers of value” made to physicians (defined to include doctors, dentists, optometrists, podiatrists and chiropractors), certain other health care professionals beginning in 2022, and teaching hospitals, as well as ownership and investment interests held by the physicians and their immediate family members;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665" w:right="339" w:bottom="1440" w:gutter="0" w:footer="0" w:header="0"/>
        </w:sectPr>
      </w:pPr>
    </w:p>
    <w:bookmarkStart w:id="69" w:name="page70"/>
    <w:bookmarkEnd w:id="69"/>
    <w:p>
      <w:pPr>
        <w:ind w:left="340" w:right="280" w:hanging="332"/>
        <w:spacing w:after="0" w:line="220" w:lineRule="exact"/>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w:t>
      </w:r>
      <w:r>
        <w:rPr>
          <w:rFonts w:ascii="MS PGothic" w:cs="MS PGothic" w:eastAsia="MS PGothic" w:hAnsi="MS PGothic"/>
          <w:sz w:val="18"/>
          <w:szCs w:val="18"/>
          <w:color w:val="auto"/>
        </w:rPr>
        <w:t>‑</w:t>
      </w:r>
      <w:r>
        <w:rPr>
          <w:rFonts w:ascii="Arial" w:cs="Arial" w:eastAsia="Arial" w:hAnsi="Arial"/>
          <w:sz w:val="18"/>
          <w:szCs w:val="18"/>
          <w:color w:val="auto"/>
        </w:rPr>
        <w:t>kickback and false claims laws, which may apply to sales or marketing arrangements and claims involving healthcare items or services reimbursed by third</w:t>
      </w:r>
      <w:r>
        <w:rPr>
          <w:rFonts w:ascii="MS PGothic" w:cs="MS PGothic" w:eastAsia="MS PGothic" w:hAnsi="MS PGothic"/>
          <w:sz w:val="18"/>
          <w:szCs w:val="18"/>
          <w:color w:val="auto"/>
        </w:rPr>
        <w:t>‑</w:t>
      </w:r>
      <w:r>
        <w:rPr>
          <w:rFonts w:ascii="Arial" w:cs="Arial" w:eastAsia="Arial" w:hAnsi="Arial"/>
          <w:sz w:val="18"/>
          <w:szCs w:val="18"/>
          <w:color w:val="auto"/>
        </w:rPr>
        <w:t>party payors, including private insurers; and requirements to comply with federal and pharmaceutical industry compliance guidelines;</w:t>
      </w:r>
    </w:p>
    <w:p>
      <w:pPr>
        <w:spacing w:after="0" w:line="204" w:lineRule="exact"/>
        <w:rPr>
          <w:rFonts w:ascii="Arial" w:cs="Arial" w:eastAsia="Arial" w:hAnsi="Arial"/>
          <w:sz w:val="18"/>
          <w:szCs w:val="18"/>
          <w:color w:val="auto"/>
        </w:rPr>
      </w:pPr>
    </w:p>
    <w:p>
      <w:pPr>
        <w:ind w:left="340" w:hanging="332"/>
        <w:spacing w:after="0" w:line="25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state data privacy and price transparency laws, many of which differ from each other in significant ways and often are broader than and not preempted by HIPAA or the Sunshine Act, thus complicating compliance efforts; by way of example, the California Consumer Privacy Act, or CCPA, which went into effect January 1, 2020,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and</w:t>
      </w:r>
    </w:p>
    <w:p>
      <w:pPr>
        <w:spacing w:after="0" w:line="194" w:lineRule="exact"/>
        <w:rPr>
          <w:rFonts w:ascii="Arial" w:cs="Arial" w:eastAsia="Arial" w:hAnsi="Arial"/>
          <w:sz w:val="18"/>
          <w:szCs w:val="18"/>
          <w:color w:val="auto"/>
        </w:rPr>
      </w:pPr>
    </w:p>
    <w:p>
      <w:pPr>
        <w:ind w:left="340" w:hanging="332"/>
        <w:spacing w:after="0" w:line="271"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similar healthcare laws and regulations in the European Union and other jurisdictions, including reporting requirements detailing interactions with and payments to healthcare providers and laws governing the privacy and security of certain protected information, such as the General Data Protection Regulation, or GDPR, which imposes obligations and restrictions on the collection and use of personal data relating to individuals located in the European Union (including health data); 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w:t>
      </w:r>
    </w:p>
    <w:p>
      <w:pPr>
        <w:spacing w:after="0" w:line="17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Efforts to ensure that our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18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ind w:right="300"/>
        <w:spacing w:after="0" w:line="220" w:lineRule="exact"/>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8"/>
          <w:szCs w:val="18"/>
          <w:color w:val="auto"/>
        </w:rPr>
        <w:t>‑</w:t>
      </w:r>
      <w:r>
        <w:rPr>
          <w:rFonts w:ascii="Arial" w:cs="Arial" w:eastAsia="Arial" w:hAnsi="Arial"/>
          <w:sz w:val="18"/>
          <w:szCs w:val="18"/>
          <w:color w:val="auto"/>
        </w:rPr>
        <w:t>approval activities and affect our ability to profitably sell any product candidates for which we obtain marketing approval.</w:t>
      </w:r>
    </w:p>
    <w:p>
      <w:pPr>
        <w:spacing w:after="0" w:line="2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example, the Patient Protection and Affordable Care Act, as amended by the Health Care and Education Reconciliation Act, or collectively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22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annual, nondeductible fee payable by any entity that manufactures or imports specified branded prescription drugs and biologic agents;</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25" w:lineRule="exact"/>
        <w:rPr>
          <w:rFonts w:ascii="Arial" w:cs="Arial" w:eastAsia="Arial" w:hAnsi="Arial"/>
          <w:sz w:val="18"/>
          <w:szCs w:val="18"/>
          <w:color w:val="auto"/>
        </w:rPr>
      </w:pPr>
    </w:p>
    <w:p>
      <w:pPr>
        <w:ind w:left="340" w:right="46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ectPr>
          <w:pgSz w:w="11900" w:h="16838" w:orient="portrait"/>
          <w:cols w:equalWidth="0" w:num="1">
            <w:col w:w="11220"/>
          </w:cols>
          <w:pgMar w:left="320" w:top="665" w:right="359" w:bottom="1440" w:gutter="0" w:footer="0" w:header="0"/>
        </w:sect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20"/>
          </w:cols>
          <w:pgMar w:left="320" w:top="665" w:right="359" w:bottom="1440" w:gutter="0" w:footer="0" w:header="0"/>
          <w:type w:val="continuous"/>
        </w:sectPr>
      </w:pPr>
    </w:p>
    <w:bookmarkStart w:id="70" w:name="page71"/>
    <w:bookmarkEnd w:id="70"/>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25" w:lineRule="exact"/>
        <w:rPr>
          <w:rFonts w:ascii="Arial" w:cs="Arial" w:eastAsia="Arial" w:hAnsi="Arial"/>
          <w:sz w:val="18"/>
          <w:szCs w:val="18"/>
          <w:color w:val="auto"/>
        </w:rPr>
      </w:pPr>
    </w:p>
    <w:p>
      <w:pPr>
        <w:ind w:left="340" w:right="200" w:hanging="332"/>
        <w:spacing w:after="0" w:line="223" w:lineRule="exact"/>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Patient</w:t>
      </w:r>
      <w:r>
        <w:rPr>
          <w:rFonts w:ascii="MS PGothic" w:cs="MS PGothic" w:eastAsia="MS PGothic" w:hAnsi="MS PGothic"/>
          <w:sz w:val="18"/>
          <w:szCs w:val="18"/>
          <w:color w:val="auto"/>
        </w:rPr>
        <w:t>‑</w:t>
      </w:r>
      <w:r>
        <w:rPr>
          <w:rFonts w:ascii="Arial" w:cs="Arial" w:eastAsia="Arial" w:hAnsi="Arial"/>
          <w:sz w:val="18"/>
          <w:szCs w:val="18"/>
          <w:color w:val="auto"/>
        </w:rPr>
        <w:t>Centered Outcomes Research Institute to oversee, identify priorities in, and conduct comparative clinical effectiveness research, along with funding for such research.</w:t>
      </w:r>
    </w:p>
    <w:p>
      <w:pPr>
        <w:spacing w:after="0" w:line="20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By way of example, the Tax Cuts and Jobs Acts, or the Tax Act, was enacted, which, among other things, removes penalties for not complying with the individual mandate to carry health insurance.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On December 18, 2019, the U.S. Court of Appeals for the 5th Circuit ruled that the individual mandate was unconstitutional and remanded the case back to the District Court to determine whether the remaining provisions of the ACA are invalid as well. It is unclear how these decisions, subsequent appeals, if any, and other efforts to challenge, repeal or replace the ACA will impact the ACA or our business. We cannot predict the ultimate content, timing or effect of any healthcare reform legislation or the impact of potential legislation on us.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88" w:lineRule="exact"/>
        <w:rPr>
          <w:sz w:val="20"/>
          <w:szCs w:val="20"/>
          <w:color w:val="auto"/>
        </w:rPr>
      </w:pPr>
    </w:p>
    <w:p>
      <w:pPr>
        <w:ind w:right="260"/>
        <w:spacing w:after="0" w:line="220" w:lineRule="exact"/>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obligations and continued regulatory review, which may result in significant additional expense. Additionally, any of our product candidates, if approved, could be subject to post</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marketing restrictions or withdrawal from the market, and we may be subject to penalties if we fail to comply with regulatory requirements or if we experience unexpected problems with our products.</w:t>
      </w:r>
    </w:p>
    <w:p>
      <w:pPr>
        <w:spacing w:after="0" w:line="204"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Any product candidate for which we obtain marketing approval, along with the manufacturing processes, post</w:t>
      </w:r>
      <w:r>
        <w:rPr>
          <w:rFonts w:ascii="MS PGothic" w:cs="MS PGothic" w:eastAsia="MS PGothic" w:hAnsi="MS PGothic"/>
          <w:sz w:val="17"/>
          <w:szCs w:val="17"/>
          <w:color w:val="auto"/>
        </w:rPr>
        <w:t>‑</w:t>
      </w:r>
      <w:r>
        <w:rPr>
          <w:rFonts w:ascii="Arial" w:cs="Arial" w:eastAsia="Arial" w:hAnsi="Arial"/>
          <w:sz w:val="17"/>
          <w:szCs w:val="17"/>
          <w:color w:val="auto"/>
        </w:rPr>
        <w:t>approval clinical data, labeling, advertising and promotional activities for such product, will be subject to the continual requirements of and review by the FDA and other regulatory authorities. These requirements include submissions of safety and other post</w:t>
      </w:r>
      <w:r>
        <w:rPr>
          <w:rFonts w:ascii="MS PGothic" w:cs="MS PGothic" w:eastAsia="MS PGothic" w:hAnsi="MS PGothic"/>
          <w:sz w:val="17"/>
          <w:szCs w:val="17"/>
          <w:color w:val="auto"/>
        </w:rPr>
        <w:t>‑</w:t>
      </w:r>
      <w:r>
        <w:rPr>
          <w:rFonts w:ascii="Arial" w:cs="Arial" w:eastAsia="Arial" w:hAnsi="Arial"/>
          <w:sz w:val="17"/>
          <w:szCs w:val="17"/>
          <w:color w:val="auto"/>
        </w:rPr>
        <w: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Even if marketing approval of a product candidate is granted, the approval may be subject to limitations on the indicated uses for which the product may be marketed or to the conditions of approval, including the requirement to implement a risk evaluation and mitigation strategy, or REMS, which could include requirements for a medication guide, physician communication plans or additional elements to assure safe use, such as restricted distribution methods, patient registries and other risk mitigation tools. If any of our product candidates receives marketing approval, the accompanying label may limit the approved use of our product, which could limit sales of the product.</w:t>
      </w:r>
    </w:p>
    <w:p>
      <w:pPr>
        <w:spacing w:after="0" w:line="188" w:lineRule="exact"/>
        <w:rPr>
          <w:sz w:val="20"/>
          <w:szCs w:val="20"/>
          <w:color w:val="auto"/>
        </w:rPr>
      </w:pPr>
    </w:p>
    <w:p>
      <w:pPr>
        <w:ind w:right="120"/>
        <w:spacing w:after="0" w:line="219" w:lineRule="exact"/>
        <w:rPr>
          <w:sz w:val="20"/>
          <w:szCs w:val="20"/>
          <w:color w:val="auto"/>
        </w:rPr>
      </w:pPr>
      <w:r>
        <w:rPr>
          <w:rFonts w:ascii="Arial" w:cs="Arial" w:eastAsia="Arial" w:hAnsi="Arial"/>
          <w:sz w:val="17"/>
          <w:szCs w:val="17"/>
          <w:color w:val="auto"/>
        </w:rPr>
        <w:t>The FDA may also impose requirements for costly post</w:t>
      </w:r>
      <w:r>
        <w:rPr>
          <w:rFonts w:ascii="MS PGothic" w:cs="MS PGothic" w:eastAsia="MS PGothic" w:hAnsi="MS PGothic"/>
          <w:sz w:val="17"/>
          <w:szCs w:val="17"/>
          <w:color w:val="auto"/>
        </w:rPr>
        <w:t>‑</w:t>
      </w:r>
      <w:r>
        <w:rPr>
          <w:rFonts w:ascii="Arial" w:cs="Arial" w:eastAsia="Arial" w:hAnsi="Arial"/>
          <w:sz w:val="17"/>
          <w:szCs w:val="17"/>
          <w:color w:val="auto"/>
        </w:rPr>
        <w:t>marketing studies or clinical trials and surveillance to monitor the safety or efficacy of our approved products. The FDA closely regulates the post</w:t>
      </w:r>
      <w:r>
        <w:rPr>
          <w:rFonts w:ascii="MS PGothic" w:cs="MS PGothic" w:eastAsia="MS PGothic" w:hAnsi="MS PGothic"/>
          <w:sz w:val="17"/>
          <w:szCs w:val="17"/>
          <w:color w:val="auto"/>
        </w:rPr>
        <w:t>‑</w:t>
      </w:r>
      <w:r>
        <w:rPr>
          <w:rFonts w:ascii="Arial" w:cs="Arial" w:eastAsia="Arial" w:hAnsi="Arial"/>
          <w:sz w:val="17"/>
          <w:szCs w:val="17"/>
          <w:color w:val="auto"/>
        </w:rPr>
        <w:t>approval marketing and promotion of drugs and biologics to ensure they are marketed only for the approved indications and in accordance with the provisions of the approved labeling. The FDA imposes stringent restrictions on manufacturers’ communications regarding off</w:t>
      </w:r>
      <w:r>
        <w:rPr>
          <w:rFonts w:ascii="MS PGothic" w:cs="MS PGothic" w:eastAsia="MS PGothic" w:hAnsi="MS PGothic"/>
          <w:sz w:val="17"/>
          <w:szCs w:val="17"/>
          <w:color w:val="auto"/>
        </w:rPr>
        <w:t>‑</w:t>
      </w:r>
      <w:r>
        <w:rPr>
          <w:rFonts w:ascii="Arial" w:cs="Arial" w:eastAsia="Arial" w:hAnsi="Arial"/>
          <w:sz w:val="17"/>
          <w:szCs w:val="17"/>
          <w:color w:val="auto"/>
        </w:rPr>
        <w:t>label use, and if we market our products outside of their approved indications, we may be subject to enforcement action for off</w:t>
      </w:r>
      <w:r>
        <w:rPr>
          <w:rFonts w:ascii="MS PGothic" w:cs="MS PGothic" w:eastAsia="MS PGothic" w:hAnsi="MS PGothic"/>
          <w:sz w:val="17"/>
          <w:szCs w:val="17"/>
          <w:color w:val="auto"/>
        </w:rPr>
        <w:t>‑</w:t>
      </w:r>
      <w:r>
        <w:rPr>
          <w:rFonts w:ascii="Arial" w:cs="Arial" w:eastAsia="Arial" w:hAnsi="Arial"/>
          <w:sz w:val="17"/>
          <w:szCs w:val="17"/>
          <w:color w:val="auto"/>
        </w:rPr>
        <w:t>label marketing. Violations of the FDA’s restrictions relating to the promotion of prescription products may also lead to investigations alleging violations of federal and state health care fraud and abuse laws, as well as state consumer protection laws.</w:t>
      </w:r>
    </w:p>
    <w:p>
      <w:pPr>
        <w:spacing w:after="0" w:line="20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 addition, if a regulatory agency or we later discover previously unknown problems with our products, such as adverse events of unexpected severity or frequency or problems with manufacturers or manufacturing processes, the regulatory agency may impose restrictions on the products or us, including requiring withdrawal of the product from the market. Any failure to comply with applicable regulatory requirements may yield various results, including:</w:t>
      </w:r>
    </w:p>
    <w:p>
      <w:pPr>
        <w:spacing w:after="0" w:line="149"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ectPr>
          <w:pgSz w:w="11900" w:h="16838" w:orient="portrait"/>
          <w:cols w:equalWidth="0" w:num="1">
            <w:col w:w="11220"/>
          </w:cols>
          <w:pgMar w:left="320" w:top="665" w:right="359" w:bottom="1440" w:gutter="0" w:footer="0" w:header="0"/>
        </w:sect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20"/>
          </w:cols>
          <w:pgMar w:left="320" w:top="665" w:right="359" w:bottom="1440" w:gutter="0" w:footer="0" w:header="0"/>
          <w:type w:val="continuous"/>
        </w:sectPr>
      </w:pPr>
    </w:p>
    <w:bookmarkStart w:id="71" w:name="page72"/>
    <w:bookmarkEnd w:id="71"/>
    <w:p>
      <w:pPr>
        <w:ind w:left="340" w:hanging="332"/>
        <w:spacing w:after="0" w:line="207" w:lineRule="exact"/>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requirements to conduct post</w:t>
      </w:r>
      <w:r>
        <w:rPr>
          <w:rFonts w:ascii="MS PGothic" w:cs="MS PGothic" w:eastAsia="MS PGothic" w:hAnsi="MS PGothic"/>
          <w:sz w:val="18"/>
          <w:szCs w:val="18"/>
          <w:color w:val="auto"/>
        </w:rPr>
        <w:t>‑</w:t>
      </w:r>
      <w:r>
        <w:rPr>
          <w:rFonts w:ascii="Arial" w:cs="Arial" w:eastAsia="Arial" w:hAnsi="Arial"/>
          <w:sz w:val="18"/>
          <w:szCs w:val="18"/>
          <w:color w:val="auto"/>
        </w:rPr>
        <w:t>marketing studies or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withdrawal of products from the market;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damage to relationships with existing and potential collaborators;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22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Noncompliance with other requirements in foreign jurisdictions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8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For example, certain policies of the current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regulatory and oversight activities such as implementing statutes through rulemaking, issuance of guidance, and review and approval of marketing applications. It is difficult to predict how these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6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ability of the FDA to review and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ectPr>
          <w:pgSz w:w="11900" w:h="16838" w:orient="portrait"/>
          <w:cols w:equalWidth="0" w:num="1">
            <w:col w:w="11220"/>
          </w:cols>
          <w:pgMar w:left="320" w:top="665" w:right="359" w:bottom="1440" w:gutter="0" w:footer="0" w:header="0"/>
        </w:sect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20"/>
          </w:cols>
          <w:pgMar w:left="320" w:top="665" w:right="359" w:bottom="1440" w:gutter="0" w:footer="0" w:header="0"/>
          <w:type w:val="continuous"/>
        </w:sectPr>
      </w:pPr>
    </w:p>
    <w:bookmarkStart w:id="72" w:name="page73"/>
    <w:bookmarkEnd w:id="72"/>
    <w:p>
      <w:pPr>
        <w:ind w:right="80"/>
        <w:spacing w:after="0" w:line="254" w:lineRule="auto"/>
        <w:rPr>
          <w:sz w:val="20"/>
          <w:szCs w:val="20"/>
          <w:color w:val="auto"/>
        </w:rPr>
      </w:pPr>
      <w:r>
        <w:rPr>
          <w:rFonts w:ascii="Arial" w:cs="Arial" w:eastAsia="Arial" w:hAnsi="Arial"/>
          <w:sz w:val="18"/>
          <w:szCs w:val="18"/>
          <w:color w:val="auto"/>
        </w:rPr>
        <w:t>Separately, in response to the global pandemic of COVID-19, on March 10, 2020 the FDA announced its intention to postpone most foreign inspections of manufacturing facilities and products through April 2020, and subsequently, on March 18, 2020, the FDA announced its intention to temporarily postpone routine surveillance inspections of domestic manufacturing facilities.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95" w:lineRule="exact"/>
        <w:rPr>
          <w:sz w:val="20"/>
          <w:szCs w:val="20"/>
          <w:color w:val="auto"/>
        </w:rPr>
      </w:pPr>
    </w:p>
    <w:p>
      <w:pPr>
        <w:spacing w:after="0" w:line="221" w:lineRule="exact"/>
        <w:rPr>
          <w:sz w:val="20"/>
          <w:szCs w:val="20"/>
          <w:color w:val="auto"/>
        </w:rPr>
      </w:pPr>
      <w:r>
        <w:rPr>
          <w:rFonts w:ascii="Arial" w:cs="Arial" w:eastAsia="Arial" w:hAnsi="Arial"/>
          <w:sz w:val="16"/>
          <w:szCs w:val="16"/>
          <w:b w:val="1"/>
          <w:bCs w:val="1"/>
          <w:i w:val="1"/>
          <w:iCs w:val="1"/>
          <w:color w:val="auto"/>
        </w:rPr>
        <w:t>We are subject to U.S. and certain foreign export and import controls, sanctions, embargoes, anti</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corruption laws, and anti</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money laundering laws and regulations. Compliance with these legal standards could impair our ability to compete in domestic and international markets. We can face criminal liability and other serious consequences for violations, which can have a material adverse effect on our business.</w:t>
      </w:r>
    </w:p>
    <w:p>
      <w:pPr>
        <w:spacing w:after="0" w:line="204"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administered by the U.S. Commerce Department’s Bureau of Industry and Security, U.S. Customs regulations, various economic and trade sanctions regulations including those administered or enforced by relevant government authorities, such as by the U.S. Treasury Department’s Office of Foreign Assets Control or the U.S. Department of State, the U.S. Foreign Corrupt Practices Act of 1977, as amended, or FCPA, the U.S. domestic bribery statute contained in 18 U.S.C. § 201, the U.S. Travel Act, the USA PATRIOT Act, and other state and national anti</w:t>
      </w:r>
      <w:r>
        <w:rPr>
          <w:rFonts w:ascii="MS PGothic" w:cs="MS PGothic" w:eastAsia="MS PGothic" w:hAnsi="MS PGothic"/>
          <w:sz w:val="16"/>
          <w:szCs w:val="16"/>
          <w:color w:val="auto"/>
        </w:rPr>
        <w:t>‑</w:t>
      </w:r>
      <w:r>
        <w:rPr>
          <w:rFonts w:ascii="Arial" w:cs="Arial" w:eastAsia="Arial" w:hAnsi="Arial"/>
          <w:sz w:val="16"/>
          <w:szCs w:val="16"/>
          <w:color w:val="auto"/>
        </w:rPr>
        <w:t>bribery and anti</w:t>
      </w:r>
      <w:r>
        <w:rPr>
          <w:rFonts w:ascii="MS PGothic" w:cs="MS PGothic" w:eastAsia="MS PGothic" w:hAnsi="MS PGothic"/>
          <w:sz w:val="16"/>
          <w:szCs w:val="16"/>
          <w:color w:val="auto"/>
        </w:rPr>
        <w:t>‑</w:t>
      </w:r>
      <w:r>
        <w:rPr>
          <w:rFonts w:ascii="Arial" w:cs="Arial" w:eastAsia="Arial" w:hAnsi="Arial"/>
          <w:sz w:val="16"/>
          <w:szCs w:val="16"/>
          <w:color w:val="auto"/>
        </w:rPr>
        <w:t>money laundering laws in the countries in which we conduct activities. U.S. sanctions laws and regulations may govern or restrict our business and activities in certain countries and with certain persons. Anti</w:t>
      </w:r>
      <w:r>
        <w:rPr>
          <w:rFonts w:ascii="MS PGothic" w:cs="MS PGothic" w:eastAsia="MS PGothic" w:hAnsi="MS PGothic"/>
          <w:sz w:val="16"/>
          <w:szCs w:val="16"/>
          <w:color w:val="auto"/>
        </w:rPr>
        <w:t>‑</w:t>
      </w:r>
      <w:r>
        <w:rPr>
          <w:rFonts w:ascii="Arial" w:cs="Arial" w:eastAsia="Arial" w:hAnsi="Arial"/>
          <w:sz w:val="16"/>
          <w:szCs w:val="16"/>
          <w:color w:val="auto"/>
        </w:rPr>
        <w:t>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w:t>
      </w:r>
      <w:r>
        <w:rPr>
          <w:rFonts w:ascii="MS PGothic" w:cs="MS PGothic" w:eastAsia="MS PGothic" w:hAnsi="MS PGothic"/>
          <w:sz w:val="16"/>
          <w:szCs w:val="16"/>
          <w:color w:val="auto"/>
        </w:rPr>
        <w:t>‑</w:t>
      </w:r>
      <w:r>
        <w:rPr>
          <w:rFonts w:ascii="Arial" w:cs="Arial" w:eastAsia="Arial" w:hAnsi="Arial"/>
          <w:sz w:val="16"/>
          <w:szCs w:val="16"/>
          <w:color w:val="auto"/>
        </w:rPr>
        <w: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some countries, the pricing of prescription pharmaceuticals is subject to governmental control. In these countries, pricing negotiations with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governmental authorities can take considerable time after the receipt of marketing approval for a product candidate. In addition, there can be considerable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pressure by governments and other stakeholders on prices and reimbursement levels, including as part of cost containment measures. Political, economic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regulatory developments may further complicate pricing negotiations, and pricing negotiations may continue after coverage and reimbursement have</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been obtained. Reference pricing used by various countries and parallel distribution or arbitrage between low</w:t>
      </w:r>
      <w:r>
        <w:rPr>
          <w:rFonts w:ascii="MS PGothic" w:cs="MS PGothic" w:eastAsia="MS PGothic" w:hAnsi="MS PGothic"/>
          <w:sz w:val="16"/>
          <w:szCs w:val="16"/>
          <w:color w:val="auto"/>
        </w:rPr>
        <w:t>‑</w:t>
      </w:r>
      <w:r>
        <w:rPr>
          <w:rFonts w:ascii="Arial" w:cs="Arial" w:eastAsia="Arial" w:hAnsi="Arial"/>
          <w:sz w:val="16"/>
          <w:szCs w:val="16"/>
          <w:color w:val="auto"/>
        </w:rPr>
        <w:t>priced and high</w:t>
      </w:r>
      <w:r>
        <w:rPr>
          <w:rFonts w:ascii="MS PGothic" w:cs="MS PGothic" w:eastAsia="MS PGothic" w:hAnsi="MS PGothic"/>
          <w:sz w:val="16"/>
          <w:szCs w:val="16"/>
          <w:color w:val="auto"/>
        </w:rPr>
        <w:t>‑</w:t>
      </w:r>
      <w:r>
        <w:rPr>
          <w:rFonts w:ascii="Arial" w:cs="Arial" w:eastAsia="Arial" w:hAnsi="Arial"/>
          <w:sz w:val="16"/>
          <w:szCs w:val="16"/>
          <w:color w:val="auto"/>
        </w:rPr>
        <w:t>priced countries, can further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reduce prices. To obtain reimbursement or pricing approval in some countries, we may be required to conduct a clinical trial that compares the</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cost</w:t>
      </w:r>
      <w:r>
        <w:rPr>
          <w:rFonts w:ascii="MS PGothic" w:cs="MS PGothic" w:eastAsia="MS PGothic" w:hAnsi="MS PGothic"/>
          <w:sz w:val="16"/>
          <w:szCs w:val="16"/>
          <w:color w:val="auto"/>
        </w:rPr>
        <w:t>‑</w:t>
      </w:r>
      <w:r>
        <w:rPr>
          <w:rFonts w:ascii="Arial" w:cs="Arial" w:eastAsia="Arial" w:hAnsi="Arial"/>
          <w:sz w:val="16"/>
          <w:szCs w:val="16"/>
          <w:color w:val="auto"/>
        </w:rPr>
        <w:t>effectiveness of our product candidate to other available therapies, which is time</w:t>
      </w:r>
      <w:r>
        <w:rPr>
          <w:rFonts w:ascii="MS PGothic" w:cs="MS PGothic" w:eastAsia="MS PGothic" w:hAnsi="MS PGothic"/>
          <w:sz w:val="16"/>
          <w:szCs w:val="16"/>
          <w:color w:val="auto"/>
        </w:rPr>
        <w:t>‑</w:t>
      </w:r>
      <w:r>
        <w:rPr>
          <w:rFonts w:ascii="Arial" w:cs="Arial" w:eastAsia="Arial" w:hAnsi="Arial"/>
          <w:sz w:val="16"/>
          <w:szCs w:val="16"/>
          <w:color w:val="auto"/>
        </w:rPr>
        <w:t>consuming and costly. If coverage and reimbursement of our product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candidates are unavailable or limited in scope or amount, or if pricing is set at unsatisfactory levels, our business could be materially adversely affected.</w:t>
      </w:r>
    </w:p>
    <w:p>
      <w:pPr>
        <w:spacing w:after="0" w:line="23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If we or our contract manufacturers or other third parties fail to comply with environmental, health and safety laws and regulations, we could become subject to fines or penalties or incur costs that could have a material adverse effect on our business.</w:t>
      </w:r>
    </w:p>
    <w:p>
      <w:pPr>
        <w:spacing w:after="0" w:line="14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665" w:right="339" w:bottom="1440" w:gutter="0" w:footer="0" w:header="0"/>
        </w:sectPr>
      </w:pPr>
    </w:p>
    <w:bookmarkStart w:id="73" w:name="page74"/>
    <w:bookmarkEnd w:id="73"/>
    <w:p>
      <w:pPr>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12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87"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The patent prosecution process is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and we may not be able to file and prosecute all necessary or desirable patent applications at a reasonable cost, in a timely manner or in all jurisdictions. As we reach the statutory deadlines for deciding whether and where to initiate prosecution in specific foreign jurisdictions by filing national stage applications based on our Patent Cooperation Treaty, or PCT, applications,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w:t>
      </w:r>
      <w:r>
        <w:rPr>
          <w:rFonts w:ascii="MS PGothic" w:cs="MS PGothic" w:eastAsia="MS PGothic" w:hAnsi="MS PGothic"/>
          <w:sz w:val="16"/>
          <w:szCs w:val="16"/>
          <w:color w:val="auto"/>
        </w:rPr>
        <w:t>‑</w:t>
      </w:r>
      <w:r>
        <w:rPr>
          <w:rFonts w:ascii="Arial" w:cs="Arial" w:eastAsia="Arial" w:hAnsi="Arial"/>
          <w:sz w:val="16"/>
          <w:szCs w:val="16"/>
          <w:color w:val="auto"/>
        </w:rPr>
        <w:t>how. Any of these outcomes could impair our ability to prevent competition from third parties, which may have an adverse impact on our business. We also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20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176" w:lineRule="exact"/>
        <w:rPr>
          <w:sz w:val="20"/>
          <w:szCs w:val="20"/>
          <w:color w:val="auto"/>
        </w:rPr>
      </w:pPr>
    </w:p>
    <w:p>
      <w:pPr>
        <w:ind w:right="300"/>
        <w:spacing w:after="0" w:line="221" w:lineRule="exact"/>
        <w:rPr>
          <w:sz w:val="20"/>
          <w:szCs w:val="20"/>
          <w:color w:val="auto"/>
        </w:rPr>
      </w:pPr>
      <w:r>
        <w:rPr>
          <w:rFonts w:ascii="Arial" w:cs="Arial" w:eastAsia="Arial" w:hAnsi="Arial"/>
          <w:sz w:val="16"/>
          <w:szCs w:val="16"/>
          <w:color w:val="auto"/>
        </w:rPr>
        <w:t>We cannot provide any assurances that the issued patents we currently own, or any future patents, include claims with a scope sufficient to protect our product candidates or otherwise provide any competitive advantage. Further, it is possible that a patent claim may provide coverage for some but not all parts of a product candidate or third</w:t>
      </w:r>
      <w:r>
        <w:rPr>
          <w:rFonts w:ascii="MS PGothic" w:cs="MS PGothic" w:eastAsia="MS PGothic" w:hAnsi="MS PGothic"/>
          <w:sz w:val="16"/>
          <w:szCs w:val="16"/>
          <w:color w:val="auto"/>
        </w:rPr>
        <w:t>‑</w:t>
      </w:r>
      <w:r>
        <w:rPr>
          <w:rFonts w:ascii="Arial" w:cs="Arial" w:eastAsia="Arial" w:hAnsi="Arial"/>
          <w:sz w:val="16"/>
          <w:szCs w:val="16"/>
          <w:color w:val="auto"/>
        </w:rPr>
        <w:t>party product. These and other factors may provide opportunities for our competitors to design around our patents.</w:t>
      </w:r>
    </w:p>
    <w:p>
      <w:pPr>
        <w:spacing w:after="0" w:line="20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it may be some time before we understand how the patent office reacts to our patent claims and whether they identify prior art of relevance that we have not already considered.</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665" w:right="339" w:bottom="1440" w:gutter="0" w:footer="0" w:header="0"/>
        </w:sectPr>
      </w:pPr>
    </w:p>
    <w:bookmarkStart w:id="74" w:name="page75"/>
    <w:bookmarkEnd w:id="74"/>
    <w:p>
      <w:pPr>
        <w:ind w:right="20"/>
        <w:spacing w:after="0" w:line="218" w:lineRule="exact"/>
        <w:rPr>
          <w:sz w:val="20"/>
          <w:szCs w:val="20"/>
          <w:color w:val="auto"/>
        </w:rPr>
      </w:pPr>
      <w:r>
        <w:rPr>
          <w:rFonts w:ascii="Arial" w:cs="Arial" w:eastAsia="Arial" w:hAnsi="Arial"/>
          <w:sz w:val="17"/>
          <w:szCs w:val="17"/>
          <w:color w:val="auto"/>
        </w:rPr>
        <w:t>We may be subject to a third</w:t>
      </w:r>
      <w:r>
        <w:rPr>
          <w:rFonts w:ascii="MS PGothic" w:cs="MS PGothic" w:eastAsia="MS PGothic" w:hAnsi="MS PGothic"/>
          <w:sz w:val="17"/>
          <w:szCs w:val="17"/>
          <w:color w:val="auto"/>
        </w:rPr>
        <w:t>‑</w:t>
      </w:r>
      <w:r>
        <w:rPr>
          <w:rFonts w:ascii="Arial" w:cs="Arial" w:eastAsia="Arial" w:hAnsi="Arial"/>
          <w:sz w:val="17"/>
          <w:szCs w:val="17"/>
          <w:color w:val="auto"/>
        </w:rPr>
        <w:t>party preissuance submission of prior art to the U.S. Patent and Trademark Office, or USPTO, or become involved in opposition, derivation, reexamination, inter partes review, post</w:t>
      </w:r>
      <w:r>
        <w:rPr>
          <w:rFonts w:ascii="MS PGothic" w:cs="MS PGothic" w:eastAsia="MS PGothic" w:hAnsi="MS PGothic"/>
          <w:sz w:val="17"/>
          <w:szCs w:val="17"/>
          <w:color w:val="auto"/>
        </w:rPr>
        <w:t>‑</w:t>
      </w:r>
      <w:r>
        <w:rPr>
          <w:rFonts w:ascii="Arial" w:cs="Arial" w:eastAsia="Arial" w:hAnsi="Arial"/>
          <w:sz w:val="17"/>
          <w:szCs w:val="17"/>
          <w:color w:val="auto"/>
        </w:rPr>
        <w: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20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64"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w:t>
      </w:r>
      <w:r>
        <w:rPr>
          <w:rFonts w:ascii="MS PGothic" w:cs="MS PGothic" w:eastAsia="MS PGothic" w:hAnsi="MS PGothic"/>
          <w:sz w:val="17"/>
          <w:szCs w:val="17"/>
          <w:color w:val="auto"/>
        </w:rPr>
        <w:t>‑</w:t>
      </w:r>
      <w:r>
        <w:rPr>
          <w:rFonts w:ascii="Arial" w:cs="Arial" w:eastAsia="Arial" w:hAnsi="Arial"/>
          <w:sz w:val="17"/>
          <w:szCs w:val="17"/>
          <w:color w:val="auto"/>
        </w:rPr>
        <w:t>how,</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information, or technology that is not covered by our patents. Although our agreements require all of our employees to assign their inventions to us, and we</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require all of our employees, consultants, advisors and any other third parties who have access to our trade secrets, proprietary know</w:t>
      </w:r>
      <w:r>
        <w:rPr>
          <w:rFonts w:ascii="MS PGothic" w:cs="MS PGothic" w:eastAsia="MS PGothic" w:hAnsi="MS PGothic"/>
          <w:sz w:val="17"/>
          <w:szCs w:val="17"/>
          <w:color w:val="auto"/>
        </w:rPr>
        <w:t>‑</w:t>
      </w:r>
      <w:r>
        <w:rPr>
          <w:rFonts w:ascii="Arial" w:cs="Arial" w:eastAsia="Arial" w:hAnsi="Arial"/>
          <w:sz w:val="17"/>
          <w:szCs w:val="17"/>
          <w:color w:val="auto"/>
        </w:rPr>
        <w:t>how and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confidential information and technology to enter into appropriate confidentiality agreements, we cannot be certain that our trade secrets, proprietary</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know</w:t>
      </w:r>
      <w:r>
        <w:rPr>
          <w:rFonts w:ascii="MS PGothic" w:cs="MS PGothic" w:eastAsia="MS PGothic" w:hAnsi="MS PGothic"/>
          <w:sz w:val="16"/>
          <w:szCs w:val="16"/>
          <w:color w:val="auto"/>
        </w:rPr>
        <w:t>‑</w:t>
      </w:r>
      <w:r>
        <w:rPr>
          <w:rFonts w:ascii="Arial" w:cs="Arial" w:eastAsia="Arial" w:hAnsi="Arial"/>
          <w:sz w:val="16"/>
          <w:szCs w:val="16"/>
          <w:color w:val="auto"/>
        </w:rPr>
        <w:t>how, and other confidential information and technology will not be subject to unauthorized disclosure or that our competitors will not otherwise gain</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access to or independently develop substantially equivalent trade secrets, proprietary know</w:t>
      </w:r>
      <w:r>
        <w:rPr>
          <w:rFonts w:ascii="MS PGothic" w:cs="MS PGothic" w:eastAsia="MS PGothic" w:hAnsi="MS PGothic"/>
          <w:sz w:val="16"/>
          <w:szCs w:val="16"/>
          <w:color w:val="auto"/>
        </w:rPr>
        <w:t>‑</w:t>
      </w:r>
      <w:r>
        <w:rPr>
          <w:rFonts w:ascii="Arial" w:cs="Arial" w:eastAsia="Arial" w:hAnsi="Arial"/>
          <w:sz w:val="16"/>
          <w:szCs w:val="16"/>
          <w:color w:val="auto"/>
        </w:rPr>
        <w:t>how, and other information and technology. Furthermore,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laws of some foreign countries do not protect proprietary rights to the same extent or in the same manner as the laws of the United States. As a result,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encounter significant problems in protecting and defending our intellectual property globally. If we are unable to prevent unauthorized disclosure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intellectual property related to our product candidates and technology to third parties, we may not be able to establish or maintain a competitive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advantage in our market, which could adversely affect our business and operations.</w:t>
      </w:r>
    </w:p>
    <w:p>
      <w:pPr>
        <w:spacing w:after="0" w:line="103"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Any litigation to enforce or defend our patent rights, even if we were to prevail, could be costly and time</w:t>
      </w:r>
      <w:r>
        <w:rPr>
          <w:rFonts w:ascii="MS PGothic" w:cs="MS PGothic" w:eastAsia="MS PGothic" w:hAnsi="MS PGothic"/>
          <w:sz w:val="17"/>
          <w:szCs w:val="17"/>
          <w:color w:val="auto"/>
        </w:rPr>
        <w:t>‑</w:t>
      </w:r>
      <w:r>
        <w:rPr>
          <w:rFonts w:ascii="Arial" w:cs="Arial" w:eastAsia="Arial" w:hAnsi="Arial"/>
          <w:sz w:val="17"/>
          <w:szCs w:val="17"/>
          <w:color w:val="auto"/>
        </w:rPr>
        <w:t>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adversely affected.</w:t>
      </w:r>
    </w:p>
    <w:p>
      <w:pPr>
        <w:spacing w:after="0" w:line="102"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know</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how, our business and competitive position would be harmed.</w:t>
      </w:r>
    </w:p>
    <w:p>
      <w:pPr>
        <w:spacing w:after="0" w:line="237" w:lineRule="exact"/>
        <w:rPr>
          <w:sz w:val="20"/>
          <w:szCs w:val="20"/>
          <w:color w:val="auto"/>
        </w:rPr>
      </w:pPr>
    </w:p>
    <w:p>
      <w:pPr>
        <w:ind w:right="80"/>
        <w:spacing w:after="0" w:line="217" w:lineRule="exact"/>
        <w:rPr>
          <w:sz w:val="20"/>
          <w:szCs w:val="20"/>
          <w:color w:val="auto"/>
        </w:rPr>
      </w:pPr>
      <w:r>
        <w:rPr>
          <w:rFonts w:ascii="Arial" w:cs="Arial" w:eastAsia="Arial" w:hAnsi="Arial"/>
          <w:sz w:val="17"/>
          <w:szCs w:val="17"/>
          <w:color w:val="auto"/>
        </w:rPr>
        <w:t>In addition to seeking patents for some of our technology and product candidates, we also rely on trade secrets, including unpatented know</w:t>
      </w:r>
      <w:r>
        <w:rPr>
          <w:rFonts w:ascii="MS PGothic" w:cs="MS PGothic" w:eastAsia="MS PGothic" w:hAnsi="MS PGothic"/>
          <w:sz w:val="17"/>
          <w:szCs w:val="17"/>
          <w:color w:val="auto"/>
        </w:rPr>
        <w:t>‑</w:t>
      </w:r>
      <w:r>
        <w:rPr>
          <w:rFonts w:ascii="Arial" w:cs="Arial" w:eastAsia="Arial" w:hAnsi="Arial"/>
          <w:sz w:val="17"/>
          <w:szCs w:val="17"/>
          <w:color w:val="auto"/>
        </w:rPr>
        <w:t>how, technology and other proprietary information, to maintain our competitive position. We seek to protect these trade secrets, in part, by entering into non</w:t>
      </w:r>
      <w:r>
        <w:rPr>
          <w:rFonts w:ascii="MS PGothic" w:cs="MS PGothic" w:eastAsia="MS PGothic" w:hAnsi="MS PGothic"/>
          <w:sz w:val="17"/>
          <w:szCs w:val="17"/>
          <w:color w:val="auto"/>
        </w:rPr>
        <w:t>‑</w:t>
      </w:r>
      <w:r>
        <w:rPr>
          <w:rFonts w:ascii="Arial" w:cs="Arial" w:eastAsia="Arial" w:hAnsi="Arial"/>
          <w:sz w:val="17"/>
          <w:szCs w:val="17"/>
          <w:color w:val="auto"/>
        </w:rPr>
        <w:t>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and the outcome is unpredictable. In addition, some courts inside and outside the United States are less willing or unwilling to protect trade secrets. Moreover, if any of our trade secrets were to be lawfully obtained or independently</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665" w:right="359" w:bottom="1440" w:gutter="0" w:footer="0" w:header="0"/>
        </w:sectPr>
      </w:pPr>
    </w:p>
    <w:bookmarkStart w:id="75" w:name="page76"/>
    <w:bookmarkEnd w:id="75"/>
    <w:p>
      <w:pPr>
        <w:ind w:right="180"/>
        <w:spacing w:after="0" w:line="263" w:lineRule="auto"/>
        <w:rPr>
          <w:sz w:val="20"/>
          <w:szCs w:val="20"/>
          <w:color w:val="auto"/>
        </w:rPr>
      </w:pPr>
      <w:r>
        <w:rPr>
          <w:rFonts w:ascii="Arial" w:cs="Arial" w:eastAsia="Arial" w:hAnsi="Arial"/>
          <w:sz w:val="18"/>
          <w:szCs w:val="18"/>
          <w:color w:val="auto"/>
        </w:rPr>
        <w:t>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As is the case with other biotechnology companies, our success is heavily dependent on intellectual property, particularly patents. Obtaining and enforcing</w:t>
      </w:r>
    </w:p>
    <w:p>
      <w:pPr>
        <w:spacing w:after="0" w:line="4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patents in the biotechnology industry involves both technological and legal complexity, and is therefore costly, time</w:t>
      </w:r>
      <w:r>
        <w:rPr>
          <w:rFonts w:ascii="MS PGothic" w:cs="MS PGothic" w:eastAsia="MS PGothic" w:hAnsi="MS PGothic"/>
          <w:sz w:val="16"/>
          <w:szCs w:val="16"/>
          <w:color w:val="auto"/>
        </w:rPr>
        <w:t>‑</w:t>
      </w:r>
      <w:r>
        <w:rPr>
          <w:rFonts w:ascii="Arial" w:cs="Arial" w:eastAsia="Arial" w:hAnsi="Arial"/>
          <w:sz w:val="16"/>
          <w:szCs w:val="16"/>
          <w:color w:val="auto"/>
        </w:rPr>
        <w:t>consuming and inherently uncertain.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 recent patent reform legislation could further increase the uncertainties and costs surrounding the prosecution of our patent applications and the</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enforcement or defense of our issued patents. On September 16, 2011, the Leahy</w:t>
      </w:r>
      <w:r>
        <w:rPr>
          <w:rFonts w:ascii="MS PGothic" w:cs="MS PGothic" w:eastAsia="MS PGothic" w:hAnsi="MS PGothic"/>
          <w:sz w:val="16"/>
          <w:szCs w:val="16"/>
          <w:color w:val="auto"/>
        </w:rPr>
        <w:t>‑</w:t>
      </w:r>
      <w:r>
        <w:rPr>
          <w:rFonts w:ascii="Arial" w:cs="Arial" w:eastAsia="Arial" w:hAnsi="Arial"/>
          <w:sz w:val="16"/>
          <w:szCs w:val="16"/>
          <w:color w:val="auto"/>
        </w:rPr>
        <w:t>Smith America Invents Act, or the Leahy</w:t>
      </w:r>
      <w:r>
        <w:rPr>
          <w:rFonts w:ascii="MS PGothic" w:cs="MS PGothic" w:eastAsia="MS PGothic" w:hAnsi="MS PGothic"/>
          <w:sz w:val="16"/>
          <w:szCs w:val="16"/>
          <w:color w:val="auto"/>
        </w:rPr>
        <w:t>‑</w:t>
      </w:r>
      <w:r>
        <w:rPr>
          <w:rFonts w:ascii="Arial" w:cs="Arial" w:eastAsia="Arial" w:hAnsi="Arial"/>
          <w:sz w:val="16"/>
          <w:szCs w:val="16"/>
          <w:color w:val="auto"/>
        </w:rPr>
        <w:t>Smith Act, was signed into law.</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The Leahy</w:t>
      </w:r>
      <w:r>
        <w:rPr>
          <w:rFonts w:ascii="MS PGothic" w:cs="MS PGothic" w:eastAsia="MS PGothic" w:hAnsi="MS PGothic"/>
          <w:sz w:val="16"/>
          <w:szCs w:val="16"/>
          <w:color w:val="auto"/>
        </w:rPr>
        <w:t>‑</w:t>
      </w:r>
      <w:r>
        <w:rPr>
          <w:rFonts w:ascii="Arial" w:cs="Arial" w:eastAsia="Arial" w:hAnsi="Arial"/>
          <w:sz w:val="16"/>
          <w:szCs w:val="16"/>
          <w:color w:val="auto"/>
        </w:rPr>
        <w:t>Smith Act includes a number of significant changes to U.S. patent law. These include provisions that affect the way patent applications 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prosecuted and may also affect patent litigation. The USPTO recently developed new regulations and procedures to govern administration of the</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Leahy</w:t>
      </w:r>
      <w:r>
        <w:rPr>
          <w:rFonts w:ascii="MS PGothic" w:cs="MS PGothic" w:eastAsia="MS PGothic" w:hAnsi="MS PGothic"/>
          <w:sz w:val="16"/>
          <w:szCs w:val="16"/>
          <w:color w:val="auto"/>
        </w:rPr>
        <w:t>‑</w:t>
      </w:r>
      <w:r>
        <w:rPr>
          <w:rFonts w:ascii="Arial" w:cs="Arial" w:eastAsia="Arial" w:hAnsi="Arial"/>
          <w:sz w:val="16"/>
          <w:szCs w:val="16"/>
          <w:color w:val="auto"/>
        </w:rPr>
        <w:t>Smith Act, and many of the substantive changes to patent law associated with the Leahy</w:t>
      </w:r>
      <w:r>
        <w:rPr>
          <w:rFonts w:ascii="MS PGothic" w:cs="MS PGothic" w:eastAsia="MS PGothic" w:hAnsi="MS PGothic"/>
          <w:sz w:val="16"/>
          <w:szCs w:val="16"/>
          <w:color w:val="auto"/>
        </w:rPr>
        <w:t>‑</w:t>
      </w:r>
      <w:r>
        <w:rPr>
          <w:rFonts w:ascii="Arial" w:cs="Arial" w:eastAsia="Arial" w:hAnsi="Arial"/>
          <w:sz w:val="16"/>
          <w:szCs w:val="16"/>
          <w:color w:val="auto"/>
        </w:rPr>
        <w:t>Smith Act, in particular the first to file provisions, became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on March 16, 2013. A third party that files a patent application in the USPTO after that date but before us could therefore be awarded a patent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covering an invention of ours even if we had made the invention before it was made by the third party. This requires us to be cognizant of the time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invention to filing of a patent application. Thus, for our U.S. patent applications containing a priority claim after March 16, 2013, there is a greater level of</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uncertainty in the patent law. Moreover, some of the patent applications in our portfolio will be subject to examination under the pre</w:t>
      </w:r>
      <w:r>
        <w:rPr>
          <w:rFonts w:ascii="MS PGothic" w:cs="MS PGothic" w:eastAsia="MS PGothic" w:hAnsi="MS PGothic"/>
          <w:sz w:val="16"/>
          <w:szCs w:val="16"/>
          <w:color w:val="auto"/>
        </w:rPr>
        <w:t>‑</w:t>
      </w:r>
      <w:r>
        <w:rPr>
          <w:rFonts w:ascii="Arial" w:cs="Arial" w:eastAsia="Arial" w:hAnsi="Arial"/>
          <w:sz w:val="16"/>
          <w:szCs w:val="16"/>
          <w:color w:val="auto"/>
        </w:rPr>
        <w:t>Leahy</w:t>
      </w:r>
      <w:r>
        <w:rPr>
          <w:rFonts w:ascii="MS PGothic" w:cs="MS PGothic" w:eastAsia="MS PGothic" w:hAnsi="MS PGothic"/>
          <w:sz w:val="16"/>
          <w:szCs w:val="16"/>
          <w:color w:val="auto"/>
        </w:rPr>
        <w:t>‑</w:t>
      </w:r>
      <w:r>
        <w:rPr>
          <w:rFonts w:ascii="Arial" w:cs="Arial" w:eastAsia="Arial" w:hAnsi="Arial"/>
          <w:sz w:val="16"/>
          <w:szCs w:val="16"/>
          <w:color w:val="auto"/>
        </w:rPr>
        <w:t>Smith Act law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regulations, while other patents applications in our portfolio will be subject to examination under the law and regulations, as amended by the</w:t>
      </w:r>
    </w:p>
    <w:p>
      <w:pPr>
        <w:spacing w:after="0" w:line="2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Leahy</w:t>
      </w:r>
      <w:r>
        <w:rPr>
          <w:rFonts w:ascii="MS PGothic" w:cs="MS PGothic" w:eastAsia="MS PGothic" w:hAnsi="MS PGothic"/>
          <w:sz w:val="18"/>
          <w:szCs w:val="18"/>
          <w:color w:val="auto"/>
        </w:rPr>
        <w:t>‑</w:t>
      </w:r>
      <w:r>
        <w:rPr>
          <w:rFonts w:ascii="Arial" w:cs="Arial" w:eastAsia="Arial" w:hAnsi="Arial"/>
          <w:sz w:val="18"/>
          <w:szCs w:val="18"/>
          <w:color w:val="auto"/>
        </w:rPr>
        <w:t>Smith Act. This introduces additional complexities into the prosecution and management of our portfolio.</w:t>
      </w:r>
    </w:p>
    <w:p>
      <w:pPr>
        <w:spacing w:after="0" w:line="211"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In addition, the Leahy</w:t>
      </w:r>
      <w:r>
        <w:rPr>
          <w:rFonts w:ascii="MS PGothic" w:cs="MS PGothic" w:eastAsia="MS PGothic" w:hAnsi="MS PGothic"/>
          <w:sz w:val="18"/>
          <w:szCs w:val="18"/>
          <w:color w:val="auto"/>
        </w:rPr>
        <w:t>‑</w:t>
      </w:r>
      <w:r>
        <w:rPr>
          <w:rFonts w:ascii="Arial" w:cs="Arial" w:eastAsia="Arial" w:hAnsi="Arial"/>
          <w:sz w:val="18"/>
          <w:szCs w:val="18"/>
          <w:color w:val="auto"/>
        </w:rPr>
        <w:t>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205" w:lineRule="exact"/>
        <w:rPr>
          <w:sz w:val="20"/>
          <w:szCs w:val="20"/>
          <w:color w:val="auto"/>
        </w:rPr>
      </w:pPr>
    </w:p>
    <w:p>
      <w:pPr>
        <w:spacing w:after="0" w:line="220" w:lineRule="exact"/>
        <w:rPr>
          <w:sz w:val="20"/>
          <w:szCs w:val="20"/>
          <w:color w:val="auto"/>
        </w:rPr>
      </w:pPr>
      <w:r>
        <w:rPr>
          <w:rFonts w:ascii="Arial" w:cs="Arial" w:eastAsia="Arial" w:hAnsi="Arial"/>
          <w:sz w:val="16"/>
          <w:szCs w:val="16"/>
          <w:color w:val="auto"/>
        </w:rPr>
        <w:t>Accordingly, a third party may attempt to use the USPTO procedures to invalidate our patent claims because it may be easier for them to do so relative to challenging the patent in a federal court action. It is not clear what, if any, impact the Leahy</w:t>
      </w:r>
      <w:r>
        <w:rPr>
          <w:rFonts w:ascii="MS PGothic" w:cs="MS PGothic" w:eastAsia="MS PGothic" w:hAnsi="MS PGothic"/>
          <w:sz w:val="16"/>
          <w:szCs w:val="16"/>
          <w:color w:val="auto"/>
        </w:rPr>
        <w:t>‑</w:t>
      </w:r>
      <w:r>
        <w:rPr>
          <w:rFonts w:ascii="Arial" w:cs="Arial" w:eastAsia="Arial" w:hAnsi="Arial"/>
          <w:sz w:val="16"/>
          <w:szCs w:val="16"/>
          <w:color w:val="auto"/>
        </w:rPr>
        <w:t>Smith Act will have on the operation of our business. However, the Leahy</w:t>
      </w:r>
      <w:r>
        <w:rPr>
          <w:rFonts w:ascii="MS PGothic" w:cs="MS PGothic" w:eastAsia="MS PGothic" w:hAnsi="MS PGothic"/>
          <w:sz w:val="16"/>
          <w:szCs w:val="16"/>
          <w:color w:val="auto"/>
        </w:rPr>
        <w:t>‑</w:t>
      </w:r>
      <w:r>
        <w:rPr>
          <w:rFonts w:ascii="Arial" w:cs="Arial" w:eastAsia="Arial" w:hAnsi="Arial"/>
          <w:sz w:val="16"/>
          <w:szCs w:val="16"/>
          <w:color w:val="auto"/>
        </w:rPr>
        <w:t>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184"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149"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0"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w:t>
      </w:r>
      <w:r>
        <w:rPr>
          <w:rFonts w:ascii="MS PGothic" w:cs="MS PGothic" w:eastAsia="MS PGothic" w:hAnsi="MS PGothic"/>
          <w:sz w:val="18"/>
          <w:szCs w:val="18"/>
          <w:color w:val="auto"/>
        </w:rPr>
        <w:t>‑</w:t>
      </w:r>
      <w:r>
        <w:rPr>
          <w:rFonts w:ascii="Arial" w:cs="Arial" w:eastAsia="Arial" w:hAnsi="Arial"/>
          <w:sz w:val="18"/>
          <w:szCs w:val="18"/>
          <w:color w:val="auto"/>
        </w:rPr>
        <w:t>party patents.</w:t>
      </w:r>
    </w:p>
    <w:p>
      <w:pPr>
        <w:spacing w:after="0" w:line="205"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w:t>
      </w:r>
      <w:r>
        <w:rPr>
          <w:rFonts w:ascii="MS PGothic" w:cs="MS PGothic" w:eastAsia="MS PGothic" w:hAnsi="MS PGothic"/>
          <w:sz w:val="17"/>
          <w:szCs w:val="17"/>
          <w:color w:val="auto"/>
        </w:rPr>
        <w:t>‑</w:t>
      </w:r>
      <w:r>
        <w:rPr>
          <w:rFonts w:ascii="Arial" w:cs="Arial" w:eastAsia="Arial" w:hAnsi="Arial"/>
          <w:sz w:val="17"/>
          <w:szCs w:val="17"/>
          <w:color w:val="auto"/>
        </w:rPr>
        <w:t>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that may be relevant to our product candidates and technologies because patent searching is imperfect due to differences in terminology among patents, incomplete databases and the difficulty in assessing the meaning of patent claims. We may fail to identify</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665" w:right="359" w:bottom="1440" w:gutter="0" w:footer="0" w:header="0"/>
        </w:sectPr>
      </w:pPr>
    </w:p>
    <w:bookmarkStart w:id="76" w:name="page77"/>
    <w:bookmarkEnd w:id="76"/>
    <w:p>
      <w:pPr>
        <w:spacing w:after="0" w:line="219" w:lineRule="exact"/>
        <w:rPr>
          <w:sz w:val="20"/>
          <w:szCs w:val="20"/>
          <w:color w:val="auto"/>
        </w:rPr>
      </w:pPr>
      <w:r>
        <w:rPr>
          <w:rFonts w:ascii="Arial" w:cs="Arial" w:eastAsia="Arial" w:hAnsi="Arial"/>
          <w:sz w:val="17"/>
          <w:szCs w:val="17"/>
          <w:color w:val="auto"/>
        </w:rPr>
        <w:t>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w:t>
      </w:r>
      <w:r>
        <w:rPr>
          <w:rFonts w:ascii="MS PGothic" w:cs="MS PGothic" w:eastAsia="MS PGothic" w:hAnsi="MS PGothic"/>
          <w:sz w:val="17"/>
          <w:szCs w:val="17"/>
          <w:color w:val="auto"/>
        </w:rPr>
        <w:t>‑</w:t>
      </w:r>
      <w:r>
        <w:rPr>
          <w:rFonts w:ascii="Arial" w:cs="Arial" w:eastAsia="Arial" w:hAnsi="Arial"/>
          <w:sz w:val="17"/>
          <w:szCs w:val="17"/>
          <w:color w:val="auto"/>
        </w:rPr>
        <w:t>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2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178"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w:t>
      </w:r>
      <w:r>
        <w:rPr>
          <w:rFonts w:ascii="MS PGothic" w:cs="MS PGothic" w:eastAsia="MS PGothic" w:hAnsi="MS PGothic"/>
          <w:sz w:val="17"/>
          <w:szCs w:val="17"/>
          <w:color w:val="auto"/>
        </w:rPr>
        <w:t>‑</w:t>
      </w:r>
      <w:r>
        <w:rPr>
          <w:rFonts w:ascii="Arial" w:cs="Arial" w:eastAsia="Arial" w:hAnsi="Arial"/>
          <w:sz w:val="17"/>
          <w:szCs w:val="17"/>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203" w:lineRule="exact"/>
        <w:rPr>
          <w:sz w:val="20"/>
          <w:szCs w:val="20"/>
          <w:color w:val="auto"/>
        </w:rPr>
      </w:pPr>
    </w:p>
    <w:p>
      <w:pPr>
        <w:ind w:right="160"/>
        <w:spacing w:after="0" w:line="220" w:lineRule="exact"/>
        <w:rPr>
          <w:sz w:val="20"/>
          <w:szCs w:val="20"/>
          <w:color w:val="auto"/>
        </w:rPr>
      </w:pPr>
      <w:r>
        <w:rPr>
          <w:rFonts w:ascii="Arial" w:cs="Arial" w:eastAsia="Arial" w:hAnsi="Arial"/>
          <w:sz w:val="16"/>
          <w:szCs w:val="16"/>
          <w:color w:val="auto"/>
        </w:rPr>
        <w:t>Even if we are successful in such proceedings, we may incur substantial costs and divert management time and attention in pursuing these proceedings, which could have a material adverse effect on us. Patent litigation is costly and time</w:t>
      </w:r>
      <w:r>
        <w:rPr>
          <w:rFonts w:ascii="MS PGothic" w:cs="MS PGothic" w:eastAsia="MS PGothic" w:hAnsi="MS PGothic"/>
          <w:sz w:val="16"/>
          <w:szCs w:val="16"/>
          <w:color w:val="auto"/>
        </w:rPr>
        <w:t>‑</w:t>
      </w:r>
      <w:r>
        <w:rPr>
          <w:rFonts w:ascii="Arial" w:cs="Arial" w:eastAsia="Arial" w:hAnsi="Arial"/>
          <w:sz w:val="16"/>
          <w:szCs w:val="16"/>
          <w:color w:val="auto"/>
        </w:rPr>
        <w:t>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coming to fruition could have a material adverse impact on our business.</w:t>
      </w:r>
    </w:p>
    <w:p>
      <w:pPr>
        <w:spacing w:after="0" w:line="22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or other intellectual property, and our issued patents covering our product candidates could be found invalid or unenforceable or could be interpreted narrowly if challenged in court.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Competitors may infringe our intellectual property, including our patents or the patents of our licensors. As a result, we may be required to file</w:t>
      </w:r>
    </w:p>
    <w:p>
      <w:pPr>
        <w:spacing w:after="0" w:line="2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infringement claims to stop third</w:t>
      </w:r>
      <w:r>
        <w:rPr>
          <w:rFonts w:ascii="MS PGothic" w:cs="MS PGothic" w:eastAsia="MS PGothic" w:hAnsi="MS PGothic"/>
          <w:sz w:val="18"/>
          <w:szCs w:val="18"/>
          <w:color w:val="auto"/>
        </w:rPr>
        <w:t>‑</w:t>
      </w:r>
      <w:r>
        <w:rPr>
          <w:rFonts w:ascii="Arial" w:cs="Arial" w:eastAsia="Arial" w:hAnsi="Arial"/>
          <w:sz w:val="18"/>
          <w:szCs w:val="18"/>
          <w:color w:val="auto"/>
        </w:rPr>
        <w:t>party infringement or unauthorized use. This can be expensive, particularly for a company of our size, and</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time</w:t>
      </w:r>
      <w:r>
        <w:rPr>
          <w:rFonts w:ascii="MS PGothic" w:cs="MS PGothic" w:eastAsia="MS PGothic" w:hAnsi="MS PGothic"/>
          <w:sz w:val="16"/>
          <w:szCs w:val="16"/>
          <w:color w:val="auto"/>
        </w:rPr>
        <w:t>‑</w:t>
      </w:r>
      <w:r>
        <w:rPr>
          <w:rFonts w:ascii="Arial" w:cs="Arial" w:eastAsia="Arial" w:hAnsi="Arial"/>
          <w:sz w:val="16"/>
          <w:szCs w:val="16"/>
          <w:color w:val="auto"/>
        </w:rPr>
        <w:t>consuming. If we initiated legal proceedings against a third party to enforce a patent, if and when issued, covering one of our product candidates,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defendant could counterclaim that the patent covering our product candidate is invalid and/or unenforceable. In patent litigation in the United States,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defendant counterclaims alleging invalidity and/or unenforceability are commonplace. Grounds for a validity challenge include alleged failures to meet any</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of several statutory requirements, including lack of novelty, obviousness or non</w:t>
      </w:r>
      <w:r>
        <w:rPr>
          <w:rFonts w:ascii="MS PGothic" w:cs="MS PGothic" w:eastAsia="MS PGothic" w:hAnsi="MS PGothic"/>
          <w:sz w:val="16"/>
          <w:szCs w:val="16"/>
          <w:color w:val="auto"/>
        </w:rPr>
        <w:t>‑</w:t>
      </w:r>
      <w:r>
        <w:rPr>
          <w:rFonts w:ascii="Arial" w:cs="Arial" w:eastAsia="Arial" w:hAnsi="Arial"/>
          <w:sz w:val="16"/>
          <w:szCs w:val="16"/>
          <w:color w:val="auto"/>
        </w:rPr>
        <w:t>enablement, or failure to claim patent</w:t>
      </w:r>
      <w:r>
        <w:rPr>
          <w:rFonts w:ascii="MS PGothic" w:cs="MS PGothic" w:eastAsia="MS PGothic" w:hAnsi="MS PGothic"/>
          <w:sz w:val="16"/>
          <w:szCs w:val="16"/>
          <w:color w:val="auto"/>
        </w:rPr>
        <w:t>‑</w:t>
      </w:r>
      <w:r>
        <w:rPr>
          <w:rFonts w:ascii="Arial" w:cs="Arial" w:eastAsia="Arial" w:hAnsi="Arial"/>
          <w:sz w:val="16"/>
          <w:szCs w:val="16"/>
          <w:color w:val="auto"/>
        </w:rPr>
        <w:t>eligible subject matter. Grounds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unenforceability assertions include allegations that someone connected with the prosecution of the patent withheld relevant information from the USPTO,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made a misleading statement, during prosecution. Third parties may also raise similar claims before administrative bodies in the United States or abroad,</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even outside the context of litigation. Such mechanisms include re</w:t>
      </w:r>
      <w:r>
        <w:rPr>
          <w:rFonts w:ascii="MS PGothic" w:cs="MS PGothic" w:eastAsia="MS PGothic" w:hAnsi="MS PGothic"/>
          <w:sz w:val="17"/>
          <w:szCs w:val="17"/>
          <w:color w:val="auto"/>
        </w:rPr>
        <w:t>‑</w:t>
      </w:r>
      <w:r>
        <w:rPr>
          <w:rFonts w:ascii="Arial" w:cs="Arial" w:eastAsia="Arial" w:hAnsi="Arial"/>
          <w:sz w:val="17"/>
          <w:szCs w:val="17"/>
          <w:color w:val="auto"/>
        </w:rPr>
        <w:t>examination, post</w:t>
      </w:r>
      <w:r>
        <w:rPr>
          <w:rFonts w:ascii="MS PGothic" w:cs="MS PGothic" w:eastAsia="MS PGothic" w:hAnsi="MS PGothic"/>
          <w:sz w:val="17"/>
          <w:szCs w:val="17"/>
          <w:color w:val="auto"/>
        </w:rPr>
        <w:t>‑</w:t>
      </w:r>
      <w:r>
        <w:rPr>
          <w:rFonts w:ascii="Arial" w:cs="Arial" w:eastAsia="Arial" w:hAnsi="Arial"/>
          <w:sz w:val="17"/>
          <w:szCs w:val="17"/>
          <w:color w:val="auto"/>
        </w:rPr>
        <w:t>grant review, inter partes review, interference proceedings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equivalent proceedings in foreign jurisdictions, such as opposition proceedings. Such proceedings could result in revocation or amendment of our patents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a way that they no longer cover our product candidates or competitive products. The outcome following legal assertions of invalidity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unenforceability is unpredictable. With respect to validity, for example, we cannot be certain that there is no invalidating prior art, of which we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patent examiner were unaware during prosecution. If a defendant were to prevail on a legal assertion of invalidity and/or unenforceability, we would lose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least part, and perhaps all, of the patent protection on our product candidates. Moreover, even if not found invalid or unenforceable, the claims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patents could be construed narrowly or in a manner that does not cover the allegedly infringing technology in question. Such a loss of patent protection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would have a material adverse impact on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lives of our patents may not be sufficient to effectively protect our products and business.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its first effective non-provisional filing date. Although various extensions may be available, the life of a patent, and the protection it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665" w:right="339" w:bottom="1440" w:gutter="0" w:footer="0" w:header="0"/>
        </w:sectPr>
      </w:pPr>
    </w:p>
    <w:bookmarkStart w:id="77" w:name="page78"/>
    <w:bookmarkEnd w:id="77"/>
    <w:p>
      <w:pPr>
        <w:ind w:right="80"/>
        <w:spacing w:after="0" w:line="273" w:lineRule="auto"/>
        <w:rPr>
          <w:sz w:val="20"/>
          <w:szCs w:val="20"/>
          <w:color w:val="auto"/>
        </w:rPr>
      </w:pPr>
      <w:r>
        <w:rPr>
          <w:rFonts w:ascii="Arial" w:cs="Arial" w:eastAsia="Arial" w:hAnsi="Arial"/>
          <w:sz w:val="17"/>
          <w:szCs w:val="17"/>
          <w:color w:val="auto"/>
        </w:rPr>
        <w:t>affords, is limited. Even if patents covering our product candidates, proprietary technologies and their uses are obtained, once the patent life has expired, we may be open to competition.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and results of operations will be adversely affected.</w:t>
      </w:r>
    </w:p>
    <w:p>
      <w:pPr>
        <w:spacing w:after="0" w:line="178"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7"/>
          <w:szCs w:val="17"/>
          <w:color w:val="auto"/>
        </w:rPr>
        <w:t>‑</w:t>
      </w:r>
      <w:r>
        <w:rPr>
          <w:rFonts w:ascii="Arial" w:cs="Arial" w:eastAsia="Arial" w:hAnsi="Arial"/>
          <w:sz w:val="17"/>
          <w:szCs w:val="17"/>
          <w:color w:val="auto"/>
        </w:rPr>
        <w:t>payment of fees and failure to properly legalize and submit formal documents. In such an event, our competitors might be able to enter the market, which would have an adverse effect on our business.</w:t>
      </w:r>
    </w:p>
    <w:p>
      <w:pPr>
        <w:spacing w:after="0" w:line="2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7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Under our existing licensing agreements, we are obligated to pay royalties on net product sales of product candidates or related technologies to the extent they are covered by the agreement. Our results of operations will be affected by the level of royalty payments that we are required to pay to third parties. We cannot precisely predict the amount, if any, of royalties that we will be required to pay to third parties in the future. Any disagreements with the counterparty over the amount of royalties owed could lead to litigation, which is costly. In addition, if we fail to comply with our obligations under current or future license agreements, our counterparties may have the right to terminate these agreements, in which event we might not be able 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237"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w:t>
      </w:r>
      <w:r>
        <w:rPr>
          <w:rFonts w:ascii="MS PGothic" w:cs="MS PGothic" w:eastAsia="MS PGothic" w:hAnsi="MS PGothic"/>
          <w:sz w:val="16"/>
          <w:szCs w:val="16"/>
          <w:color w:val="auto"/>
        </w:rPr>
        <w:t>‑</w:t>
      </w:r>
      <w:r>
        <w:rPr>
          <w:rFonts w:ascii="Arial" w:cs="Arial" w:eastAsia="Arial" w:hAnsi="Arial"/>
          <w:sz w:val="16"/>
          <w:szCs w:val="16"/>
          <w:color w:val="auto"/>
        </w:rPr>
        <w:t>license or use these proprietary rights. We may be unable to acquire or in</w:t>
      </w:r>
      <w:r>
        <w:rPr>
          <w:rFonts w:ascii="MS PGothic" w:cs="MS PGothic" w:eastAsia="MS PGothic" w:hAnsi="MS PGothic"/>
          <w:sz w:val="16"/>
          <w:szCs w:val="16"/>
          <w:color w:val="auto"/>
        </w:rPr>
        <w:t>‑</w:t>
      </w:r>
      <w:r>
        <w:rPr>
          <w:rFonts w:ascii="Arial" w:cs="Arial" w:eastAsia="Arial" w:hAnsi="Arial"/>
          <w:sz w:val="16"/>
          <w:szCs w:val="16"/>
          <w:color w:val="auto"/>
        </w:rPr>
        <w:t>license compositions, methods of use, processes or other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from third parties that we identify as necessary for our product candidates. The licensing and acquisition of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is a competitive area, and a number of more established companies are also pursuing strategies to license or acquire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on terms that would allow us to make an appropriate return on our investment.</w:t>
      </w:r>
    </w:p>
    <w:p>
      <w:pPr>
        <w:spacing w:after="0" w:line="207"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We may also be unable to maintain third</w:t>
      </w:r>
      <w:r>
        <w:rPr>
          <w:rFonts w:ascii="MS PGothic" w:cs="MS PGothic" w:eastAsia="MS PGothic" w:hAnsi="MS PGothic"/>
          <w:sz w:val="18"/>
          <w:szCs w:val="18"/>
          <w:color w:val="auto"/>
        </w:rPr>
        <w:t>‑</w:t>
      </w:r>
      <w:r>
        <w:rPr>
          <w:rFonts w:ascii="Arial" w:cs="Arial" w:eastAsia="Arial" w:hAnsi="Arial"/>
          <w:sz w:val="18"/>
          <w:szCs w:val="18"/>
          <w:color w:val="auto"/>
        </w:rPr>
        <w:t>party intellectual property rights. For example, MIT may terminate the MIT License if we fail to meet a diligence obligation, including the initiation of a Phase 3 clinical trial by a specified date in the fourth quarter of 2019. In December 2019, we entered into the MIT Amendment. Pursuant to the MIT Amendment, the provision of the MIT License under which we were obligated to initiate a Phase 3 clinical trial for a licensed product by a specified date in the fourth quarter of 2019 is tolled until the earlier of (i) a specified date in the second quarter of 2020 or (ii) the effective date of a written</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320" w:top="665" w:right="359" w:bottom="1440" w:gutter="0" w:footer="0" w:header="0"/>
        </w:sectPr>
      </w:pPr>
    </w:p>
    <w:bookmarkStart w:id="78" w:name="page79"/>
    <w:bookmarkEnd w:id="78"/>
    <w:p>
      <w:pPr>
        <w:ind w:right="40"/>
        <w:spacing w:after="0" w:line="259" w:lineRule="auto"/>
        <w:rPr>
          <w:sz w:val="20"/>
          <w:szCs w:val="20"/>
          <w:color w:val="auto"/>
        </w:rPr>
      </w:pPr>
      <w:r>
        <w:rPr>
          <w:rFonts w:ascii="Arial" w:cs="Arial" w:eastAsia="Arial" w:hAnsi="Arial"/>
          <w:sz w:val="18"/>
          <w:szCs w:val="18"/>
          <w:color w:val="auto"/>
        </w:rPr>
        <w:t>amendment to the MIT License. The parties agreed to negotiate in good faith to enter into a future amendment to the MIT License after we provide MIT with an amended diligence plan. However, if we are unable to reach an agreement with MIT regarding an acceptable amendment of the MIT License and if we are unable to cure the breach, there could be a material adverse effect on our business. See “Business - Licenses and Collaborations - Massachusetts Institute of Technology.”</w:t>
      </w:r>
    </w:p>
    <w:p>
      <w:pPr>
        <w:spacing w:after="0" w:line="187"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If we are unable to successfully obtain rights to required third</w:t>
      </w:r>
      <w:r>
        <w:rPr>
          <w:rFonts w:ascii="MS PGothic" w:cs="MS PGothic" w:eastAsia="MS PGothic" w:hAnsi="MS PGothic"/>
          <w:sz w:val="18"/>
          <w:szCs w:val="18"/>
          <w:color w:val="auto"/>
        </w:rPr>
        <w:t>‑</w:t>
      </w:r>
      <w:r>
        <w:rPr>
          <w:rFonts w:ascii="Arial" w:cs="Arial" w:eastAsia="Arial" w:hAnsi="Arial"/>
          <w:sz w:val="18"/>
          <w:szCs w:val="18"/>
          <w:color w:val="auto"/>
        </w:rPr>
        <w:t>party intellectual property rights or maintain the existing intellectual property rights we have, we may have to abandon development of that program and our business and financial condition could suffer.</w:t>
      </w:r>
    </w:p>
    <w:p>
      <w:pPr>
        <w:spacing w:after="0" w:line="2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70" w:lineRule="exact"/>
        <w:rPr>
          <w:sz w:val="20"/>
          <w:szCs w:val="20"/>
          <w:color w:val="auto"/>
        </w:rPr>
      </w:pPr>
    </w:p>
    <w:p>
      <w:pPr>
        <w:ind w:right="120"/>
        <w:spacing w:after="0" w:line="218" w:lineRule="exact"/>
        <w:rPr>
          <w:sz w:val="20"/>
          <w:szCs w:val="20"/>
          <w:color w:val="auto"/>
        </w:rPr>
      </w:pPr>
      <w:r>
        <w:rPr>
          <w:rFonts w:ascii="Arial" w:cs="Arial" w:eastAsia="Arial" w:hAnsi="Arial"/>
          <w:sz w:val="18"/>
          <w:szCs w:val="18"/>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w:t>
      </w:r>
      <w:r>
        <w:rPr>
          <w:rFonts w:ascii="MS PGothic" w:cs="MS PGothic" w:eastAsia="MS PGothic" w:hAnsi="MS PGothic"/>
          <w:sz w:val="18"/>
          <w:szCs w:val="18"/>
          <w:color w:val="auto"/>
        </w:rPr>
        <w:t>‑</w:t>
      </w:r>
      <w:r>
        <w:rPr>
          <w:rFonts w:ascii="Arial" w:cs="Arial" w:eastAsia="Arial" w:hAnsi="Arial"/>
          <w:sz w:val="18"/>
          <w:szCs w:val="18"/>
          <w:color w:val="auto"/>
        </w:rPr>
        <w:t>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207"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w:t>
      </w:r>
      <w:r>
        <w:rPr>
          <w:rFonts w:ascii="MS PGothic" w:cs="MS PGothic" w:eastAsia="MS PGothic" w:hAnsi="MS PGothic"/>
          <w:sz w:val="17"/>
          <w:szCs w:val="17"/>
          <w:color w:val="auto"/>
        </w:rPr>
        <w:t>‑</w:t>
      </w:r>
      <w:r>
        <w:rPr>
          <w:rFonts w:ascii="Arial" w:cs="Arial" w:eastAsia="Arial" w:hAnsi="Arial"/>
          <w:sz w:val="17"/>
          <w:szCs w:val="17"/>
          <w:color w:val="auto"/>
        </w:rPr>
        <w:t>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204"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In addition, the laws of some foreign countries, do not protect</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665" w:right="359" w:bottom="1440" w:gutter="0" w:footer="0" w:header="0"/>
        </w:sectPr>
      </w:pPr>
    </w:p>
    <w:bookmarkStart w:id="79" w:name="page80"/>
    <w:bookmarkEnd w:id="79"/>
    <w:p>
      <w:pPr>
        <w:ind w:right="100"/>
        <w:spacing w:after="0" w:line="259" w:lineRule="auto"/>
        <w:rPr>
          <w:sz w:val="20"/>
          <w:szCs w:val="20"/>
          <w:color w:val="auto"/>
        </w:rPr>
      </w:pPr>
      <w:r>
        <w:rPr>
          <w:rFonts w:ascii="Arial" w:cs="Arial" w:eastAsia="Arial" w:hAnsi="Arial"/>
          <w:sz w:val="18"/>
          <w:szCs w:val="18"/>
          <w:color w:val="auto"/>
        </w:rPr>
        <w:t>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8" w:lineRule="exact"/>
        <w:rPr>
          <w:sz w:val="20"/>
          <w:szCs w:val="20"/>
          <w:color w:val="auto"/>
        </w:rPr>
      </w:pPr>
    </w:p>
    <w:p>
      <w:pPr>
        <w:ind w:right="460"/>
        <w:spacing w:after="0" w:line="223" w:lineRule="exact"/>
        <w:rPr>
          <w:sz w:val="20"/>
          <w:szCs w:val="20"/>
          <w:color w:val="auto"/>
        </w:rPr>
      </w:pPr>
      <w:r>
        <w:rPr>
          <w:rFonts w:ascii="Arial" w:cs="Arial" w:eastAsia="Arial" w:hAnsi="Arial"/>
          <w:sz w:val="18"/>
          <w:szCs w:val="18"/>
          <w:b w:val="1"/>
          <w:bCs w:val="1"/>
          <w:i w:val="1"/>
          <w:iCs w:val="1"/>
          <w:color w:val="auto"/>
        </w:rPr>
        <w:t>If we do not obtain additional protection under the Hatch</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Waxman Act and similar foreign legislation extending the terms of our patents for our product candidates, our business may be harmed.</w:t>
      </w:r>
    </w:p>
    <w:p>
      <w:pPr>
        <w:spacing w:after="0" w:line="203" w:lineRule="exact"/>
        <w:rPr>
          <w:sz w:val="20"/>
          <w:szCs w:val="20"/>
          <w:color w:val="auto"/>
        </w:rPr>
      </w:pPr>
    </w:p>
    <w:p>
      <w:pPr>
        <w:ind w:right="20"/>
        <w:spacing w:after="0" w:line="220" w:lineRule="exact"/>
        <w:rPr>
          <w:sz w:val="20"/>
          <w:szCs w:val="20"/>
          <w:color w:val="auto"/>
        </w:rPr>
      </w:pPr>
      <w:r>
        <w:rPr>
          <w:rFonts w:ascii="Arial" w:cs="Arial" w:eastAsia="Arial" w:hAnsi="Arial"/>
          <w:sz w:val="16"/>
          <w:szCs w:val="16"/>
          <w:color w:val="auto"/>
        </w:rPr>
        <w:t>Depending upon the timing, duration and specifics of FDA regulatory approval for our product candidates, one or more of our U.S. patents may be eligible for limited patent term restoration under the Hatch</w:t>
      </w:r>
      <w:r>
        <w:rPr>
          <w:rFonts w:ascii="MS PGothic" w:cs="MS PGothic" w:eastAsia="MS PGothic" w:hAnsi="MS PGothic"/>
          <w:sz w:val="16"/>
          <w:szCs w:val="16"/>
          <w:color w:val="auto"/>
        </w:rPr>
        <w:t>‑</w:t>
      </w:r>
      <w:r>
        <w:rPr>
          <w:rFonts w:ascii="Arial" w:cs="Arial" w:eastAsia="Arial" w:hAnsi="Arial"/>
          <w:sz w:val="16"/>
          <w:szCs w:val="16"/>
          <w:color w:val="auto"/>
        </w:rPr>
        <w:t>Waxman Act. The Hatch</w:t>
      </w:r>
      <w:r>
        <w:rPr>
          <w:rFonts w:ascii="MS PGothic" w:cs="MS PGothic" w:eastAsia="MS PGothic" w:hAnsi="MS PGothic"/>
          <w:sz w:val="16"/>
          <w:szCs w:val="16"/>
          <w:color w:val="auto"/>
        </w:rPr>
        <w:t>‑</w:t>
      </w:r>
      <w:r>
        <w:rPr>
          <w:rFonts w:ascii="Arial" w:cs="Arial" w:eastAsia="Arial" w:hAnsi="Arial"/>
          <w:sz w:val="16"/>
          <w:szCs w:val="16"/>
          <w:color w:val="auto"/>
        </w:rPr>
        <w:t>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20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new corporate strategy may not be successful.</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January 3, 2019, following a strategic business review, we announced our new strategy to focus on the development of SEL-212 for the treatment of chronic refractory gout and advancement of our ImmTOR platform in the area of gene therapy, specifically ImmTOR in combination with AAV gene therapy for the treatment of CN and MMA, as well as the deprioritization of our oncology development program. The success of this strategic shift will depend on our ability to successfully develop our product candidates, hire and retain senior management or other highly qualified personnel, prioritize competing projects and efforts and obtain sufficient resources, including additional capital, as well as our ability to enter into collaborations with third parties. The early stage development of novel product candidates is highly unpredictable due to the lengthy and expensive process of clinical drug development, potential for safety, efficacy or tolerability problems with such product candidates, unexpected expenses or inaccurate financial assumptions or forecasts, potential delays or unfavorable decisions of regulatory agencies and competition for targeted indications or within targeted markets. Accordingly, there are no assurances our change in strategic focus will be successful, which may have an adverse effect on our results of operations or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are highly dependent on Carsten Brunn, Ph.D., our President and Chief Executive Officer, as well as the other principal members of our management, scientific and clinical team. Although we have entered into employment agreements or offer letters with Dr. Brunn and other executive officers, each of them may terminate their employment with us at any time. We do not maintain “key person” insurance for any of our executives or other employees.</w:t>
      </w:r>
    </w:p>
    <w:p>
      <w:pPr>
        <w:spacing w:after="0" w:line="14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Recruiting and retaining qualified scientific, clinical, manufacturing, technology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80"/>
          </w:cols>
          <w:pgMar w:left="320" w:top="665" w:right="399" w:bottom="1440" w:gutter="0" w:footer="0" w:header="0"/>
        </w:sectPr>
      </w:pPr>
    </w:p>
    <w:bookmarkStart w:id="80" w:name="page81"/>
    <w:bookmarkEnd w:id="80"/>
    <w:p>
      <w:pPr>
        <w:jc w:val="both"/>
        <w:ind w:right="160"/>
        <w:spacing w:after="0" w:line="263" w:lineRule="auto"/>
        <w:rPr>
          <w:sz w:val="20"/>
          <w:szCs w:val="20"/>
          <w:color w:val="auto"/>
        </w:rPr>
      </w:pPr>
      <w:r>
        <w:rPr>
          <w:rFonts w:ascii="Arial" w:cs="Arial" w:eastAsia="Arial" w:hAnsi="Arial"/>
          <w:sz w:val="18"/>
          <w:szCs w:val="18"/>
          <w:color w:val="auto"/>
        </w:rPr>
        <w:t>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expected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in a timely manner, if at all. The expansion of our operations may lead to significant costs and may divert our management and business development resources. Any inability to manage or financially support growth could delay the execution of our business plans or disrupt our operations.</w:t>
      </w:r>
    </w:p>
    <w:p>
      <w:pPr>
        <w:spacing w:after="0" w:line="8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incurred increased costs as a result of operating as a public company, and our management will be required to devote substantial time to compliance initiatives and corporate governance practices.</w:t>
      </w:r>
    </w:p>
    <w:p>
      <w:pPr>
        <w:spacing w:after="0" w:line="170" w:lineRule="exact"/>
        <w:rPr>
          <w:sz w:val="20"/>
          <w:szCs w:val="20"/>
          <w:color w:val="auto"/>
        </w:rPr>
      </w:pPr>
    </w:p>
    <w:p>
      <w:pPr>
        <w:ind w:right="40"/>
        <w:spacing w:after="0" w:line="218" w:lineRule="exact"/>
        <w:rPr>
          <w:sz w:val="20"/>
          <w:szCs w:val="20"/>
          <w:color w:val="auto"/>
        </w:rPr>
      </w:pPr>
      <w:r>
        <w:rPr>
          <w:rFonts w:ascii="Arial" w:cs="Arial" w:eastAsia="Arial" w:hAnsi="Arial"/>
          <w:sz w:val="16"/>
          <w:szCs w:val="16"/>
          <w:color w:val="auto"/>
        </w:rPr>
        <w:t>As a public company, and particularly after we are no longer an emerging growth company, we have incurred and expect to continue to incur significant legal, accounting and other expenses that we did not incur as a private company.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the Dodd</w:t>
      </w:r>
      <w:r>
        <w:rPr>
          <w:rFonts w:ascii="MS PGothic" w:cs="MS PGothic" w:eastAsia="MS PGothic" w:hAnsi="MS PGothic"/>
          <w:sz w:val="16"/>
          <w:szCs w:val="16"/>
          <w:color w:val="auto"/>
        </w:rPr>
        <w:t>‑</w:t>
      </w:r>
      <w:r>
        <w:rPr>
          <w:rFonts w:ascii="Arial" w:cs="Arial" w:eastAsia="Arial" w:hAnsi="Arial"/>
          <w:sz w:val="16"/>
          <w:szCs w:val="16"/>
          <w:color w:val="auto"/>
        </w:rPr>
        <w:t>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have increased our legal and financial compliance costs and made some activities more time</w:t>
      </w:r>
      <w:r>
        <w:rPr>
          <w:rFonts w:ascii="MS PGothic" w:cs="MS PGothic" w:eastAsia="MS PGothic" w:hAnsi="MS PGothic"/>
          <w:sz w:val="16"/>
          <w:szCs w:val="16"/>
          <w:color w:val="auto"/>
        </w:rPr>
        <w:t>‑</w:t>
      </w:r>
      <w:r>
        <w:rPr>
          <w:rFonts w:ascii="Arial" w:cs="Arial" w:eastAsia="Arial" w:hAnsi="Arial"/>
          <w:sz w:val="16"/>
          <w:szCs w:val="16"/>
          <w:color w:val="auto"/>
        </w:rPr>
        <w:t>consuming and costly.</w:t>
      </w:r>
    </w:p>
    <w:p>
      <w:pPr>
        <w:spacing w:after="0" w:line="20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Pursuant to Section 404 of the Sarbanes-Oxley Act of 2002, or Section 404, we are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we may be unable to meet our reporting obligations as a public company or comply with the requirements of the SEC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variety of risks associated with maintaining our subsidiary in Russia or expanding operations internationally could adversely affect our business.</w:t>
      </w:r>
    </w:p>
    <w:p>
      <w:pPr>
        <w:spacing w:after="0" w:line="152"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In addition to our U.S. operations, we maintain a wholly owned subsidiary in Russia, Selecta RUS. We may face risks associated with maintaining our subsidiary in Russia, or with any international operations, including possible unfavorable regulatory, pricing and reimbursement, legal, political, tax and labor conditions, which could harm our business. We may also rely on collaborators to commercialize any approved product candidates outside of the United States. Doing business internationally involves a number of risks, including but not limited to:</w:t>
      </w:r>
    </w:p>
    <w:p>
      <w:pPr>
        <w:spacing w:after="0" w:line="63" w:lineRule="exact"/>
        <w:rPr>
          <w:sz w:val="20"/>
          <w:szCs w:val="20"/>
          <w:color w:val="auto"/>
        </w:rPr>
      </w:pPr>
    </w:p>
    <w:p>
      <w:pPr>
        <w:ind w:left="340" w:right="52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 candidates in various countries;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additional potentially relevant third</w:t>
      </w:r>
      <w:r>
        <w:rPr>
          <w:rFonts w:ascii="MS PGothic" w:cs="MS PGothic" w:eastAsia="MS PGothic" w:hAnsi="MS PGothic"/>
          <w:sz w:val="18"/>
          <w:szCs w:val="18"/>
          <w:color w:val="auto"/>
        </w:rPr>
        <w:t>‑</w:t>
      </w:r>
      <w:r>
        <w:rPr>
          <w:rFonts w:ascii="Arial" w:cs="Arial" w:eastAsia="Arial" w:hAnsi="Arial"/>
          <w:sz w:val="18"/>
          <w:szCs w:val="18"/>
          <w:color w:val="auto"/>
        </w:rPr>
        <w:t>party patent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of and enforcing our intellectual property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320" w:top="665" w:right="359" w:bottom="1440" w:gutter="0" w:footer="0" w:header="0"/>
        </w:sectPr>
      </w:pPr>
    </w:p>
    <w:bookmarkStart w:id="81" w:name="page82"/>
    <w:bookmarkEnd w:id="81"/>
    <w:p>
      <w:pPr>
        <w:ind w:left="340" w:hanging="332"/>
        <w:spacing w:after="0" w:line="207" w:lineRule="exact"/>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complexities associated with managing multiple</w:t>
      </w:r>
      <w:r>
        <w:rPr>
          <w:rFonts w:ascii="MS PGothic" w:cs="MS PGothic" w:eastAsia="MS PGothic" w:hAnsi="MS PGothic"/>
          <w:sz w:val="18"/>
          <w:szCs w:val="18"/>
          <w:color w:val="auto"/>
        </w:rPr>
        <w:t>‑</w:t>
      </w:r>
      <w:r>
        <w:rPr>
          <w:rFonts w:ascii="Arial" w:cs="Arial" w:eastAsia="Arial" w:hAnsi="Arial"/>
          <w:sz w:val="18"/>
          <w:szCs w:val="18"/>
          <w:color w:val="auto"/>
        </w:rPr>
        <w:t>payor reimbursement regimes, government payors or patient self</w:t>
      </w:r>
      <w:r>
        <w:rPr>
          <w:rFonts w:ascii="MS PGothic" w:cs="MS PGothic" w:eastAsia="MS PGothic" w:hAnsi="MS PGothic"/>
          <w:sz w:val="18"/>
          <w:szCs w:val="18"/>
          <w:color w:val="auto"/>
        </w:rPr>
        <w:t>‑</w:t>
      </w:r>
      <w:r>
        <w:rPr>
          <w:rFonts w:ascii="Arial" w:cs="Arial" w:eastAsia="Arial" w:hAnsi="Arial"/>
          <w:sz w:val="18"/>
          <w:szCs w:val="18"/>
          <w:color w:val="auto"/>
        </w:rPr>
        <w:t>pay systems;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225"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183" w:lineRule="exact"/>
        <w:rPr>
          <w:rFonts w:ascii="Arial" w:cs="Arial" w:eastAsia="Arial" w:hAnsi="Arial"/>
          <w:sz w:val="18"/>
          <w:szCs w:val="18"/>
          <w:color w:val="auto"/>
        </w:rPr>
      </w:pPr>
    </w:p>
    <w:p>
      <w:pPr>
        <w:ind w:left="340" w:right="280" w:hanging="332"/>
        <w:spacing w:after="0" w:line="308"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natural disasters, political and economic instability, including wars, events of terrorism and political unrest, outbreak of disease, including the novel COVID-19 coronavirus, boycotts, curtailment of trade and other business restrictions and economic weakness, including inflation;</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diplomatic and trade relationships;</w:t>
      </w:r>
    </w:p>
    <w:p>
      <w:pPr>
        <w:spacing w:after="0" w:line="225"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170" w:lineRule="exact"/>
        <w:rPr>
          <w:rFonts w:ascii="Arial" w:cs="Arial" w:eastAsia="Arial" w:hAnsi="Arial"/>
          <w:sz w:val="18"/>
          <w:szCs w:val="18"/>
          <w:color w:val="auto"/>
        </w:rPr>
      </w:pPr>
    </w:p>
    <w:p>
      <w:pPr>
        <w:ind w:left="340" w:right="52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 on cross-border investment, including enhanced oversight by the Committee on Foreign Investment in the United States (CFIUS) and substantial restrictions on investment from China;</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225" w:lineRule="exact"/>
        <w:rPr>
          <w:rFonts w:ascii="Arial" w:cs="Arial" w:eastAsia="Arial" w:hAnsi="Arial"/>
          <w:sz w:val="18"/>
          <w:szCs w:val="18"/>
          <w:color w:val="auto"/>
        </w:rPr>
      </w:pPr>
    </w:p>
    <w:p>
      <w:pPr>
        <w:ind w:left="340" w:right="68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legal risks, including use of the legal system by the government to benefit itself or affiliated entities at our expense, including expropriation of property; and</w:t>
      </w:r>
    </w:p>
    <w:p>
      <w:pPr>
        <w:spacing w:after="0" w:line="170" w:lineRule="exact"/>
        <w:rPr>
          <w:rFonts w:ascii="Arial" w:cs="Arial" w:eastAsia="Arial" w:hAnsi="Arial"/>
          <w:sz w:val="18"/>
          <w:szCs w:val="18"/>
          <w:color w:val="auto"/>
        </w:rPr>
      </w:pPr>
    </w:p>
    <w:p>
      <w:pPr>
        <w:ind w:left="340" w:right="40" w:hanging="332"/>
        <w:spacing w:after="0" w:line="223" w:lineRule="exact"/>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activities that may fall within the purview of the FCPA its books and records provisions, or its anti</w:t>
      </w:r>
      <w:r>
        <w:rPr>
          <w:rFonts w:ascii="MS PGothic" w:cs="MS PGothic" w:eastAsia="MS PGothic" w:hAnsi="MS PGothic"/>
          <w:sz w:val="18"/>
          <w:szCs w:val="18"/>
          <w:color w:val="auto"/>
        </w:rPr>
        <w:t>‑</w:t>
      </w:r>
      <w:r>
        <w:rPr>
          <w:rFonts w:ascii="Arial" w:cs="Arial" w:eastAsia="Arial" w:hAnsi="Arial"/>
          <w:sz w:val="18"/>
          <w:szCs w:val="18"/>
          <w:color w:val="auto"/>
        </w:rPr>
        <w:t>bribery provisions.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would suffer in the event of system failures or unauthorized or inappropriate use of or access to our systems.</w:t>
      </w:r>
    </w:p>
    <w:p>
      <w:pPr>
        <w:spacing w:after="0" w:line="24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stockholders and otherwise harm our business.</w:t>
      </w:r>
    </w:p>
    <w:p>
      <w:pPr>
        <w:spacing w:after="0" w:line="225"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165"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disruption in our relationships with future customers or with current or future distributors or suppliers as a result of such a transaction;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unexpected liabilities related to acquired companies;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possible write</w:t>
      </w:r>
      <w:r>
        <w:rPr>
          <w:rFonts w:ascii="MS PGothic" w:cs="MS PGothic" w:eastAsia="MS PGothic" w:hAnsi="MS PGothic"/>
          <w:sz w:val="18"/>
          <w:szCs w:val="18"/>
          <w:color w:val="auto"/>
        </w:rPr>
        <w:t>‑</w:t>
      </w:r>
      <w:r>
        <w:rPr>
          <w:rFonts w:ascii="Arial" w:cs="Arial" w:eastAsia="Arial" w:hAnsi="Arial"/>
          <w:sz w:val="18"/>
          <w:szCs w:val="18"/>
          <w:color w:val="auto"/>
        </w:rPr>
        <w:t>offs or impairment charges relating to acquired businesses;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inability to develop a sales force for any additional product candidates.</w:t>
      </w:r>
    </w:p>
    <w:p>
      <w:pPr>
        <w:sectPr>
          <w:pgSz w:w="11900" w:h="16838" w:orient="portrait"/>
          <w:cols w:equalWidth="0" w:num="1">
            <w:col w:w="11240"/>
          </w:cols>
          <w:pgMar w:left="320" w:top="665"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40"/>
          </w:cols>
          <w:pgMar w:left="320" w:top="665" w:right="339" w:bottom="1440" w:gutter="0" w:footer="0" w:header="0"/>
          <w:type w:val="continuous"/>
        </w:sectPr>
      </w:pPr>
    </w:p>
    <w:bookmarkStart w:id="82" w:name="page83"/>
    <w:bookmarkEnd w:id="82"/>
    <w:p>
      <w:pPr>
        <w:ind w:right="40"/>
        <w:spacing w:after="0" w:line="277" w:lineRule="auto"/>
        <w:rPr>
          <w:sz w:val="20"/>
          <w:szCs w:val="20"/>
          <w:color w:val="auto"/>
        </w:rPr>
      </w:pPr>
      <w:r>
        <w:rPr>
          <w:rFonts w:ascii="Arial" w:cs="Arial" w:eastAsia="Arial" w:hAnsi="Arial"/>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70" w:lineRule="exact"/>
        <w:rPr>
          <w:sz w:val="20"/>
          <w:szCs w:val="20"/>
          <w:color w:val="auto"/>
        </w:rPr>
      </w:pPr>
    </w:p>
    <w:p>
      <w:pPr>
        <w:ind w:right="200"/>
        <w:spacing w:after="0" w:line="220" w:lineRule="exact"/>
        <w:rPr>
          <w:sz w:val="20"/>
          <w:szCs w:val="20"/>
          <w:color w:val="auto"/>
        </w:rPr>
      </w:pPr>
      <w:r>
        <w:rPr>
          <w:rFonts w:ascii="Arial" w:cs="Arial" w:eastAsia="Arial" w:hAnsi="Arial"/>
          <w:sz w:val="18"/>
          <w:szCs w:val="18"/>
          <w:color w:val="auto"/>
        </w:rPr>
        <w:t>Also, the expected benefit of any acquisition may not materialize. Future acquisitions or dispositions could result in potentially dilutive issuances of our equity securities, the incurrence of debt, contingent liabilities or amortization expenses or write</w:t>
      </w:r>
      <w:r>
        <w:rPr>
          <w:rFonts w:ascii="MS PGothic" w:cs="MS PGothic" w:eastAsia="MS PGothic" w:hAnsi="MS PGothic"/>
          <w:sz w:val="18"/>
          <w:szCs w:val="18"/>
          <w:color w:val="auto"/>
        </w:rPr>
        <w:t>‑</w:t>
      </w:r>
      <w:r>
        <w:rPr>
          <w:rFonts w:ascii="Arial" w:cs="Arial" w:eastAsia="Arial" w:hAnsi="Arial"/>
          <w:sz w:val="18"/>
          <w:szCs w:val="18"/>
          <w:color w:val="auto"/>
        </w:rPr>
        <w:t>offs of goodwill, any of which could harm our financial condition. We cannot predict the number, timing or size of future joint ventures or acquisitions, or the effect that any such transactions might have on our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fluctuate substantially, which could result in substantial losses for purchasers of our common stock.</w:t>
      </w:r>
    </w:p>
    <w:p>
      <w:pPr>
        <w:spacing w:after="0" w:line="17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157"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or progress, or changes in approach or timelines, of clinical trials of our product candidates or those of our competitors;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commencement of, termination of, or any development related to any collaboration or licensing arrangement;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make our product candidates less attractive;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225" w:lineRule="exact"/>
        <w:rPr>
          <w:rFonts w:ascii="Arial" w:cs="Arial" w:eastAsia="Arial" w:hAnsi="Arial"/>
          <w:sz w:val="18"/>
          <w:szCs w:val="18"/>
          <w:color w:val="auto"/>
        </w:rPr>
      </w:pPr>
    </w:p>
    <w:p>
      <w:pPr>
        <w:ind w:left="340" w:right="58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announcements by us, our partners or our competitors of significant acquisitions, strategic partnerships, joint ventures, collaborations or capital commitments;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 or market expectation of additional financing efforts;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failure to meet or exceed financial estimates, projections or development timelines of the investment community or that we provide to the public;</w:t>
      </w:r>
    </w:p>
    <w:p>
      <w:pPr>
        <w:spacing w:after="0" w:line="236" w:lineRule="exact"/>
        <w:rPr>
          <w:rFonts w:ascii="Arial" w:cs="Arial" w:eastAsia="Arial" w:hAnsi="Arial"/>
          <w:sz w:val="17"/>
          <w:szCs w:val="17"/>
          <w:color w:val="auto"/>
        </w:rPr>
      </w:pPr>
    </w:p>
    <w:p>
      <w:pPr>
        <w:ind w:left="340" w:hanging="332"/>
        <w:spacing w:after="0" w:line="207" w:lineRule="exact"/>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w:t>
      </w:r>
      <w:r>
        <w:rPr>
          <w:rFonts w:ascii="MS PGothic" w:cs="MS PGothic" w:eastAsia="MS PGothic" w:hAnsi="MS PGothic"/>
          <w:sz w:val="18"/>
          <w:szCs w:val="18"/>
          <w:color w:val="auto"/>
        </w:rPr>
        <w:t>‑</w:t>
      </w:r>
      <w:r>
        <w:rPr>
          <w:rFonts w:ascii="Arial" w:cs="Arial" w:eastAsia="Arial" w:hAnsi="Arial"/>
          <w:sz w:val="18"/>
          <w:szCs w:val="18"/>
          <w:color w:val="auto"/>
        </w:rPr>
        <w:t>license additional product candidates or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expected changes in estimates as to financial results, development timelines or recommendations by securities analysts;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 of common stock by us or our stockholders in the future as well as the overall trading volume of our common stock;</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executive officers, directors and stockholders who own more than 5% of our outstanding common stock and their respective affiliates, in the aggregate, hold shares representing approximately 45% of our outstanding voting stock as of March 31, 2020. As a result, if these stockholders choose to act together, they would be able to control or significantly</w:t>
      </w:r>
    </w:p>
    <w:p>
      <w:pPr>
        <w:sectPr>
          <w:pgSz w:w="11900" w:h="16838" w:orient="portrait"/>
          <w:cols w:equalWidth="0" w:num="1">
            <w:col w:w="11220"/>
          </w:cols>
          <w:pgMar w:left="320" w:top="665" w:right="359" w:bottom="628" w:gutter="0" w:footer="0" w:header="0"/>
        </w:sect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20"/>
          </w:cols>
          <w:pgMar w:left="320" w:top="665" w:right="359" w:bottom="628" w:gutter="0" w:footer="0" w:header="0"/>
          <w:type w:val="continuous"/>
        </w:sectPr>
      </w:pPr>
    </w:p>
    <w:bookmarkStart w:id="83" w:name="page84"/>
    <w:bookmarkEnd w:id="83"/>
    <w:p>
      <w:pPr>
        <w:jc w:val="both"/>
        <w:ind w:right="180"/>
        <w:spacing w:after="0" w:line="263" w:lineRule="auto"/>
        <w:rPr>
          <w:sz w:val="20"/>
          <w:szCs w:val="20"/>
          <w:color w:val="auto"/>
        </w:rPr>
      </w:pPr>
      <w:r>
        <w:rPr>
          <w:rFonts w:ascii="Arial" w:cs="Arial" w:eastAsia="Arial" w:hAnsi="Arial"/>
          <w:sz w:val="18"/>
          <w:szCs w:val="18"/>
          <w:color w:val="auto"/>
        </w:rPr>
        <w:t>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17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in the market that the holders of a large number of shares intend to sell shares, could reduce the market price of our common stock. Holders of an aggregate of approximately 1.9 million shares of our common stock as of March 31, 2020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or until the rights terminate pursuant to the terms of the investors’ rights agreement between us and such holders.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16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addition, on June 27, 2017, we issued and sold in a private placement 3,088,791 shares of our common stock (of which approximately 0.3 million shares have continuing registration rights) and a warrant to purchase 79,130 shares of our common stock, including to certain of our affiliates. Pursuant to a registration rights agreement entered into with the investors in the private placement, on July 13, 2017, we filed a Registration Statement on Form S-3 to register the shares of common stock sold in the private placement and the shares of common stock issuable upon exercise of the warrant.</w:t>
      </w:r>
    </w:p>
    <w:p>
      <w:pPr>
        <w:spacing w:after="0" w:line="1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Similarly, on December 23, 2019, we issued and sold in a private placement 37,634,883 shares of our common stock (of which approximately 31.6 million shares have continuing registration rights) and warrants to purchase 31,330,629 shares of our common stock, including to certain of our affiliates. Pursuant to a registration rights agreement entered into with the investors in the private placement, on January 29, 2019, we filed a Registration Statement on Form S-3 to register the shares of common stock sold in the private placement and the shares of common stock issuable upon exercise of the warrants. As a result, these shares can be freely sold in the public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the funds necessary to fulfill our obligation to repurchase certain warrants.</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Under certain circumstances, holders of certain warrants issued in December 2019 may require us to repurchase the remaining unexercised portion of such warrants for an amount of cash equal to the value of the warrant as determined in accordance with the Black Scholes option pricing model and the terms of the warrants. Our ability to repurchase the warrants depends on our ability to generate cash flow in the future. To some extent, this is subject to general economic, financial, competitive, legislative and regulatory factors and other factors that are beyond our control. We cannot be certain that we will maintain sufficient cash reserves or that our business will generate cash flow from operations at levels sufficient to permit us to repurchase the warrants.</w:t>
      </w:r>
    </w:p>
    <w:p>
      <w:pPr>
        <w:spacing w:after="0" w:line="1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r>
        <w:rPr>
          <w:rFonts w:ascii="Arial" w:cs="Arial" w:eastAsia="Arial" w:hAnsi="Arial"/>
          <w:sz w:val="18"/>
          <w:szCs w:val="18"/>
          <w:b w:val="1"/>
          <w:bCs w:val="1"/>
          <w:color w:val="auto"/>
        </w:rPr>
        <w:t>.</w:t>
      </w:r>
    </w:p>
    <w:p>
      <w:pPr>
        <w:spacing w:after="0" w:line="170"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until the last day of the fiscal year following the fifth anniversary of the closing of the initial public offering of our common stock. However, if certain events occur prior to the end of such five</w:t>
      </w:r>
      <w:r>
        <w:rPr>
          <w:rFonts w:ascii="MS PGothic" w:cs="MS PGothic" w:eastAsia="MS PGothic" w:hAnsi="MS PGothic"/>
          <w:sz w:val="16"/>
          <w:szCs w:val="16"/>
          <w:color w:val="auto"/>
        </w:rPr>
        <w:t>‑</w:t>
      </w:r>
      <w:r>
        <w:rPr>
          <w:rFonts w:ascii="Arial" w:cs="Arial" w:eastAsia="Arial" w:hAnsi="Arial"/>
          <w:sz w:val="16"/>
          <w:szCs w:val="16"/>
          <w:color w:val="auto"/>
        </w:rPr>
        <w:t>year period, including if we become a “large accelerated filer,” our annual gross revenues exceed $1.07 billion or we issue more than $1.07 billion of non</w:t>
      </w:r>
      <w:r>
        <w:rPr>
          <w:rFonts w:ascii="MS PGothic" w:cs="MS PGothic" w:eastAsia="MS PGothic" w:hAnsi="MS PGothic"/>
          <w:sz w:val="16"/>
          <w:szCs w:val="16"/>
          <w:color w:val="auto"/>
        </w:rPr>
        <w:t>‑</w:t>
      </w:r>
      <w:r>
        <w:rPr>
          <w:rFonts w:ascii="Arial" w:cs="Arial" w:eastAsia="Arial" w:hAnsi="Arial"/>
          <w:sz w:val="16"/>
          <w:szCs w:val="16"/>
          <w:color w:val="auto"/>
        </w:rPr>
        <w:t>convertible debt in any three</w:t>
      </w:r>
      <w:r>
        <w:rPr>
          <w:rFonts w:ascii="MS PGothic" w:cs="MS PGothic" w:eastAsia="MS PGothic" w:hAnsi="MS PGothic"/>
          <w:sz w:val="16"/>
          <w:szCs w:val="16"/>
          <w:color w:val="auto"/>
        </w:rPr>
        <w:t>‑</w:t>
      </w:r>
      <w:r>
        <w:rPr>
          <w:rFonts w:ascii="Arial" w:cs="Arial" w:eastAsia="Arial" w:hAnsi="Arial"/>
          <w:sz w:val="16"/>
          <w:szCs w:val="16"/>
          <w:color w:val="auto"/>
        </w:rPr>
        <w:t>year period, we will cease to be an emerging growth company prior to the end of such five</w:t>
      </w:r>
      <w:r>
        <w:rPr>
          <w:rFonts w:ascii="MS PGothic" w:cs="MS PGothic" w:eastAsia="MS PGothic" w:hAnsi="MS PGothic"/>
          <w:sz w:val="16"/>
          <w:szCs w:val="16"/>
          <w:color w:val="auto"/>
        </w:rPr>
        <w:t>‑</w:t>
      </w:r>
      <w:r>
        <w:rPr>
          <w:rFonts w:ascii="Arial" w:cs="Arial" w:eastAsia="Arial" w:hAnsi="Arial"/>
          <w:sz w:val="16"/>
          <w:szCs w:val="16"/>
          <w:color w:val="auto"/>
        </w:rPr>
        <w:t>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206"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225" w:lineRule="exact"/>
        <w:rPr>
          <w:rFonts w:ascii="Arial" w:cs="Arial" w:eastAsia="Arial" w:hAnsi="Arial"/>
          <w:sz w:val="18"/>
          <w:szCs w:val="18"/>
          <w:color w:val="auto"/>
        </w:rPr>
      </w:pPr>
    </w:p>
    <w:p>
      <w:pPr>
        <w:ind w:left="340" w:right="320" w:hanging="332"/>
        <w:spacing w:after="0" w:line="342"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25" w:lineRule="exact"/>
        <w:rPr>
          <w:rFonts w:ascii="Arial" w:cs="Arial" w:eastAsia="Arial" w:hAnsi="Arial"/>
          <w:sz w:val="18"/>
          <w:szCs w:val="18"/>
          <w:color w:val="auto"/>
        </w:rPr>
      </w:pPr>
    </w:p>
    <w:p>
      <w:pPr>
        <w:ind w:left="340" w:right="74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cannot predict whether investors will find our common stock less attractive if we rely on these exemptions. We have, historically, relied on these exemptions, and we may continue to do so until they are no longer available to us. If some investors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665" w:right="339" w:bottom="1440" w:gutter="0" w:footer="0" w:header="0"/>
        </w:sectPr>
      </w:pPr>
    </w:p>
    <w:bookmarkStart w:id="84" w:name="page85"/>
    <w:bookmarkEnd w:id="84"/>
    <w:p>
      <w:pPr>
        <w:ind w:right="160"/>
        <w:spacing w:after="0" w:line="296" w:lineRule="auto"/>
        <w:rPr>
          <w:sz w:val="20"/>
          <w:szCs w:val="20"/>
          <w:color w:val="auto"/>
        </w:rPr>
      </w:pPr>
      <w:r>
        <w:rPr>
          <w:rFonts w:ascii="Arial" w:cs="Arial" w:eastAsia="Arial" w:hAnsi="Arial"/>
          <w:sz w:val="16"/>
          <w:szCs w:val="16"/>
          <w:color w:val="auto"/>
        </w:rPr>
        <w:t>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6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preclinical studies, clinical trial programs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188"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0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Provisions in our restated certificate of incorporation and our restated bylaws, which became effective upon the closing of the initial public offering of our common stock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w:t>
      </w:r>
    </w:p>
    <w:p>
      <w:pPr>
        <w:spacing w:after="0" w:line="16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9"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Furthermore, 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w:t>
      </w:r>
      <w:r>
        <w:rPr>
          <w:rFonts w:ascii="MS PGothic" w:cs="MS PGothic" w:eastAsia="MS PGothic" w:hAnsi="MS PGothic"/>
          <w:sz w:val="17"/>
          <w:szCs w:val="17"/>
          <w:color w:val="auto"/>
        </w:rPr>
        <w:t>‑</w:t>
      </w:r>
      <w:r>
        <w:rPr>
          <w:rFonts w:ascii="Arial" w:cs="Arial" w:eastAsia="Arial" w:hAnsi="Arial"/>
          <w:sz w:val="17"/>
          <w:szCs w:val="17"/>
          <w:color w:val="auto"/>
        </w:rPr>
        <w:t>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applicable or unenforceable in such action.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320" w:top="665"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139"/>
          </w:cols>
          <w:pgMar w:left="320" w:top="661" w:right="1440"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4"/>
          </w:tcPr>
          <w:p>
            <w:pPr>
              <w:ind w:left="360"/>
              <w:spacing w:after="0"/>
              <w:rPr>
                <w:sz w:val="20"/>
                <w:szCs w:val="20"/>
                <w:color w:val="auto"/>
              </w:rPr>
            </w:pPr>
            <w:r>
              <w:rPr>
                <w:rFonts w:ascii="Arial" w:cs="Arial" w:eastAsia="Arial" w:hAnsi="Arial"/>
                <w:sz w:val="18"/>
                <w:szCs w:val="18"/>
                <w:b w:val="1"/>
                <w:bCs w:val="1"/>
                <w:color w:val="auto"/>
                <w:w w:val="91"/>
              </w:rPr>
              <w:t>Incorporated by Reference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14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8"/>
        </w:trPr>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Filing</w:t>
            </w: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Filed</w:t>
            </w:r>
          </w:p>
        </w:tc>
      </w:tr>
      <w:tr>
        <w:trPr>
          <w:trHeight w:val="234"/>
        </w:trPr>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0"/>
                <w:szCs w:val="20"/>
                <w:color w:val="auto"/>
              </w:rPr>
            </w:pPr>
          </w:p>
        </w:tc>
        <w:tc>
          <w:tcPr>
            <w:tcW w:w="4260" w:type="dxa"/>
            <w:vAlign w:val="bottom"/>
            <w:gridSpan w:val="7"/>
          </w:tcPr>
          <w:p>
            <w:pPr>
              <w:spacing w:after="0"/>
              <w:rPr>
                <w:sz w:val="20"/>
                <w:szCs w:val="20"/>
                <w:color w:val="auto"/>
              </w:rPr>
            </w:pPr>
            <w:r>
              <w:rPr>
                <w:rFonts w:ascii="Arial" w:cs="Arial" w:eastAsia="Arial" w:hAnsi="Arial"/>
                <w:sz w:val="18"/>
                <w:szCs w:val="18"/>
                <w:b w:val="1"/>
                <w:bCs w:val="1"/>
                <w:color w:val="auto"/>
              </w:rPr>
              <w:t>Exhibit Description</w:t>
            </w: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rPr>
              <w:t>Form</w:t>
            </w: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File No.</w:t>
            </w: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Herewith</w:t>
            </w:r>
          </w:p>
        </w:tc>
      </w:tr>
      <w:tr>
        <w:trPr>
          <w:trHeight w:val="27"/>
        </w:trPr>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1360" w:type="dxa"/>
            <w:vAlign w:val="bottom"/>
          </w:tcPr>
          <w:p>
            <w:pPr>
              <w:jc w:val="center"/>
              <w:spacing w:after="0" w:line="196" w:lineRule="exact"/>
              <w:rPr>
                <w:rFonts w:ascii="Arial" w:cs="Arial" w:eastAsia="Arial" w:hAnsi="Arial"/>
                <w:sz w:val="18"/>
                <w:szCs w:val="18"/>
                <w:u w:val="single" w:color="auto"/>
                <w:color w:val="0000FF"/>
                <w:w w:val="87"/>
              </w:rPr>
            </w:pPr>
            <w:hyperlink r:id="rId16">
              <w:r>
                <w:rPr>
                  <w:rFonts w:ascii="Arial" w:cs="Arial" w:eastAsia="Arial" w:hAnsi="Arial"/>
                  <w:sz w:val="18"/>
                  <w:szCs w:val="18"/>
                  <w:u w:val="single" w:color="auto"/>
                  <w:color w:val="0000FF"/>
                  <w:w w:val="87"/>
                </w:rPr>
                <w:t>3.1</w:t>
              </w:r>
            </w:hyperlink>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7"/>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Restated Certificate of Incorporation of Selecta</w:t>
              </w:r>
            </w:hyperlink>
          </w:p>
        </w:tc>
        <w:tc>
          <w:tcPr>
            <w:tcW w:w="8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8-K</w:t>
            </w:r>
          </w:p>
        </w:tc>
        <w:tc>
          <w:tcPr>
            <w:tcW w:w="1340" w:type="dxa"/>
            <w:vAlign w:val="bottom"/>
          </w:tcPr>
          <w:p>
            <w:pPr>
              <w:ind w:left="20"/>
              <w:spacing w:after="0" w:line="196" w:lineRule="exact"/>
              <w:rPr>
                <w:sz w:val="20"/>
                <w:szCs w:val="20"/>
                <w:color w:val="auto"/>
              </w:rPr>
            </w:pPr>
            <w:r>
              <w:rPr>
                <w:rFonts w:ascii="Arial" w:cs="Arial" w:eastAsia="Arial" w:hAnsi="Arial"/>
                <w:sz w:val="18"/>
                <w:szCs w:val="18"/>
                <w:color w:val="auto"/>
              </w:rPr>
              <w:t>001-37798</w:t>
            </w:r>
          </w:p>
        </w:tc>
        <w:tc>
          <w:tcPr>
            <w:tcW w:w="120" w:type="dxa"/>
            <w:vAlign w:val="bottom"/>
          </w:tcPr>
          <w:p>
            <w:pPr>
              <w:spacing w:after="0"/>
              <w:rPr>
                <w:sz w:val="17"/>
                <w:szCs w:val="17"/>
                <w:color w:val="auto"/>
              </w:rPr>
            </w:pPr>
          </w:p>
        </w:tc>
        <w:tc>
          <w:tcPr>
            <w:tcW w:w="880" w:type="dxa"/>
            <w:vAlign w:val="bottom"/>
          </w:tcPr>
          <w:p>
            <w:pPr>
              <w:ind w:left="20"/>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6/29/2016</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Biosciences, Inc.</w:t>
              </w:r>
            </w:hyperlink>
          </w:p>
        </w:tc>
        <w:tc>
          <w:tcPr>
            <w:tcW w:w="2120" w:type="dxa"/>
            <w:vAlign w:val="bottom"/>
            <w:tcBorders>
              <w:top w:val="single" w:sz="8" w:color="0000FF"/>
            </w:tcBorders>
          </w:tcPr>
          <w:p>
            <w:pPr>
              <w:spacing w:after="0"/>
              <w:rPr>
                <w:sz w:val="17"/>
                <w:szCs w:val="17"/>
                <w:color w:val="auto"/>
              </w:rPr>
            </w:pPr>
          </w:p>
        </w:tc>
        <w:tc>
          <w:tcPr>
            <w:tcW w:w="86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1360" w:type="dxa"/>
            <w:vAlign w:val="bottom"/>
          </w:tcPr>
          <w:p>
            <w:pPr>
              <w:jc w:val="center"/>
              <w:spacing w:after="0"/>
              <w:rPr>
                <w:rFonts w:ascii="Arial" w:cs="Arial" w:eastAsia="Arial" w:hAnsi="Arial"/>
                <w:sz w:val="18"/>
                <w:szCs w:val="18"/>
                <w:u w:val="single" w:color="auto"/>
                <w:color w:val="0000FF"/>
                <w:w w:val="87"/>
              </w:rPr>
            </w:pPr>
            <w:hyperlink r:id="rId17">
              <w:r>
                <w:rPr>
                  <w:rFonts w:ascii="Arial" w:cs="Arial" w:eastAsia="Arial" w:hAnsi="Arial"/>
                  <w:sz w:val="18"/>
                  <w:szCs w:val="18"/>
                  <w:u w:val="single" w:color="auto"/>
                  <w:color w:val="0000FF"/>
                  <w:w w:val="87"/>
                </w:rPr>
                <w:t>3.2</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60" w:type="dxa"/>
            <w:vAlign w:val="bottom"/>
            <w:gridSpan w:val="7"/>
          </w:tcPr>
          <w:p>
            <w:pPr>
              <w:spacing w:after="0"/>
              <w:rPr>
                <w:rFonts w:ascii="Arial" w:cs="Arial" w:eastAsia="Arial" w:hAnsi="Arial"/>
                <w:sz w:val="18"/>
                <w:szCs w:val="18"/>
                <w:color w:val="0000FF"/>
                <w:w w:val="94"/>
              </w:rPr>
            </w:pPr>
            <w:hyperlink r:id="rId17">
              <w:r>
                <w:rPr>
                  <w:rFonts w:ascii="Arial" w:cs="Arial" w:eastAsia="Arial" w:hAnsi="Arial"/>
                  <w:sz w:val="18"/>
                  <w:szCs w:val="18"/>
                  <w:color w:val="0000FF"/>
                  <w:w w:val="94"/>
                </w:rPr>
                <w:t>Amended and Restated By-laws of Selecta Biosciences,</w:t>
              </w:r>
            </w:hyperlink>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340" w:type="dxa"/>
            <w:vAlign w:val="bottom"/>
          </w:tcPr>
          <w:p>
            <w:pPr>
              <w:ind w:left="20"/>
              <w:spacing w:after="0"/>
              <w:rPr>
                <w:sz w:val="20"/>
                <w:szCs w:val="20"/>
                <w:color w:val="auto"/>
              </w:rPr>
            </w:pPr>
            <w:r>
              <w:rPr>
                <w:rFonts w:ascii="Arial" w:cs="Arial" w:eastAsia="Arial" w:hAnsi="Arial"/>
                <w:sz w:val="18"/>
                <w:szCs w:val="18"/>
                <w:color w:val="auto"/>
              </w:rPr>
              <w:t>001-37798</w:t>
            </w:r>
          </w:p>
        </w:tc>
        <w:tc>
          <w:tcPr>
            <w:tcW w:w="120" w:type="dxa"/>
            <w:vAlign w:val="bottom"/>
          </w:tcPr>
          <w:p>
            <w:pPr>
              <w:spacing w:after="0"/>
              <w:rPr>
                <w:sz w:val="21"/>
                <w:szCs w:val="21"/>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6/29/2016</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Inc.</w:t>
              </w:r>
            </w:hyperlink>
          </w:p>
        </w:tc>
        <w:tc>
          <w:tcPr>
            <w:tcW w:w="24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90"/>
        </w:trPr>
        <w:tc>
          <w:tcPr>
            <w:tcW w:w="1360" w:type="dxa"/>
            <w:vAlign w:val="bottom"/>
          </w:tcPr>
          <w:p>
            <w:pPr>
              <w:jc w:val="center"/>
              <w:spacing w:after="0"/>
              <w:rPr>
                <w:rFonts w:ascii="Arial" w:cs="Arial" w:eastAsia="Arial" w:hAnsi="Arial"/>
                <w:sz w:val="18"/>
                <w:szCs w:val="18"/>
                <w:u w:val="single" w:color="auto"/>
                <w:color w:val="0000FF"/>
                <w:w w:val="91"/>
              </w:rPr>
            </w:pPr>
            <w:hyperlink w:anchor="page89">
              <w:r>
                <w:rPr>
                  <w:rFonts w:ascii="Arial" w:cs="Arial" w:eastAsia="Arial" w:hAnsi="Arial"/>
                  <w:sz w:val="18"/>
                  <w:szCs w:val="18"/>
                  <w:u w:val="single" w:color="auto"/>
                  <w:color w:val="0000FF"/>
                  <w:w w:val="91"/>
                </w:rPr>
                <w:t>10.1</w:t>
              </w:r>
            </w:hyperlink>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gridSpan w:val="7"/>
          </w:tcPr>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Non-Employee Director Compensation Program</w:t>
              </w:r>
            </w:hyperlink>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60" w:type="dxa"/>
            <w:vAlign w:val="bottom"/>
          </w:tcPr>
          <w:p>
            <w:pPr>
              <w:jc w:val="center"/>
              <w:spacing w:after="0"/>
              <w:rPr>
                <w:rFonts w:ascii="Arial" w:cs="Arial" w:eastAsia="Arial" w:hAnsi="Arial"/>
                <w:sz w:val="18"/>
                <w:szCs w:val="18"/>
                <w:u w:val="single" w:color="auto"/>
                <w:color w:val="0000FF"/>
                <w:w w:val="91"/>
              </w:rPr>
            </w:pPr>
            <w:hyperlink w:anchor="page92">
              <w:r>
                <w:rPr>
                  <w:rFonts w:ascii="Arial" w:cs="Arial" w:eastAsia="Arial" w:hAnsi="Arial"/>
                  <w:sz w:val="18"/>
                  <w:szCs w:val="18"/>
                  <w:u w:val="single" w:color="auto"/>
                  <w:color w:val="0000FF"/>
                  <w:w w:val="91"/>
                </w:rPr>
                <w:t>31.1</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92">
              <w:r>
                <w:rPr>
                  <w:rFonts w:ascii="Arial" w:cs="Arial" w:eastAsia="Arial" w:hAnsi="Arial"/>
                  <w:sz w:val="18"/>
                  <w:szCs w:val="18"/>
                  <w:color w:val="0000FF"/>
                  <w:w w:val="92"/>
                </w:rPr>
                <w:t>Rule 13a-14(a) / 15d-14(a) Certification of Chief</w:t>
              </w:r>
            </w:hyperlink>
          </w:p>
        </w:tc>
        <w:tc>
          <w:tcPr>
            <w:tcW w:w="720" w:type="dxa"/>
            <w:vAlign w:val="bottom"/>
            <w:gridSpan w:val="3"/>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7"/>
          </w:tcPr>
          <w:p>
            <w:pPr>
              <w:spacing w:after="0" w:line="196" w:lineRule="exact"/>
              <w:rPr>
                <w:rFonts w:ascii="Arial" w:cs="Arial" w:eastAsia="Arial" w:hAnsi="Arial"/>
                <w:sz w:val="18"/>
                <w:szCs w:val="18"/>
                <w:color w:val="0000FF"/>
              </w:rPr>
            </w:pPr>
            <w:hyperlink w:anchor="page92">
              <w:r>
                <w:rPr>
                  <w:rFonts w:ascii="Arial" w:cs="Arial" w:eastAsia="Arial" w:hAnsi="Arial"/>
                  <w:sz w:val="18"/>
                  <w:szCs w:val="18"/>
                  <w:color w:val="0000FF"/>
                </w:rPr>
                <w:t>Executive Officer</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360" w:type="dxa"/>
            <w:vAlign w:val="bottom"/>
          </w:tcPr>
          <w:p>
            <w:pPr>
              <w:jc w:val="center"/>
              <w:spacing w:after="0"/>
              <w:rPr>
                <w:rFonts w:ascii="Arial" w:cs="Arial" w:eastAsia="Arial" w:hAnsi="Arial"/>
                <w:sz w:val="18"/>
                <w:szCs w:val="18"/>
                <w:u w:val="single" w:color="auto"/>
                <w:color w:val="0000FF"/>
                <w:w w:val="91"/>
              </w:rPr>
            </w:pPr>
            <w:hyperlink w:anchor="page94">
              <w:r>
                <w:rPr>
                  <w:rFonts w:ascii="Arial" w:cs="Arial" w:eastAsia="Arial" w:hAnsi="Arial"/>
                  <w:sz w:val="18"/>
                  <w:szCs w:val="18"/>
                  <w:u w:val="single" w:color="auto"/>
                  <w:color w:val="0000FF"/>
                  <w:w w:val="91"/>
                </w:rPr>
                <w:t>31.2</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4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94">
              <w:r>
                <w:rPr>
                  <w:rFonts w:ascii="Arial" w:cs="Arial" w:eastAsia="Arial" w:hAnsi="Arial"/>
                  <w:sz w:val="18"/>
                  <w:szCs w:val="18"/>
                  <w:color w:val="0000FF"/>
                  <w:w w:val="92"/>
                </w:rPr>
                <w:t>Rule 13a-14(a) / 15d-14(a) Certification of Chief</w:t>
              </w:r>
            </w:hyperlink>
          </w:p>
        </w:tc>
        <w:tc>
          <w:tcPr>
            <w:tcW w:w="720" w:type="dxa"/>
            <w:vAlign w:val="bottom"/>
            <w:gridSpan w:val="3"/>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0000FF"/>
            </w:tcBorders>
            <w:gridSpan w:val="2"/>
          </w:tcPr>
          <w:p>
            <w:pPr>
              <w:spacing w:after="0" w:line="196" w:lineRule="exact"/>
              <w:rPr>
                <w:rFonts w:ascii="Arial" w:cs="Arial" w:eastAsia="Arial" w:hAnsi="Arial"/>
                <w:sz w:val="18"/>
                <w:szCs w:val="18"/>
                <w:color w:val="0000FF"/>
                <w:w w:val="95"/>
              </w:rPr>
            </w:pPr>
            <w:hyperlink w:anchor="page94">
              <w:r>
                <w:rPr>
                  <w:rFonts w:ascii="Arial" w:cs="Arial" w:eastAsia="Arial" w:hAnsi="Arial"/>
                  <w:sz w:val="18"/>
                  <w:szCs w:val="18"/>
                  <w:color w:val="0000FF"/>
                  <w:w w:val="95"/>
                </w:rPr>
                <w:t>Financial Officer</w:t>
              </w:r>
            </w:hyperlink>
          </w:p>
        </w:tc>
        <w:tc>
          <w:tcPr>
            <w:tcW w:w="298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91"/>
        </w:trPr>
        <w:tc>
          <w:tcPr>
            <w:tcW w:w="1360" w:type="dxa"/>
            <w:vAlign w:val="bottom"/>
          </w:tcPr>
          <w:p>
            <w:pPr>
              <w:jc w:val="center"/>
              <w:spacing w:after="0"/>
              <w:rPr>
                <w:rFonts w:ascii="Arial" w:cs="Arial" w:eastAsia="Arial" w:hAnsi="Arial"/>
                <w:sz w:val="18"/>
                <w:szCs w:val="18"/>
                <w:u w:val="single" w:color="auto"/>
                <w:color w:val="0000FF"/>
                <w:w w:val="91"/>
              </w:rPr>
            </w:pPr>
            <w:hyperlink w:anchor="page95">
              <w:r>
                <w:rPr>
                  <w:rFonts w:ascii="Arial" w:cs="Arial" w:eastAsia="Arial" w:hAnsi="Arial"/>
                  <w:sz w:val="18"/>
                  <w:szCs w:val="18"/>
                  <w:u w:val="single" w:color="auto"/>
                  <w:color w:val="0000FF"/>
                  <w:w w:val="91"/>
                </w:rPr>
                <w:t>32.1</w:t>
              </w:r>
            </w:hyperlink>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gridSpan w:val="7"/>
          </w:tcPr>
          <w:p>
            <w:pPr>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Section 1350 Certification of Chief Executive Officer</w:t>
              </w:r>
            </w:hyperlink>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360" w:type="dxa"/>
            <w:vAlign w:val="bottom"/>
          </w:tcPr>
          <w:p>
            <w:pPr>
              <w:jc w:val="center"/>
              <w:spacing w:after="0"/>
              <w:rPr>
                <w:rFonts w:ascii="Arial" w:cs="Arial" w:eastAsia="Arial" w:hAnsi="Arial"/>
                <w:sz w:val="18"/>
                <w:szCs w:val="18"/>
                <w:u w:val="single" w:color="auto"/>
                <w:color w:val="0000FF"/>
                <w:w w:val="91"/>
              </w:rPr>
            </w:pPr>
            <w:hyperlink w:anchor="page96">
              <w:r>
                <w:rPr>
                  <w:rFonts w:ascii="Arial" w:cs="Arial" w:eastAsia="Arial" w:hAnsi="Arial"/>
                  <w:sz w:val="18"/>
                  <w:szCs w:val="18"/>
                  <w:u w:val="single" w:color="auto"/>
                  <w:color w:val="0000FF"/>
                  <w:w w:val="91"/>
                </w:rPr>
                <w:t>32.2</w:t>
              </w:r>
            </w:hyperlink>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60" w:type="dxa"/>
            <w:vAlign w:val="bottom"/>
            <w:gridSpan w:val="7"/>
          </w:tcPr>
          <w:p>
            <w:pPr>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Section 1350 Certification of Chief Financial Officer</w:t>
              </w:r>
            </w:hyperlink>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2"/>
                <w:szCs w:val="22"/>
                <w:color w:val="auto"/>
              </w:rPr>
            </w:pPr>
          </w:p>
        </w:tc>
        <w:tc>
          <w:tcPr>
            <w:tcW w:w="4260" w:type="dxa"/>
            <w:vAlign w:val="bottom"/>
            <w:gridSpan w:val="7"/>
          </w:tcPr>
          <w:p>
            <w:pPr>
              <w:spacing w:after="0"/>
              <w:rPr>
                <w:sz w:val="20"/>
                <w:szCs w:val="20"/>
                <w:color w:val="auto"/>
              </w:rPr>
            </w:pPr>
            <w:r>
              <w:rPr>
                <w:rFonts w:ascii="Arial" w:cs="Arial" w:eastAsia="Arial" w:hAnsi="Arial"/>
                <w:sz w:val="18"/>
                <w:szCs w:val="18"/>
                <w:color w:val="auto"/>
              </w:rPr>
              <w:t>Inline XBRL Instance Document - the Instance</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7"/>
          </w:tcPr>
          <w:p>
            <w:pPr>
              <w:spacing w:after="0"/>
              <w:rPr>
                <w:sz w:val="20"/>
                <w:szCs w:val="20"/>
                <w:color w:val="auto"/>
              </w:rPr>
            </w:pPr>
            <w:r>
              <w:rPr>
                <w:rFonts w:ascii="Arial" w:cs="Arial" w:eastAsia="Arial" w:hAnsi="Arial"/>
                <w:sz w:val="18"/>
                <w:szCs w:val="18"/>
                <w:color w:val="auto"/>
              </w:rPr>
              <w:t>Document does not appear in the interactive data file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7"/>
          </w:tcPr>
          <w:p>
            <w:pPr>
              <w:spacing w:after="0"/>
              <w:rPr>
                <w:sz w:val="20"/>
                <w:szCs w:val="20"/>
                <w:color w:val="auto"/>
              </w:rPr>
            </w:pPr>
            <w:r>
              <w:rPr>
                <w:rFonts w:ascii="Arial" w:cs="Arial" w:eastAsia="Arial" w:hAnsi="Arial"/>
                <w:sz w:val="18"/>
                <w:szCs w:val="18"/>
                <w:color w:val="auto"/>
                <w:w w:val="98"/>
              </w:rPr>
              <w:t>because its XBRL tags are embedded within the Inline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gridSpan w:val="7"/>
          </w:tcPr>
          <w:p>
            <w:pPr>
              <w:spacing w:after="0"/>
              <w:rPr>
                <w:sz w:val="20"/>
                <w:szCs w:val="20"/>
                <w:color w:val="auto"/>
              </w:rPr>
            </w:pPr>
            <w:r>
              <w:rPr>
                <w:rFonts w:ascii="Arial" w:cs="Arial" w:eastAsia="Arial" w:hAnsi="Arial"/>
                <w:sz w:val="18"/>
                <w:szCs w:val="18"/>
                <w:color w:val="auto"/>
              </w:rPr>
              <w:t>XBRL document.</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3"/>
                <w:szCs w:val="23"/>
                <w:color w:val="auto"/>
              </w:rPr>
            </w:pPr>
          </w:p>
        </w:tc>
        <w:tc>
          <w:tcPr>
            <w:tcW w:w="4260" w:type="dxa"/>
            <w:vAlign w:val="bottom"/>
            <w:gridSpan w:val="7"/>
          </w:tcPr>
          <w:p>
            <w:pPr>
              <w:spacing w:after="0"/>
              <w:rPr>
                <w:sz w:val="20"/>
                <w:szCs w:val="20"/>
                <w:color w:val="auto"/>
              </w:rPr>
            </w:pPr>
            <w:r>
              <w:rPr>
                <w:rFonts w:ascii="Arial" w:cs="Arial" w:eastAsia="Arial" w:hAnsi="Arial"/>
                <w:sz w:val="18"/>
                <w:szCs w:val="18"/>
                <w:color w:val="auto"/>
                <w:w w:val="99"/>
              </w:rPr>
              <w:t>Inline XBRL Taxonomy Extension Schema Document</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2"/>
                <w:szCs w:val="22"/>
                <w:color w:val="auto"/>
              </w:rPr>
            </w:pPr>
          </w:p>
        </w:tc>
        <w:tc>
          <w:tcPr>
            <w:tcW w:w="4260" w:type="dxa"/>
            <w:vAlign w:val="bottom"/>
            <w:gridSpan w:val="7"/>
          </w:tcPr>
          <w:p>
            <w:pPr>
              <w:spacing w:after="0"/>
              <w:rPr>
                <w:sz w:val="20"/>
                <w:szCs w:val="20"/>
                <w:color w:val="auto"/>
              </w:rPr>
            </w:pPr>
            <w:r>
              <w:rPr>
                <w:rFonts w:ascii="Arial" w:cs="Arial" w:eastAsia="Arial" w:hAnsi="Arial"/>
                <w:sz w:val="18"/>
                <w:szCs w:val="18"/>
                <w:color w:val="auto"/>
                <w:w w:val="96"/>
              </w:rPr>
              <w:t>Inline XBRL Taxonomy Extension Calculation Linkbase</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6"/>
        </w:trPr>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2"/>
                <w:szCs w:val="22"/>
                <w:color w:val="auto"/>
              </w:rPr>
            </w:pPr>
          </w:p>
        </w:tc>
        <w:tc>
          <w:tcPr>
            <w:tcW w:w="4260" w:type="dxa"/>
            <w:vAlign w:val="bottom"/>
            <w:gridSpan w:val="7"/>
          </w:tcPr>
          <w:p>
            <w:pPr>
              <w:spacing w:after="0"/>
              <w:rPr>
                <w:sz w:val="20"/>
                <w:szCs w:val="20"/>
                <w:color w:val="auto"/>
              </w:rPr>
            </w:pPr>
            <w:r>
              <w:rPr>
                <w:rFonts w:ascii="Arial" w:cs="Arial" w:eastAsia="Arial" w:hAnsi="Arial"/>
                <w:sz w:val="18"/>
                <w:szCs w:val="18"/>
                <w:color w:val="auto"/>
                <w:w w:val="99"/>
              </w:rPr>
              <w:t>Inline XBRL Taxonomy Extension Definition Linkbase</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6"/>
        </w:trPr>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2"/>
                <w:szCs w:val="22"/>
                <w:color w:val="auto"/>
              </w:rPr>
            </w:pPr>
          </w:p>
        </w:tc>
        <w:tc>
          <w:tcPr>
            <w:tcW w:w="426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6"/>
        </w:trPr>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2"/>
                <w:szCs w:val="22"/>
                <w:color w:val="auto"/>
              </w:rPr>
            </w:pPr>
          </w:p>
        </w:tc>
        <w:tc>
          <w:tcPr>
            <w:tcW w:w="426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gridSpan w:val="7"/>
          </w:tcPr>
          <w:p>
            <w:pPr>
              <w:spacing w:after="0"/>
              <w:rPr>
                <w:sz w:val="20"/>
                <w:szCs w:val="20"/>
                <w:color w:val="auto"/>
              </w:rPr>
            </w:pPr>
            <w:r>
              <w:rPr>
                <w:rFonts w:ascii="Arial" w:cs="Arial" w:eastAsia="Arial" w:hAnsi="Arial"/>
                <w:sz w:val="18"/>
                <w:szCs w:val="18"/>
                <w:color w:val="auto"/>
              </w:rPr>
              <w:t>Linkbase Document</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6"/>
        </w:trPr>
        <w:tc>
          <w:tcPr>
            <w:tcW w:w="136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gridSpan w:val="7"/>
          </w:tcPr>
          <w:p>
            <w:pPr>
              <w:spacing w:after="0"/>
              <w:rPr>
                <w:sz w:val="20"/>
                <w:szCs w:val="20"/>
                <w:color w:val="auto"/>
              </w:rPr>
            </w:pPr>
            <w:r>
              <w:rPr>
                <w:rFonts w:ascii="Arial" w:cs="Arial" w:eastAsia="Arial" w:hAnsi="Arial"/>
                <w:sz w:val="18"/>
                <w:szCs w:val="18"/>
                <w:color w:val="auto"/>
              </w:rPr>
              <w:t>XBRL and contained in Exhibit 101)</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29" w:lineRule="exact"/>
        <w:rPr>
          <w:sz w:val="20"/>
          <w:szCs w:val="20"/>
          <w:color w:val="auto"/>
        </w:rPr>
      </w:pPr>
    </w:p>
    <w:p>
      <w:pPr>
        <w:ind w:left="1140" w:hanging="484"/>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1140" w:hanging="484"/>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left="1140" w:hanging="484"/>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85</w:t>
      </w:r>
    </w:p>
    <w:p>
      <w:pPr>
        <w:sectPr>
          <w:pgSz w:w="11900" w:h="16838" w:orient="portrait"/>
          <w:cols w:equalWidth="0" w:num="1">
            <w:col w:w="11240"/>
          </w:cols>
          <w:pgMar w:left="320" w:top="66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00" w:type="dxa"/>
            <w:vAlign w:val="bottom"/>
            <w:gridSpan w:val="2"/>
          </w:tcPr>
          <w:p>
            <w:pPr>
              <w:ind w:left="2240"/>
              <w:spacing w:after="0"/>
              <w:rPr>
                <w:sz w:val="20"/>
                <w:szCs w:val="20"/>
                <w:color w:val="auto"/>
              </w:rPr>
            </w:pPr>
            <w:r>
              <w:rPr>
                <w:rFonts w:ascii="Arial" w:cs="Arial" w:eastAsia="Arial" w:hAnsi="Arial"/>
                <w:sz w:val="18"/>
                <w:szCs w:val="18"/>
                <w:b w:val="1"/>
                <w:bCs w:val="1"/>
                <w:color w:val="auto"/>
              </w:rPr>
              <w:t>SELECTA BIOSCIENCES, INC.</w:t>
            </w:r>
          </w:p>
        </w:tc>
      </w:tr>
      <w:tr>
        <w:trPr>
          <w:trHeight w:val="540"/>
        </w:trPr>
        <w:tc>
          <w:tcPr>
            <w:tcW w:w="3600" w:type="dxa"/>
            <w:vAlign w:val="bottom"/>
          </w:tcPr>
          <w:p>
            <w:pPr>
              <w:spacing w:after="0"/>
              <w:rPr>
                <w:sz w:val="20"/>
                <w:szCs w:val="20"/>
                <w:color w:val="auto"/>
              </w:rPr>
            </w:pPr>
            <w:r>
              <w:rPr>
                <w:rFonts w:ascii="Arial" w:cs="Arial" w:eastAsia="Arial" w:hAnsi="Arial"/>
                <w:sz w:val="18"/>
                <w:szCs w:val="18"/>
                <w:color w:val="auto"/>
              </w:rPr>
              <w:t>Date: May 7, 2020</w:t>
            </w:r>
          </w:p>
        </w:tc>
        <w:tc>
          <w:tcPr>
            <w:tcW w:w="2660" w:type="dxa"/>
            <w:vAlign w:val="bottom"/>
          </w:tcPr>
          <w:p>
            <w:pPr>
              <w:ind w:left="2240"/>
              <w:spacing w:after="0"/>
              <w:rPr>
                <w:sz w:val="20"/>
                <w:szCs w:val="20"/>
                <w:color w:val="auto"/>
              </w:rPr>
            </w:pPr>
            <w:r>
              <w:rPr>
                <w:rFonts w:ascii="Arial" w:cs="Arial" w:eastAsia="Arial" w:hAnsi="Arial"/>
                <w:sz w:val="18"/>
                <w:szCs w:val="18"/>
                <w:color w:val="auto"/>
              </w:rPr>
              <w:t>By:</w:t>
            </w:r>
          </w:p>
        </w:tc>
        <w:tc>
          <w:tcPr>
            <w:tcW w:w="4940" w:type="dxa"/>
            <w:vAlign w:val="bottom"/>
          </w:tcPr>
          <w:p>
            <w:pPr>
              <w:jc w:val="center"/>
              <w:spacing w:after="0"/>
              <w:rPr>
                <w:sz w:val="20"/>
                <w:szCs w:val="20"/>
                <w:color w:val="auto"/>
              </w:rPr>
            </w:pPr>
            <w:r>
              <w:rPr>
                <w:rFonts w:ascii="Arial" w:cs="Arial" w:eastAsia="Arial" w:hAnsi="Arial"/>
                <w:sz w:val="18"/>
                <w:szCs w:val="18"/>
                <w:color w:val="auto"/>
                <w:w w:val="90"/>
              </w:rPr>
              <w:t>/s/ Carsten Brunn, Ph.D.</w:t>
            </w: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89"/>
              </w:rPr>
              <w:t>Carsten Brunn, Ph.D.</w:t>
            </w:r>
          </w:p>
        </w:tc>
      </w:tr>
      <w:tr>
        <w:trPr>
          <w:trHeight w:val="270"/>
        </w:trPr>
        <w:tc>
          <w:tcPr>
            <w:tcW w:w="36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494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 and Director</w:t>
            </w:r>
          </w:p>
        </w:tc>
      </w:tr>
      <w:tr>
        <w:trPr>
          <w:trHeight w:val="270"/>
        </w:trPr>
        <w:tc>
          <w:tcPr>
            <w:tcW w:w="36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49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837"/>
        </w:trPr>
        <w:tc>
          <w:tcPr>
            <w:tcW w:w="3600" w:type="dxa"/>
            <w:vAlign w:val="bottom"/>
          </w:tcPr>
          <w:p>
            <w:pPr>
              <w:spacing w:after="0"/>
              <w:rPr>
                <w:sz w:val="20"/>
                <w:szCs w:val="20"/>
                <w:color w:val="auto"/>
              </w:rPr>
            </w:pPr>
            <w:r>
              <w:rPr>
                <w:rFonts w:ascii="Arial" w:cs="Arial" w:eastAsia="Arial" w:hAnsi="Arial"/>
                <w:sz w:val="18"/>
                <w:szCs w:val="18"/>
                <w:color w:val="auto"/>
              </w:rPr>
              <w:t>Date: May 7, 2020</w:t>
            </w:r>
          </w:p>
        </w:tc>
        <w:tc>
          <w:tcPr>
            <w:tcW w:w="2660" w:type="dxa"/>
            <w:vAlign w:val="bottom"/>
          </w:tcPr>
          <w:p>
            <w:pPr>
              <w:ind w:left="2240"/>
              <w:spacing w:after="0"/>
              <w:rPr>
                <w:sz w:val="20"/>
                <w:szCs w:val="20"/>
                <w:color w:val="auto"/>
              </w:rPr>
            </w:pPr>
            <w:r>
              <w:rPr>
                <w:rFonts w:ascii="Arial" w:cs="Arial" w:eastAsia="Arial" w:hAnsi="Arial"/>
                <w:sz w:val="18"/>
                <w:szCs w:val="18"/>
                <w:color w:val="auto"/>
              </w:rPr>
              <w:t>By:</w:t>
            </w:r>
          </w:p>
        </w:tc>
        <w:tc>
          <w:tcPr>
            <w:tcW w:w="4940" w:type="dxa"/>
            <w:vAlign w:val="bottom"/>
          </w:tcPr>
          <w:p>
            <w:pPr>
              <w:jc w:val="center"/>
              <w:spacing w:after="0"/>
              <w:rPr>
                <w:sz w:val="20"/>
                <w:szCs w:val="20"/>
                <w:color w:val="auto"/>
              </w:rPr>
            </w:pPr>
            <w:r>
              <w:rPr>
                <w:rFonts w:ascii="Arial" w:cs="Arial" w:eastAsia="Arial" w:hAnsi="Arial"/>
                <w:sz w:val="18"/>
                <w:szCs w:val="18"/>
                <w:color w:val="auto"/>
                <w:w w:val="90"/>
              </w:rPr>
              <w:t>/s/ Bradford D. Dahms</w:t>
            </w: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2"/>
              </w:rPr>
              <w:t>Bradford D. Dahms</w:t>
            </w:r>
          </w:p>
        </w:tc>
      </w:tr>
    </w:tbl>
    <w:p>
      <w:pPr>
        <w:spacing w:after="0" w:line="40"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66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20"/>
          <w:szCs w:val="20"/>
          <w:b w:val="1"/>
          <w:bCs w:val="1"/>
          <w:color w:val="auto"/>
        </w:rPr>
        <w:t>Exhibit 10.1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SELECTA BIOSCIENCES, INC.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 COMPENSATION PROGRAM</w:t>
      </w:r>
    </w:p>
    <w:p>
      <w:pPr>
        <w:spacing w:after="0" w:line="2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Non-employee members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Selecta Biosciences,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receive cash and equity compensation as set forth in this Non-Employee Director Compensation Program (this “</w:t>
      </w:r>
      <w:r>
        <w:rPr>
          <w:rFonts w:ascii="Arial" w:cs="Arial" w:eastAsia="Arial" w:hAnsi="Arial"/>
          <w:sz w:val="19"/>
          <w:szCs w:val="19"/>
          <w:b w:val="1"/>
          <w:bCs w:val="1"/>
          <w:i w:val="1"/>
          <w:iCs w:val="1"/>
          <w:color w:val="auto"/>
        </w:rPr>
        <w:t>Program</w:t>
      </w:r>
      <w:r>
        <w:rPr>
          <w:rFonts w:ascii="Arial" w:cs="Arial" w:eastAsia="Arial" w:hAnsi="Arial"/>
          <w:sz w:val="19"/>
          <w:szCs w:val="19"/>
          <w:color w:val="auto"/>
        </w:rPr>
        <w:t>”), as amended by the Board effective March 25, 2020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19"/>
          <w:szCs w:val="19"/>
          <w:b w:val="1"/>
          <w:bCs w:val="1"/>
          <w:i w:val="1"/>
          <w:iCs w:val="1"/>
          <w:color w:val="auto"/>
        </w:rPr>
        <w:t>Non-Employee Director</w:t>
      </w:r>
      <w:r>
        <w:rPr>
          <w:rFonts w:ascii="Arial" w:cs="Arial" w:eastAsia="Arial" w:hAnsi="Arial"/>
          <w:sz w:val="19"/>
          <w:szCs w:val="19"/>
          <w:color w:val="auto"/>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No Non-Employee Director shall have any rights hereunder, except with respect to stock options granted pursuant to the Program. This Program shall become effective on the Effective Date.</w:t>
      </w:r>
    </w:p>
    <w:p>
      <w:pPr>
        <w:spacing w:after="0" w:line="200" w:lineRule="exact"/>
        <w:rPr>
          <w:sz w:val="20"/>
          <w:szCs w:val="20"/>
          <w:color w:val="auto"/>
        </w:rPr>
      </w:pPr>
    </w:p>
    <w:p>
      <w:pPr>
        <w:spacing w:after="0" w:line="214"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CASH COMPENSATION</w:t>
      </w:r>
    </w:p>
    <w:p>
      <w:pPr>
        <w:spacing w:after="0" w:line="225" w:lineRule="exact"/>
        <w:rPr>
          <w:rFonts w:ascii="Arial" w:cs="Arial" w:eastAsia="Arial" w:hAnsi="Arial"/>
          <w:sz w:val="22"/>
          <w:szCs w:val="22"/>
          <w:b w:val="1"/>
          <w:bCs w:val="1"/>
          <w:color w:val="auto"/>
        </w:rPr>
      </w:pPr>
    </w:p>
    <w:p>
      <w:pPr>
        <w:ind w:left="1720" w:hanging="416"/>
        <w:spacing w:after="0"/>
        <w:tabs>
          <w:tab w:leader="none" w:pos="1720"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Annual Retainers</w:t>
      </w:r>
      <w:r>
        <w:rPr>
          <w:rFonts w:ascii="Arial" w:cs="Arial" w:eastAsia="Arial" w:hAnsi="Arial"/>
          <w:sz w:val="19"/>
          <w:szCs w:val="19"/>
          <w:color w:val="auto"/>
        </w:rPr>
        <w:t>. Each Non-Employee Director shall receive an annual retainer of $40,000 for service on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Board.</w:t>
      </w:r>
    </w:p>
    <w:p>
      <w:pPr>
        <w:spacing w:after="0" w:line="201" w:lineRule="exact"/>
        <w:rPr>
          <w:rFonts w:ascii="Arial" w:cs="Arial" w:eastAsia="Arial" w:hAnsi="Arial"/>
          <w:sz w:val="19"/>
          <w:szCs w:val="19"/>
          <w:color w:val="auto"/>
        </w:rPr>
      </w:pPr>
    </w:p>
    <w:p>
      <w:pPr>
        <w:ind w:left="1860" w:hanging="556"/>
        <w:spacing w:after="0"/>
        <w:tabs>
          <w:tab w:leader="none" w:pos="1860"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Additional Annual Retainers</w:t>
      </w:r>
      <w:r>
        <w:rPr>
          <w:rFonts w:ascii="Arial" w:cs="Arial" w:eastAsia="Arial" w:hAnsi="Arial"/>
          <w:sz w:val="19"/>
          <w:szCs w:val="19"/>
          <w:color w:val="auto"/>
        </w:rPr>
        <w:t>. In addition, each Non-Employee Director shall receive the following annual</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retainers:</w:t>
      </w:r>
    </w:p>
    <w:p>
      <w:pPr>
        <w:spacing w:after="0" w:line="201" w:lineRule="exact"/>
        <w:rPr>
          <w:rFonts w:ascii="Arial" w:cs="Arial" w:eastAsia="Arial" w:hAnsi="Arial"/>
          <w:sz w:val="19"/>
          <w:szCs w:val="19"/>
          <w:color w:val="auto"/>
        </w:rPr>
      </w:pPr>
    </w:p>
    <w:p>
      <w:pPr>
        <w:jc w:val="both"/>
        <w:ind w:right="20" w:firstLine="1952"/>
        <w:spacing w:after="0" w:line="271" w:lineRule="auto"/>
        <w:tabs>
          <w:tab w:leader="none" w:pos="2565" w:val="left"/>
        </w:tabs>
        <w:numPr>
          <w:ilvl w:val="2"/>
          <w:numId w:val="48"/>
        </w:numPr>
        <w:rPr>
          <w:rFonts w:ascii="Arial" w:cs="Arial" w:eastAsia="Arial" w:hAnsi="Arial"/>
          <w:sz w:val="21"/>
          <w:szCs w:val="21"/>
          <w:color w:val="auto"/>
        </w:rPr>
      </w:pPr>
      <w:r>
        <w:rPr>
          <w:rFonts w:ascii="Arial" w:cs="Arial" w:eastAsia="Arial" w:hAnsi="Arial"/>
          <w:sz w:val="21"/>
          <w:szCs w:val="21"/>
          <w:i w:val="1"/>
          <w:iCs w:val="1"/>
          <w:color w:val="auto"/>
        </w:rPr>
        <w:t>Chairperson of the Board or Lead Independent Director</w:t>
      </w:r>
      <w:r>
        <w:rPr>
          <w:rFonts w:ascii="Arial" w:cs="Arial" w:eastAsia="Arial" w:hAnsi="Arial"/>
          <w:sz w:val="21"/>
          <w:szCs w:val="21"/>
          <w:color w:val="auto"/>
        </w:rPr>
        <w:t>. A Non-Employee Director serving as</w:t>
      </w:r>
      <w:r>
        <w:rPr>
          <w:rFonts w:ascii="Arial" w:cs="Arial" w:eastAsia="Arial" w:hAnsi="Arial"/>
          <w:sz w:val="21"/>
          <w:szCs w:val="21"/>
          <w:i w:val="1"/>
          <w:iCs w:val="1"/>
          <w:color w:val="auto"/>
        </w:rPr>
        <w:t xml:space="preserve"> </w:t>
      </w:r>
      <w:r>
        <w:rPr>
          <w:rFonts w:ascii="Arial" w:cs="Arial" w:eastAsia="Arial" w:hAnsi="Arial"/>
          <w:sz w:val="21"/>
          <w:szCs w:val="21"/>
          <w:color w:val="auto"/>
        </w:rPr>
        <w:t>Chairperson of the Board shall receive an additional annual retainer of $30,000 for such service, and a Non-Employee Director serving as Lead Independent Director shall receive an additional annual retainer of $20,000 for such service.</w:t>
      </w:r>
    </w:p>
    <w:p>
      <w:pPr>
        <w:spacing w:after="0" w:line="167" w:lineRule="exact"/>
        <w:rPr>
          <w:rFonts w:ascii="Arial" w:cs="Arial" w:eastAsia="Arial" w:hAnsi="Arial"/>
          <w:sz w:val="21"/>
          <w:szCs w:val="21"/>
          <w:color w:val="auto"/>
        </w:rPr>
      </w:pPr>
    </w:p>
    <w:p>
      <w:pPr>
        <w:jc w:val="both"/>
        <w:ind w:firstLine="1952"/>
        <w:spacing w:after="0" w:line="271" w:lineRule="auto"/>
        <w:tabs>
          <w:tab w:leader="none" w:pos="2484" w:val="left"/>
        </w:tabs>
        <w:numPr>
          <w:ilvl w:val="2"/>
          <w:numId w:val="48"/>
        </w:numPr>
        <w:rPr>
          <w:rFonts w:ascii="Arial" w:cs="Arial" w:eastAsia="Arial" w:hAnsi="Arial"/>
          <w:sz w:val="21"/>
          <w:szCs w:val="21"/>
          <w:color w:val="auto"/>
        </w:rPr>
      </w:pPr>
      <w:r>
        <w:rPr>
          <w:rFonts w:ascii="Arial" w:cs="Arial" w:eastAsia="Arial" w:hAnsi="Arial"/>
          <w:sz w:val="21"/>
          <w:szCs w:val="21"/>
          <w:i w:val="1"/>
          <w:iCs w:val="1"/>
          <w:color w:val="auto"/>
        </w:rPr>
        <w:t>Audit Committee</w:t>
      </w:r>
      <w:r>
        <w:rPr>
          <w:rFonts w:ascii="Arial" w:cs="Arial" w:eastAsia="Arial" w:hAnsi="Arial"/>
          <w:sz w:val="21"/>
          <w:szCs w:val="21"/>
          <w:color w:val="auto"/>
        </w:rPr>
        <w:t>. A Non-Employee Director serving as Chairperson of the Audit Committee shall</w:t>
      </w:r>
      <w:r>
        <w:rPr>
          <w:rFonts w:ascii="Arial" w:cs="Arial" w:eastAsia="Arial" w:hAnsi="Arial"/>
          <w:sz w:val="21"/>
          <w:szCs w:val="21"/>
          <w:i w:val="1"/>
          <w:iCs w:val="1"/>
          <w:color w:val="auto"/>
        </w:rPr>
        <w:t xml:space="preserve"> </w:t>
      </w:r>
      <w:r>
        <w:rPr>
          <w:rFonts w:ascii="Arial" w:cs="Arial" w:eastAsia="Arial" w:hAnsi="Arial"/>
          <w:sz w:val="21"/>
          <w:szCs w:val="21"/>
          <w:color w:val="auto"/>
        </w:rPr>
        <w:t>receive an additional annual retainer of $15,000 for such service. A Non-Employee Director serving as a member other than the Chairperson of the Audit Committee shall receive an additional annual retainer of $7,500 for such service.</w:t>
      </w:r>
    </w:p>
    <w:p>
      <w:pPr>
        <w:spacing w:after="0" w:line="167" w:lineRule="exact"/>
        <w:rPr>
          <w:rFonts w:ascii="Arial" w:cs="Arial" w:eastAsia="Arial" w:hAnsi="Arial"/>
          <w:sz w:val="21"/>
          <w:szCs w:val="21"/>
          <w:color w:val="auto"/>
        </w:rPr>
      </w:pPr>
    </w:p>
    <w:p>
      <w:pPr>
        <w:jc w:val="both"/>
        <w:ind w:firstLine="1952"/>
        <w:spacing w:after="0" w:line="250" w:lineRule="auto"/>
        <w:tabs>
          <w:tab w:leader="none" w:pos="2416" w:val="left"/>
        </w:tabs>
        <w:numPr>
          <w:ilvl w:val="2"/>
          <w:numId w:val="48"/>
        </w:numPr>
        <w:rPr>
          <w:rFonts w:ascii="Arial" w:cs="Arial" w:eastAsia="Arial" w:hAnsi="Arial"/>
          <w:sz w:val="22"/>
          <w:szCs w:val="22"/>
          <w:color w:val="auto"/>
        </w:rPr>
      </w:pPr>
      <w:r>
        <w:rPr>
          <w:rFonts w:ascii="Arial" w:cs="Arial" w:eastAsia="Arial" w:hAnsi="Arial"/>
          <w:sz w:val="22"/>
          <w:szCs w:val="22"/>
          <w:i w:val="1"/>
          <w:iCs w:val="1"/>
          <w:color w:val="auto"/>
        </w:rPr>
        <w:t>Compensation Committee</w:t>
      </w:r>
      <w:r>
        <w:rPr>
          <w:rFonts w:ascii="Arial" w:cs="Arial" w:eastAsia="Arial" w:hAnsi="Arial"/>
          <w:sz w:val="22"/>
          <w:szCs w:val="22"/>
          <w:color w:val="auto"/>
        </w:rPr>
        <w:t>. A Non-Employee Director serving as Chairperson of the Compensation</w:t>
      </w:r>
      <w:r>
        <w:rPr>
          <w:rFonts w:ascii="Arial" w:cs="Arial" w:eastAsia="Arial" w:hAnsi="Arial"/>
          <w:sz w:val="22"/>
          <w:szCs w:val="22"/>
          <w:i w:val="1"/>
          <w:iCs w:val="1"/>
          <w:color w:val="auto"/>
        </w:rPr>
        <w:t xml:space="preserve"> </w:t>
      </w:r>
      <w:r>
        <w:rPr>
          <w:rFonts w:ascii="Arial" w:cs="Arial" w:eastAsia="Arial" w:hAnsi="Arial"/>
          <w:sz w:val="22"/>
          <w:szCs w:val="22"/>
          <w:color w:val="auto"/>
        </w:rPr>
        <w:t>Committee shall receive an additional annual retainer of $12,000 for such service. A Non-Employee Director serving as a member other than the Chairperson of the Compensation Committee shall receive an additional annual retainer of $6,000 for such service.</w:t>
      </w:r>
    </w:p>
    <w:p>
      <w:pPr>
        <w:sectPr>
          <w:pgSz w:w="11900" w:h="16838" w:orient="portrait"/>
          <w:cols w:equalWidth="0" w:num="1">
            <w:col w:w="11240"/>
          </w:cols>
          <w:pgMar w:left="320" w:top="495" w:right="339" w:bottom="1440" w:gutter="0" w:footer="0" w:header="0"/>
        </w:sectPr>
      </w:pPr>
    </w:p>
    <w:bookmarkStart w:id="89" w:name="page90"/>
    <w:bookmarkEnd w:id="89"/>
    <w:p>
      <w:pPr>
        <w:jc w:val="both"/>
        <w:ind w:firstLine="1952"/>
        <w:spacing w:after="0" w:line="265" w:lineRule="auto"/>
        <w:tabs>
          <w:tab w:leader="none" w:pos="2754" w:val="left"/>
        </w:tabs>
        <w:numPr>
          <w:ilvl w:val="2"/>
          <w:numId w:val="49"/>
        </w:numPr>
        <w:rPr>
          <w:rFonts w:ascii="Arial" w:cs="Arial" w:eastAsia="Arial" w:hAnsi="Arial"/>
          <w:sz w:val="21"/>
          <w:szCs w:val="21"/>
          <w:color w:val="auto"/>
        </w:rPr>
      </w:pPr>
      <w:r>
        <w:rPr>
          <w:rFonts w:ascii="Arial" w:cs="Arial" w:eastAsia="Arial" w:hAnsi="Arial"/>
          <w:sz w:val="21"/>
          <w:szCs w:val="21"/>
          <w:i w:val="1"/>
          <w:iCs w:val="1"/>
          <w:color w:val="auto"/>
        </w:rPr>
        <w:t>Nominating and Corporate Governance Committee</w:t>
      </w:r>
      <w:r>
        <w:rPr>
          <w:rFonts w:ascii="Arial" w:cs="Arial" w:eastAsia="Arial" w:hAnsi="Arial"/>
          <w:sz w:val="21"/>
          <w:szCs w:val="21"/>
          <w:color w:val="auto"/>
        </w:rPr>
        <w:t>. A Non-Employee Director serving as</w:t>
      </w:r>
      <w:r>
        <w:rPr>
          <w:rFonts w:ascii="Arial" w:cs="Arial" w:eastAsia="Arial" w:hAnsi="Arial"/>
          <w:sz w:val="21"/>
          <w:szCs w:val="21"/>
          <w:i w:val="1"/>
          <w:iCs w:val="1"/>
          <w:color w:val="auto"/>
        </w:rPr>
        <w:t xml:space="preserve"> </w:t>
      </w:r>
      <w:r>
        <w:rPr>
          <w:rFonts w:ascii="Arial" w:cs="Arial" w:eastAsia="Arial" w:hAnsi="Arial"/>
          <w:sz w:val="21"/>
          <w:szCs w:val="21"/>
          <w:color w:val="auto"/>
        </w:rPr>
        <w:t>Chairperson of the Nominating and Corporate Governance Committee shall receive an additional annual retainer of $8,000 for such service. A Non-Employee Director serving as a member other than the Chairperson of the Nominating and Corporate Governance Committee shall receive an additional annual retainer of $4,000 for such service.</w:t>
      </w:r>
    </w:p>
    <w:p>
      <w:pPr>
        <w:spacing w:after="0" w:line="175" w:lineRule="exact"/>
        <w:rPr>
          <w:rFonts w:ascii="Arial" w:cs="Arial" w:eastAsia="Arial" w:hAnsi="Arial"/>
          <w:sz w:val="21"/>
          <w:szCs w:val="21"/>
          <w:color w:val="auto"/>
        </w:rPr>
      </w:pPr>
    </w:p>
    <w:p>
      <w:pPr>
        <w:jc w:val="both"/>
        <w:ind w:firstLine="1952"/>
        <w:spacing w:after="0" w:line="312" w:lineRule="auto"/>
        <w:tabs>
          <w:tab w:leader="none" w:pos="2335" w:val="left"/>
        </w:tabs>
        <w:numPr>
          <w:ilvl w:val="2"/>
          <w:numId w:val="49"/>
        </w:numPr>
        <w:rPr>
          <w:rFonts w:ascii="Arial" w:cs="Arial" w:eastAsia="Arial" w:hAnsi="Arial"/>
          <w:sz w:val="19"/>
          <w:szCs w:val="19"/>
          <w:color w:val="auto"/>
        </w:rPr>
      </w:pPr>
      <w:r>
        <w:rPr>
          <w:rFonts w:ascii="Arial" w:cs="Arial" w:eastAsia="Arial" w:hAnsi="Arial"/>
          <w:sz w:val="19"/>
          <w:szCs w:val="19"/>
          <w:i w:val="1"/>
          <w:iCs w:val="1"/>
          <w:color w:val="auto"/>
        </w:rPr>
        <w:t>Science Committee</w:t>
      </w:r>
      <w:r>
        <w:rPr>
          <w:rFonts w:ascii="Arial" w:cs="Arial" w:eastAsia="Arial" w:hAnsi="Arial"/>
          <w:sz w:val="19"/>
          <w:szCs w:val="19"/>
          <w:color w:val="auto"/>
        </w:rPr>
        <w:t>. A Non-Employee Director serving as Chairperson of the Science Committee shall</w:t>
      </w:r>
      <w:r>
        <w:rPr>
          <w:rFonts w:ascii="Arial" w:cs="Arial" w:eastAsia="Arial" w:hAnsi="Arial"/>
          <w:sz w:val="19"/>
          <w:szCs w:val="19"/>
          <w:i w:val="1"/>
          <w:iCs w:val="1"/>
          <w:color w:val="auto"/>
        </w:rPr>
        <w:t xml:space="preserve"> </w:t>
      </w:r>
      <w:r>
        <w:rPr>
          <w:rFonts w:ascii="Arial" w:cs="Arial" w:eastAsia="Arial" w:hAnsi="Arial"/>
          <w:sz w:val="19"/>
          <w:szCs w:val="19"/>
          <w:color w:val="auto"/>
        </w:rPr>
        <w:t>receive an additional annual retainer of $8,000 for such service. A Non-Employee Director serving as a member other than the Chairperson of the Science Committee shall receive an additional annual retainer of $4,000 for such service.</w:t>
      </w:r>
    </w:p>
    <w:p>
      <w:pPr>
        <w:spacing w:after="0" w:line="133" w:lineRule="exact"/>
        <w:rPr>
          <w:rFonts w:ascii="Arial" w:cs="Arial" w:eastAsia="Arial" w:hAnsi="Arial"/>
          <w:sz w:val="19"/>
          <w:szCs w:val="19"/>
          <w:color w:val="auto"/>
        </w:rPr>
      </w:pPr>
    </w:p>
    <w:p>
      <w:pPr>
        <w:jc w:val="both"/>
        <w:ind w:firstLine="1304"/>
        <w:spacing w:after="0" w:line="247" w:lineRule="auto"/>
        <w:tabs>
          <w:tab w:leader="none" w:pos="1724" w:val="left"/>
        </w:tabs>
        <w:numPr>
          <w:ilvl w:val="1"/>
          <w:numId w:val="50"/>
        </w:numPr>
        <w:rPr>
          <w:rFonts w:ascii="Arial" w:cs="Arial" w:eastAsia="Arial" w:hAnsi="Arial"/>
          <w:sz w:val="22"/>
          <w:szCs w:val="22"/>
          <w:color w:val="auto"/>
        </w:rPr>
      </w:pPr>
      <w:r>
        <w:rPr>
          <w:rFonts w:ascii="Arial" w:cs="Arial" w:eastAsia="Arial" w:hAnsi="Arial"/>
          <w:sz w:val="22"/>
          <w:szCs w:val="22"/>
          <w:u w:val="single" w:color="auto"/>
          <w:color w:val="auto"/>
        </w:rPr>
        <w:t>Payment of Retainers</w:t>
      </w:r>
      <w:r>
        <w:rPr>
          <w:rFonts w:ascii="Arial" w:cs="Arial" w:eastAsia="Arial" w:hAnsi="Arial"/>
          <w:sz w:val="22"/>
          <w:szCs w:val="22"/>
          <w:color w:val="auto"/>
        </w:rPr>
        <w:t>. The annual retainers described in Sections I(A) and I(B)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I(B), for an entire calendar quarter, the retainer paid to such Non-Employee Director shall be prorated for the portion of such calendar quarter actually served as a Non-Employee Director, or in such position, as applicable.</w:t>
      </w:r>
    </w:p>
    <w:p>
      <w:pPr>
        <w:spacing w:after="0" w:line="227" w:lineRule="exact"/>
        <w:rPr>
          <w:rFonts w:ascii="Arial" w:cs="Arial" w:eastAsia="Arial" w:hAnsi="Arial"/>
          <w:sz w:val="22"/>
          <w:szCs w:val="22"/>
          <w:color w:val="auto"/>
        </w:rPr>
      </w:pPr>
    </w:p>
    <w:p>
      <w:pPr>
        <w:ind w:left="440" w:hanging="432"/>
        <w:spacing w:after="0"/>
        <w:tabs>
          <w:tab w:leader="none" w:pos="44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EQUITY COMPENSATION</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Non-Employee Directors shall be granted the equity awards described below. The awards described below shall be granted under and shall be subject to the terms and provisions of the Company’s 2016 Incentive Award Plan or any other applicable Company equity incentive plan then-maintained by the Company (the “</w:t>
      </w:r>
      <w:r>
        <w:rPr>
          <w:rFonts w:ascii="Arial" w:cs="Arial" w:eastAsia="Arial" w:hAnsi="Arial"/>
          <w:sz w:val="21"/>
          <w:szCs w:val="21"/>
          <w:b w:val="1"/>
          <w:bCs w:val="1"/>
          <w:i w:val="1"/>
          <w:iCs w:val="1"/>
          <w:color w:val="auto"/>
        </w:rPr>
        <w:t>Equity Plan</w:t>
      </w:r>
      <w:r>
        <w:rPr>
          <w:rFonts w:ascii="Arial" w:cs="Arial" w:eastAsia="Arial" w:hAnsi="Arial"/>
          <w:sz w:val="21"/>
          <w:szCs w:val="21"/>
          <w:color w:val="auto"/>
        </w:rPr>
        <w:t>”) and shall be granted subject to award agreements, including attached exhibits, in substantially the form previously approved by the Board. All applicable terms of the Equity Plan apply to this Program as if fully set forth herein, and all grants of stock options hereby are subject in all respects to the terms of the Equity Plan and the applicable award agreement. For the avoidance of doubt, the share numbers in Sections II(A) and II(B) shall be subject to adjustment as provided in the Equity Plan, including without limitation with respect to any stock dividend, stock split, reverse stock split or other similar event affecting the Company’s common stock that is effected prior to the Effective Date.</w:t>
      </w:r>
    </w:p>
    <w:p>
      <w:pPr>
        <w:spacing w:after="0" w:line="179" w:lineRule="exact"/>
        <w:rPr>
          <w:sz w:val="20"/>
          <w:szCs w:val="20"/>
          <w:color w:val="auto"/>
        </w:rPr>
      </w:pPr>
    </w:p>
    <w:p>
      <w:pPr>
        <w:jc w:val="both"/>
        <w:ind w:firstLine="656"/>
        <w:spacing w:after="0" w:line="250" w:lineRule="auto"/>
        <w:tabs>
          <w:tab w:leader="none" w:pos="1141"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Initial Awards</w:t>
      </w:r>
      <w:r>
        <w:rPr>
          <w:rFonts w:ascii="Arial" w:cs="Arial" w:eastAsia="Arial" w:hAnsi="Arial"/>
          <w:sz w:val="22"/>
          <w:szCs w:val="22"/>
          <w:color w:val="auto"/>
        </w:rPr>
        <w:t>. Each Non-Employee Director who is initially elected or appointed to the Board after the Effective Date shall receive an option to purchase 40,000 shares of the Company’s common stock on the date of such initial election or appointment. The awards described in this Section II(A) shall be referred to as “</w:t>
      </w:r>
      <w:r>
        <w:rPr>
          <w:rFonts w:ascii="Arial" w:cs="Arial" w:eastAsia="Arial" w:hAnsi="Arial"/>
          <w:sz w:val="22"/>
          <w:szCs w:val="22"/>
          <w:b w:val="1"/>
          <w:bCs w:val="1"/>
          <w:i w:val="1"/>
          <w:iCs w:val="1"/>
          <w:color w:val="auto"/>
        </w:rPr>
        <w:t>Initial Awards</w:t>
      </w:r>
      <w:r>
        <w:rPr>
          <w:rFonts w:ascii="Arial" w:cs="Arial" w:eastAsia="Arial" w:hAnsi="Arial"/>
          <w:sz w:val="22"/>
          <w:szCs w:val="22"/>
          <w:color w:val="auto"/>
        </w:rPr>
        <w:t>.” No Non-Employee Director shall be granted more than one Initial Award.</w:t>
      </w:r>
    </w:p>
    <w:p>
      <w:pPr>
        <w:spacing w:after="0" w:line="187" w:lineRule="exact"/>
        <w:rPr>
          <w:rFonts w:ascii="Arial" w:cs="Arial" w:eastAsia="Arial" w:hAnsi="Arial"/>
          <w:sz w:val="22"/>
          <w:szCs w:val="22"/>
          <w:color w:val="auto"/>
        </w:rPr>
      </w:pPr>
    </w:p>
    <w:p>
      <w:pPr>
        <w:jc w:val="both"/>
        <w:ind w:firstLine="656"/>
        <w:spacing w:after="0" w:line="247" w:lineRule="auto"/>
        <w:tabs>
          <w:tab w:leader="none" w:pos="1089"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Subsequent Awards</w:t>
      </w:r>
      <w:r>
        <w:rPr>
          <w:rFonts w:ascii="Arial" w:cs="Arial" w:eastAsia="Arial" w:hAnsi="Arial"/>
          <w:sz w:val="22"/>
          <w:szCs w:val="22"/>
          <w:color w:val="auto"/>
        </w:rPr>
        <w:t>. A Non-Employee Director who (i) has been serving as a Non-Employee Director on the Board for at least six months as of the date of any annual meeting of the Company’s stockholders after the Effective Date and (ii) will continue to serve as a Non-Employee Director immediately following such meeting, shall be automatically granted an option to purchase 20,000 shares of the Company’s common stock on the date of such annual meeting, provided, however that if such Non-Employee Director will serve as Chairperson of the Board as of immediately following the date of such annual meeting, such Non-Employee Director shall</w:t>
      </w:r>
    </w:p>
    <w:p>
      <w:pPr>
        <w:sectPr>
          <w:pgSz w:w="11900" w:h="16838" w:orient="portrait"/>
          <w:cols w:equalWidth="0" w:num="1">
            <w:col w:w="11240"/>
          </w:cols>
          <w:pgMar w:left="320" w:top="348" w:right="339" w:bottom="1440" w:gutter="0" w:footer="0" w:header="0"/>
        </w:sectPr>
      </w:pPr>
    </w:p>
    <w:bookmarkStart w:id="90" w:name="page91"/>
    <w:bookmarkEnd w:id="90"/>
    <w:p>
      <w:pPr>
        <w:jc w:val="both"/>
        <w:spacing w:after="0" w:line="302" w:lineRule="auto"/>
        <w:rPr>
          <w:sz w:val="20"/>
          <w:szCs w:val="20"/>
          <w:color w:val="auto"/>
        </w:rPr>
      </w:pPr>
      <w:r>
        <w:rPr>
          <w:rFonts w:ascii="Arial" w:cs="Arial" w:eastAsia="Arial" w:hAnsi="Arial"/>
          <w:sz w:val="19"/>
          <w:szCs w:val="19"/>
          <w:color w:val="auto"/>
        </w:rPr>
        <w:t>receive an option to purchase 30,000 shares of the Company’s common stock on the date of such annual meeting. The awards described in this Section II(B) shall be referred to as “</w:t>
      </w:r>
      <w:r>
        <w:rPr>
          <w:rFonts w:ascii="Arial" w:cs="Arial" w:eastAsia="Arial" w:hAnsi="Arial"/>
          <w:sz w:val="19"/>
          <w:szCs w:val="19"/>
          <w:b w:val="1"/>
          <w:bCs w:val="1"/>
          <w:i w:val="1"/>
          <w:iCs w:val="1"/>
          <w:color w:val="auto"/>
        </w:rPr>
        <w:t>Subsequent Awards</w:t>
      </w:r>
      <w:r>
        <w:rPr>
          <w:rFonts w:ascii="Arial" w:cs="Arial" w:eastAsia="Arial" w:hAnsi="Arial"/>
          <w:sz w:val="19"/>
          <w:szCs w:val="19"/>
          <w:color w:val="auto"/>
        </w:rPr>
        <w: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w:t>
      </w:r>
    </w:p>
    <w:p>
      <w:pPr>
        <w:spacing w:after="0" w:line="183" w:lineRule="exact"/>
        <w:rPr>
          <w:sz w:val="20"/>
          <w:szCs w:val="20"/>
          <w:color w:val="auto"/>
        </w:rPr>
      </w:pPr>
    </w:p>
    <w:p>
      <w:pPr>
        <w:jc w:val="both"/>
        <w:ind w:firstLine="1304"/>
        <w:spacing w:after="0" w:line="263" w:lineRule="auto"/>
        <w:tabs>
          <w:tab w:leader="none" w:pos="1859"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 of Employee Directors</w:t>
      </w:r>
      <w:r>
        <w:rPr>
          <w:rFonts w:ascii="Arial" w:cs="Arial" w:eastAsia="Arial" w:hAnsi="Arial"/>
          <w:sz w:val="21"/>
          <w:szCs w:val="21"/>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II(A) above, but to the extent that they are otherwise entitled, will receive, after termination from employment with the Company and any parent or subsidiary of the Company, Subsequent Awards as described in Section II(B) above.</w:t>
      </w:r>
    </w:p>
    <w:p>
      <w:pPr>
        <w:spacing w:after="0" w:line="175" w:lineRule="exact"/>
        <w:rPr>
          <w:sz w:val="20"/>
          <w:szCs w:val="20"/>
          <w:color w:val="auto"/>
        </w:rPr>
      </w:pPr>
    </w:p>
    <w:p>
      <w:pPr>
        <w:ind w:left="1700" w:hanging="396"/>
        <w:spacing w:after="0"/>
        <w:tabs>
          <w:tab w:leader="none" w:pos="170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Terms of Awards Granted to Non-Employee Directors</w:t>
      </w:r>
    </w:p>
    <w:p>
      <w:pPr>
        <w:spacing w:after="0" w:line="220" w:lineRule="exact"/>
        <w:rPr>
          <w:sz w:val="20"/>
          <w:szCs w:val="20"/>
          <w:color w:val="auto"/>
        </w:rPr>
      </w:pPr>
    </w:p>
    <w:p>
      <w:pPr>
        <w:ind w:firstLine="1304"/>
        <w:spacing w:after="0" w:line="287" w:lineRule="auto"/>
        <w:tabs>
          <w:tab w:leader="none" w:pos="1768" w:val="left"/>
        </w:tabs>
        <w:numPr>
          <w:ilvl w:val="1"/>
          <w:numId w:val="55"/>
        </w:numPr>
        <w:rPr>
          <w:rFonts w:ascii="Arial" w:cs="Arial" w:eastAsia="Arial" w:hAnsi="Arial"/>
          <w:sz w:val="21"/>
          <w:szCs w:val="21"/>
          <w:color w:val="auto"/>
        </w:rPr>
      </w:pPr>
      <w:r>
        <w:rPr>
          <w:rFonts w:ascii="Arial" w:cs="Arial" w:eastAsia="Arial" w:hAnsi="Arial"/>
          <w:sz w:val="21"/>
          <w:szCs w:val="21"/>
          <w:i w:val="1"/>
          <w:iCs w:val="1"/>
          <w:color w:val="auto"/>
        </w:rPr>
        <w:t>Exercise Price</w:t>
      </w:r>
      <w:r>
        <w:rPr>
          <w:rFonts w:ascii="Arial" w:cs="Arial" w:eastAsia="Arial" w:hAnsi="Arial"/>
          <w:sz w:val="21"/>
          <w:szCs w:val="21"/>
          <w:color w:val="auto"/>
        </w:rPr>
        <w:t>. The per share exercise price of each option granted to a Non-Employee Director shall equal</w:t>
      </w:r>
      <w:r>
        <w:rPr>
          <w:rFonts w:ascii="Arial" w:cs="Arial" w:eastAsia="Arial" w:hAnsi="Arial"/>
          <w:sz w:val="21"/>
          <w:szCs w:val="21"/>
          <w:i w:val="1"/>
          <w:iCs w:val="1"/>
          <w:color w:val="auto"/>
        </w:rPr>
        <w:t xml:space="preserve"> </w:t>
      </w:r>
      <w:r>
        <w:rPr>
          <w:rFonts w:ascii="Arial" w:cs="Arial" w:eastAsia="Arial" w:hAnsi="Arial"/>
          <w:sz w:val="21"/>
          <w:szCs w:val="21"/>
          <w:color w:val="auto"/>
        </w:rPr>
        <w:t>the Fair Market Value (as defined in the Equity Plan) of a share of common stock on the date the option is granted.</w:t>
      </w:r>
    </w:p>
    <w:p>
      <w:pPr>
        <w:spacing w:after="0" w:line="151" w:lineRule="exact"/>
        <w:rPr>
          <w:rFonts w:ascii="Arial" w:cs="Arial" w:eastAsia="Arial" w:hAnsi="Arial"/>
          <w:sz w:val="21"/>
          <w:szCs w:val="21"/>
          <w:color w:val="auto"/>
        </w:rPr>
      </w:pPr>
    </w:p>
    <w:p>
      <w:pPr>
        <w:jc w:val="both"/>
        <w:ind w:firstLine="1304"/>
        <w:spacing w:after="0" w:line="287" w:lineRule="auto"/>
        <w:tabs>
          <w:tab w:leader="none" w:pos="1728" w:val="left"/>
        </w:tabs>
        <w:numPr>
          <w:ilvl w:val="1"/>
          <w:numId w:val="55"/>
        </w:numPr>
        <w:rPr>
          <w:rFonts w:ascii="Arial" w:cs="Arial" w:eastAsia="Arial" w:hAnsi="Arial"/>
          <w:sz w:val="19"/>
          <w:szCs w:val="19"/>
          <w:color w:val="auto"/>
        </w:rPr>
      </w:pPr>
      <w:r>
        <w:rPr>
          <w:rFonts w:ascii="Arial" w:cs="Arial" w:eastAsia="Arial" w:hAnsi="Arial"/>
          <w:sz w:val="19"/>
          <w:szCs w:val="19"/>
          <w:i w:val="1"/>
          <w:iCs w:val="1"/>
          <w:color w:val="auto"/>
        </w:rPr>
        <w:t>Vesting</w:t>
      </w:r>
      <w:r>
        <w:rPr>
          <w:rFonts w:ascii="Arial" w:cs="Arial" w:eastAsia="Arial" w:hAnsi="Arial"/>
          <w:sz w:val="19"/>
          <w:szCs w:val="19"/>
          <w:color w:val="auto"/>
        </w:rPr>
        <w:t>. Each Initial Award shall vest and become exercisable in thirty-six (36) substantially equal monthly</w:t>
      </w:r>
      <w:r>
        <w:rPr>
          <w:rFonts w:ascii="Arial" w:cs="Arial" w:eastAsia="Arial" w:hAnsi="Arial"/>
          <w:sz w:val="19"/>
          <w:szCs w:val="19"/>
          <w:i w:val="1"/>
          <w:iCs w:val="1"/>
          <w:color w:val="auto"/>
        </w:rPr>
        <w:t xml:space="preserve"> </w:t>
      </w:r>
      <w:r>
        <w:rPr>
          <w:rFonts w:ascii="Arial" w:cs="Arial" w:eastAsia="Arial" w:hAnsi="Arial"/>
          <w:sz w:val="19"/>
          <w:szCs w:val="19"/>
          <w:color w:val="auto"/>
        </w:rPr>
        <w:t>installments following the date of grant, such that the Initial Award shall be fully vested on the third anniversary of the date of grant, subject to the Non-Employee Director continuing in service as a Non-Employee Director through each such vesting date. Each Subsequent Award shall vest and become exercisable on the earlier of the first anniversary of the date of grant or the day immediately prior to the date of the next annual meeting of the Company’s stockholders occurring after the date of grant, in either case subject to the Non-Employee Director continuing in service on the Board as a Non-Employee Director through each such vesting date. Unless the Board otherwise determines, any portion of an Initial Award or Subsequent Award which is unvested or unexercisable at the time of a Non-Employee Director’s termination of service on the Board as a Non-Employee Director shall be immediately forfeited upon such termination of service and shall not thereafter become vested and exercisable. All of a Non-Employee Director’s Initial Awards and Subsequent Awards shall vest in full immediately prior to the occurrence of a Change in Control (as defined in the Equity Plan), to the extent outstanding at such time.</w:t>
      </w:r>
    </w:p>
    <w:p>
      <w:pPr>
        <w:spacing w:after="0" w:line="163" w:lineRule="exact"/>
        <w:rPr>
          <w:rFonts w:ascii="Arial" w:cs="Arial" w:eastAsia="Arial" w:hAnsi="Arial"/>
          <w:sz w:val="19"/>
          <w:szCs w:val="19"/>
          <w:color w:val="auto"/>
        </w:rPr>
      </w:pPr>
    </w:p>
    <w:p>
      <w:pPr>
        <w:ind w:firstLine="1952"/>
        <w:spacing w:after="0" w:line="263" w:lineRule="auto"/>
        <w:tabs>
          <w:tab w:leader="none" w:pos="2376" w:val="left"/>
        </w:tabs>
        <w:numPr>
          <w:ilvl w:val="2"/>
          <w:numId w:val="55"/>
        </w:numPr>
        <w:rPr>
          <w:rFonts w:ascii="Arial" w:cs="Arial" w:eastAsia="Arial" w:hAnsi="Arial"/>
          <w:sz w:val="22"/>
          <w:szCs w:val="22"/>
          <w:color w:val="auto"/>
        </w:rPr>
      </w:pPr>
      <w:r>
        <w:rPr>
          <w:rFonts w:ascii="Arial" w:cs="Arial" w:eastAsia="Arial" w:hAnsi="Arial"/>
          <w:sz w:val="22"/>
          <w:szCs w:val="22"/>
          <w:i w:val="1"/>
          <w:iCs w:val="1"/>
          <w:color w:val="auto"/>
        </w:rPr>
        <w:t>Term</w:t>
      </w:r>
      <w:r>
        <w:rPr>
          <w:rFonts w:ascii="Arial" w:cs="Arial" w:eastAsia="Arial" w:hAnsi="Arial"/>
          <w:sz w:val="22"/>
          <w:szCs w:val="22"/>
          <w:color w:val="auto"/>
        </w:rPr>
        <w:t>. The maximum term of each stock option granted to a Non-Employee Director hereunder shall</w:t>
      </w:r>
      <w:r>
        <w:rPr>
          <w:rFonts w:ascii="Arial" w:cs="Arial" w:eastAsia="Arial" w:hAnsi="Arial"/>
          <w:sz w:val="22"/>
          <w:szCs w:val="22"/>
          <w:i w:val="1"/>
          <w:iCs w:val="1"/>
          <w:color w:val="auto"/>
        </w:rPr>
        <w:t xml:space="preserve"> </w:t>
      </w:r>
      <w:r>
        <w:rPr>
          <w:rFonts w:ascii="Arial" w:cs="Arial" w:eastAsia="Arial" w:hAnsi="Arial"/>
          <w:sz w:val="22"/>
          <w:szCs w:val="22"/>
          <w:color w:val="auto"/>
        </w:rPr>
        <w:t>be ten (10) years from the date the option is granted.</w:t>
      </w:r>
    </w:p>
    <w:p>
      <w:pPr>
        <w:spacing w:after="0" w:line="168" w:lineRule="exact"/>
        <w:rPr>
          <w:rFonts w:ascii="Arial" w:cs="Arial" w:eastAsia="Arial" w:hAnsi="Arial"/>
          <w:sz w:val="22"/>
          <w:szCs w:val="22"/>
          <w:color w:val="auto"/>
        </w:rPr>
      </w:pPr>
    </w:p>
    <w:p>
      <w:pPr>
        <w:ind w:left="540" w:hanging="532"/>
        <w:spacing w:after="0"/>
        <w:tabs>
          <w:tab w:leader="none" w:pos="54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 LIMITS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240"/>
          </w:cols>
          <w:pgMar w:left="320" w:top="348"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20"/>
          <w:szCs w:val="20"/>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Carsten Brunn, Ph.D. certify that:</w:t>
      </w:r>
    </w:p>
    <w:p>
      <w:pPr>
        <w:spacing w:after="0" w:line="391"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Selecta Biosciences, Inc.;</w:t>
      </w:r>
    </w:p>
    <w:p>
      <w:pPr>
        <w:spacing w:after="0" w:line="175" w:lineRule="exact"/>
        <w:rPr>
          <w:rFonts w:ascii="Arial" w:cs="Arial" w:eastAsia="Arial" w:hAnsi="Arial"/>
          <w:sz w:val="20"/>
          <w:szCs w:val="20"/>
          <w:color w:val="auto"/>
        </w:rPr>
      </w:pPr>
    </w:p>
    <w:p>
      <w:pPr>
        <w:ind w:left="660" w:right="40" w:hanging="328"/>
        <w:spacing w:after="0" w:line="250" w:lineRule="auto"/>
        <w:tabs>
          <w:tab w:leader="none" w:pos="6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660" w:right="140" w:hanging="328"/>
        <w:spacing w:after="0" w:line="250" w:lineRule="auto"/>
        <w:tabs>
          <w:tab w:leader="none" w:pos="6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8"/>
          <w:szCs w:val="18"/>
          <w:color w:val="auto"/>
        </w:rPr>
      </w:pPr>
    </w:p>
    <w:p>
      <w:pPr>
        <w:ind w:left="1300" w:right="560" w:hanging="401"/>
        <w:spacing w:after="0" w:line="342" w:lineRule="auto"/>
        <w:tabs>
          <w:tab w:leader="none" w:pos="13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6"/>
          <w:szCs w:val="16"/>
          <w:color w:val="auto"/>
        </w:rPr>
      </w:pPr>
    </w:p>
    <w:p>
      <w:pPr>
        <w:ind w:left="1300" w:right="40" w:hanging="401"/>
        <w:spacing w:after="0" w:line="250" w:lineRule="auto"/>
        <w:tabs>
          <w:tab w:leader="none" w:pos="1300" w:val="left"/>
        </w:tabs>
        <w:numPr>
          <w:ilvl w:val="1"/>
          <w:numId w:val="5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80" w:hanging="401"/>
        <w:spacing w:after="0" w:line="291"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340" w:hanging="401"/>
        <w:spacing w:after="0" w:line="250" w:lineRule="auto"/>
        <w:tabs>
          <w:tab w:leader="none" w:pos="1300" w:val="left"/>
        </w:tabs>
        <w:numPr>
          <w:ilvl w:val="1"/>
          <w:numId w:val="5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740" w:hanging="401"/>
        <w:spacing w:after="0" w:line="260" w:lineRule="auto"/>
        <w:tabs>
          <w:tab w:leader="none" w:pos="1300" w:val="left"/>
        </w:tabs>
        <w:numPr>
          <w:ilvl w:val="1"/>
          <w:numId w:val="5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549" w:right="339" w:bottom="1440" w:gutter="0" w:footer="0" w:header="0"/>
        </w:sectPr>
      </w:pPr>
    </w:p>
    <w:bookmarkStart w:id="92" w:name="page93"/>
    <w:bookmarkEnd w:id="92"/>
    <w:p>
      <w:pPr>
        <w:spacing w:after="0"/>
        <w:tabs>
          <w:tab w:leader="none" w:pos="7740" w:val="left"/>
        </w:tabs>
        <w:rPr>
          <w:sz w:val="20"/>
          <w:szCs w:val="20"/>
          <w:color w:val="auto"/>
        </w:rPr>
      </w:pPr>
      <w:r>
        <w:rPr>
          <w:rFonts w:ascii="Arial" w:cs="Arial" w:eastAsia="Arial" w:hAnsi="Arial"/>
          <w:sz w:val="20"/>
          <w:szCs w:val="20"/>
          <w:color w:val="auto"/>
        </w:rPr>
        <w:t>May 7, 2020</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27305</wp:posOffset>
            </wp:positionV>
            <wp:extent cx="3137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47" w:lineRule="exact"/>
        <w:rPr>
          <w:sz w:val="20"/>
          <w:szCs w:val="20"/>
          <w:color w:val="auto"/>
        </w:rPr>
      </w:pPr>
    </w:p>
    <w:p>
      <w:pPr>
        <w:jc w:val="center"/>
        <w:ind w:left="6280"/>
        <w:spacing w:after="0"/>
        <w:rPr>
          <w:sz w:val="20"/>
          <w:szCs w:val="20"/>
          <w:color w:val="auto"/>
        </w:rPr>
      </w:pPr>
      <w:r>
        <w:rPr>
          <w:rFonts w:ascii="Arial" w:cs="Arial" w:eastAsia="Arial" w:hAnsi="Arial"/>
          <w:sz w:val="20"/>
          <w:szCs w:val="20"/>
          <w:color w:val="auto"/>
        </w:rPr>
        <w:t>Carsten Brunn, Ph.D.</w:t>
      </w:r>
    </w:p>
    <w:p>
      <w:pPr>
        <w:spacing w:after="0" w:line="54"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President and Chief Executive Officer, and Director</w:t>
      </w:r>
    </w:p>
    <w:p>
      <w:pPr>
        <w:spacing w:after="0" w:line="77" w:lineRule="exact"/>
        <w:rPr>
          <w:sz w:val="20"/>
          <w:szCs w:val="20"/>
          <w:color w:val="auto"/>
        </w:rPr>
      </w:pPr>
    </w:p>
    <w:p>
      <w:pPr>
        <w:jc w:val="center"/>
        <w:ind w:left="6280"/>
        <w:spacing w:after="0"/>
        <w:rPr>
          <w:sz w:val="20"/>
          <w:szCs w:val="20"/>
          <w:color w:val="auto"/>
        </w:rPr>
      </w:pPr>
      <w:r>
        <w:rPr>
          <w:rFonts w:ascii="Arial" w:cs="Arial" w:eastAsia="Arial" w:hAnsi="Arial"/>
          <w:sz w:val="20"/>
          <w:szCs w:val="20"/>
          <w:i w:val="1"/>
          <w:iCs w:val="1"/>
          <w:color w:val="auto"/>
        </w:rPr>
        <w:t>(Principal Executive Officer)</w:t>
      </w:r>
    </w:p>
    <w:p>
      <w:pPr>
        <w:sectPr>
          <w:pgSz w:w="11900" w:h="16838" w:orient="portrait"/>
          <w:cols w:equalWidth="0" w:num="1">
            <w:col w:w="10780"/>
          </w:cols>
          <w:pgMar w:left="360" w:top="1000" w:right="759" w:bottom="1440" w:gutter="0" w:footer="0" w:header="0"/>
        </w:sectPr>
      </w:pPr>
    </w:p>
    <w:bookmarkStart w:id="93" w:name="page94"/>
    <w:bookmarkEnd w:id="93"/>
    <w:p>
      <w:pPr>
        <w:jc w:val="right"/>
        <w:spacing w:after="0"/>
        <w:rPr>
          <w:sz w:val="20"/>
          <w:szCs w:val="20"/>
          <w:color w:val="auto"/>
        </w:rPr>
      </w:pPr>
      <w:r>
        <w:rPr>
          <w:rFonts w:ascii="Arial" w:cs="Arial" w:eastAsia="Arial" w:hAnsi="Arial"/>
          <w:sz w:val="20"/>
          <w:szCs w:val="20"/>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Bradford D. Dahms, certify that:</w:t>
      </w:r>
    </w:p>
    <w:p>
      <w:pPr>
        <w:spacing w:after="0" w:line="391"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Selecta Biosciences, Inc.;</w:t>
      </w:r>
    </w:p>
    <w:p>
      <w:pPr>
        <w:spacing w:after="0" w:line="175" w:lineRule="exact"/>
        <w:rPr>
          <w:rFonts w:ascii="Arial" w:cs="Arial" w:eastAsia="Arial" w:hAnsi="Arial"/>
          <w:sz w:val="20"/>
          <w:szCs w:val="20"/>
          <w:color w:val="auto"/>
        </w:rPr>
      </w:pPr>
    </w:p>
    <w:p>
      <w:pPr>
        <w:ind w:left="660" w:right="40" w:hanging="328"/>
        <w:spacing w:after="0" w:line="250" w:lineRule="auto"/>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660" w:right="140" w:hanging="328"/>
        <w:spacing w:after="0" w:line="250" w:lineRule="auto"/>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8"/>
          <w:szCs w:val="18"/>
          <w:color w:val="auto"/>
        </w:rPr>
      </w:pPr>
    </w:p>
    <w:p>
      <w:pPr>
        <w:ind w:left="1300" w:right="560" w:hanging="401"/>
        <w:spacing w:after="0" w:line="342" w:lineRule="auto"/>
        <w:tabs>
          <w:tab w:leader="none" w:pos="13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6"/>
          <w:szCs w:val="16"/>
          <w:color w:val="auto"/>
        </w:rPr>
      </w:pPr>
    </w:p>
    <w:p>
      <w:pPr>
        <w:ind w:left="1300" w:right="40" w:hanging="401"/>
        <w:spacing w:after="0" w:line="250" w:lineRule="auto"/>
        <w:tabs>
          <w:tab w:leader="none" w:pos="1300" w:val="left"/>
        </w:tabs>
        <w:numPr>
          <w:ilvl w:val="1"/>
          <w:numId w:val="5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80" w:hanging="401"/>
        <w:spacing w:after="0" w:line="291"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340" w:hanging="401"/>
        <w:spacing w:after="0" w:line="250" w:lineRule="auto"/>
        <w:tabs>
          <w:tab w:leader="none" w:pos="1300" w:val="left"/>
        </w:tabs>
        <w:numPr>
          <w:ilvl w:val="1"/>
          <w:numId w:val="5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740" w:hanging="401"/>
        <w:spacing w:after="0" w:line="260" w:lineRule="auto"/>
        <w:tabs>
          <w:tab w:leader="none" w:pos="1300" w:val="left"/>
        </w:tabs>
        <w:numPr>
          <w:ilvl w:val="1"/>
          <w:numId w:val="5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20"/>
          <w:szCs w:val="20"/>
          <w:color w:val="auto"/>
        </w:rPr>
        <w:t>May 7, 2020</w:t>
      </w:r>
      <w:r>
        <w:rPr>
          <w:sz w:val="20"/>
          <w:szCs w:val="20"/>
          <w:color w:val="auto"/>
        </w:rPr>
        <w:tab/>
      </w:r>
      <w:r>
        <w:rPr>
          <w:rFonts w:ascii="Arial" w:cs="Arial" w:eastAsia="Arial" w:hAnsi="Arial"/>
          <w:sz w:val="16"/>
          <w:szCs w:val="16"/>
          <w:color w:val="auto"/>
        </w:rPr>
        <w:t>/s/ Bradford D. Dahms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50"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Bradford D. Dahms</w:t>
      </w:r>
    </w:p>
    <w:p>
      <w:pPr>
        <w:spacing w:after="0" w:line="63"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Chief Financial Officer</w:t>
      </w:r>
    </w:p>
    <w:p>
      <w:pPr>
        <w:spacing w:after="0" w:line="77"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549"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18 U.S.C. SECTION 1350,</w:t>
      </w:r>
    </w:p>
    <w:p>
      <w:pPr>
        <w:ind w:left="4240"/>
        <w:spacing w:after="0"/>
        <w:rPr>
          <w:sz w:val="20"/>
          <w:szCs w:val="20"/>
          <w:color w:val="auto"/>
        </w:rPr>
      </w:pPr>
      <w:r>
        <w:rPr>
          <w:rFonts w:ascii="Arial" w:cs="Arial" w:eastAsia="Arial" w:hAnsi="Arial"/>
          <w:sz w:val="20"/>
          <w:szCs w:val="20"/>
          <w:b w:val="1"/>
          <w:bCs w:val="1"/>
          <w:color w:val="auto"/>
        </w:rPr>
        <w:t>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Carsten Brunn, Ph.D., President and Chief Executive Officer of Selecta Biosciences, Inc. (the “Company”), hereby certify, pursuant to 18</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U.S.C. §1350, as adopted pursuant to §906 of the Sarbanes-Oxley Act of 2002, that, to the best of my knowledge:</w:t>
      </w:r>
    </w:p>
    <w:p>
      <w:pPr>
        <w:spacing w:after="0" w:line="375" w:lineRule="exact"/>
        <w:rPr>
          <w:sz w:val="20"/>
          <w:szCs w:val="20"/>
          <w:color w:val="auto"/>
        </w:rPr>
      </w:pPr>
    </w:p>
    <w:p>
      <w:pPr>
        <w:ind w:left="660" w:right="360" w:hanging="328"/>
        <w:spacing w:after="0" w:line="260" w:lineRule="auto"/>
        <w:tabs>
          <w:tab w:leader="none" w:pos="6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period ended March 31, 2020 (the “Report”) fully complies with the requirements of Section 13(a) or 15(d) of the Securities Exchange Act of 1934, as amended; and</w:t>
      </w:r>
    </w:p>
    <w:p>
      <w:pPr>
        <w:spacing w:after="0" w:line="136" w:lineRule="exact"/>
        <w:rPr>
          <w:rFonts w:ascii="Arial" w:cs="Arial" w:eastAsia="Arial" w:hAnsi="Arial"/>
          <w:sz w:val="20"/>
          <w:szCs w:val="20"/>
          <w:color w:val="auto"/>
        </w:rPr>
      </w:pPr>
    </w:p>
    <w:p>
      <w:pPr>
        <w:ind w:left="660" w:right="240" w:hanging="328"/>
        <w:spacing w:after="0" w:line="260" w:lineRule="auto"/>
        <w:tabs>
          <w:tab w:leader="none" w:pos="6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20"/>
          <w:szCs w:val="20"/>
          <w:color w:val="auto"/>
        </w:rPr>
        <w:t>May 7, 2020</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27305</wp:posOffset>
            </wp:positionV>
            <wp:extent cx="3137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47" w:lineRule="exact"/>
        <w:rPr>
          <w:sz w:val="20"/>
          <w:szCs w:val="20"/>
          <w:color w:val="auto"/>
        </w:rPr>
      </w:pPr>
    </w:p>
    <w:p>
      <w:pPr>
        <w:jc w:val="center"/>
        <w:ind w:left="6280"/>
        <w:spacing w:after="0"/>
        <w:rPr>
          <w:sz w:val="20"/>
          <w:szCs w:val="20"/>
          <w:color w:val="auto"/>
        </w:rPr>
      </w:pPr>
      <w:r>
        <w:rPr>
          <w:rFonts w:ascii="Arial" w:cs="Arial" w:eastAsia="Arial" w:hAnsi="Arial"/>
          <w:sz w:val="20"/>
          <w:szCs w:val="20"/>
          <w:color w:val="auto"/>
        </w:rPr>
        <w:t>Carsten Brunn, Ph.D.</w:t>
      </w:r>
    </w:p>
    <w:p>
      <w:pPr>
        <w:spacing w:after="0" w:line="54" w:lineRule="exact"/>
        <w:rPr>
          <w:sz w:val="20"/>
          <w:szCs w:val="20"/>
          <w:color w:val="auto"/>
        </w:rPr>
      </w:pPr>
    </w:p>
    <w:p>
      <w:pPr>
        <w:jc w:val="center"/>
        <w:ind w:left="6280"/>
        <w:spacing w:after="0"/>
        <w:rPr>
          <w:sz w:val="20"/>
          <w:szCs w:val="20"/>
          <w:color w:val="auto"/>
        </w:rPr>
      </w:pPr>
      <w:r>
        <w:rPr>
          <w:rFonts w:ascii="Arial" w:cs="Arial" w:eastAsia="Arial" w:hAnsi="Arial"/>
          <w:sz w:val="20"/>
          <w:szCs w:val="20"/>
          <w:i w:val="1"/>
          <w:iCs w:val="1"/>
          <w:color w:val="auto"/>
        </w:rPr>
        <w:t>President and Chief Executive Officer, and Director</w:t>
      </w:r>
    </w:p>
    <w:p>
      <w:pPr>
        <w:spacing w:after="0" w:line="54" w:lineRule="exact"/>
        <w:rPr>
          <w:sz w:val="20"/>
          <w:szCs w:val="20"/>
          <w:color w:val="auto"/>
        </w:rPr>
      </w:pPr>
    </w:p>
    <w:p>
      <w:pPr>
        <w:jc w:val="center"/>
        <w:ind w:left="6280"/>
        <w:spacing w:after="0"/>
        <w:rPr>
          <w:sz w:val="20"/>
          <w:szCs w:val="20"/>
          <w:color w:val="auto"/>
        </w:rPr>
      </w:pPr>
      <w:r>
        <w:rPr>
          <w:rFonts w:ascii="Arial" w:cs="Arial" w:eastAsia="Arial" w:hAnsi="Arial"/>
          <w:sz w:val="20"/>
          <w:szCs w:val="20"/>
          <w:i w:val="1"/>
          <w:iCs w:val="1"/>
          <w:color w:val="auto"/>
        </w:rPr>
        <w:t>(Principal Executive Officer)</w:t>
      </w:r>
    </w:p>
    <w:p>
      <w:pPr>
        <w:sectPr>
          <w:pgSz w:w="11900" w:h="16838" w:orient="portrait"/>
          <w:cols w:equalWidth="0" w:num="1">
            <w:col w:w="11240"/>
          </w:cols>
          <w:pgMar w:left="320" w:top="549"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20"/>
          <w:szCs w:val="20"/>
          <w:b w:val="1"/>
          <w:bCs w:val="1"/>
          <w:color w:val="auto"/>
        </w:rPr>
        <w:t>Exhibit 32.2</w:t>
      </w:r>
    </w:p>
    <w:p>
      <w:pPr>
        <w:spacing w:after="0" w:line="216"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18 U.S.C. SECTION 1350,</w:t>
      </w:r>
    </w:p>
    <w:p>
      <w:pPr>
        <w:ind w:left="4240"/>
        <w:spacing w:after="0"/>
        <w:rPr>
          <w:sz w:val="20"/>
          <w:szCs w:val="20"/>
          <w:color w:val="auto"/>
        </w:rPr>
      </w:pPr>
      <w:r>
        <w:rPr>
          <w:rFonts w:ascii="Arial" w:cs="Arial" w:eastAsia="Arial" w:hAnsi="Arial"/>
          <w:sz w:val="20"/>
          <w:szCs w:val="20"/>
          <w:b w:val="1"/>
          <w:bCs w:val="1"/>
          <w:color w:val="auto"/>
        </w:rPr>
        <w:t>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Bradford D. Dahms, Chief Financial Officer of Selecta Biosciences, Inc. (the “Company”), hereby certify, pursuant to 18 U.S.C. §1350, as adopted pursuant to §906 of the Sarbanes-Oxley Act of 2002, that, to the best of my knowledge:</w:t>
      </w:r>
    </w:p>
    <w:p>
      <w:pPr>
        <w:spacing w:after="0" w:line="136" w:lineRule="exact"/>
        <w:rPr>
          <w:sz w:val="20"/>
          <w:szCs w:val="20"/>
          <w:color w:val="auto"/>
        </w:rPr>
      </w:pPr>
    </w:p>
    <w:p>
      <w:pPr>
        <w:ind w:left="660" w:right="360" w:hanging="328"/>
        <w:spacing w:after="0" w:line="260" w:lineRule="auto"/>
        <w:tabs>
          <w:tab w:leader="none" w:pos="6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period ended March 31, 2020 (the “Report”) fully complies with the requirements of Section 13(a) or 15(d) of the Securities Exchange Act of 1934, as amended; and</w:t>
      </w:r>
    </w:p>
    <w:p>
      <w:pPr>
        <w:spacing w:after="0" w:line="136" w:lineRule="exact"/>
        <w:rPr>
          <w:rFonts w:ascii="Arial" w:cs="Arial" w:eastAsia="Arial" w:hAnsi="Arial"/>
          <w:sz w:val="20"/>
          <w:szCs w:val="20"/>
          <w:color w:val="auto"/>
        </w:rPr>
      </w:pPr>
    </w:p>
    <w:p>
      <w:pPr>
        <w:ind w:left="660" w:right="240" w:hanging="328"/>
        <w:spacing w:after="0" w:line="260" w:lineRule="auto"/>
        <w:tabs>
          <w:tab w:leader="none" w:pos="6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p>
      <w:pPr>
        <w:ind w:left="40"/>
        <w:spacing w:after="0"/>
        <w:tabs>
          <w:tab w:leader="none" w:pos="8000" w:val="left"/>
        </w:tabs>
        <w:rPr>
          <w:sz w:val="20"/>
          <w:szCs w:val="20"/>
          <w:color w:val="auto"/>
        </w:rPr>
      </w:pPr>
      <w:r>
        <w:rPr>
          <w:rFonts w:ascii="Arial" w:cs="Arial" w:eastAsia="Arial" w:hAnsi="Arial"/>
          <w:sz w:val="20"/>
          <w:szCs w:val="20"/>
          <w:color w:val="auto"/>
        </w:rPr>
        <w:t>May 7, 2020</w:t>
      </w:r>
      <w:r>
        <w:rPr>
          <w:sz w:val="20"/>
          <w:szCs w:val="20"/>
          <w:color w:val="auto"/>
        </w:rPr>
        <w:tab/>
      </w:r>
      <w:r>
        <w:rPr>
          <w:rFonts w:ascii="Arial" w:cs="Arial" w:eastAsia="Arial" w:hAnsi="Arial"/>
          <w:sz w:val="16"/>
          <w:szCs w:val="16"/>
          <w:color w:val="auto"/>
        </w:rPr>
        <w:t>/s/ Bradford D. Dahms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27305</wp:posOffset>
            </wp:positionV>
            <wp:extent cx="3060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0"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Bradford D. Dahms</w:t>
      </w:r>
    </w:p>
    <w:p>
      <w:pPr>
        <w:spacing w:after="0" w:line="63" w:lineRule="exact"/>
        <w:rPr>
          <w:sz w:val="20"/>
          <w:szCs w:val="20"/>
          <w:color w:val="auto"/>
        </w:rPr>
      </w:pPr>
    </w:p>
    <w:p>
      <w:pPr>
        <w:jc w:val="center"/>
        <w:ind w:left="640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640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lowerRoman"/>
      <w:start w:val="1"/>
    </w:lvl>
  </w:abstractNum>
  <w:abstractNum w:abstractNumId="4">
    <w:nsid w:val="22221A70"/>
    <w:multiLevelType w:val="hybridMultilevel"/>
    <w:lvl w:ilvl="0">
      <w:lvlJc w:val="left"/>
      <w:lvlText w:val="%1."/>
      <w:numFmt w:val="decimal"/>
      <w:start w:val="11"/>
    </w:lvl>
  </w:abstractNum>
  <w:abstractNum w:abstractNumId="5">
    <w:nsid w:val="4516DDE9"/>
    <w:multiLevelType w:val="hybridMultilevel"/>
    <w:lvl w:ilvl="0">
      <w:lvlJc w:val="left"/>
      <w:lvlText w:val="%1."/>
      <w:numFmt w:val="decimal"/>
      <w:start w:val="12"/>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1."/>
      <w:numFmt w:val="decimal"/>
      <w:start w:val="14"/>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1."/>
      <w:numFmt w:val="decimal"/>
      <w:start w:val="606"/>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1)"/>
      <w:numFmt w:val="lowerRoman"/>
      <w:start w:val="2"/>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48">
    <w:nsid w:val="4F4EF005"/>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4"/>
    </w:lvl>
  </w:abstractNum>
  <w:abstractNum w:abstractNumId="49">
    <w:nsid w:val="23F9C13C"/>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50">
    <w:nsid w:val="649BB77C"/>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51">
    <w:nsid w:val="275AC794"/>
    <w:multiLevelType w:val="hybridMultilevel"/>
    <w:lvl w:ilvl="0">
      <w:lvlJc w:val="left"/>
      <w:lvlText w:val="%1."/>
      <w:numFmt w:val="upperLetter"/>
      <w:start w:val="1"/>
    </w:lvl>
  </w:abstractNum>
  <w:abstractNum w:abstractNumId="52">
    <w:nsid w:val="39386575"/>
    <w:multiLevelType w:val="hybridMultilevel"/>
    <w:lvl w:ilvl="0">
      <w:lvlJc w:val="left"/>
      <w:lvlText w:val="%1."/>
      <w:numFmt w:val="upperLetter"/>
      <w:start w:val="3"/>
    </w:lvl>
  </w:abstractNum>
  <w:abstractNum w:abstractNumId="53">
    <w:nsid w:val="1CF10FD8"/>
    <w:multiLevelType w:val="hybridMultilevel"/>
    <w:lvl w:ilvl="0">
      <w:lvlJc w:val="left"/>
      <w:lvlText w:val="%1."/>
      <w:numFmt w:val="upperLetter"/>
      <w:start w:val="5"/>
    </w:lvl>
  </w:abstractNum>
  <w:abstractNum w:abstractNumId="54">
    <w:nsid w:val="180115BE"/>
    <w:multiLevelType w:val="hybridMultilevel"/>
    <w:lvl w:ilvl="0">
      <w:lvlJc w:val="left"/>
      <w:lvlText w:val="%1"/>
      <w:numFmt w:val="upperLetter"/>
      <w:start w:val="1"/>
    </w:lvl>
    <w:lvl w:ilvl="1">
      <w:lvlJc w:val="left"/>
      <w:lvlText w:val="%2."/>
      <w:numFmt w:val="decimal"/>
      <w:start w:val="1"/>
    </w:lvl>
    <w:lvl w:ilvl="2">
      <w:lvlJc w:val="left"/>
      <w:lvlText w:val="%3."/>
      <w:numFmt w:val="decimal"/>
      <w:start w:val="3"/>
    </w:lvl>
  </w:abstractNum>
  <w:abstractNum w:abstractNumId="55">
    <w:nsid w:val="235BA861"/>
    <w:multiLevelType w:val="hybridMultilevel"/>
    <w:lvl w:ilvl="0">
      <w:lvlJc w:val="left"/>
      <w:lvlText w:val="%1."/>
      <w:numFmt w:val="upperLetter"/>
      <w:start w:val="61"/>
    </w:lvl>
    <w:lvl w:ilvl="1">
      <w:lvlJc w:val="left"/>
      <w:lvlText w:val="%2"/>
      <w:numFmt w:val="decimal"/>
      <w:start w:val="1"/>
    </w:lvl>
    <w:lvl w:ilvl="2">
      <w:lvlJc w:val="left"/>
      <w:lvlText w:val="%3"/>
      <w:numFmt w:val="decimal"/>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6" Type="http://schemas.openxmlformats.org/officeDocument/2006/relationships/hyperlink" Target="http://www.sec.gov/Archives/edgar/data/1453687/000110465916129891/a16-14002_1ex3d1.htm" TargetMode="External"/><Relationship Id="rId17" Type="http://schemas.openxmlformats.org/officeDocument/2006/relationships/hyperlink" Target="http://www.sec.gov/Archives/edgar/data/1453687/000110465916129891/a16-14002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2020-05-07T15:41:43Z</dcterms:created>
  <dcterms:modified xsi:type="dcterms:W3CDTF">2020-05-07T15:41:43Z</dcterms:modified>
</cp:coreProperties>
</file>