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English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SVP, Head of Manufacturing</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21703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4"/>
              <w:spacing w:after="0"/>
              <w:rPr>
                <w:sz w:val="20"/>
                <w:szCs w:val="20"/>
                <w:color w:val="auto"/>
              </w:rPr>
            </w:pPr>
            <w:r>
              <w:rPr>
                <w:rFonts w:ascii="Times New Roman" w:cs="Times New Roman" w:eastAsia="Times New Roman" w:hAnsi="Times New Roman"/>
                <w:sz w:val="17"/>
                <w:szCs w:val="17"/>
                <w:color w:val="0000FF"/>
                <w:w w:val="98"/>
              </w:rPr>
              <w:t>12/26/2024</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7,650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25,923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12/26/2024</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7,650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04/25/2031</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7,650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49,369</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currently exercisable for an additional 35,114 shares of Common Stock and become exercisable for a further 14,255 shares of Common Stock on March 22,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Common Stock in connection with the merger.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Emily</w:t>
      </w:r>
      <w:r>
        <w:rPr>
          <w:sz w:val="20"/>
          <w:szCs w:val="20"/>
          <w:color w:val="auto"/>
        </w:rPr>
        <w:tab/>
      </w:r>
      <w:r>
        <w:rPr>
          <w:rFonts w:ascii="Times New Roman" w:cs="Times New Roman" w:eastAsia="Times New Roman" w:hAnsi="Times New Roman"/>
          <w:sz w:val="16"/>
          <w:szCs w:val="16"/>
          <w:color w:val="0000FF"/>
        </w:rPr>
        <w:t>12/30/2024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7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9791"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2024-12-30T15:31:34Z</dcterms:created>
  <dcterms:modified xsi:type="dcterms:W3CDTF">2024-12-30T15:31:34Z</dcterms:modified>
</cp:coreProperties>
</file>