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5, 2026</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On November 5, 2026, Cartesian Therapeutics, Inc. (the “Company”) announced its financial results for the quarter ended September 30, 2026. The full text of the press release issued in connection with the announcement is furnished as Exhibit 99.1 to this Current Report on Form 8-K.</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440" w:type="dxa"/>
            <w:vAlign w:val="bottom"/>
            <w:gridSpan w:val="3"/>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2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24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Cartesian Therapeutics, Inc. issued on November 5, 2026.</w:t>
            </w:r>
          </w:p>
        </w:tc>
        <w:tc>
          <w:tcPr>
            <w:tcW w:w="4100" w:type="dxa"/>
            <w:vAlign w:val="bottom"/>
            <w:gridSpan w:val="2"/>
          </w:tcPr>
          <w:p>
            <w:pPr>
              <w:spacing w:after="0"/>
              <w:rPr>
                <w:sz w:val="20"/>
                <w:szCs w:val="20"/>
                <w:color w:val="auto"/>
              </w:rPr>
            </w:pPr>
          </w:p>
        </w:tc>
      </w:tr>
      <w:tr>
        <w:trPr>
          <w:trHeight w:val="250"/>
        </w:trPr>
        <w:tc>
          <w:tcPr>
            <w:tcW w:w="12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6"/>
        </w:trPr>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5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33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19685</wp:posOffset>
            </wp:positionV>
            <wp:extent cx="203136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Cartesian Therapeutics Reports Third Quarter 2026 Financial Results and Provides Business Update</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Phase 3 AURORA trial of Descartes-08 in myasthenia gravis (MG) advances towards data readout expected in 1Q27 and biologics license application</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(BLA) filing planned for mid-2027</w:t>
      </w:r>
    </w:p>
    <w:p>
      <w:pPr>
        <w:spacing w:after="0" w:line="1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Retreatment data for Descartes-08 in MG showed deep and durable responses, with a mean 6.6-point MG Activities of Daily Living (MG-ADL) reduction</w:t>
      </w:r>
    </w:p>
    <w:p>
      <w:pPr>
        <w:spacing w:after="0" w:line="2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from baseline at Month 12 with no new safety signals</w:t>
      </w:r>
    </w:p>
    <w:p>
      <w:pPr>
        <w:spacing w:after="0" w:line="1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Phase 2 TRITON trial of Descartes-08 in myositis and Phase 1/2 HELIOS pediatric trial of Descartes-08 in juvenile dermatomyositis (JDM) continue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progress, with data from both trials expected in 1H27</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vivo CAR-T program, in partnership with WestGene BioPharma, continues to advance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Approximately $124.7 million cash, cash equivalents and restricted cash as of September 30, 2026, expected to support planned operations into 2028</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Frederick, Md., November 5, 2026 (GLOBE NEWSWIRE) – Cartesian Therapeutics, Inc. (NASDAQ: RNAC) (“we”, the “Company” or “Cartesian”), a late clinical-stage biotechnology company pioneering cell therapy for autoimmune diseases, today reported financial results for the third quarter ended September 30, 2026, and outlined recent business updates.</w:t>
      </w:r>
    </w:p>
    <w:p>
      <w:pPr>
        <w:spacing w:after="0" w:line="108"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“With Phase 3 AURORA data expected in the first quarter of 2027, our focus this quarter remains on execution, both in the clinic and in preparing the organization for a commercial launch,” said Carsten Brunn, Ph.D., President and Chief Executive Officer of Cartesian. “Ahead of our anticipated BLA submission in mid-2027, we have expanded our medical affairs and commercial teams to drive launch readiness. With larger teams on the ground now, we are excited by the opportunity to expand awareness of Descartes-08’s differentiation, particularly on the back of the retreatment data we presented in September which continued to demonstrate deep and durable responses with a consistent safety profile, all with outpatient administration and no preconditioning chemotherapy. We believe this profile has the potential to meaningfully change how MG is treated. Beyond MG, we look forward to data from our TRITON and HELIOS trials expected in 2027 as we work to bring Descartes-08 to more patients with autoimmune diseases.”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Progress and Anticipated Milestones</w:t>
      </w:r>
    </w:p>
    <w:p>
      <w:pPr>
        <w:spacing w:after="0" w:line="171" w:lineRule="exact"/>
        <w:rPr>
          <w:sz w:val="20"/>
          <w:szCs w:val="20"/>
          <w:color w:val="auto"/>
        </w:rPr>
      </w:pPr>
    </w:p>
    <w:p>
      <w:pPr>
        <w:jc w:val="both"/>
        <w:ind w:left="340" w:hanging="332"/>
        <w:spacing w:after="0" w:line="257"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3 AURORA Trial of Descartes-08 in Participants with MG Advances Towards Expected Data Readout in 1Q27, with BLA Planned for Mid-2027. </w:t>
      </w:r>
      <w:r>
        <w:rPr>
          <w:rFonts w:ascii="Times New Roman" w:cs="Times New Roman" w:eastAsia="Times New Roman" w:hAnsi="Times New Roman"/>
          <w:sz w:val="18"/>
          <w:szCs w:val="18"/>
          <w:color w:val="auto"/>
        </w:rPr>
        <w:t>The randomized, double-blind, placebo-controlled Phase 3 AURORA trial is designed to assess Descartes-08, Cartesian’s autologous anti-B cell maturation antigen (BCMA) chimeric antigen receptor T-cell therapy (CAR-T) versus placebo (1:1 randomization) administered as six once-weekly outpatient infusions without preconditioning chemotherapy in approximately 100 patients with acetylcholine receptor autoantibody positive (AChR Ab+) MG. The primary endpoint will assess the proportion of Descartes-08 participants with an improvement in MG Activities of Daily Living (MG-ADL) score of three points or more at Month 4 compared to placebo.</w:t>
      </w:r>
    </w:p>
    <w:p>
      <w:pPr>
        <w:spacing w:after="0" w:line="12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Announced Retreatment Data for Descartes-08 Highlights Deep and Durable Responses in Patients with MG</w:t>
      </w:r>
      <w:r>
        <w:rPr>
          <w:rFonts w:ascii="Times New Roman" w:cs="Times New Roman" w:eastAsia="Times New Roman" w:hAnsi="Times New Roman"/>
          <w:sz w:val="18"/>
          <w:szCs w:val="18"/>
          <w:color w:val="auto"/>
        </w:rPr>
        <w:t>. In September 2026, Cartesian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additional retreatment data at the Myasthenia Gravis Foundation of America Scientific Session of the 2026 American Association of Neuromuscular and Electrodiagnostic Medicine Annual Meeting. The analysis included five patients with MG who completed a full course of Descartes-08 in the Phase 2 portion of the trial and whose symptoms returned after 12 months of follow-up. Patients were retreated a median of 16.6 months following completion of the initial course. At Month 12 following retreatment, patients achieved a mean MG-ADL reduction of 6.6 (±4.2) points from baseline. All five retreated patients experienced a clinically meaningful reduction across MG Composite (MGC) (≥3-point reduction) and MG-ADL scores (≥2-point reduction), and four of five patients maintained clinically meaningful MG-ADL reduction through Month 12. Consistent safety data observed to date supports potential retreatment of Descartes-08 following recurrence of MG symptoms, as clinical benefit was observed with no new safety signals.</w:t>
      </w:r>
    </w:p>
    <w:p>
      <w:pPr>
        <w:spacing w:after="0" w:line="134"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 TRITON Trial in Myositis Remains on Track with Data from Subset of Patients Expected in 1H27 to Inform Path Forward to Pivotal Trial. </w:t>
      </w:r>
      <w:r>
        <w:rPr>
          <w:rFonts w:ascii="Times New Roman" w:cs="Times New Roman" w:eastAsia="Times New Roman" w:hAnsi="Times New Roman"/>
          <w:sz w:val="18"/>
          <w:szCs w:val="18"/>
          <w:color w:val="auto"/>
        </w:rPr>
        <w:t>The randomized, double-blind, placebo-controlled Phase 2 TRITON trial in myositis is designed to assess Descartes-08 versus placebo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randomization) administered as six weekly outpatient infusions without preconditioning chemotherapy in patients with moderate to severe multi-refractory dermatomyositis and antisynthetase syndrome. The primary endpoint is to assess the safety and efficacy of Descartes-08 compared to placebo added to standard of care in participants with myositis. The Company plans to evaluate a subset of patients from the trial to determine the potential path to a pivotal trial in myositis.</w:t>
      </w:r>
    </w:p>
    <w:p>
      <w:pPr>
        <w:sectPr>
          <w:pgSz w:w="11900" w:h="16838" w:orient="portrait"/>
          <w:cols w:equalWidth="0" w:num="1">
            <w:col w:w="11240"/>
          </w:cols>
          <w:pgMar w:left="320" w:top="117" w:right="339" w:bottom="1440" w:gutter="0" w:footer="0" w:header="0"/>
        </w:sectPr>
      </w:pPr>
    </w:p>
    <w:bookmarkStart w:id="4" w:name="page5"/>
    <w:bookmarkEnd w:id="4"/>
    <w:p>
      <w:pPr>
        <w:jc w:val="both"/>
        <w:ind w:left="340" w:hanging="332"/>
        <w:spacing w:after="0" w:line="25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6095"/>
                    </a:xfrm>
                    <a:prstGeom prst="rect">
                      <a:avLst/>
                    </a:prstGeom>
                    <a:noFill/>
                  </pic:spPr>
                </pic:pic>
              </a:graphicData>
            </a:graphic>
          </wp:anchor>
        </w:drawing>
        <w:t xml:space="preserve">Phase 1/2 HELIOS Pediatric Trial of Descartes-08 in Autoimmune Diseases, Including JDM, Continues to Progress with Data Expected in 1H27. </w:t>
      </w:r>
      <w:r>
        <w:rPr>
          <w:rFonts w:ascii="Times New Roman" w:cs="Times New Roman" w:eastAsia="Times New Roman" w:hAnsi="Times New Roman"/>
          <w:sz w:val="18"/>
          <w:szCs w:val="18"/>
          <w:color w:val="auto"/>
        </w:rPr>
        <w:t>Enrollment remains ongoing in the Phase 1/2 HELIOS pediatric trial of Descartes-08 in children and young adults with autoimmune diseases,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JDM. JDM is a rare pediatric autoimmune disorder marked by pathognomonic skin rash and muscle inflammation affecting multiple organ systems. The U.S. Food and Drug Administration (FDA) previously granted Rare Pediatric Disease Designation to Descartes-08 for the treatment of JDM.</w:t>
      </w:r>
    </w:p>
    <w:p>
      <w:pPr>
        <w:spacing w:after="0" w:line="12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3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 Vivo CAR-T Program with WestGene Continues to Advance Through Preclinical Development with In Vitro Data Supporting WestGene’s tLNP Delivery Approach. </w:t>
      </w:r>
      <w:r>
        <w:rPr>
          <w:rFonts w:ascii="Times New Roman" w:cs="Times New Roman" w:eastAsia="Times New Roman" w:hAnsi="Times New Roman"/>
          <w:sz w:val="18"/>
          <w:szCs w:val="18"/>
          <w:color w:val="auto"/>
        </w:rPr>
        <w:t>Cartesian’s previously announced partnership with WestGene continues to progress through preclinical development.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in vitro testing has shown that WestGene’s targeted lipid nanoparticles (tLNPs) generated CAR-T cells in a dose-dependent manner, supporting the tLNP delivery approach. Upon completion of preclinical testing, Cartesian plans to move the program into clinical development.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175" w:lineRule="exact"/>
        <w:rPr>
          <w:sz w:val="20"/>
          <w:szCs w:val="20"/>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restricted cash as of September 30, 2026 was $124.7 million, inclusive of the initial $50 million tranche of non-dilutive financing from K2 HealthVentures (K2HV) and $22.8 million raised year to date after commissions and expenses through the Company’s at the market offering program. The Company’s current cash resources on hand are expected to support planned operations, including completion of the ongoing Phase 3 AURORA trial, into 2028.</w:t>
      </w:r>
    </w:p>
    <w:p>
      <w:pPr>
        <w:spacing w:after="0" w:line="1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$15.6 million for the three months ended September 30, 2026, compared to $13.8 million for the three months ended September 30, 2025. The increase was primarily a result of increased expenses associated with the ongoing Phase 3 AURORA trial, coupled with expenses for Descartes-08 in dermatomyositis, primarily related to the expense for the ongoing Phase 2 TRITON trial. This increase was partially offset by a decrease in expenses for early stage programs.</w:t>
      </w:r>
    </w:p>
    <w:p>
      <w:pPr>
        <w:spacing w:after="0" w:line="1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$9.4 million for the three months ended September 30, 2026, compared to $7.7 million for the three months ended September 30, 2025. The increase was primarily the result of higher professional and consulting fees and employee-related expenses.</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$11.5 million, or $0.38 net loss per share allocable to common stockholders (basic), for the three months ended September 30, 2026, compared to net loss of $35.9 million, or $1.38 net loss per share allocable to common stockholders (basic), for the three months ended September 30,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Descartes-08</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Descartes-08, Cartesian’s lead cell therapy candidate, is an autologous CAR-T product targeting BCMA in clinical development for generalized MG and myositis, specifically dermatomyositis and antisynthetase syndrome.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JDM.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Cartesian Therapeutics is a late clinical-stage company pioneering cell therapy for the treatment of autoimmune diseases. The Company’s lead asset, Descartes-08, is a CAR-T in Phase 3 clinical development for patients with generalized myasthenia gravis, Phase 2 clinical development in myositis, specifically dermatomyositis and antisynthetase syndrome, and in Phase 1/2 clinical development for pediatric autoimmune diseases, including juvenile dermatomyositis. For more information, please visit www.cartesiantherapeutics.com or follow the Company on LinkedIn or 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Company’s expected cash resources and cash runway, the availability and use of funds under the Company’s credit facility with K2HV, statements regarding the partnership and strategic licensing agreement between the Company and WestGene and the ability of the Company and WestGene to develop therapies, treat disease, extend mRNA payloads into in vivo delivery, the integration and complementary nature of the Company’s product candidates and WestGene’s lipid nanoparticles platform, the speed and efficiency of the development pathway for collaboration products between the Company and WestGene, the ability of the Company and its partnership with WestGene to generate clinical proof-of-concept data across multiple programs in several disease states, the ability of the Company and its partnership with WestGene to advance multiple internally developed next-generation anti-BCMA CAR constructs and a BCMA-directed TCE and the speed at which these constructs and</w:t>
      </w:r>
    </w:p>
    <w:p>
      <w:pPr>
        <w:sectPr>
          <w:pgSz w:w="11900" w:h="16838" w:orient="portrait"/>
          <w:cols w:equalWidth="0" w:num="1">
            <w:col w:w="11240"/>
          </w:cols>
          <w:pgMar w:left="320" w:top="1251" w:right="339" w:bottom="1440" w:gutter="0" w:footer="0" w:header="0"/>
        </w:sectPr>
      </w:pPr>
    </w:p>
    <w:bookmarkStart w:id="5" w:name="page6"/>
    <w:bookmarkEnd w:id="5"/>
    <w:p>
      <w:pPr>
        <w:jc w:val="both"/>
        <w:spacing w:after="0" w:line="23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TCE are developed, the ability of the Company’s product candidates to be administered in an outpatient setting or without the need for preconditioning lymphodepleting chemotherapy, the potential of Descartes-08, or any of the Company’s other product candidates to treat MG, juvenile MG, myositis, JDM, or any other disease, the anticipated timing or the outcome of ongoing and planned clinical trials, studies and data readouts, including the ongoing Phase 3 AURORA trial of Descartes-08 in MG, the ongoing Phase 2 TRITON trial of Descartes-08 in myositis, and the ongoing Phase 1/2 HELIOS pediatric trial of Descartes-08 in autoimmune diseases, including JDM, the anticipated timing or the outcome of the FDA’s review of the Company’s regulatory filings, including the number of trials that may be necessary in order to obtain marketing approval, the Company’s ability to conduct its clinical trials and preclinical studies, the timing or making of any regulatory filings, the anticipated timing or outcome of selection of developmental product candidates, the ability of the Company to enter into and maintain potential collaborations or partnerships,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ectPr>
          <w:pgSz w:w="11900" w:h="16838" w:orient="portrait"/>
          <w:cols w:equalWidth="0" w:num="1">
            <w:col w:w="11240"/>
          </w:cols>
          <w:pgMar w:left="320" w:top="1242" w:right="339" w:bottom="1440" w:gutter="0" w:footer="0" w:header="0"/>
        </w:sectPr>
      </w:pPr>
    </w:p>
    <w:bookmarkStart w:id="6" w:name="page7"/>
    <w:bookmarkEnd w:id="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40" w:type="dxa"/>
            <w:vAlign w:val="bottom"/>
          </w:tcPr>
          <w:p>
            <w:pPr>
              <w:spacing w:after="0"/>
              <w:rPr>
                <w:sz w:val="19"/>
                <w:szCs w:val="19"/>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0"/>
        </w:trPr>
        <w:tc>
          <w:tcPr>
            <w:tcW w:w="8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8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9"/>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125,139</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23"/>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129,276</w:t>
            </w:r>
          </w:p>
        </w:tc>
      </w:tr>
      <w:tr>
        <w:trPr>
          <w:trHeight w:val="270"/>
        </w:trPr>
        <w:tc>
          <w:tcPr>
            <w:tcW w:w="8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294,305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296,411</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r>
      <w:tr>
        <w:trPr>
          <w:trHeight w:val="230"/>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23"/>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70"/>
        </w:trPr>
        <w:tc>
          <w:tcPr>
            <w:tcW w:w="8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 net of current portion</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value rights liability</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392,100</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23"/>
        </w:trPr>
        <w:tc>
          <w:tcPr>
            <w:tcW w:w="8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424,772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422,651</w:t>
            </w:r>
          </w:p>
        </w:tc>
      </w:tr>
      <w:tr>
        <w:trPr>
          <w:trHeight w:val="250"/>
        </w:trPr>
        <w:tc>
          <w:tcPr>
            <w:tcW w:w="8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0"/>
        </w:trPr>
        <w:tc>
          <w:tcPr>
            <w:tcW w:w="8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deficit:</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5"/>
        </w:trPr>
        <w:tc>
          <w:tcPr>
            <w:tcW w:w="8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 Preferred Stock, $0.0001 par value; 112,164.533 and 134,904.563 shares authorized as of September 30, 2026</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5"/>
        </w:trPr>
        <w:tc>
          <w:tcPr>
            <w:tcW w:w="8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December 31, 2025, respectively; 98,050.372 and 120,790.402 shares issued and outstanding as of September 30,</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B Preferred Stock, $0.0001 par value; 437,927 shares authorized as of September 30, 2026 and December 31,</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437,927 shares issued and outstanding as of September 30, 2026 and December 31, 2025</w:t>
            </w:r>
          </w:p>
        </w:tc>
        <w:tc>
          <w:tcPr>
            <w:tcW w:w="1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9,449,908.467 and 9,427,168.437 shares authorized as of September 30, 2026 and</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 respectively; no shares issued and outstanding as of September 30, 2026 and December 31, 2025</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as of September 30, 2026 and December 31, 2025;</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8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30,487,384 and 26,011,106 shares issued and outstanding as of September 30, 2026 and December 31, 2025,</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700,706</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(822,373)</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3"/>
        </w:trPr>
        <w:tc>
          <w:tcPr>
            <w:tcW w:w="8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(126,240)</w:t>
            </w: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294,305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3"/>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r>
      <w:tr>
        <w:trPr>
          <w:trHeight w:val="257"/>
        </w:trPr>
        <w:tc>
          <w:tcPr>
            <w:tcW w:w="4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43,345</w:t>
            </w:r>
          </w:p>
        </w:tc>
      </w:tr>
      <w:tr>
        <w:trPr>
          <w:trHeight w:val="229"/>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23,271</w:t>
            </w:r>
          </w:p>
        </w:tc>
      </w:tr>
      <w:tr>
        <w:trPr>
          <w:trHeight w:val="223"/>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66,616</w:t>
            </w:r>
          </w:p>
        </w:tc>
      </w:tr>
      <w:tr>
        <w:trPr>
          <w:trHeight w:val="256"/>
        </w:trPr>
        <w:tc>
          <w:tcPr>
            <w:tcW w:w="4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(64,766)</w:t>
            </w:r>
          </w:p>
        </w:tc>
      </w:tr>
      <w:tr>
        <w:trPr>
          <w:trHeight w:val="257"/>
        </w:trPr>
        <w:tc>
          <w:tcPr>
            <w:tcW w:w="4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warrant liability</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change in fair value of derivative liability</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change in fair value of CVR liability</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45,770</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27,040</w:t>
            </w:r>
          </w:p>
        </w:tc>
      </w:tr>
      <w:tr>
        <w:trPr>
          <w:trHeight w:val="270"/>
        </w:trPr>
        <w:tc>
          <w:tcPr>
            <w:tcW w:w="49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(37,726)</w:t>
            </w:r>
          </w:p>
        </w:tc>
      </w:tr>
      <w:tr>
        <w:trPr>
          <w:trHeight w:val="236"/>
        </w:trPr>
        <w:tc>
          <w:tcPr>
            <w:tcW w:w="4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(37,692)</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(37,726)</w:t>
            </w:r>
          </w:p>
        </w:tc>
      </w:tr>
      <w:tr>
        <w:trPr>
          <w:trHeight w:val="257"/>
        </w:trPr>
        <w:tc>
          <w:tcPr>
            <w:tcW w:w="4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allocable to common stockholders: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30,309,295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26,002,892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28,894,967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25,962,302</w:t>
            </w:r>
          </w:p>
        </w:tc>
      </w:tr>
    </w:tbl>
    <w:p>
      <w:pPr>
        <w:sectPr>
          <w:pgSz w:w="11900" w:h="16838" w:orient="portrait"/>
          <w:cols w:equalWidth="0" w:num="1">
            <w:col w:w="11220"/>
          </w:cols>
          <w:pgMar w:left="320" w:top="125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Investor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LeDuc</w:t>
      </w:r>
    </w:p>
    <w:p>
      <w:pPr>
        <w:spacing w:after="0" w:line="219" w:lineRule="auto"/>
        <w:rPr>
          <w:sz w:val="20"/>
          <w:szCs w:val="20"/>
          <w:color w:val="auto"/>
        </w:rPr>
      </w:pPr>
      <w:r>
        <w:rPr>
          <w:rFonts w:ascii="Times New Roman" w:cs="Times New Roman" w:eastAsia="Times New Roman" w:hAnsi="Times New Roman"/>
          <w:sz w:val="18"/>
          <w:szCs w:val="18"/>
          <w:color w:val="auto"/>
        </w:rPr>
        <w:t>Associate Director of Investor Relations</w:t>
      </w:r>
    </w:p>
    <w:p>
      <w:pPr>
        <w:spacing w:after="0"/>
        <w:rPr>
          <w:sz w:val="20"/>
          <w:szCs w:val="20"/>
          <w:color w:val="auto"/>
        </w:rPr>
      </w:pPr>
      <w:r>
        <w:rPr>
          <w:rFonts w:ascii="Times New Roman" w:cs="Times New Roman" w:eastAsia="Times New Roman" w:hAnsi="Times New Roman"/>
          <w:sz w:val="18"/>
          <w:szCs w:val="18"/>
          <w:color w:val="auto"/>
        </w:rPr>
        <w:t>megan.leduc@cartesiantx.com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219" w:lineRule="auto"/>
        <w:rPr>
          <w:sz w:val="20"/>
          <w:szCs w:val="20"/>
          <w:color w:val="auto"/>
        </w:rPr>
      </w:pPr>
      <w:r>
        <w:rPr>
          <w:rFonts w:ascii="Times New Roman" w:cs="Times New Roman" w:eastAsia="Times New Roman" w:hAnsi="Times New Roman"/>
          <w:sz w:val="18"/>
          <w:szCs w:val="18"/>
          <w:color w:val="auto"/>
        </w:rPr>
        <w:t>Argot Partners</w:t>
      </w:r>
    </w:p>
    <w:p>
      <w:pPr>
        <w:spacing w:after="0"/>
        <w:rPr>
          <w:sz w:val="20"/>
          <w:szCs w:val="20"/>
          <w:color w:val="auto"/>
        </w:rPr>
      </w:pPr>
      <w:r>
        <w:rPr>
          <w:rFonts w:ascii="Times New Roman" w:cs="Times New Roman" w:eastAsia="Times New Roman" w:hAnsi="Times New Roman"/>
          <w:sz w:val="18"/>
          <w:szCs w:val="18"/>
          <w:color w:val="auto"/>
        </w:rPr>
        <w:t>david.rosen@argotpartners.com</w:t>
      </w:r>
    </w:p>
    <w:sectPr>
      <w:pgSz w:w="11900" w:h="16838" w:orient="portrait"/>
      <w:cols w:equalWidth="0" w:num="1">
        <w:col w:w="10139"/>
      </w:cols>
      <w:pgMar w:left="320" w:top="1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2026-11-05T06:12:31Z</dcterms:created>
  <dcterms:modified xsi:type="dcterms:W3CDTF">2026-11-05T06:12:31Z</dcterms:modified>
</cp:coreProperties>
</file>