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26,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On October 26, 2017, the Board of Directors (the “Board”) of Selecta Biosciences, Inc. (the “Company”) appointed John H. Leaman, M.D. as Chief Financial Officer, Head of Corporate Strategy and Treasurer of the Company. Dr. Leaman was also designated as the Company’s principal accounting officer, and succeeds David Siewers as Chief Financial Officer and principal accounting officer. Mr. Siewers is expected to remain as a consultant to the Company.</w:t>
      </w:r>
    </w:p>
    <w:p>
      <w:pPr>
        <w:spacing w:after="0" w:line="14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Dr. Leaman, 45, served as Head of Corporate Development at InfaCare Pharmaceutical Corporation, a specialty pharmaceutical company that was recently acquired by Mallinckrodt plc., from June 2016 to October 2017. Prior to that he served as the Chief Financial Officer of Medgenics, Inc., a biopharmaceutical company, from September 2013 to February 2016. Dr. Leaman also served as Vice President of Commercial Assessment at Shire plc, a global specialty pharmaceutical company, with responsibility for the strategic assessment of licensing and M&amp;A opportunities. Prior to joining Shire in 2011, from 2007 to 2011, Dr. Leaman was a Principal at Devon Park Bioventures, a venture capital fund targeting investments in therapeutics companies, where he oversaw the fund’s investment and corporate board duties in life science investments. Dr. Leaman received an M.D. and an M.B.A. from the University of Pennsylvania’s School of Medicine and Wharton School, respectively. He received a degree in Psychology, Philosophy and Physiology at Oriel College, University of Oxford, while completing a Rhodes scholarship. Dr. Leaman received a B.S. in biology from Elizabethtown College.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his appointment, on October 26, 2017 the Company entered into an employment agreement with Dr. Leaman for an unspecified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Under the terms of the employment agreement, Dr. Leaman will receive an annual base salary of $390,000 and, beginning with the Company’s 2018 fiscal year, will be eligible for an annual performance bonus targeted at 40% of his annual base salary and an additional annual special achievement bonus of up to 10% of his annual base salary. For the Company’s 2017 fiscal year, Dr. Leaman will be entitled to receive a discretionary bonus in an amount determined by the Board, which will not be less than $32,500 if he remains employed by the Company through December 31, 2017. Dr. Leaman’s annual bonus for the Company’s 2018 fiscal year will not be less than $162,500 if he remains employed by the Company through December 31, 2018.</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expects to grant Dr. Leaman an initial equity award consisting of an option to purchase 220,000 shares of common stock of the Company, which will vest over a four-year period, with 25% vesting 12 months from the grant date and an additional 2.083% vesting in equal monthly installments over the following 36 months. Dr. Leaman is also entitled to receive (i) additional payments of $7,000 per month for up to 12 months to offset the costs of travel between his primary residence in Pennsylvania and the Company’s offices in Watertown, Massachusetts in performing his duties for the Company and (ii) direct payment of, or reimbursement for, up to $75,000 in moving expenses incurred in connection with his relocation to the greater Boston, Massachusetts area.</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Dr. Leaman’s employment is terminated without “cause” or he resigns for “good reason,” as the terms are defined in his employment agreement, Dr. Leaman will be entitled to receive, subject to his timely executing a release of claims in favor of the Company and continued compliance with a separate restrictive covenant agreement, (i) continued base salary payments for a period of 12 months following his termination, (ii) a pro-rata portion of his annual bonus for the year of termination, based on actual performance for the full year (or based on 50% of his annual base salary if such termination occurs during the first quarter of the calendar year), and (iii) direct payment of, or reimbursement for, continued medical, dental and/or vision coverage pursuant to COBRA for up to 12 months. In addition, if such termination occurs within the 60 days preceding or 12 months following a change in control, Dr. Leaman would be entitled to receive accelerated vesting of any of his unvested Company equity awards that vest solely based on the passage of time. The Company must provide Dr. Leaman 30 days’ notice, or pay in lieu of notice, in the event the Company terminates him for any reason other than cause.</w:t>
      </w:r>
    </w:p>
    <w:p>
      <w:pPr>
        <w:sectPr>
          <w:pgSz w:w="11900" w:h="16838" w:orient="portrait"/>
          <w:cols w:equalWidth="0" w:num="1">
            <w:col w:w="11400"/>
          </w:cols>
          <w:pgMar w:left="240" w:top="796" w:right="259" w:bottom="1440" w:gutter="0" w:footer="0" w:header="0"/>
        </w:sectPr>
      </w:pPr>
    </w:p>
    <w:bookmarkStart w:id="2" w:name="page3"/>
    <w:bookmarkEnd w:id="2"/>
    <w:p>
      <w:pPr>
        <w:ind w:right="80" w:firstLine="648"/>
        <w:spacing w:after="0" w:line="264" w:lineRule="auto"/>
        <w:rPr>
          <w:sz w:val="20"/>
          <w:szCs w:val="20"/>
          <w:color w:val="auto"/>
        </w:rPr>
      </w:pPr>
      <w:r>
        <w:rPr>
          <w:rFonts w:ascii="Arial" w:cs="Arial" w:eastAsia="Arial" w:hAnsi="Arial"/>
          <w:sz w:val="18"/>
          <w:szCs w:val="18"/>
          <w:color w:val="auto"/>
        </w:rPr>
        <w:t>Dr. Leaman has also entered into a non-disclosure, non-competition and assignment of intellectual property agreement with the Company under which he agreed to refrain from engaging in direct competition with the Company or soliciting employees of the Company, in each case, while employed and following his termination of employment for any reason for a period of 12 months.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October 26, 2017, the Company issued a press release relating to the departure of Mr. Siewers, the appointment of Dr. Leaman and the addition of Stephen Smolinski as the Company’s Chief Commercial Officer. A copy is furnished herewith as Exhibit 99.1.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shall be deemed furnished, and not filed: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0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0000EE"/>
            </w:tcBorders>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00" w:type="dxa"/>
            <w:vAlign w:val="bottom"/>
            <w:tcBorders>
              <w:top w:val="single" w:sz="8" w:color="auto"/>
              <w:bottom w:val="single" w:sz="8" w:color="auto"/>
            </w:tcBorders>
            <w:gridSpan w:val="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Employment Agreement, dated as of October 26, 2017, by and between Selecta Biosciences, Inc. and John H. Leaman, M.D.</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Borders>
              <w:bottom w:val="single" w:sz="8" w:color="0000EE"/>
            </w:tcBorders>
          </w:tcPr>
          <w:p>
            <w:pPr>
              <w:spacing w:after="0" w:line="20" w:lineRule="exact"/>
              <w:rPr>
                <w:sz w:val="1"/>
                <w:szCs w:val="1"/>
                <w:color w:val="auto"/>
              </w:rPr>
            </w:pPr>
          </w:p>
        </w:tc>
        <w:tc>
          <w:tcPr>
            <w:tcW w:w="3940" w:type="dxa"/>
            <w:vAlign w:val="bottom"/>
            <w:tcBorders>
              <w:bottom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0" w:type="dxa"/>
            <w:vAlign w:val="bottom"/>
            <w:gridSpan w:val="2"/>
          </w:tcPr>
          <w:p>
            <w:pPr>
              <w:ind w:left="4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Press Release issued by Selecta Biosciences, Inc. on October 26, 2017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79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3"/>
          </w:tcPr>
          <w:p>
            <w:pPr>
              <w:ind w:left="3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45"/>
        </w:trPr>
        <w:tc>
          <w:tcPr>
            <w:tcW w:w="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00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3"/>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Employment Agreement, dated as of October 26, 2017, by and between Selecta Biosciences, Inc. and John H. Leaman, M.D.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Press Release issued by Selecta Biosciences, Inc. on October 26, 2017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4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October 26,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is made by and between Selecta Biosciences,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John Leaman (“</w:t>
      </w:r>
      <w:r>
        <w:rPr>
          <w:rFonts w:ascii="Arial" w:cs="Arial" w:eastAsia="Arial" w:hAnsi="Arial"/>
          <w:sz w:val="20"/>
          <w:szCs w:val="20"/>
          <w:u w:val="single" w:color="auto"/>
          <w:color w:val="auto"/>
        </w:rPr>
        <w:t>Executive</w:t>
      </w:r>
      <w:r>
        <w:rPr>
          <w:rFonts w:ascii="Arial" w:cs="Arial" w:eastAsia="Arial" w:hAnsi="Arial"/>
          <w:sz w:val="20"/>
          <w:szCs w:val="20"/>
          <w:color w:val="auto"/>
        </w:rPr>
        <w:t>”)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14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It is the desire of the Company to assure itself of the services of Executive following the Effective Date and thereafter by entering into this Agreement.</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Executive and the Company mutually desire that Executive provide services to the Company on the terms herein provided.</w:t>
      </w:r>
    </w:p>
    <w:p>
      <w:pPr>
        <w:spacing w:after="0" w:line="221"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84"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right="460" w:firstLine="656"/>
        <w:spacing w:after="0" w:line="347" w:lineRule="auto"/>
        <w:tabs>
          <w:tab w:leader="none" w:pos="1496" w:val="left"/>
        </w:tabs>
        <w:numPr>
          <w:ilvl w:val="1"/>
          <w:numId w:val="3"/>
        </w:numPr>
        <w:rPr>
          <w:rFonts w:ascii="Arial" w:cs="Arial" w:eastAsia="Arial" w:hAnsi="Arial"/>
          <w:sz w:val="16"/>
          <w:szCs w:val="16"/>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and subject to the other terms and conditions herein provided.</w:t>
      </w:r>
    </w:p>
    <w:p>
      <w:pPr>
        <w:spacing w:after="0" w:line="130" w:lineRule="exact"/>
        <w:rPr>
          <w:rFonts w:ascii="Arial" w:cs="Arial" w:eastAsia="Arial" w:hAnsi="Arial"/>
          <w:sz w:val="16"/>
          <w:szCs w:val="16"/>
          <w:color w:val="auto"/>
        </w:rPr>
      </w:pPr>
    </w:p>
    <w:p>
      <w:pPr>
        <w:ind w:firstLine="656"/>
        <w:spacing w:after="0" w:line="270" w:lineRule="auto"/>
        <w:tabs>
          <w:tab w:leader="none" w:pos="1506" w:val="left"/>
        </w:tabs>
        <w:numPr>
          <w:ilvl w:val="1"/>
          <w:numId w:val="3"/>
        </w:numPr>
        <w:rPr>
          <w:rFonts w:ascii="Arial" w:cs="Arial" w:eastAsia="Arial" w:hAnsi="Arial"/>
          <w:sz w:val="18"/>
          <w:szCs w:val="18"/>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20"/>
          <w:szCs w:val="20"/>
          <w:u w:val="single" w:color="auto"/>
          <w:color w:val="auto"/>
        </w:rPr>
        <w:t>Section 3(b)</w:t>
      </w:r>
      <w:r>
        <w:rPr>
          <w:rFonts w:ascii="Arial" w:cs="Arial" w:eastAsia="Arial" w:hAnsi="Arial"/>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commence on the Effective Date and end on the date this Agreement is terminated under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firstLine="656"/>
        <w:spacing w:after="0" w:line="303" w:lineRule="auto"/>
        <w:tabs>
          <w:tab w:leader="none" w:pos="1496" w:val="left"/>
        </w:tabs>
        <w:numPr>
          <w:ilvl w:val="1"/>
          <w:numId w:val="3"/>
        </w:numPr>
        <w:rPr>
          <w:rFonts w:ascii="Arial" w:cs="Arial" w:eastAsia="Arial" w:hAnsi="Arial"/>
          <w:sz w:val="16"/>
          <w:szCs w:val="16"/>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 shall serve as the Chief Financial Officer and Head of Corporate Strategy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Arial" w:cs="Arial" w:eastAsia="Arial" w:hAnsi="Arial"/>
          <w:sz w:val="18"/>
          <w:szCs w:val="18"/>
          <w:u w:val="single" w:color="auto"/>
          <w:color w:val="auto"/>
        </w:rPr>
        <w:t>Board</w:t>
      </w:r>
      <w:r>
        <w:rPr>
          <w:rFonts w:ascii="Arial" w:cs="Arial" w:eastAsia="Arial" w:hAnsi="Arial"/>
          <w:sz w:val="18"/>
          <w:szCs w:val="18"/>
          <w:color w:val="auto"/>
        </w:rPr>
        <w:t>”)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Executive agrees to observe and comply with the rules and policies of the Company as adopted by the Company from time to time,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each case as amended from time to time, as set forth in writing,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pacing w:after="0" w:line="248" w:lineRule="exact"/>
        <w:rPr>
          <w:sz w:val="20"/>
          <w:szCs w:val="20"/>
          <w:color w:val="auto"/>
        </w:rPr>
      </w:pPr>
    </w:p>
    <w:p>
      <w:pPr>
        <w:ind w:left="800" w:hanging="792"/>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48" w:lineRule="exact"/>
        <w:rPr>
          <w:rFonts w:ascii="Arial" w:cs="Arial" w:eastAsia="Arial" w:hAnsi="Arial"/>
          <w:sz w:val="18"/>
          <w:szCs w:val="18"/>
          <w:b w:val="1"/>
          <w:bCs w:val="1"/>
          <w:color w:val="auto"/>
        </w:rPr>
      </w:pPr>
    </w:p>
    <w:p>
      <w:pPr>
        <w:ind w:right="40" w:firstLine="656"/>
        <w:spacing w:after="0" w:line="274" w:lineRule="auto"/>
        <w:tabs>
          <w:tab w:leader="none" w:pos="1496" w:val="left"/>
        </w:tabs>
        <w:numPr>
          <w:ilvl w:val="1"/>
          <w:numId w:val="4"/>
        </w:numPr>
        <w:rPr>
          <w:rFonts w:ascii="Arial" w:cs="Arial" w:eastAsia="Arial" w:hAnsi="Arial"/>
          <w:sz w:val="18"/>
          <w:szCs w:val="18"/>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 $390,000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firstLine="656"/>
        <w:spacing w:after="0" w:line="297" w:lineRule="auto"/>
        <w:tabs>
          <w:tab w:leader="none" w:pos="1506" w:val="left"/>
        </w:tabs>
        <w:numPr>
          <w:ilvl w:val="1"/>
          <w:numId w:val="4"/>
        </w:numPr>
        <w:rPr>
          <w:rFonts w:ascii="Arial" w:cs="Arial" w:eastAsia="Arial" w:hAnsi="Arial"/>
          <w:sz w:val="16"/>
          <w:szCs w:val="16"/>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Beginning with the Company’s 2018 fiscal year and during the Term, Executive will be eligible to participate in an annual incentive program established by the Board. Executive’s annual incentive compensation under such incentive program (the “</w:t>
      </w:r>
      <w:r>
        <w:rPr>
          <w:rFonts w:ascii="Arial" w:cs="Arial" w:eastAsia="Arial" w:hAnsi="Arial"/>
          <w:sz w:val="18"/>
          <w:szCs w:val="18"/>
          <w:u w:val="single" w:color="auto"/>
          <w:color w:val="auto"/>
        </w:rPr>
        <w:t>Incentive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shall be targeted at 40%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Incentive Bonus payable under the incentive program shall be based on the achievement of performance goals to be determined by the Board. Further, beginning with the Company’s 2018 fiscal year and during the Term, Executive will also be eligible to earn an additional annual special achievement bonus of up to 10% of Executive’s Annual Base Salary based on the achievement of additional performance goals to be determined by the Board (the “</w:t>
      </w:r>
      <w:r>
        <w:rPr>
          <w:rFonts w:ascii="Arial" w:cs="Arial" w:eastAsia="Arial" w:hAnsi="Arial"/>
          <w:sz w:val="18"/>
          <w:szCs w:val="18"/>
          <w:u w:val="single" w:color="auto"/>
          <w:color w:val="auto"/>
        </w:rPr>
        <w:t>Special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Bonus</w:t>
      </w:r>
      <w:r>
        <w:rPr>
          <w:rFonts w:ascii="Arial" w:cs="Arial" w:eastAsia="Arial" w:hAnsi="Arial"/>
          <w:sz w:val="18"/>
          <w:szCs w:val="18"/>
          <w:color w:val="auto"/>
        </w:rPr>
        <w:t>”). The Incentive Bonus and the Special Bonus are hereinafter referred to collectively as the “</w:t>
      </w:r>
      <w:r>
        <w:rPr>
          <w:rFonts w:ascii="Arial" w:cs="Arial" w:eastAsia="Arial" w:hAnsi="Arial"/>
          <w:sz w:val="18"/>
          <w:szCs w:val="18"/>
          <w:u w:val="single" w:color="auto"/>
          <w:color w:val="auto"/>
        </w:rPr>
        <w:t>Annual Bonus</w:t>
      </w:r>
      <w:r>
        <w:rPr>
          <w:rFonts w:ascii="Arial" w:cs="Arial" w:eastAsia="Arial" w:hAnsi="Arial"/>
          <w:sz w:val="18"/>
          <w:szCs w:val="18"/>
          <w:color w:val="auto"/>
        </w:rPr>
        <w:t>”. For the portion of the Company’s 2017 fiscal year during which Executive is employed, Executive will be eligible to receive a discretionary bonus in an amount to be determined by the Board (the “</w:t>
      </w:r>
      <w:r>
        <w:rPr>
          <w:rFonts w:ascii="Arial" w:cs="Arial" w:eastAsia="Arial" w:hAnsi="Arial"/>
          <w:sz w:val="18"/>
          <w:szCs w:val="18"/>
          <w:u w:val="single" w:color="auto"/>
          <w:color w:val="auto"/>
        </w:rPr>
        <w:t>2017 Prorated Bonus</w:t>
      </w:r>
      <w:r>
        <w:rPr>
          <w:rFonts w:ascii="Arial" w:cs="Arial" w:eastAsia="Arial" w:hAnsi="Arial"/>
          <w:sz w:val="18"/>
          <w:szCs w:val="18"/>
          <w:color w:val="auto"/>
        </w:rPr>
        <w:t>”). Notwithstanding the foregoing, the 2017 Prorated Bonus paid to Executive will not be less than $32,500 if the Executive remains employed by the Company through December 31, 2017, and the Annual Bonus paid to Executive for the Company’s 2018 fiscal year will not be less than $162,500 if the Executive remains employed by the Company through December 31,</w:t>
      </w:r>
    </w:p>
    <w:p>
      <w:pPr>
        <w:spacing w:after="0" w:line="5" w:lineRule="exact"/>
        <w:rPr>
          <w:rFonts w:ascii="Arial" w:cs="Arial" w:eastAsia="Arial" w:hAnsi="Arial"/>
          <w:sz w:val="16"/>
          <w:szCs w:val="16"/>
          <w:color w:val="auto"/>
        </w:rPr>
      </w:pPr>
    </w:p>
    <w:p>
      <w:pPr>
        <w:ind w:right="140"/>
        <w:spacing w:after="0" w:line="289" w:lineRule="auto"/>
        <w:rPr>
          <w:rFonts w:ascii="Arial" w:cs="Arial" w:eastAsia="Arial" w:hAnsi="Arial"/>
          <w:sz w:val="16"/>
          <w:szCs w:val="16"/>
          <w:color w:val="auto"/>
        </w:rPr>
      </w:pPr>
      <w:r>
        <w:rPr>
          <w:rFonts w:ascii="Arial" w:cs="Arial" w:eastAsia="Arial" w:hAnsi="Arial"/>
          <w:sz w:val="20"/>
          <w:szCs w:val="20"/>
          <w:color w:val="auto"/>
        </w:rPr>
        <w:t>2018. The payment of the 2017 Prorated Bonus and any Annual Bonus will be made on or before March 15 of the year following the calendar year in which it is earned.</w:t>
      </w:r>
    </w:p>
    <w:p>
      <w:pPr>
        <w:spacing w:after="0" w:line="175" w:lineRule="exact"/>
        <w:rPr>
          <w:rFonts w:ascii="Arial" w:cs="Arial" w:eastAsia="Arial" w:hAnsi="Arial"/>
          <w:sz w:val="16"/>
          <w:szCs w:val="16"/>
          <w:color w:val="auto"/>
        </w:rPr>
      </w:pPr>
    </w:p>
    <w:p>
      <w:pPr>
        <w:jc w:val="both"/>
        <w:ind w:right="140" w:firstLine="656"/>
        <w:spacing w:after="0" w:line="274" w:lineRule="auto"/>
        <w:tabs>
          <w:tab w:leader="none" w:pos="1496" w:val="left"/>
        </w:tabs>
        <w:numPr>
          <w:ilvl w:val="1"/>
          <w:numId w:val="4"/>
        </w:numPr>
        <w:rPr>
          <w:rFonts w:ascii="Arial" w:cs="Arial" w:eastAsia="Arial" w:hAnsi="Arial"/>
          <w:sz w:val="18"/>
          <w:szCs w:val="18"/>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192" w:lineRule="exact"/>
        <w:rPr>
          <w:rFonts w:ascii="Arial" w:cs="Arial" w:eastAsia="Arial" w:hAnsi="Arial"/>
          <w:sz w:val="18"/>
          <w:szCs w:val="18"/>
          <w:color w:val="auto"/>
        </w:rPr>
      </w:pPr>
    </w:p>
    <w:p>
      <w:pPr>
        <w:jc w:val="both"/>
        <w:ind w:firstLine="656"/>
        <w:spacing w:after="0" w:line="274" w:lineRule="auto"/>
        <w:tabs>
          <w:tab w:leader="none" w:pos="1506" w:val="left"/>
        </w:tabs>
        <w:numPr>
          <w:ilvl w:val="1"/>
          <w:numId w:val="4"/>
        </w:numPr>
        <w:rPr>
          <w:rFonts w:ascii="Arial" w:cs="Arial" w:eastAsia="Arial" w:hAnsi="Arial"/>
          <w:sz w:val="18"/>
          <w:szCs w:val="18"/>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92" w:lineRule="exact"/>
        <w:rPr>
          <w:rFonts w:ascii="Arial" w:cs="Arial" w:eastAsia="Arial" w:hAnsi="Arial"/>
          <w:sz w:val="18"/>
          <w:szCs w:val="18"/>
          <w:color w:val="auto"/>
        </w:rPr>
      </w:pPr>
    </w:p>
    <w:p>
      <w:pPr>
        <w:ind w:right="280" w:firstLine="656"/>
        <w:spacing w:after="0" w:line="278" w:lineRule="auto"/>
        <w:tabs>
          <w:tab w:leader="none" w:pos="1496" w:val="left"/>
        </w:tabs>
        <w:numPr>
          <w:ilvl w:val="1"/>
          <w:numId w:val="4"/>
        </w:numPr>
        <w:rPr>
          <w:rFonts w:ascii="Arial" w:cs="Arial" w:eastAsia="Arial" w:hAnsi="Arial"/>
          <w:sz w:val="18"/>
          <w:szCs w:val="18"/>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rFonts w:ascii="Arial" w:cs="Arial" w:eastAsia="Arial" w:hAnsi="Arial"/>
          <w:sz w:val="18"/>
          <w:szCs w:val="18"/>
          <w:color w:val="auto"/>
        </w:rPr>
      </w:pPr>
    </w:p>
    <w:p>
      <w:pPr>
        <w:ind w:right="140" w:firstLine="656"/>
        <w:spacing w:after="0" w:line="293" w:lineRule="auto"/>
        <w:tabs>
          <w:tab w:leader="none" w:pos="1476" w:val="left"/>
        </w:tabs>
        <w:numPr>
          <w:ilvl w:val="1"/>
          <w:numId w:val="4"/>
        </w:numPr>
        <w:rPr>
          <w:rFonts w:ascii="Arial" w:cs="Arial" w:eastAsia="Arial" w:hAnsi="Arial"/>
          <w:sz w:val="17"/>
          <w:szCs w:val="17"/>
          <w:color w:val="auto"/>
        </w:rPr>
      </w:pPr>
      <w:r>
        <w:rPr>
          <w:rFonts w:ascii="Arial" w:cs="Arial" w:eastAsia="Arial" w:hAnsi="Arial"/>
          <w:sz w:val="19"/>
          <w:szCs w:val="19"/>
          <w:u w:val="single" w:color="auto"/>
          <w:color w:val="auto"/>
        </w:rPr>
        <w:t>Key Person Insurance</w:t>
      </w:r>
      <w:r>
        <w:rPr>
          <w:rFonts w:ascii="Arial" w:cs="Arial" w:eastAsia="Arial" w:hAnsi="Arial"/>
          <w:sz w:val="19"/>
          <w:szCs w:val="19"/>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2</w:t>
      </w:r>
    </w:p>
    <w:p>
      <w:pPr>
        <w:sectPr>
          <w:pgSz w:w="11900" w:h="16838" w:orient="portrait"/>
          <w:cols w:equalWidth="0" w:num="1">
            <w:col w:w="11400"/>
          </w:cols>
          <w:pgMar w:left="240" w:top="595" w:right="259" w:bottom="1440" w:gutter="0" w:footer="0" w:header="0"/>
        </w:sectPr>
      </w:pPr>
    </w:p>
    <w:bookmarkStart w:id="7" w:name="page8"/>
    <w:bookmarkEnd w:id="7"/>
    <w:p>
      <w:pPr>
        <w:ind w:right="140"/>
        <w:spacing w:after="0" w:line="278" w:lineRule="auto"/>
        <w:rPr>
          <w:sz w:val="20"/>
          <w:szCs w:val="20"/>
          <w:color w:val="auto"/>
        </w:rPr>
      </w:pPr>
      <w:r>
        <w:rPr>
          <w:rFonts w:ascii="Arial" w:cs="Arial" w:eastAsia="Arial" w:hAnsi="Arial"/>
          <w:sz w:val="20"/>
          <w:szCs w:val="20"/>
          <w:color w:val="auto"/>
        </w:rPr>
        <w:t>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73" w:lineRule="exact"/>
        <w:rPr>
          <w:sz w:val="20"/>
          <w:szCs w:val="20"/>
          <w:color w:val="auto"/>
        </w:rPr>
      </w:pPr>
    </w:p>
    <w:p>
      <w:pPr>
        <w:ind w:right="40" w:firstLine="656"/>
        <w:spacing w:after="0" w:line="243" w:lineRule="auto"/>
        <w:tabs>
          <w:tab w:leader="none" w:pos="1059"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No later than the first regularly scheduled meeting of the Company’s Board of Directors following the Effective Date and subject to the approval of the Board, pursuant to the Company’s 2016 Incentive Award Plan (as it may be amended, the “</w:t>
      </w:r>
      <w:r>
        <w:rPr>
          <w:rFonts w:ascii="Arial" w:cs="Arial" w:eastAsia="Arial" w:hAnsi="Arial"/>
          <w:sz w:val="20"/>
          <w:szCs w:val="20"/>
          <w:u w:val="single" w:color="auto"/>
          <w:color w:val="auto"/>
        </w:rPr>
        <w:t>Plan</w:t>
      </w:r>
      <w:r>
        <w:rPr>
          <w:rFonts w:ascii="Arial" w:cs="Arial" w:eastAsia="Arial" w:hAnsi="Arial"/>
          <w:sz w:val="20"/>
          <w:szCs w:val="20"/>
          <w:color w:val="auto"/>
        </w:rPr>
        <w:t>”), Executive will be granted an option to purchase 220,000 shares of common stock of the Company with an exercise price per share equal to the fair market value of a share of the Company’s common stock on the date of grant (the “</w:t>
      </w:r>
      <w:r>
        <w:rPr>
          <w:rFonts w:ascii="Arial" w:cs="Arial" w:eastAsia="Arial" w:hAnsi="Arial"/>
          <w:sz w:val="20"/>
          <w:szCs w:val="20"/>
          <w:u w:val="single" w:color="auto"/>
          <w:color w:val="auto"/>
        </w:rPr>
        <w:t>Option</w:t>
      </w:r>
      <w:r>
        <w:rPr>
          <w:rFonts w:ascii="Arial" w:cs="Arial" w:eastAsia="Arial" w:hAnsi="Arial"/>
          <w:sz w:val="20"/>
          <w:szCs w:val="20"/>
          <w:color w:val="auto"/>
        </w:rPr>
        <w:t>”). Subject to Executive’s continued employment by the Company, the Option shall vest over a four-year period, with 25% vesting 12 months from the date of grant and an additional 2.083% vesting in equal monthly installments over the following 36 months. The Option will be subject to the terms of the Plan and the applicable award agreement evidencing such award.</w:t>
      </w:r>
    </w:p>
    <w:p>
      <w:pPr>
        <w:spacing w:after="0" w:line="193" w:lineRule="exact"/>
        <w:rPr>
          <w:rFonts w:ascii="Arial" w:cs="Arial" w:eastAsia="Arial" w:hAnsi="Arial"/>
          <w:sz w:val="20"/>
          <w:szCs w:val="20"/>
          <w:color w:val="auto"/>
        </w:rPr>
      </w:pPr>
    </w:p>
    <w:p>
      <w:pPr>
        <w:ind w:firstLine="656"/>
        <w:spacing w:after="0" w:line="268" w:lineRule="auto"/>
        <w:tabs>
          <w:tab w:leader="none" w:pos="105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The parties acknowledge that the Company’s principal place of business is currently in Watertown, Massachusetts and Executive’s primary residence is currently in the state of Pennsylvania. Executive agrees to relocate his primary residence to the greater Boston, Massachusetts area prior to the first anniversary of the Effective Time. For the avoidance of doubt, Executive’s failure to relocate his primary residence to the greater Boston, Massachusetts area prior to the first anniversary of the Effective Time will constitute a breach of a material provision of this Agreement that entitles the Company to terminate Executive’s employment for Cause (as defined below) without the requirement that Executive be provided written notice of, or an opportunity to cure, such breach. Until Executive relocates to the greater Boston, Massachusetts area, Executive will be permitted from time to time to perform his obligations under this Agreement remotely, provided that Executive will spend such time at the Company’s principal place of business in Watertown, Massachusetts as the Company’s Chief Executive Officer reasonably determines is necessary or appropriate for Executive to perform his duties and responsibilities under this Agreement. During the first twelve months of the Term or until Executive’s earlier relocation to the greater Boston, Massachusetts area, in addition to the Annual Base Salary, the Company will pay Executive additional base salary at the rate of $7,000 per month (“</w:t>
      </w:r>
      <w:r>
        <w:rPr>
          <w:rFonts w:ascii="Arial" w:cs="Arial" w:eastAsia="Arial" w:hAnsi="Arial"/>
          <w:sz w:val="18"/>
          <w:szCs w:val="18"/>
          <w:u w:val="single" w:color="auto"/>
          <w:color w:val="auto"/>
        </w:rPr>
        <w:t>Additional 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 to offset the costs of Executive’s travel between Massachusetts and Pennsylvania in performing his duties for the Company. Additional Base Salary will be prorated for any partial month of service and will not constitute Annual Base Salary under this Agreement. Further, the Company will reimburse Executive for (or pay directly on Executive’s behalf) Executive’s reasonable moving expenses incurred in connection with Executive’s relocation to the greater Boston, Massachusetts area in an amount not to exceed $75,000 (the “</w:t>
      </w:r>
      <w:r>
        <w:rPr>
          <w:rFonts w:ascii="Arial" w:cs="Arial" w:eastAsia="Arial" w:hAnsi="Arial"/>
          <w:sz w:val="18"/>
          <w:szCs w:val="18"/>
          <w:u w:val="single" w:color="auto"/>
          <w:color w:val="auto"/>
        </w:rPr>
        <w:t>Relocation Allowance</w:t>
      </w:r>
      <w:r>
        <w:rPr>
          <w:rFonts w:ascii="Arial" w:cs="Arial" w:eastAsia="Arial" w:hAnsi="Arial"/>
          <w:sz w:val="18"/>
          <w:szCs w:val="18"/>
          <w:color w:val="auto"/>
        </w:rPr>
        <w:t>”), provided that such relocation occurs prior to the first anniversary of the Effective Time. Documentation reasonably acceptable to the Company of all reimbursable moving expenses must be submitted to the Company promptly following the date such expenses are incurred. All payments of the Relocation Allowance will be provided within 60 days following Executive’s submission to the Company of such documentation, except that in no event will any payments of Relocation Allowance be made other than in calendar year 2018. Executive will be liable and responsible for the employee portion of all taxes owed in connection with the Relocation Allowance (to the extent the Company reasonably determines all or a portion of the Relocation Allowance constitutes taxable income to Executive) or the Additional Base Salary, and the Company may (but will not be required to) deduct or withhold such taxes from any compensation payable to Executive by the Company or its affiliates. If (i) Executive’s employment is terminated by the Company for Cause or by Executive other than for Good Reason (as defined below), in either case within 12 months of the date Executive relocates to the greater Boston area, or (ii) Executive fails to relocate to the greater Boston, Massachusetts area prior to the first anniversary of the Effective Time, Executive will repay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3</w:t>
      </w:r>
    </w:p>
    <w:p>
      <w:pPr>
        <w:sectPr>
          <w:pgSz w:w="11900" w:h="16838" w:orient="portrait"/>
          <w:cols w:equalWidth="0" w:num="1">
            <w:col w:w="11400"/>
          </w:cols>
          <w:pgMar w:left="240" w:top="595" w:right="259" w:bottom="1440" w:gutter="0" w:footer="0" w:header="0"/>
        </w:sectPr>
      </w:pPr>
    </w:p>
    <w:bookmarkStart w:id="8" w:name="page9"/>
    <w:bookmarkEnd w:id="8"/>
    <w:p>
      <w:pPr>
        <w:ind w:right="40"/>
        <w:spacing w:after="0" w:line="250" w:lineRule="auto"/>
        <w:rPr>
          <w:sz w:val="20"/>
          <w:szCs w:val="20"/>
          <w:color w:val="auto"/>
        </w:rPr>
      </w:pPr>
      <w:r>
        <w:rPr>
          <w:rFonts w:ascii="Arial" w:cs="Arial" w:eastAsia="Arial" w:hAnsi="Arial"/>
          <w:sz w:val="20"/>
          <w:szCs w:val="20"/>
          <w:color w:val="auto"/>
        </w:rPr>
        <w:t>the full amount of any Relocation Allowance paid to Executive (or paid on Executive’s behalf), and the Company will be entitled (but not required) to deduct the amount of any such repayment obligations from any amounts otherwise payable to Executive by the Company or any of its affiliates.</w:t>
      </w:r>
    </w:p>
    <w:p>
      <w:pPr>
        <w:spacing w:after="0" w:line="18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Executive’s employment hereunder may be terminated by the Company or Executive, as applicable, without any breach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00"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480" w:hanging="500"/>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42" w:lineRule="exact"/>
        <w:rPr>
          <w:rFonts w:ascii="Arial" w:cs="Arial" w:eastAsia="Arial" w:hAnsi="Arial"/>
          <w:sz w:val="18"/>
          <w:szCs w:val="18"/>
          <w:color w:val="auto"/>
        </w:rPr>
      </w:pPr>
    </w:p>
    <w:p>
      <w:pPr>
        <w:ind w:left="1520" w:hanging="540"/>
        <w:spacing w:after="0"/>
        <w:tabs>
          <w:tab w:leader="none" w:pos="1520" w:val="left"/>
        </w:tabs>
        <w:numPr>
          <w:ilvl w:val="1"/>
          <w:numId w:val="7"/>
        </w:numPr>
        <w:rPr>
          <w:rFonts w:ascii="Arial" w:cs="Arial" w:eastAsia="Arial" w:hAnsi="Arial"/>
          <w:sz w:val="16"/>
          <w:szCs w:val="16"/>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Executive has incurred a Disability, as defined below, the Company may terminate Executive’s employment.</w:t>
      </w:r>
    </w:p>
    <w:p>
      <w:pPr>
        <w:spacing w:after="0" w:line="265" w:lineRule="exact"/>
        <w:rPr>
          <w:rFonts w:ascii="Arial" w:cs="Arial" w:eastAsia="Arial" w:hAnsi="Arial"/>
          <w:sz w:val="16"/>
          <w:szCs w:val="16"/>
          <w:color w:val="auto"/>
        </w:rPr>
      </w:pPr>
    </w:p>
    <w:p>
      <w:pPr>
        <w:ind w:left="1580" w:hanging="600"/>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20"/>
          <w:szCs w:val="20"/>
          <w:i w:val="1"/>
          <w:iCs w:val="1"/>
          <w:color w:val="auto"/>
        </w:rPr>
        <w:t>Termination for Cause</w:t>
      </w:r>
      <w:r>
        <w:rPr>
          <w:rFonts w:ascii="Arial" w:cs="Arial" w:eastAsia="Arial" w:hAnsi="Arial"/>
          <w:sz w:val="20"/>
          <w:szCs w:val="20"/>
          <w:color w:val="auto"/>
        </w:rPr>
        <w:t>. The Company may terminate Executive’s employment for Cause, as defined below.</w:t>
      </w:r>
    </w:p>
    <w:p>
      <w:pPr>
        <w:spacing w:after="0" w:line="242" w:lineRule="exact"/>
        <w:rPr>
          <w:rFonts w:ascii="Arial" w:cs="Arial" w:eastAsia="Arial" w:hAnsi="Arial"/>
          <w:sz w:val="18"/>
          <w:szCs w:val="18"/>
          <w:color w:val="auto"/>
        </w:rPr>
      </w:pPr>
    </w:p>
    <w:p>
      <w:pPr>
        <w:ind w:left="1560" w:hanging="580"/>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42" w:lineRule="exact"/>
        <w:rPr>
          <w:rFonts w:ascii="Arial" w:cs="Arial" w:eastAsia="Arial" w:hAnsi="Arial"/>
          <w:sz w:val="18"/>
          <w:szCs w:val="18"/>
          <w:color w:val="auto"/>
        </w:rPr>
      </w:pPr>
    </w:p>
    <w:p>
      <w:pPr>
        <w:ind w:left="340" w:right="180" w:firstLine="640"/>
        <w:spacing w:after="0" w:line="289" w:lineRule="auto"/>
        <w:tabs>
          <w:tab w:leader="none" w:pos="1522" w:val="left"/>
        </w:tabs>
        <w:numPr>
          <w:ilvl w:val="1"/>
          <w:numId w:val="7"/>
        </w:numPr>
        <w:rPr>
          <w:rFonts w:ascii="Arial" w:cs="Arial" w:eastAsia="Arial" w:hAnsi="Arial"/>
          <w:sz w:val="18"/>
          <w:szCs w:val="18"/>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 Company with</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as defined below.</w:t>
      </w:r>
    </w:p>
    <w:p>
      <w:pPr>
        <w:spacing w:after="0" w:line="175" w:lineRule="exact"/>
        <w:rPr>
          <w:rFonts w:ascii="Arial" w:cs="Arial" w:eastAsia="Arial" w:hAnsi="Arial"/>
          <w:sz w:val="18"/>
          <w:szCs w:val="18"/>
          <w:color w:val="auto"/>
        </w:rPr>
      </w:pPr>
    </w:p>
    <w:p>
      <w:pPr>
        <w:ind w:left="340" w:firstLine="640"/>
        <w:spacing w:after="0" w:line="289" w:lineRule="auto"/>
        <w:tabs>
          <w:tab w:leader="none" w:pos="1572" w:val="left"/>
        </w:tabs>
        <w:numPr>
          <w:ilvl w:val="1"/>
          <w:numId w:val="7"/>
        </w:numPr>
        <w:rPr>
          <w:rFonts w:ascii="Arial" w:cs="Arial" w:eastAsia="Arial" w:hAnsi="Arial"/>
          <w:sz w:val="18"/>
          <w:szCs w:val="18"/>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 Company for</w:t>
      </w:r>
      <w:r>
        <w:rPr>
          <w:rFonts w:ascii="Arial" w:cs="Arial" w:eastAsia="Arial" w:hAnsi="Arial"/>
          <w:sz w:val="20"/>
          <w:szCs w:val="20"/>
          <w:i w:val="1"/>
          <w:iCs w:val="1"/>
          <w:color w:val="auto"/>
        </w:rPr>
        <w:t xml:space="preserve"> </w:t>
      </w:r>
      <w:r>
        <w:rPr>
          <w:rFonts w:ascii="Arial" w:cs="Arial" w:eastAsia="Arial" w:hAnsi="Arial"/>
          <w:sz w:val="20"/>
          <w:szCs w:val="20"/>
          <w:color w:val="auto"/>
        </w:rPr>
        <w:t>any reason other than Good Reason or for no reason.</w:t>
      </w:r>
    </w:p>
    <w:p>
      <w:pPr>
        <w:spacing w:after="0" w:line="161" w:lineRule="exact"/>
        <w:rPr>
          <w:rFonts w:ascii="Arial" w:cs="Arial" w:eastAsia="Arial" w:hAnsi="Arial"/>
          <w:sz w:val="18"/>
          <w:szCs w:val="18"/>
          <w:color w:val="auto"/>
        </w:rPr>
      </w:pPr>
    </w:p>
    <w:p>
      <w:pPr>
        <w:ind w:firstLine="656"/>
        <w:spacing w:after="0" w:line="254" w:lineRule="auto"/>
        <w:tabs>
          <w:tab w:leader="none" w:pos="1077"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provided, however,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provided,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4</w:t>
      </w:r>
    </w:p>
    <w:p>
      <w:pPr>
        <w:sectPr>
          <w:pgSz w:w="11900" w:h="16838" w:orient="portrait"/>
          <w:cols w:equalWidth="0" w:num="1">
            <w:col w:w="11400"/>
          </w:cols>
          <w:pgMar w:left="240" w:top="582" w:right="259" w:bottom="1440" w:gutter="0" w:footer="0" w:header="0"/>
        </w:sectPr>
      </w:pPr>
    </w:p>
    <w:bookmarkStart w:id="9" w:name="page10"/>
    <w:bookmarkEnd w:id="9"/>
    <w:p>
      <w:pPr>
        <w:ind w:left="-8" w:right="40" w:firstLine="656"/>
        <w:spacing w:after="0" w:line="271" w:lineRule="auto"/>
        <w:tabs>
          <w:tab w:leader="none" w:pos="105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70" w:lineRule="exact"/>
        <w:rPr>
          <w:rFonts w:ascii="Arial" w:cs="Arial" w:eastAsia="Arial" w:hAnsi="Arial"/>
          <w:sz w:val="18"/>
          <w:szCs w:val="18"/>
          <w:color w:val="auto"/>
        </w:rPr>
      </w:pPr>
    </w:p>
    <w:p>
      <w:pPr>
        <w:ind w:left="-8" w:right="220" w:firstLine="656"/>
        <w:spacing w:after="0" w:line="260" w:lineRule="auto"/>
        <w:tabs>
          <w:tab w:leader="none" w:pos="1069"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Arial" w:cs="Arial" w:eastAsia="Arial" w:hAnsi="Arial"/>
          <w:sz w:val="20"/>
          <w:szCs w:val="20"/>
          <w:color w:val="auto"/>
        </w:rPr>
      </w:pPr>
    </w:p>
    <w:p>
      <w:pPr>
        <w:ind w:left="352" w:hanging="352"/>
        <w:spacing w:after="0"/>
        <w:tabs>
          <w:tab w:leader="none" w:pos="352"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8" w:right="160" w:firstLine="656"/>
        <w:spacing w:after="0" w:line="293" w:lineRule="auto"/>
        <w:tabs>
          <w:tab w:leader="none" w:pos="1498" w:val="left"/>
        </w:tabs>
        <w:numPr>
          <w:ilvl w:val="1"/>
          <w:numId w:val="9"/>
        </w:numPr>
        <w:rPr>
          <w:rFonts w:ascii="Arial" w:cs="Arial" w:eastAsia="Arial" w:hAnsi="Arial"/>
          <w:sz w:val="17"/>
          <w:szCs w:val="17"/>
          <w:color w:val="auto"/>
        </w:rPr>
      </w:pPr>
      <w:r>
        <w:rPr>
          <w:rFonts w:ascii="Arial" w:cs="Arial" w:eastAsia="Arial" w:hAnsi="Arial"/>
          <w:sz w:val="19"/>
          <w:szCs w:val="19"/>
          <w:u w:val="single" w:color="auto"/>
          <w:color w:val="auto"/>
        </w:rPr>
        <w:t>Termination for Cause, or Termination Upon Death, Disability or Resignation from the Company Without Good Reason</w:t>
      </w:r>
      <w:r>
        <w:rPr>
          <w:rFonts w:ascii="Arial" w:cs="Arial" w:eastAsia="Arial" w:hAnsi="Arial"/>
          <w:sz w:val="19"/>
          <w:szCs w:val="19"/>
          <w:color w:val="auto"/>
        </w:rPr>
        <w:t xml:space="preserve">. If Executive’s employment shall terminate as a result of Executive’s death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xml:space="preserve"> or Disability pursuant to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3(a)(iii)</w:t>
      </w:r>
      <w:r>
        <w:rPr>
          <w:rFonts w:ascii="Arial" w:cs="Arial" w:eastAsia="Arial" w:hAnsi="Arial"/>
          <w:sz w:val="19"/>
          <w:szCs w:val="19"/>
          <w:color w:val="auto"/>
        </w:rPr>
        <w:t xml:space="preserve"> for Cause, or pursuant to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9"/>
          <w:szCs w:val="19"/>
          <w:u w:val="single" w:color="auto"/>
          <w:color w:val="auto"/>
        </w:rPr>
        <w:t>Section 3(c)</w:t>
      </w:r>
      <w:r>
        <w:rPr>
          <w:rFonts w:ascii="Arial" w:cs="Arial" w:eastAsia="Arial" w:hAnsi="Arial"/>
          <w:sz w:val="19"/>
          <w:szCs w:val="19"/>
          <w:color w:val="auto"/>
        </w:rPr>
        <w:t>.</w:t>
      </w:r>
    </w:p>
    <w:p>
      <w:pPr>
        <w:spacing w:after="0" w:line="175" w:lineRule="exact"/>
        <w:rPr>
          <w:rFonts w:ascii="Arial" w:cs="Arial" w:eastAsia="Arial" w:hAnsi="Arial"/>
          <w:sz w:val="17"/>
          <w:szCs w:val="17"/>
          <w:color w:val="auto"/>
        </w:rPr>
      </w:pPr>
    </w:p>
    <w:p>
      <w:pPr>
        <w:ind w:left="-8" w:right="20" w:firstLine="656"/>
        <w:spacing w:after="0" w:line="288" w:lineRule="auto"/>
        <w:tabs>
          <w:tab w:leader="none" w:pos="1498" w:val="left"/>
        </w:tabs>
        <w:numPr>
          <w:ilvl w:val="1"/>
          <w:numId w:val="9"/>
        </w:numPr>
        <w:rPr>
          <w:rFonts w:ascii="Arial" w:cs="Arial" w:eastAsia="Arial" w:hAnsi="Arial"/>
          <w:sz w:val="17"/>
          <w:szCs w:val="17"/>
          <w:color w:val="auto"/>
        </w:rPr>
      </w:pPr>
      <w:r>
        <w:rPr>
          <w:rFonts w:ascii="Arial" w:cs="Arial" w:eastAsia="Arial" w:hAnsi="Arial"/>
          <w:sz w:val="19"/>
          <w:szCs w:val="19"/>
          <w:u w:val="single" w:color="auto"/>
          <w:color w:val="auto"/>
        </w:rPr>
        <w:t>Termination without Cause, or Resignation from the Company with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82" w:lineRule="exact"/>
        <w:rPr>
          <w:rFonts w:ascii="Arial" w:cs="Arial" w:eastAsia="Arial" w:hAnsi="Arial"/>
          <w:sz w:val="17"/>
          <w:szCs w:val="17"/>
          <w:color w:val="auto"/>
        </w:rPr>
      </w:pPr>
    </w:p>
    <w:p>
      <w:pPr>
        <w:ind w:left="332" w:firstLine="640"/>
        <w:spacing w:after="0" w:line="274" w:lineRule="auto"/>
        <w:tabs>
          <w:tab w:leader="none" w:pos="1474" w:val="left"/>
        </w:tabs>
        <w:numPr>
          <w:ilvl w:val="2"/>
          <w:numId w:val="9"/>
        </w:numPr>
        <w:rPr>
          <w:rFonts w:ascii="Arial" w:cs="Arial" w:eastAsia="Arial" w:hAnsi="Arial"/>
          <w:sz w:val="18"/>
          <w:szCs w:val="18"/>
          <w:color w:val="auto"/>
        </w:rPr>
      </w:pPr>
      <w:r>
        <w:rPr>
          <w:rFonts w:ascii="Arial" w:cs="Arial" w:eastAsia="Arial" w:hAnsi="Arial"/>
          <w:sz w:val="20"/>
          <w:szCs w:val="20"/>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20"/>
          <w:szCs w:val="20"/>
          <w:u w:val="single" w:color="auto"/>
          <w:color w:val="auto"/>
        </w:rPr>
        <w:t>Severance Period</w:t>
      </w:r>
      <w:r>
        <w:rPr>
          <w:rFonts w:ascii="Arial" w:cs="Arial" w:eastAsia="Arial" w:hAnsi="Arial"/>
          <w:sz w:val="20"/>
          <w:szCs w:val="20"/>
          <w:color w:val="auto"/>
        </w:rPr>
        <w:t>”) in accordance with the Company’s normal payroll practices, commencing on the Company’s next regular payday following the effective date of the Release (with the first payment including all amounts accrued to date) (the “</w:t>
      </w:r>
      <w:r>
        <w:rPr>
          <w:rFonts w:ascii="Arial" w:cs="Arial" w:eastAsia="Arial" w:hAnsi="Arial"/>
          <w:sz w:val="20"/>
          <w:szCs w:val="20"/>
          <w:u w:val="single" w:color="auto"/>
          <w:color w:val="auto"/>
        </w:rPr>
        <w:t>Payment Date</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left="332" w:right="280" w:firstLine="640"/>
        <w:spacing w:after="0" w:line="293" w:lineRule="auto"/>
        <w:tabs>
          <w:tab w:leader="none" w:pos="1524" w:val="left"/>
        </w:tabs>
        <w:numPr>
          <w:ilvl w:val="2"/>
          <w:numId w:val="9"/>
        </w:numPr>
        <w:rPr>
          <w:rFonts w:ascii="Arial" w:cs="Arial" w:eastAsia="Arial" w:hAnsi="Arial"/>
          <w:sz w:val="17"/>
          <w:szCs w:val="17"/>
          <w:color w:val="auto"/>
        </w:rPr>
      </w:pPr>
      <w:r>
        <w:rPr>
          <w:rFonts w:ascii="Arial" w:cs="Arial" w:eastAsia="Arial" w:hAnsi="Arial"/>
          <w:sz w:val="19"/>
          <w:szCs w:val="19"/>
          <w:color w:val="auto"/>
        </w:rPr>
        <w:t>a pro-rata portion of the Annual Bonus, payable in the form of a lump sum payment, in an amount equal to the product of (A)(i) 50% of the Annual Base Salary,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828282"/>
        </w:rPr>
        <w:t>5</w:t>
      </w:r>
    </w:p>
    <w:p>
      <w:pPr>
        <w:sectPr>
          <w:pgSz w:w="11900" w:h="16838" w:orient="portrait"/>
          <w:cols w:equalWidth="0" w:num="1">
            <w:col w:w="11412"/>
          </w:cols>
          <w:pgMar w:left="248" w:top="582" w:right="239" w:bottom="1440" w:gutter="0" w:footer="0" w:header="0"/>
        </w:sectPr>
      </w:pPr>
    </w:p>
    <w:bookmarkStart w:id="10" w:name="page11"/>
    <w:bookmarkEnd w:id="10"/>
    <w:p>
      <w:pPr>
        <w:ind w:left="340" w:right="340"/>
        <w:spacing w:after="0" w:line="289" w:lineRule="auto"/>
        <w:rPr>
          <w:sz w:val="20"/>
          <w:szCs w:val="20"/>
          <w:color w:val="auto"/>
        </w:rPr>
      </w:pPr>
      <w:r>
        <w:rPr>
          <w:rFonts w:ascii="Arial" w:cs="Arial" w:eastAsia="Arial" w:hAnsi="Arial"/>
          <w:sz w:val="20"/>
          <w:szCs w:val="20"/>
          <w:color w:val="auto"/>
        </w:rPr>
        <w:t>prior to the Date of Termination as the numerator and 12 as the denominator, payable in either case by the later of March 15 of the year following the year in which the Date of Termination occurs and the Payment Date; and</w:t>
      </w:r>
    </w:p>
    <w:p>
      <w:pPr>
        <w:spacing w:after="0" w:line="175" w:lineRule="exact"/>
        <w:rPr>
          <w:sz w:val="20"/>
          <w:szCs w:val="20"/>
          <w:color w:val="auto"/>
        </w:rPr>
      </w:pPr>
    </w:p>
    <w:p>
      <w:pPr>
        <w:ind w:left="340" w:firstLine="640"/>
        <w:spacing w:after="0" w:line="334" w:lineRule="auto"/>
        <w:tabs>
          <w:tab w:leader="none" w:pos="1582" w:val="left"/>
        </w:tabs>
        <w:numPr>
          <w:ilvl w:val="3"/>
          <w:numId w:val="10"/>
        </w:numPr>
        <w:rPr>
          <w:rFonts w:ascii="Arial" w:cs="Arial" w:eastAsia="Arial" w:hAnsi="Arial"/>
          <w:sz w:val="15"/>
          <w:szCs w:val="15"/>
          <w:color w:val="auto"/>
        </w:rPr>
      </w:pPr>
      <w:r>
        <w:rPr>
          <w:rFonts w:ascii="Arial" w:cs="Arial" w:eastAsia="Arial" w:hAnsi="Arial"/>
          <w:sz w:val="16"/>
          <w:szCs w:val="16"/>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w:t>
      </w:r>
    </w:p>
    <w:p>
      <w:pPr>
        <w:spacing w:after="0" w:line="2" w:lineRule="exact"/>
        <w:rPr>
          <w:rFonts w:ascii="Arial" w:cs="Arial" w:eastAsia="Arial" w:hAnsi="Arial"/>
          <w:sz w:val="15"/>
          <w:szCs w:val="15"/>
          <w:color w:val="auto"/>
        </w:rPr>
      </w:pPr>
    </w:p>
    <w:p>
      <w:pPr>
        <w:ind w:left="340" w:right="60" w:hanging="8"/>
        <w:spacing w:after="0" w:line="307" w:lineRule="auto"/>
        <w:tabs>
          <w:tab w:leader="none" w:pos="6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7" w:lineRule="exact"/>
        <w:rPr>
          <w:rFonts w:ascii="Arial" w:cs="Arial" w:eastAsia="Arial" w:hAnsi="Arial"/>
          <w:sz w:val="18"/>
          <w:szCs w:val="18"/>
          <w:color w:val="auto"/>
        </w:rPr>
      </w:pPr>
    </w:p>
    <w:p>
      <w:pPr>
        <w:ind w:right="40" w:firstLine="656"/>
        <w:spacing w:after="0" w:line="293" w:lineRule="auto"/>
        <w:tabs>
          <w:tab w:leader="none" w:pos="1466" w:val="left"/>
        </w:tabs>
        <w:numPr>
          <w:ilvl w:val="2"/>
          <w:numId w:val="11"/>
        </w:numPr>
        <w:rPr>
          <w:rFonts w:ascii="Arial" w:cs="Arial" w:eastAsia="Arial" w:hAnsi="Arial"/>
          <w:sz w:val="17"/>
          <w:szCs w:val="17"/>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8"/>
          <w:szCs w:val="18"/>
          <w:u w:val="single" w:color="auto"/>
          <w:color w:val="auto"/>
        </w:rPr>
        <w:t>Section 3(a)(iv)</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3(a)(v)</w:t>
      </w:r>
      <w:r>
        <w:rPr>
          <w:rFonts w:ascii="Arial" w:cs="Arial" w:eastAsia="Arial" w:hAnsi="Arial"/>
          <w:sz w:val="18"/>
          <w:szCs w:val="18"/>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Executive’s Separation from Service, and not revoking, the Release (which the Executive will receive no later than ten (10) business days following Executive’s Separation from Service) and Executive’s continued compliance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Executive shall receive, in addition to the payments and benefits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4(b)</w:t>
      </w:r>
      <w:r>
        <w:rPr>
          <w:rFonts w:ascii="Arial" w:cs="Arial" w:eastAsia="Arial" w:hAnsi="Arial"/>
          <w:sz w:val="18"/>
          <w:szCs w:val="18"/>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81" w:lineRule="exact"/>
        <w:rPr>
          <w:rFonts w:ascii="Arial" w:cs="Arial" w:eastAsia="Arial" w:hAnsi="Arial"/>
          <w:sz w:val="17"/>
          <w:szCs w:val="17"/>
          <w:color w:val="auto"/>
        </w:rPr>
      </w:pPr>
    </w:p>
    <w:p>
      <w:pPr>
        <w:ind w:right="20" w:firstLine="656"/>
        <w:spacing w:after="0" w:line="289" w:lineRule="auto"/>
        <w:tabs>
          <w:tab w:leader="none" w:pos="1466" w:val="left"/>
        </w:tabs>
        <w:numPr>
          <w:ilvl w:val="2"/>
          <w:numId w:val="11"/>
        </w:numPr>
        <w:rPr>
          <w:rFonts w:ascii="Arial" w:cs="Arial" w:eastAsia="Arial" w:hAnsi="Arial"/>
          <w:sz w:val="18"/>
          <w:szCs w:val="18"/>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55" w:lineRule="exact"/>
        <w:rPr>
          <w:rFonts w:ascii="Arial" w:cs="Arial" w:eastAsia="Arial" w:hAnsi="Arial"/>
          <w:sz w:val="18"/>
          <w:szCs w:val="18"/>
          <w:color w:val="auto"/>
        </w:rPr>
      </w:pPr>
    </w:p>
    <w:p>
      <w:pPr>
        <w:ind w:right="260" w:firstLine="8"/>
        <w:spacing w:after="0" w:line="246" w:lineRule="auto"/>
        <w:tabs>
          <w:tab w:leader="none" w:pos="346"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85" w:lineRule="exact"/>
        <w:rPr>
          <w:rFonts w:ascii="Arial" w:cs="Arial" w:eastAsia="Arial" w:hAnsi="Arial"/>
          <w:sz w:val="20"/>
          <w:szCs w:val="20"/>
          <w:b w:val="1"/>
          <w:bCs w:val="1"/>
          <w:color w:val="auto"/>
        </w:rPr>
      </w:pPr>
    </w:p>
    <w:p>
      <w:pPr>
        <w:ind w:left="360" w:hanging="352"/>
        <w:spacing w:after="0"/>
        <w:tabs>
          <w:tab w:leader="none" w:pos="3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2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6</w:t>
      </w:r>
    </w:p>
    <w:p>
      <w:pPr>
        <w:sectPr>
          <w:pgSz w:w="11900" w:h="16838" w:orient="portrait"/>
          <w:cols w:equalWidth="0" w:num="1">
            <w:col w:w="11380"/>
          </w:cols>
          <w:pgMar w:left="240" w:top="595" w:right="279" w:bottom="1440" w:gutter="0" w:footer="0" w:header="0"/>
        </w:sectPr>
      </w:pPr>
    </w:p>
    <w:bookmarkStart w:id="11" w:name="page12"/>
    <w:bookmarkEnd w:id="11"/>
    <w:p>
      <w:pPr>
        <w:ind w:right="20"/>
        <w:spacing w:after="0" w:line="328" w:lineRule="auto"/>
        <w:rPr>
          <w:sz w:val="20"/>
          <w:szCs w:val="20"/>
          <w:color w:val="auto"/>
        </w:rPr>
      </w:pPr>
      <w:r>
        <w:rPr>
          <w:rFonts w:ascii="Arial" w:cs="Arial" w:eastAsia="Arial" w:hAnsi="Arial"/>
          <w:sz w:val="16"/>
          <w:szCs w:val="16"/>
          <w:color w:val="auto"/>
        </w:rPr>
        <w:t>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2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080" w:hanging="424"/>
        <w:spacing w:after="0"/>
        <w:tabs>
          <w:tab w:leader="none" w:pos="1080"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29" w:lineRule="exact"/>
        <w:rPr>
          <w:rFonts w:ascii="Arial" w:cs="Arial" w:eastAsia="Arial" w:hAnsi="Arial"/>
          <w:sz w:val="20"/>
          <w:szCs w:val="20"/>
          <w:color w:val="auto"/>
        </w:rPr>
      </w:pPr>
    </w:p>
    <w:p>
      <w:pPr>
        <w:ind w:left="1480" w:hanging="500"/>
        <w:spacing w:after="0"/>
        <w:tabs>
          <w:tab w:leader="none" w:pos="1480" w:val="left"/>
        </w:tabs>
        <w:numPr>
          <w:ilvl w:val="2"/>
          <w:numId w:val="13"/>
        </w:numPr>
        <w:rPr>
          <w:rFonts w:ascii="Arial" w:cs="Arial" w:eastAsia="Arial" w:hAnsi="Arial"/>
          <w:sz w:val="17"/>
          <w:szCs w:val="17"/>
          <w:color w:val="auto"/>
        </w:rPr>
      </w:pPr>
      <w:r>
        <w:rPr>
          <w:rFonts w:ascii="Arial" w:cs="Arial" w:eastAsia="Arial" w:hAnsi="Arial"/>
          <w:sz w:val="19"/>
          <w:szCs w:val="19"/>
          <w:color w:val="auto"/>
        </w:rPr>
        <w:t>Executive’s commission of, or indictment or conviction for, any felony or any crime involving dishonesty by Executive;</w:t>
      </w:r>
    </w:p>
    <w:p>
      <w:pPr>
        <w:spacing w:after="0" w:line="254" w:lineRule="exact"/>
        <w:rPr>
          <w:rFonts w:ascii="Arial" w:cs="Arial" w:eastAsia="Arial" w:hAnsi="Arial"/>
          <w:sz w:val="17"/>
          <w:szCs w:val="17"/>
          <w:color w:val="auto"/>
        </w:rPr>
      </w:pPr>
    </w:p>
    <w:p>
      <w:pPr>
        <w:ind w:left="1520" w:hanging="540"/>
        <w:spacing w:after="0"/>
        <w:tabs>
          <w:tab w:leader="none" w:pos="1520" w:val="left"/>
        </w:tabs>
        <w:numPr>
          <w:ilvl w:val="2"/>
          <w:numId w:val="13"/>
        </w:numPr>
        <w:rPr>
          <w:rFonts w:ascii="Arial" w:cs="Arial" w:eastAsia="Arial" w:hAnsi="Arial"/>
          <w:sz w:val="18"/>
          <w:szCs w:val="18"/>
          <w:color w:val="auto"/>
        </w:rPr>
      </w:pPr>
      <w:r>
        <w:rPr>
          <w:rFonts w:ascii="Arial" w:cs="Arial" w:eastAsia="Arial" w:hAnsi="Arial"/>
          <w:sz w:val="20"/>
          <w:szCs w:val="20"/>
          <w:color w:val="auto"/>
        </w:rPr>
        <w:t>Executive’s participation in any fraud against the Company or any of its affiliates;</w:t>
      </w:r>
    </w:p>
    <w:p>
      <w:pPr>
        <w:spacing w:after="0" w:line="242" w:lineRule="exact"/>
        <w:rPr>
          <w:rFonts w:ascii="Arial" w:cs="Arial" w:eastAsia="Arial" w:hAnsi="Arial"/>
          <w:sz w:val="18"/>
          <w:szCs w:val="18"/>
          <w:color w:val="auto"/>
        </w:rPr>
      </w:pPr>
    </w:p>
    <w:p>
      <w:pPr>
        <w:ind w:left="1580" w:hanging="600"/>
        <w:spacing w:after="0"/>
        <w:tabs>
          <w:tab w:leader="none" w:pos="1580" w:val="left"/>
        </w:tabs>
        <w:numPr>
          <w:ilvl w:val="2"/>
          <w:numId w:val="13"/>
        </w:numPr>
        <w:rPr>
          <w:rFonts w:ascii="Arial" w:cs="Arial" w:eastAsia="Arial" w:hAnsi="Arial"/>
          <w:sz w:val="18"/>
          <w:szCs w:val="18"/>
          <w:color w:val="auto"/>
        </w:rPr>
      </w:pPr>
      <w:r>
        <w:rPr>
          <w:rFonts w:ascii="Arial" w:cs="Arial" w:eastAsia="Arial" w:hAnsi="Arial"/>
          <w:sz w:val="20"/>
          <w:szCs w:val="20"/>
          <w:color w:val="auto"/>
        </w:rPr>
        <w:t>Any intentional material damage to any property of the Company or any of its affiliates by Executive;</w:t>
      </w:r>
    </w:p>
    <w:p>
      <w:pPr>
        <w:spacing w:after="0" w:line="242" w:lineRule="exact"/>
        <w:rPr>
          <w:rFonts w:ascii="Arial" w:cs="Arial" w:eastAsia="Arial" w:hAnsi="Arial"/>
          <w:sz w:val="18"/>
          <w:szCs w:val="18"/>
          <w:color w:val="auto"/>
        </w:rPr>
      </w:pPr>
    </w:p>
    <w:p>
      <w:pPr>
        <w:ind w:left="340" w:right="20" w:firstLine="640"/>
        <w:spacing w:after="0" w:line="278" w:lineRule="auto"/>
        <w:tabs>
          <w:tab w:leader="none" w:pos="1572" w:val="left"/>
        </w:tabs>
        <w:numPr>
          <w:ilvl w:val="2"/>
          <w:numId w:val="13"/>
        </w:numPr>
        <w:rPr>
          <w:rFonts w:ascii="Arial" w:cs="Arial" w:eastAsia="Arial" w:hAnsi="Arial"/>
          <w:sz w:val="18"/>
          <w:szCs w:val="18"/>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86" w:lineRule="exact"/>
        <w:rPr>
          <w:rFonts w:ascii="Arial" w:cs="Arial" w:eastAsia="Arial" w:hAnsi="Arial"/>
          <w:sz w:val="18"/>
          <w:szCs w:val="18"/>
          <w:color w:val="auto"/>
        </w:rPr>
      </w:pPr>
    </w:p>
    <w:p>
      <w:pPr>
        <w:jc w:val="both"/>
        <w:ind w:left="340" w:right="200" w:firstLine="640"/>
        <w:spacing w:after="0" w:line="278" w:lineRule="auto"/>
        <w:tabs>
          <w:tab w:leader="none" w:pos="1522" w:val="left"/>
        </w:tabs>
        <w:numPr>
          <w:ilvl w:val="2"/>
          <w:numId w:val="13"/>
        </w:numPr>
        <w:rPr>
          <w:rFonts w:ascii="Arial" w:cs="Arial" w:eastAsia="Arial" w:hAnsi="Arial"/>
          <w:sz w:val="18"/>
          <w:szCs w:val="18"/>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73" w:lineRule="exact"/>
        <w:rPr>
          <w:rFonts w:ascii="Arial" w:cs="Arial" w:eastAsia="Arial" w:hAnsi="Arial"/>
          <w:sz w:val="18"/>
          <w:szCs w:val="18"/>
          <w:color w:val="auto"/>
        </w:rPr>
      </w:pPr>
    </w:p>
    <w:p>
      <w:pPr>
        <w:ind w:right="440" w:firstLine="656"/>
        <w:spacing w:after="0" w:line="260" w:lineRule="auto"/>
        <w:tabs>
          <w:tab w:leader="none" w:pos="1077"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“Change in Control” shall have the meaning set forth in the version of the Selecta Biosciences, Inc. 2016 Incentive Award Plan in effect on the Effective Date.</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“Code” shall mean the Internal Revenue Code of 1986, as amended, and the regulations and guidance promulgated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thereunder.</w:t>
      </w:r>
    </w:p>
    <w:p>
      <w:pPr>
        <w:spacing w:after="0" w:line="199" w:lineRule="exact"/>
        <w:rPr>
          <w:rFonts w:ascii="Arial" w:cs="Arial" w:eastAsia="Arial" w:hAnsi="Arial"/>
          <w:sz w:val="19"/>
          <w:szCs w:val="19"/>
          <w:color w:val="auto"/>
        </w:rPr>
      </w:pPr>
    </w:p>
    <w:p>
      <w:pPr>
        <w:jc w:val="both"/>
        <w:ind w:right="20" w:firstLine="656"/>
        <w:spacing w:after="0" w:line="250" w:lineRule="auto"/>
        <w:tabs>
          <w:tab w:leader="none" w:pos="1077"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0"/>
          <w:szCs w:val="20"/>
          <w:u w:val="single" w:color="auto"/>
          <w:color w:val="auto"/>
        </w:rPr>
        <w:t>Section 3(a)(ii) - (vi)</w:t>
      </w:r>
      <w:r>
        <w:rPr>
          <w:rFonts w:ascii="Arial" w:cs="Arial" w:eastAsia="Arial" w:hAnsi="Arial"/>
          <w:sz w:val="20"/>
          <w:szCs w:val="20"/>
          <w:color w:val="auto"/>
        </w:rPr>
        <w:t xml:space="preserve"> either the date indicated in the Notice of Termination or the date specified by the Company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whichever is earlier.</w:t>
      </w:r>
    </w:p>
    <w:p>
      <w:pPr>
        <w:spacing w:after="0" w:line="186" w:lineRule="exact"/>
        <w:rPr>
          <w:rFonts w:ascii="Arial" w:cs="Arial" w:eastAsia="Arial" w:hAnsi="Arial"/>
          <w:sz w:val="20"/>
          <w:szCs w:val="20"/>
          <w:color w:val="auto"/>
        </w:rPr>
      </w:pPr>
    </w:p>
    <w:p>
      <w:pPr>
        <w:ind w:firstLine="656"/>
        <w:spacing w:after="0" w:line="258" w:lineRule="auto"/>
        <w:tabs>
          <w:tab w:leader="none" w:pos="1066"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7</w:t>
      </w:r>
    </w:p>
    <w:p>
      <w:pPr>
        <w:sectPr>
          <w:pgSz w:w="11900" w:h="16838" w:orient="portrait"/>
          <w:cols w:equalWidth="0" w:num="1">
            <w:col w:w="11400"/>
          </w:cols>
          <w:pgMar w:left="240" w:top="582" w:right="259" w:bottom="1440" w:gutter="0" w:footer="0" w:header="0"/>
        </w:sectPr>
      </w:pPr>
    </w:p>
    <w:bookmarkStart w:id="12" w:name="page13"/>
    <w:bookmarkEnd w:id="12"/>
    <w:p>
      <w:pPr>
        <w:ind w:right="140"/>
        <w:spacing w:after="0" w:line="244" w:lineRule="auto"/>
        <w:rPr>
          <w:sz w:val="20"/>
          <w:szCs w:val="20"/>
          <w:color w:val="auto"/>
        </w:rPr>
      </w:pPr>
      <w:r>
        <w:rPr>
          <w:rFonts w:ascii="Arial" w:cs="Arial" w:eastAsia="Arial" w:hAnsi="Arial"/>
          <w:sz w:val="20"/>
          <w:szCs w:val="20"/>
          <w:color w:val="auto"/>
        </w:rPr>
        <w:t>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95" w:lineRule="exact"/>
        <w:rPr>
          <w:sz w:val="20"/>
          <w:szCs w:val="20"/>
          <w:color w:val="auto"/>
        </w:rPr>
      </w:pPr>
    </w:p>
    <w:p>
      <w:pPr>
        <w:ind w:right="60" w:firstLine="656"/>
        <w:spacing w:after="0" w:line="271" w:lineRule="auto"/>
        <w:tabs>
          <w:tab w:leader="none" w:pos="104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the sole purpose of determining Executive’s right to severance payments and benefits as described above, Executive’s resignation will be for “Good Reason” if Executive resigns within one year after any of the following events, unless Executive consents to the applicable event in writing: (i) a material reduction in Executive’s Annual Base Salary or the combined percentage of Executive’s Annual Base Salary represented by the Target Bonus and the Special Bonus opportunity, (ii) a material diminution in Executive’s authority, title or duties or areas of responsibility, (iii) the requirement that the Executive report to someone other than the Chief Executive Officer, (iv) the relocation of Executive’s primary office to a location more than 40 miles from the Boston metropolitan area (other than a relocation to a location within 40 miles of Lancaster, Pennsylvania), or (v)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164"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20" w:firstLine="656"/>
        <w:spacing w:after="0" w:line="255" w:lineRule="auto"/>
        <w:tabs>
          <w:tab w:leader="none" w:pos="1066"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5" w:lineRule="exact"/>
        <w:rPr>
          <w:rFonts w:ascii="Arial" w:cs="Arial" w:eastAsia="Arial" w:hAnsi="Arial"/>
          <w:sz w:val="19"/>
          <w:szCs w:val="19"/>
          <w:color w:val="auto"/>
        </w:rPr>
      </w:pPr>
    </w:p>
    <w:p>
      <w:pPr>
        <w:ind w:firstLine="656"/>
        <w:spacing w:after="0" w:line="244" w:lineRule="auto"/>
        <w:tabs>
          <w:tab w:leader="none" w:pos="1073"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Total Payments shall be reduced in the following order: (i) reduction on a pro-rata basis of any cash severance payments that are exempt from Section 409A of the Code (“</w:t>
      </w:r>
      <w:r>
        <w:rPr>
          <w:rFonts w:ascii="Arial" w:cs="Arial" w:eastAsia="Arial" w:hAnsi="Arial"/>
          <w:sz w:val="20"/>
          <w:szCs w:val="20"/>
          <w:u w:val="single" w:color="auto"/>
          <w:color w:val="auto"/>
        </w:rPr>
        <w:t>Section 409A</w:t>
      </w:r>
      <w:r>
        <w:rPr>
          <w:rFonts w:ascii="Arial" w:cs="Arial" w:eastAsia="Arial" w:hAnsi="Arial"/>
          <w:sz w:val="20"/>
          <w:szCs w:val="20"/>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8</w:t>
      </w:r>
    </w:p>
    <w:p>
      <w:pPr>
        <w:sectPr>
          <w:pgSz w:w="11900" w:h="16838" w:orient="portrait"/>
          <w:cols w:equalWidth="0" w:num="1">
            <w:col w:w="11420"/>
          </w:cols>
          <w:pgMar w:left="240" w:top="582" w:right="239" w:bottom="1440" w:gutter="0" w:footer="0" w:header="0"/>
        </w:sectPr>
      </w:pPr>
    </w:p>
    <w:bookmarkStart w:id="13" w:name="page14"/>
    <w:bookmarkEnd w:id="13"/>
    <w:p>
      <w:pPr>
        <w:ind w:right="400"/>
        <w:spacing w:after="0" w:line="260" w:lineRule="auto"/>
        <w:rPr>
          <w:sz w:val="20"/>
          <w:szCs w:val="20"/>
          <w:color w:val="auto"/>
        </w:rPr>
      </w:pPr>
      <w:r>
        <w:rPr>
          <w:rFonts w:ascii="Arial" w:cs="Arial" w:eastAsia="Arial" w:hAnsi="Arial"/>
          <w:sz w:val="20"/>
          <w:szCs w:val="20"/>
          <w:color w:val="auto"/>
        </w:rPr>
        <w:t>(iv), that reduction of any payments attributable to the acceleration of vesting of Company equity awards shall be first applied to Company equity awards that would otherwise vest last in time.</w:t>
      </w:r>
    </w:p>
    <w:p>
      <w:pPr>
        <w:spacing w:after="0" w:line="177" w:lineRule="exact"/>
        <w:rPr>
          <w:sz w:val="20"/>
          <w:szCs w:val="20"/>
          <w:color w:val="auto"/>
        </w:rPr>
      </w:pPr>
    </w:p>
    <w:p>
      <w:pPr>
        <w:ind w:firstLine="656"/>
        <w:spacing w:after="0" w:line="257" w:lineRule="auto"/>
        <w:tabs>
          <w:tab w:leader="none" w:pos="1062"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1" w:lineRule="exact"/>
        <w:rPr>
          <w:rFonts w:ascii="Arial" w:cs="Arial" w:eastAsia="Arial" w:hAnsi="Arial"/>
          <w:sz w:val="19"/>
          <w:szCs w:val="19"/>
          <w:color w:val="auto"/>
        </w:rPr>
      </w:pPr>
    </w:p>
    <w:p>
      <w:pPr>
        <w:ind w:right="120" w:firstLine="656"/>
        <w:spacing w:after="0" w:line="309" w:lineRule="auto"/>
        <w:tabs>
          <w:tab w:leader="none" w:pos="10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If Executive incurs legal fees or other expenses (including expert witness and accounting fees) in an effort to determine the applicability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establish entitlement to or obtain any portion of the Total Payments that have been reduced under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8"/>
          <w:szCs w:val="18"/>
          <w:u w:val="single" w:color="auto"/>
          <w:color w:val="auto"/>
        </w:rPr>
        <w:t>8</w:t>
      </w:r>
      <w:r>
        <w:rPr>
          <w:rFonts w:ascii="Arial" w:cs="Arial" w:eastAsia="Arial" w:hAnsi="Arial"/>
          <w:sz w:val="18"/>
          <w:szCs w:val="18"/>
          <w:color w:val="auto"/>
        </w:rPr>
        <w:t xml:space="preserve"> (collectively, “Legal and Other Expenses”), Executive shall be entitled to payment of or reimbursement for such Legal and Other Expenses in accordance with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Subject to Sections </w:t>
      </w:r>
      <w:r>
        <w:rPr>
          <w:rFonts w:ascii="Arial" w:cs="Arial" w:eastAsia="Arial" w:hAnsi="Arial"/>
          <w:sz w:val="18"/>
          <w:szCs w:val="18"/>
          <w:u w:val="single" w:color="auto"/>
          <w:color w:val="auto"/>
        </w:rPr>
        <w:t>9(l)(iv)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9(m)</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71" w:lineRule="exact"/>
        <w:rPr>
          <w:rFonts w:ascii="Arial" w:cs="Arial" w:eastAsia="Arial" w:hAnsi="Arial"/>
          <w:sz w:val="16"/>
          <w:szCs w:val="16"/>
          <w:color w:val="auto"/>
        </w:rPr>
      </w:pPr>
    </w:p>
    <w:p>
      <w:pPr>
        <w:jc w:val="both"/>
        <w:ind w:right="180" w:firstLine="656"/>
        <w:spacing w:after="0" w:line="263" w:lineRule="auto"/>
        <w:tabs>
          <w:tab w:leader="none" w:pos="1066"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70" w:lineRule="exact"/>
        <w:rPr>
          <w:rFonts w:ascii="Arial" w:cs="Arial" w:eastAsia="Arial" w:hAnsi="Arial"/>
          <w:sz w:val="19"/>
          <w:szCs w:val="19"/>
          <w:color w:val="auto"/>
        </w:rPr>
      </w:pPr>
    </w:p>
    <w:p>
      <w:pPr>
        <w:ind w:left="360" w:hanging="352"/>
        <w:spacing w:after="0"/>
        <w:tabs>
          <w:tab w:leader="none" w:pos="3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60" w:firstLine="656"/>
        <w:spacing w:after="0" w:line="263" w:lineRule="auto"/>
        <w:tabs>
          <w:tab w:leader="none" w:pos="1066"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6" w:lineRule="exact"/>
        <w:rPr>
          <w:rFonts w:ascii="Arial" w:cs="Arial" w:eastAsia="Arial" w:hAnsi="Arial"/>
          <w:sz w:val="19"/>
          <w:szCs w:val="19"/>
          <w:color w:val="auto"/>
        </w:rPr>
      </w:pPr>
    </w:p>
    <w:p>
      <w:pPr>
        <w:ind w:right="620" w:firstLine="656"/>
        <w:spacing w:after="0" w:line="260" w:lineRule="auto"/>
        <w:tabs>
          <w:tab w:leader="none" w:pos="1077"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9</w:t>
      </w:r>
    </w:p>
    <w:p>
      <w:pPr>
        <w:sectPr>
          <w:pgSz w:w="11900" w:h="16838" w:orient="portrait"/>
          <w:cols w:equalWidth="0" w:num="1">
            <w:col w:w="11400"/>
          </w:cols>
          <w:pgMar w:left="240" w:top="582" w:right="259" w:bottom="1440" w:gutter="0" w:footer="0" w:header="0"/>
        </w:sectPr>
      </w:pPr>
    </w:p>
    <w:bookmarkStart w:id="14" w:name="page15"/>
    <w:bookmarkEnd w:id="14"/>
    <w:p>
      <w:pPr>
        <w:ind w:left="-20" w:right="180" w:firstLine="656"/>
        <w:spacing w:after="0" w:line="250" w:lineRule="auto"/>
        <w:tabs>
          <w:tab w:leader="none" w:pos="104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20"/>
          <w:szCs w:val="20"/>
          <w:color w:val="auto"/>
        </w:rPr>
      </w:pPr>
    </w:p>
    <w:p>
      <w:pPr>
        <w:ind w:left="2000" w:hanging="391"/>
        <w:spacing w:after="0"/>
        <w:tabs>
          <w:tab w:leader="none" w:pos="20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w:t>
      </w:r>
    </w:p>
    <w:p>
      <w:pPr>
        <w:spacing w:after="0" w:line="215" w:lineRule="exact"/>
        <w:rPr>
          <w:rFonts w:ascii="Arial" w:cs="Arial" w:eastAsia="Arial" w:hAnsi="Arial"/>
          <w:sz w:val="20"/>
          <w:szCs w:val="20"/>
          <w:color w:val="auto"/>
        </w:rPr>
      </w:pPr>
    </w:p>
    <w:p>
      <w:pPr>
        <w:ind w:left="2040" w:hanging="431"/>
        <w:spacing w:after="0"/>
        <w:tabs>
          <w:tab w:leader="none" w:pos="20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2100" w:hanging="491"/>
        <w:spacing w:after="0"/>
        <w:tabs>
          <w:tab w:leader="none" w:pos="21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5" w:lineRule="exact"/>
        <w:rPr>
          <w:rFonts w:ascii="Arial" w:cs="Arial" w:eastAsia="Arial" w:hAnsi="Arial"/>
          <w:sz w:val="20"/>
          <w:szCs w:val="20"/>
          <w:color w:val="auto"/>
        </w:rPr>
      </w:pPr>
    </w:p>
    <w:p>
      <w:pPr>
        <w:ind w:left="-20" w:firstLine="656"/>
        <w:spacing w:after="0" w:line="250" w:lineRule="auto"/>
        <w:tabs>
          <w:tab w:leader="none" w:pos="1057"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0"/>
          <w:szCs w:val="20"/>
          <w:color w:val="auto"/>
        </w:rPr>
      </w:pPr>
    </w:p>
    <w:p>
      <w:pPr>
        <w:ind w:left="-20" w:firstLine="656"/>
        <w:spacing w:after="0" w:line="259" w:lineRule="auto"/>
        <w:tabs>
          <w:tab w:leader="none" w:pos="104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The terms of this Agreement, the Restrictive Covenant Agreement incorporated herein by reference as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78" w:lineRule="exact"/>
        <w:rPr>
          <w:rFonts w:ascii="Arial" w:cs="Arial" w:eastAsia="Arial" w:hAnsi="Arial"/>
          <w:sz w:val="19"/>
          <w:szCs w:val="19"/>
          <w:color w:val="auto"/>
        </w:rPr>
      </w:pPr>
    </w:p>
    <w:p>
      <w:pPr>
        <w:ind w:left="-20" w:firstLine="656"/>
        <w:spacing w:after="0" w:line="260" w:lineRule="auto"/>
        <w:tabs>
          <w:tab w:leader="none" w:pos="1024"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Parties acknowledge that they have or will enter into an Indemnification Agreement in substantially the form attached as Exhibit C hereto.</w:t>
      </w:r>
    </w:p>
    <w:p>
      <w:pPr>
        <w:spacing w:after="0" w:line="176" w:lineRule="exact"/>
        <w:rPr>
          <w:rFonts w:ascii="Arial" w:cs="Arial" w:eastAsia="Arial" w:hAnsi="Arial"/>
          <w:sz w:val="20"/>
          <w:szCs w:val="20"/>
          <w:color w:val="auto"/>
        </w:rPr>
      </w:pPr>
    </w:p>
    <w:p>
      <w:pPr>
        <w:ind w:left="-20" w:right="20" w:firstLine="656"/>
        <w:spacing w:after="0" w:line="259" w:lineRule="auto"/>
        <w:tabs>
          <w:tab w:leader="none" w:pos="105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78" w:lineRule="exact"/>
        <w:rPr>
          <w:rFonts w:ascii="Arial" w:cs="Arial" w:eastAsia="Arial" w:hAnsi="Arial"/>
          <w:sz w:val="19"/>
          <w:szCs w:val="19"/>
          <w:color w:val="auto"/>
        </w:rPr>
      </w:pPr>
    </w:p>
    <w:p>
      <w:pPr>
        <w:ind w:left="-20" w:right="440" w:firstLine="656"/>
        <w:spacing w:after="0" w:line="269" w:lineRule="auto"/>
        <w:tabs>
          <w:tab w:leader="none" w:pos="105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0" w:lineRule="exact"/>
        <w:rPr>
          <w:rFonts w:ascii="Arial" w:cs="Arial" w:eastAsia="Arial" w:hAnsi="Arial"/>
          <w:sz w:val="19"/>
          <w:szCs w:val="19"/>
          <w:color w:val="auto"/>
        </w:rPr>
      </w:pPr>
    </w:p>
    <w:p>
      <w:pPr>
        <w:ind w:left="-20" w:right="60" w:firstLine="656"/>
        <w:spacing w:after="0" w:line="243" w:lineRule="auto"/>
        <w:tabs>
          <w:tab w:leader="none" w:pos="1013"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10</w:t>
      </w:r>
    </w:p>
    <w:p>
      <w:pPr>
        <w:sectPr>
          <w:pgSz w:w="11900" w:h="16838" w:orient="portrait"/>
          <w:cols w:equalWidth="0" w:num="1">
            <w:col w:w="11380"/>
          </w:cols>
          <w:pgMar w:left="260" w:top="582" w:right="259" w:bottom="1440" w:gutter="0" w:footer="0" w:header="0"/>
        </w:sectPr>
      </w:pPr>
    </w:p>
    <w:bookmarkStart w:id="15" w:name="page16"/>
    <w:bookmarkEnd w:id="15"/>
    <w:p>
      <w:pPr>
        <w:ind w:right="180"/>
        <w:spacing w:after="0" w:line="282" w:lineRule="auto"/>
        <w:rPr>
          <w:sz w:val="20"/>
          <w:szCs w:val="20"/>
          <w:color w:val="auto"/>
        </w:rPr>
      </w:pPr>
      <w:r>
        <w:rPr>
          <w:rFonts w:ascii="Arial" w:cs="Arial" w:eastAsia="Arial" w:hAnsi="Arial"/>
          <w:sz w:val="18"/>
          <w:szCs w:val="18"/>
          <w:color w:val="auto"/>
        </w:rPr>
        <w:t>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62" w:lineRule="exact"/>
        <w:rPr>
          <w:sz w:val="20"/>
          <w:szCs w:val="20"/>
          <w:color w:val="auto"/>
        </w:rPr>
      </w:pPr>
    </w:p>
    <w:p>
      <w:pPr>
        <w:ind w:right="40" w:firstLine="656"/>
        <w:spacing w:after="0" w:line="276" w:lineRule="auto"/>
        <w:tabs>
          <w:tab w:leader="none" w:pos="103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8" w:lineRule="exact"/>
        <w:rPr>
          <w:rFonts w:ascii="Arial" w:cs="Arial" w:eastAsia="Arial" w:hAnsi="Arial"/>
          <w:sz w:val="18"/>
          <w:szCs w:val="18"/>
          <w:color w:val="auto"/>
        </w:rPr>
      </w:pPr>
    </w:p>
    <w:p>
      <w:pPr>
        <w:jc w:val="both"/>
        <w:ind w:right="20" w:firstLine="656"/>
        <w:spacing w:after="0" w:line="278" w:lineRule="auto"/>
        <w:tabs>
          <w:tab w:leader="none" w:pos="1506" w:val="left"/>
        </w:tabs>
        <w:numPr>
          <w:ilvl w:val="0"/>
          <w:numId w:val="19"/>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86" w:lineRule="exact"/>
        <w:rPr>
          <w:rFonts w:ascii="Arial" w:cs="Arial" w:eastAsia="Arial" w:hAnsi="Arial"/>
          <w:sz w:val="18"/>
          <w:szCs w:val="18"/>
          <w:color w:val="auto"/>
        </w:rPr>
      </w:pPr>
    </w:p>
    <w:p>
      <w:pPr>
        <w:ind w:left="1480" w:hanging="824"/>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ind w:left="340" w:right="300" w:firstLine="640"/>
        <w:spacing w:after="0" w:line="421" w:lineRule="auto"/>
        <w:tabs>
          <w:tab w:leader="none" w:pos="1482" w:val="left"/>
        </w:tabs>
        <w:numPr>
          <w:ilvl w:val="1"/>
          <w:numId w:val="19"/>
        </w:numPr>
        <w:rPr>
          <w:rFonts w:ascii="Arial" w:cs="Arial" w:eastAsia="Arial" w:hAnsi="Arial"/>
          <w:sz w:val="15"/>
          <w:szCs w:val="15"/>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and, accordingly, to the maximum extent permitted, this Agreement shall be interpreted to be in compliance therewith.</w:t>
      </w:r>
    </w:p>
    <w:p>
      <w:pPr>
        <w:spacing w:after="0" w:line="83" w:lineRule="exact"/>
        <w:rPr>
          <w:rFonts w:ascii="Arial" w:cs="Arial" w:eastAsia="Arial" w:hAnsi="Arial"/>
          <w:sz w:val="15"/>
          <w:szCs w:val="15"/>
          <w:color w:val="auto"/>
        </w:rPr>
      </w:pPr>
    </w:p>
    <w:p>
      <w:pPr>
        <w:ind w:left="340" w:right="120" w:firstLine="640"/>
        <w:spacing w:after="0" w:line="322" w:lineRule="auto"/>
        <w:tabs>
          <w:tab w:leader="none" w:pos="1532" w:val="left"/>
        </w:tabs>
        <w:numPr>
          <w:ilvl w:val="1"/>
          <w:numId w:val="19"/>
        </w:numPr>
        <w:rPr>
          <w:rFonts w:ascii="Arial" w:cs="Arial" w:eastAsia="Arial" w:hAnsi="Arial"/>
          <w:sz w:val="16"/>
          <w:szCs w:val="16"/>
          <w:color w:val="auto"/>
        </w:rPr>
      </w:pPr>
      <w:r>
        <w:rPr>
          <w:rFonts w:ascii="Arial" w:cs="Arial" w:eastAsia="Arial" w:hAnsi="Arial"/>
          <w:sz w:val="18"/>
          <w:szCs w:val="18"/>
          <w:i w:val="1"/>
          <w:iCs w:val="1"/>
          <w:color w:val="auto"/>
        </w:rPr>
        <w:t xml:space="preserve">Separation from Service. </w:t>
      </w:r>
      <w:r>
        <w:rPr>
          <w:rFonts w:ascii="Arial" w:cs="Arial" w:eastAsia="Arial" w:hAnsi="Arial"/>
          <w:sz w:val="18"/>
          <w:szCs w:val="18"/>
          <w:color w:val="auto"/>
        </w:rPr>
        <w:t>For purposes of any compensation or benefits payable to Executive under this Agreement, all</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to “termination of employment” and correlative phrases shall be construed to require a “separation from service” (as defined in Section 1.409A-1(h) of the Treasury regulations after giving effect to the presumptions contained therein)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52" w:lineRule="exact"/>
        <w:rPr>
          <w:rFonts w:ascii="Arial" w:cs="Arial" w:eastAsia="Arial" w:hAnsi="Arial"/>
          <w:sz w:val="16"/>
          <w:szCs w:val="16"/>
          <w:color w:val="auto"/>
        </w:rPr>
      </w:pPr>
    </w:p>
    <w:p>
      <w:pPr>
        <w:ind w:left="340" w:right="20" w:firstLine="640"/>
        <w:spacing w:after="0" w:line="304" w:lineRule="auto"/>
        <w:tabs>
          <w:tab w:leader="none" w:pos="1659"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Notwithstanding anything in this Agreement to the contrary, if Executive is deemed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1" w:lineRule="exact"/>
        <w:rPr>
          <w:rFonts w:ascii="Arial" w:cs="Arial" w:eastAsia="Arial" w:hAnsi="Arial"/>
          <w:sz w:val="18"/>
          <w:szCs w:val="18"/>
          <w:color w:val="auto"/>
        </w:rPr>
      </w:pPr>
    </w:p>
    <w:p>
      <w:pPr>
        <w:ind w:left="340" w:firstLine="640"/>
        <w:spacing w:after="0" w:line="299" w:lineRule="auto"/>
        <w:tabs>
          <w:tab w:leader="none" w:pos="1648"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Expense Reimbursements. </w:t>
      </w:r>
      <w:r>
        <w:rPr>
          <w:rFonts w:ascii="Arial" w:cs="Arial" w:eastAsia="Arial" w:hAnsi="Arial"/>
          <w:sz w:val="19"/>
          <w:szCs w:val="19"/>
          <w:color w:val="auto"/>
        </w:rPr>
        <w:t>To the extent that any reimbursements under this Agreement are subject to Section 409A, any</w:t>
      </w:r>
      <w:r>
        <w:rPr>
          <w:rFonts w:ascii="Arial" w:cs="Arial" w:eastAsia="Arial" w:hAnsi="Arial"/>
          <w:sz w:val="19"/>
          <w:szCs w:val="19"/>
          <w:i w:val="1"/>
          <w:iCs w:val="1"/>
          <w:color w:val="auto"/>
        </w:rPr>
        <w:t xml:space="preserve"> </w:t>
      </w:r>
      <w:r>
        <w:rPr>
          <w:rFonts w:ascii="Arial" w:cs="Arial" w:eastAsia="Arial" w:hAnsi="Arial"/>
          <w:sz w:val="19"/>
          <w:szCs w:val="19"/>
          <w:color w:val="auto"/>
        </w:rPr>
        <w:t>such reimbursements payable to Executive shall be paid to Executive no later than December 31 of the year following the year in which the expense was incurred, the amount of expenses reimbursed in one year shall not affect the amount eligible for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11</w:t>
      </w:r>
    </w:p>
    <w:p>
      <w:pPr>
        <w:sectPr>
          <w:pgSz w:w="11900" w:h="16838" w:orient="portrait"/>
          <w:cols w:equalWidth="0" w:num="1">
            <w:col w:w="11380"/>
          </w:cols>
          <w:pgMar w:left="240" w:top="582" w:right="279" w:bottom="1440" w:gutter="0" w:footer="0" w:header="0"/>
        </w:sectPr>
      </w:pPr>
    </w:p>
    <w:bookmarkStart w:id="16" w:name="page17"/>
    <w:bookmarkEnd w:id="16"/>
    <w:p>
      <w:pPr>
        <w:ind w:left="340" w:right="400"/>
        <w:spacing w:after="0" w:line="316" w:lineRule="auto"/>
        <w:rPr>
          <w:sz w:val="20"/>
          <w:szCs w:val="20"/>
          <w:color w:val="auto"/>
        </w:rPr>
      </w:pPr>
      <w:r>
        <w:rPr>
          <w:rFonts w:ascii="Arial" w:cs="Arial" w:eastAsia="Arial" w:hAnsi="Arial"/>
          <w:sz w:val="19"/>
          <w:szCs w:val="19"/>
          <w:color w:val="auto"/>
        </w:rPr>
        <w:t>reimbursement in any subsequent year, other than medical expenses referred to in Section 105(b) of the Code, and Executive’s right to reimbursement under this Agreement will not be subject to liquidation or exchange for another benefit.</w:t>
      </w:r>
    </w:p>
    <w:p>
      <w:pPr>
        <w:spacing w:after="0" w:line="154" w:lineRule="exact"/>
        <w:rPr>
          <w:sz w:val="20"/>
          <w:szCs w:val="20"/>
          <w:color w:val="auto"/>
        </w:rPr>
      </w:pPr>
    </w:p>
    <w:p>
      <w:pPr>
        <w:ind w:left="340" w:firstLine="640"/>
        <w:spacing w:after="0" w:line="287" w:lineRule="auto"/>
        <w:tabs>
          <w:tab w:leader="none" w:pos="1543" w:val="left"/>
        </w:tabs>
        <w:numPr>
          <w:ilvl w:val="2"/>
          <w:numId w:val="20"/>
        </w:numPr>
        <w:rPr>
          <w:rFonts w:ascii="Arial" w:cs="Arial" w:eastAsia="Arial" w:hAnsi="Arial"/>
          <w:sz w:val="19"/>
          <w:szCs w:val="19"/>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 limitation any</w:t>
      </w:r>
      <w:r>
        <w:rPr>
          <w:rFonts w:ascii="Arial" w:cs="Arial" w:eastAsia="Arial" w:hAnsi="Arial"/>
          <w:sz w:val="19"/>
          <w:szCs w:val="19"/>
          <w:i w:val="1"/>
          <w:iCs w:val="1"/>
          <w:color w:val="auto"/>
        </w:rPr>
        <w:t xml:space="preserve"> </w:t>
      </w:r>
      <w:r>
        <w:rPr>
          <w:rFonts w:ascii="Arial" w:cs="Arial" w:eastAsia="Arial" w:hAnsi="Arial"/>
          <w:sz w:val="19"/>
          <w:szCs w:val="19"/>
          <w:color w:val="auto"/>
        </w:rPr>
        <w:t>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169" w:lineRule="exact"/>
        <w:rPr>
          <w:rFonts w:ascii="Arial" w:cs="Arial" w:eastAsia="Arial" w:hAnsi="Arial"/>
          <w:sz w:val="19"/>
          <w:szCs w:val="19"/>
          <w:color w:val="auto"/>
        </w:rPr>
      </w:pPr>
    </w:p>
    <w:p>
      <w:pPr>
        <w:ind w:right="340" w:firstLine="656"/>
        <w:spacing w:after="0" w:line="260" w:lineRule="auto"/>
        <w:tabs>
          <w:tab w:leader="none" w:pos="1163"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that either Party prevails in a dispute with the other Party concerning the rights and obligations hereunder, the non-prevailing Party shall pay the prevailing Party’s reasonable attorneys’ fees and costs.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360"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828282"/>
        </w:rPr>
        <w:t>12</w:t>
      </w:r>
    </w:p>
    <w:p>
      <w:pPr>
        <w:sectPr>
          <w:pgSz w:w="11900" w:h="16838" w:orient="portrait"/>
          <w:cols w:equalWidth="0" w:num="1">
            <w:col w:w="11360"/>
          </w:cols>
          <w:pgMar w:left="240" w:top="595" w:right="299" w:bottom="1440" w:gutter="0" w:footer="0" w:header="0"/>
        </w:sectPr>
      </w:pPr>
    </w:p>
    <w:bookmarkStart w:id="17" w:name="page18"/>
    <w:bookmarkEnd w:id="1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a sealed instrument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as of the Effective Date.</w:t>
      </w:r>
    </w:p>
    <w:p>
      <w:pPr>
        <w:spacing w:after="0" w:line="200" w:lineRule="exact"/>
        <w:rPr>
          <w:sz w:val="20"/>
          <w:szCs w:val="20"/>
          <w:color w:val="auto"/>
        </w:rPr>
      </w:pPr>
    </w:p>
    <w:p>
      <w:pPr>
        <w:spacing w:after="0" w:line="390"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SELECTA BIOSCIENCES, INC.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Werner Cautreels,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John Leaman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11420"/>
          </w:cols>
          <w:pgMar w:left="240" w:top="796"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9"/>
          <w:szCs w:val="19"/>
          <w:color w:val="auto"/>
        </w:rPr>
        <w:t>This Separation Agreement and Release (“Agreement”) is made by and between John Leaman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70" w:lineRule="exact"/>
        <w:rPr>
          <w:sz w:val="20"/>
          <w:szCs w:val="20"/>
          <w:color w:val="auto"/>
        </w:rPr>
      </w:pPr>
    </w:p>
    <w:p>
      <w:pPr>
        <w:ind w:right="840" w:firstLine="648"/>
        <w:spacing w:after="0" w:line="260" w:lineRule="auto"/>
        <w:rPr>
          <w:sz w:val="20"/>
          <w:szCs w:val="20"/>
          <w:color w:val="auto"/>
        </w:rPr>
      </w:pPr>
      <w:r>
        <w:rPr>
          <w:rFonts w:ascii="Arial" w:cs="Arial" w:eastAsia="Arial" w:hAnsi="Arial"/>
          <w:sz w:val="20"/>
          <w:szCs w:val="20"/>
          <w:color w:val="auto"/>
        </w:rPr>
        <w:t>WHEREAS, the Parties have previously entered into that certain Employment Agreement, dated as of October 26, 2017 (the “Employment Agreement”); and</w:t>
      </w:r>
    </w:p>
    <w:p>
      <w:pPr>
        <w:spacing w:after="0" w:line="177"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71"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70" w:lineRule="exact"/>
        <w:rPr>
          <w:sz w:val="20"/>
          <w:szCs w:val="20"/>
          <w:color w:val="auto"/>
        </w:rPr>
      </w:pPr>
    </w:p>
    <w:p>
      <w:pPr>
        <w:ind w:right="260" w:firstLine="656"/>
        <w:spacing w:after="0" w:line="260" w:lineRule="auto"/>
        <w:tabs>
          <w:tab w:leader="none" w:pos="97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Arial" w:cs="Arial" w:eastAsia="Arial" w:hAnsi="Arial"/>
          <w:sz w:val="19"/>
          <w:szCs w:val="19"/>
          <w:color w:val="auto"/>
        </w:rPr>
      </w:pPr>
    </w:p>
    <w:p>
      <w:pPr>
        <w:ind w:right="80" w:firstLine="656"/>
        <w:spacing w:after="0" w:line="272" w:lineRule="auto"/>
        <w:tabs>
          <w:tab w:leader="none" w:pos="97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Releases arising from any omissions, acts, facts, or damages that have occurred up until and including the Effective Date of this Agreement (as defined in Section 7 below), including, without limitation:</w:t>
      </w:r>
    </w:p>
    <w:p>
      <w:pPr>
        <w:sectPr>
          <w:pgSz w:w="11900" w:h="16838" w:orient="portrait"/>
          <w:cols w:equalWidth="0" w:num="1">
            <w:col w:w="11360"/>
          </w:cols>
          <w:pgMar w:left="240" w:top="580" w:right="299" w:bottom="1440" w:gutter="0" w:footer="0" w:header="0"/>
        </w:sectPr>
      </w:pPr>
    </w:p>
    <w:bookmarkStart w:id="19" w:name="page20"/>
    <w:bookmarkEnd w:id="19"/>
    <w:p>
      <w:pPr>
        <w:ind w:right="80" w:firstLine="1305"/>
        <w:spacing w:after="0" w:line="260" w:lineRule="auto"/>
        <w:tabs>
          <w:tab w:leader="none" w:pos="16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180" w:firstLine="1305"/>
        <w:spacing w:after="0" w:line="291" w:lineRule="auto"/>
        <w:tabs>
          <w:tab w:leader="none" w:pos="17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380" w:firstLine="1305"/>
        <w:spacing w:after="0" w:line="278" w:lineRule="auto"/>
        <w:tabs>
          <w:tab w:leader="none" w:pos="16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right="120" w:firstLine="1305"/>
        <w:spacing w:after="0" w:line="244" w:lineRule="auto"/>
        <w:tabs>
          <w:tab w:leader="none" w:pos="1707"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700" w:hanging="395"/>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right="760" w:firstLine="1305"/>
        <w:spacing w:after="0" w:line="260" w:lineRule="auto"/>
        <w:tabs>
          <w:tab w:leader="none" w:pos="1707"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firstLine="1305"/>
        <w:spacing w:after="0" w:line="260" w:lineRule="auto"/>
        <w:tabs>
          <w:tab w:leader="none" w:pos="1707"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7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any and all claims for attorneys’ fees and costs.</w:t>
      </w:r>
    </w:p>
    <w:p>
      <w:pPr>
        <w:spacing w:after="0" w:line="21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2" w:right="259" w:bottom="1440" w:gutter="0" w:footer="0" w:header="0"/>
        </w:sectPr>
      </w:pPr>
    </w:p>
    <w:bookmarkStart w:id="20" w:name="page21"/>
    <w:bookmarkEnd w:id="20"/>
    <w:p>
      <w:pPr>
        <w:ind w:right="120"/>
        <w:spacing w:after="0" w:line="258" w:lineRule="auto"/>
        <w:rPr>
          <w:sz w:val="20"/>
          <w:szCs w:val="20"/>
          <w:color w:val="auto"/>
        </w:rPr>
      </w:pPr>
      <w:r>
        <w:rPr>
          <w:rFonts w:ascii="Arial" w:cs="Arial" w:eastAsia="Arial" w:hAnsi="Arial"/>
          <w:sz w:val="19"/>
          <w:szCs w:val="19"/>
          <w:color w:val="auto"/>
        </w:rPr>
        <w:t>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Effective Date.</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 NTD: To be determined by the Company at the time of separation.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74"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Executive and a duly authorized officer of the Company.</w:t>
      </w:r>
    </w:p>
    <w:p>
      <w:pPr>
        <w:spacing w:after="0" w:line="17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subject to the provisions of Sections 9(a) and 9(c) of the Employment Agreement.</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Effective Date</w:t>
      </w:r>
      <w:r>
        <w:rPr>
          <w:rFonts w:ascii="Arial" w:cs="Arial" w:eastAsia="Arial" w:hAnsi="Arial"/>
          <w:sz w:val="20"/>
          <w:szCs w:val="20"/>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88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NTD: To be determined by the Company at the time of separation.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21" w:name="page22"/>
    <w:bookmarkEnd w:id="21"/>
    <w:p>
      <w:pPr>
        <w:ind w:left="-40" w:firstLine="656"/>
        <w:spacing w:after="0" w:line="258" w:lineRule="auto"/>
        <w:tabs>
          <w:tab w:leader="none" w:pos="937"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37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John Leaman</w:t>
      </w:r>
    </w:p>
    <w:p>
      <w:pPr>
        <w:spacing w:after="0" w:line="38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865" w:right="2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Nondisclosure, Noncompetition and Assignment of Intellectual Property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012"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013"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671830</wp:posOffset>
            </wp:positionV>
            <wp:extent cx="178371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Selecta Biosciences Announces Important Additions to Senior Leadership Team</w:t>
      </w:r>
    </w:p>
    <w:p>
      <w:pPr>
        <w:spacing w:after="0" w:line="10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Dr. John Leaman Named Chief Financial Officer and Head of Corporate Strategy</w:t>
      </w:r>
    </w:p>
    <w:p>
      <w:pPr>
        <w:spacing w:after="0" w:line="107" w:lineRule="exact"/>
        <w:rPr>
          <w:rFonts w:ascii="Arial" w:cs="Arial" w:eastAsia="Arial" w:hAnsi="Arial"/>
          <w:sz w:val="20"/>
          <w:szCs w:val="20"/>
          <w:color w:val="auto"/>
        </w:rPr>
      </w:pPr>
    </w:p>
    <w:p>
      <w:pPr>
        <w:ind w:left="980" w:hanging="324"/>
        <w:spacing w:after="0"/>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Stephen Smolinski Appointed Chief Commercial Officer</w:t>
      </w:r>
    </w:p>
    <w:p>
      <w:pPr>
        <w:spacing w:after="0" w:line="331"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b w:val="1"/>
          <w:bCs w:val="1"/>
          <w:color w:val="auto"/>
        </w:rPr>
        <w:t xml:space="preserve">Watertown, Mass., October 26, 2017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000FF"/>
        </w:rPr>
        <w:t>Selecta Biosciences,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 SELB), a clinical-stage biopharmaceutical company focused on</w:t>
      </w:r>
      <w:r>
        <w:rPr>
          <w:rFonts w:ascii="Arial" w:cs="Arial" w:eastAsia="Arial" w:hAnsi="Arial"/>
          <w:sz w:val="19"/>
          <w:szCs w:val="19"/>
          <w:b w:val="1"/>
          <w:bCs w:val="1"/>
          <w:color w:val="auto"/>
        </w:rPr>
        <w:t xml:space="preserve"> </w:t>
      </w:r>
      <w:r>
        <w:rPr>
          <w:rFonts w:ascii="Arial" w:cs="Arial" w:eastAsia="Arial" w:hAnsi="Arial"/>
          <w:sz w:val="19"/>
          <w:szCs w:val="19"/>
          <w:color w:val="auto"/>
        </w:rPr>
        <w:t>unlocking the full potential of biologic therapies by avoiding unwanted immune responses, today announced two additions to its management team with the appointment of John Leaman, M.D., as the company’s new Chief Financial Officer and Head of Corporate Strategy, and the addition of Stephen Smolinski to the newly created role of Chief Commercial Officer.</w:t>
      </w:r>
    </w:p>
    <w:p>
      <w:pPr>
        <w:spacing w:after="0" w:line="185"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“Selecta is advancing its first product candidate toward a pivotal Phase 3 program, has several others in development and sees much broader potential for its anti-drug antibody mitigation technology platform,” said Dr. Cautreels. “Now is an opportune time to add John and Stephen to Selecta’s leadership team. In addition to his medical background, John brings to us more than 15 years of financial, operational and strategic experience within the life sciences field. Stephen, meanwhile, adds tremendous commercial expertise and an intimate knowledge of the immunology and rheumatology spaces. We expect that they will be instrumental contributors to Selecta’s continued growth and progress.”</w:t>
      </w:r>
    </w:p>
    <w:p>
      <w:pPr>
        <w:spacing w:after="0" w:line="147"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Dr. Leaman most recently served as Head of Corporate Development at InfaCare Pharmaceutical Corp., a specialty pharmaceutical company that was recently acquired by Mallinckrodt plc. Prior to this, he was Chief Financial Officer of Medgenics, Inc., a publicly traded biotechnology company. He also previously held senior roles at Shire plc and Devon Park Bioventures, a venture capital fund targeting investments in therapeutics companies. Dr. Leaman brings to Selecta extensive licensing, merger and acquisition experience and began his career serving a range of life sciences companies as an Associate Principal at McKinsey &amp; Company. He received an M.D. from the Perelman School of Medicine at the University of Pennsylvania, an M.B.A. from the Wharton School at the University of Pennsylvania, a B.A. in psychology, philosophy and physiology from Oriel College, University of Oxford while completing a Rhodes Scholarship, and a B.S. in biology from Elizabethtown College.</w:t>
      </w:r>
    </w:p>
    <w:p>
      <w:pPr>
        <w:spacing w:after="0" w:line="211"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Dr. Leaman assumes the CFO role from David Siewers, who is retiring and plans to remain as a consultant to the company. “On behalf of the management team and Board of Directors, I would like to thank David for his tireless commitment and invaluable contributions to Selecta. We look forward to benefitting from his continued involvement and guidance,” said Dr. Cautreels.</w:t>
      </w:r>
    </w:p>
    <w:p>
      <w:pPr>
        <w:spacing w:after="0" w:line="200"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Mr. Smolinski will lead the development of commercial plans for Selecta’s product candidates, with an initial focus on SEL-212 for the treatment of chronic severe gout. Most recently, he served as Vice President and Head of Sanofi/Genzyme’s North American Rheumatology Business Unit, where he led the development of commercialization plans for the rheumatoid arthritis medicine KEVZARA®. Prior to this, he served as Group Vice President of Immunology &amp; Inflammation, Global Strategic Unit at Sanofi. Mr. Smolinski previously held senior commercial roles at Roche-Genentech, Bristol-Myers Squibb, Johnson</w:t>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&amp; Johnson and Savient Pharmaceuticals, Inc. He earned a B.S. in health care administration from Oregon State University.</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Selecta Biosciences, Inc. is a clinical-stage biopharmaceutical company that is focused on unlocking the full potential of biologic therapies by avoiding unwanted immune responses. Selecta plans to combine its tolerogenic Synthetic Vaccine Particles (SVP™) with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oncology candidate, SEL-403, leverages a potent recombinant immunotoxin (LMB-100) that is in a Phase 1 program targeting pancreatic cancer and mesothelioma. Its two proprietary gene therapy product candidates, SEL-302 and SEL-313,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http://selectabio.com and follow @SelectaBio on Twitter.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expectations regarding the potential of Selecta’s anti-drug antibody mitigation technology platform, the company’s ability to unlock the full potential of biologic therapies, the company’s plan to apply its SVP platform to a range of biologics for rare and serious diseases, the potential of SEL-212 to treat severe gout patients and resolve their debilitating symptoms, whether SEL-212 is being advanced to a Phase 3 clinical trial, the potential of the company’s two gene therapy product candidates to enable repeat administration, the potential treatment applications for products utilizing the SVP platform in areas such as gene therapy, oncology, allergies, autoimmune diseases and vaccines, statements regarding the expected contributions of employees, the company’s product candidate pipeline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Quarterly Report on Form 10-Q filed with the Securities and Exchange Commission, or SEC, on August 11, 2017,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ectPr>
          <w:pgSz w:w="11900" w:h="16838" w:orient="portrait"/>
          <w:cols w:equalWidth="0" w:num="1">
            <w:col w:w="11380"/>
          </w:cols>
          <w:pgMar w:left="240" w:top="811" w:right="279" w:bottom="1440" w:gutter="0" w:footer="0" w:header="0"/>
        </w:sectPr>
      </w:pPr>
    </w:p>
    <w:bookmarkStart w:id="26" w:name="page27"/>
    <w:bookmarkEnd w:id="26"/>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Jason Fredette</w:t>
      </w:r>
    </w:p>
    <w:p>
      <w:pPr>
        <w:spacing w:after="0"/>
        <w:rPr>
          <w:sz w:val="20"/>
          <w:szCs w:val="20"/>
          <w:color w:val="auto"/>
        </w:rPr>
      </w:pPr>
      <w:r>
        <w:rPr>
          <w:rFonts w:ascii="Arial" w:cs="Arial" w:eastAsia="Arial" w:hAnsi="Arial"/>
          <w:sz w:val="18"/>
          <w:szCs w:val="18"/>
          <w:color w:val="auto"/>
        </w:rPr>
        <w:t>Selecta Biosciences,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617-231-8078</w:t>
      </w:r>
    </w:p>
    <w:p>
      <w:pPr>
        <w:spacing w:after="0"/>
        <w:rPr>
          <w:sz w:val="20"/>
          <w:szCs w:val="20"/>
          <w:color w:val="auto"/>
        </w:rPr>
      </w:pPr>
      <w:r>
        <w:rPr>
          <w:rFonts w:ascii="Arial" w:cs="Arial" w:eastAsia="Arial" w:hAnsi="Arial"/>
          <w:sz w:val="18"/>
          <w:szCs w:val="18"/>
          <w:u w:val="single" w:color="auto"/>
          <w:color w:val="0000FF"/>
        </w:rPr>
        <w:t>jfredette@selectabio.com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upperLetter"/>
      <w:start w:val="1"/>
    </w:lvl>
  </w:abstractNum>
  <w:abstractNum w:abstractNumId="2">
    <w:nsid w:val="7FDCC233"/>
    <w:multiLevelType w:val="hybridMultilevel"/>
    <w:lvl w:ilvl="0">
      <w:lvlJc w:val="left"/>
      <w:lvlText w:val="%1."/>
      <w:numFmt w:val="decimal"/>
      <w:start w:val="1"/>
    </w:lvl>
    <w:lvl w:ilvl="1">
      <w:lvlJc w:val="left"/>
      <w:lvlText w:val="(%2)"/>
      <w:numFmt w:val="lowerLetter"/>
      <w:start w:val="1"/>
    </w:lvl>
  </w:abstractNum>
  <w:abstractNum w:abstractNumId="3">
    <w:nsid w:val="1BEFD79F"/>
    <w:multiLevelType w:val="hybridMultilevel"/>
    <w:lvl w:ilvl="0">
      <w:lvlJc w:val="left"/>
      <w:lvlText w:val="%1."/>
      <w:numFmt w:val="decimal"/>
      <w:start w:val="2"/>
    </w:lvl>
    <w:lvl w:ilvl="1">
      <w:lvlJc w:val="left"/>
      <w:lvlText w:val="(%2)"/>
      <w:numFmt w:val="lowerLetter"/>
      <w:start w:val="1"/>
    </w:lvl>
  </w:abstractNum>
  <w:abstractNum w:abstractNumId="4">
    <w:nsid w:val="41A7C4C9"/>
    <w:multiLevelType w:val="hybridMultilevel"/>
    <w:lvl w:ilvl="0">
      <w:lvlJc w:val="left"/>
      <w:lvlText w:val="(%1)"/>
      <w:numFmt w:val="lowerLetter"/>
      <w:start w:val="7"/>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lowerLetter"/>
      <w:start w:val="1"/>
    </w:lvl>
    <w:lvl w:ilvl="1">
      <w:lvlJc w:val="left"/>
      <w:lvlText w:val="(%2)"/>
      <w:numFmt w:val="lowerRoman"/>
      <w:start w:val="1"/>
    </w:lvl>
  </w:abstractNum>
  <w:abstractNum w:abstractNumId="7">
    <w:nsid w:val="25E45D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
    <w:nsid w:val="519B500D"/>
    <w:multiLevelType w:val="hybridMultilevel"/>
    <w:lvl w:ilvl="0">
      <w:lvlJc w:val="left"/>
      <w:lvlText w:val="%1."/>
      <w:numFmt w:val="decimal"/>
      <w:start w:val="4"/>
    </w:lvl>
    <w:lvl w:ilvl="1">
      <w:lvlJc w:val="left"/>
      <w:lvlText w:val="(%2)"/>
      <w:numFmt w:val="lowerLetter"/>
      <w:start w:val="7"/>
    </w:lvl>
    <w:lvl w:ilvl="2">
      <w:lvlJc w:val="left"/>
      <w:lvlText w:val="(%3)"/>
      <w:numFmt w:val="lowerRoman"/>
      <w:start w:val="1"/>
    </w:lvl>
  </w:abstractNum>
  <w:abstractNum w:abstractNumId="9">
    <w:nsid w:val="431BD7B7"/>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Letter"/>
      <w:start w:val="61"/>
    </w:lvl>
  </w:abstractNum>
  <w:abstractNum w:abstractNumId="10">
    <w:nsid w:val="3F2DBA31"/>
    <w:multiLevelType w:val="hybridMultilevel"/>
    <w:lvl w:ilvl="0">
      <w:lvlJc w:val="left"/>
      <w:lvlText w:val="%1"/>
      <w:numFmt w:val="decimal"/>
      <w:start w:val="1"/>
    </w:lvl>
    <w:lvl w:ilvl="1">
      <w:lvlJc w:val="left"/>
      <w:lvlText w:val="(%2)"/>
      <w:numFmt w:val="upperLetter"/>
      <w:start w:val="25"/>
    </w:lvl>
    <w:lvl w:ilvl="2">
      <w:lvlJc w:val="left"/>
      <w:lvlText w:val="(%3)"/>
      <w:numFmt w:val="lowerLetter"/>
      <w:start w:val="9"/>
    </w:lvl>
    <w:lvl w:ilvl="3">
      <w:lvlJc w:val="left"/>
      <w:lvlText w:val="%4"/>
      <w:numFmt w:val="lowerLetter"/>
      <w:start w:val="1"/>
    </w:lvl>
  </w:abstractNum>
  <w:abstractNum w:abstractNumId="11">
    <w:nsid w:val="7C83E458"/>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12">
    <w:nsid w:val="257130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
    <w:nsid w:val="62BBD95A"/>
    <w:multiLevelType w:val="hybridMultilevel"/>
    <w:lvl w:ilvl="0">
      <w:lvlJc w:val="left"/>
      <w:lvlText w:val="%1"/>
      <w:numFmt w:val="decimal"/>
      <w:start w:val="1"/>
    </w:lvl>
    <w:lvl w:ilvl="1">
      <w:lvlJc w:val="left"/>
      <w:lvlText w:val="(%2)"/>
      <w:numFmt w:val="lowerLetter"/>
      <w:start w:val="6"/>
    </w:lvl>
  </w:abstractNum>
  <w:abstractNum w:abstractNumId="14">
    <w:nsid w:val="436C6125"/>
    <w:multiLevelType w:val="hybridMultilevel"/>
    <w:lvl w:ilvl="0">
      <w:lvlJc w:val="left"/>
      <w:lvlText w:val="%1."/>
      <w:numFmt w:val="decimal"/>
      <w:start w:val="8"/>
    </w:lvl>
    <w:lvl w:ilvl="1">
      <w:lvlJc w:val="left"/>
      <w:lvlText w:val="(%2)"/>
      <w:numFmt w:val="lowerLetter"/>
      <w:start w:val="1"/>
    </w:lvl>
  </w:abstractNum>
  <w:abstractNum w:abstractNumId="15">
    <w:nsid w:val="628C895D"/>
    <w:multiLevelType w:val="hybridMultilevel"/>
    <w:lvl w:ilvl="0">
      <w:lvlJc w:val="left"/>
      <w:lvlText w:val="%1"/>
      <w:numFmt w:val="decimal"/>
      <w:start w:val="1"/>
    </w:lvl>
    <w:lvl w:ilvl="1">
      <w:lvlJc w:val="left"/>
      <w:lvlText w:val="(%2)"/>
      <w:numFmt w:val="lowerLetter"/>
      <w:start w:val="3"/>
    </w:lvl>
  </w:abstractNum>
  <w:abstractNum w:abstractNumId="16">
    <w:nsid w:val="333AB105"/>
    <w:multiLevelType w:val="hybridMultilevel"/>
    <w:lvl w:ilvl="0">
      <w:lvlJc w:val="left"/>
      <w:lvlText w:val="%1."/>
      <w:numFmt w:val="decimal"/>
      <w:start w:val="9"/>
    </w:lvl>
    <w:lvl w:ilvl="1">
      <w:lvlJc w:val="left"/>
      <w:lvlText w:val="(%2)"/>
      <w:numFmt w:val="lowerLetter"/>
      <w:start w:val="1"/>
    </w:lvl>
  </w:abstractNum>
  <w:abstractNum w:abstractNumId="17">
    <w:nsid w:val="721DA317"/>
    <w:multiLevelType w:val="hybridMultilevel"/>
    <w:lvl w:ilvl="0">
      <w:lvlJc w:val="left"/>
      <w:lvlText w:val="(%1)"/>
      <w:numFmt w:val="lowerLetter"/>
      <w:start w:val="3"/>
    </w:lvl>
    <w:lvl w:ilvl="1">
      <w:lvlJc w:val="left"/>
      <w:lvlText w:val="(%2)"/>
      <w:numFmt w:val="lowerRoman"/>
      <w:start w:val="1"/>
    </w:lvl>
  </w:abstractNum>
  <w:abstractNum w:abstractNumId="18">
    <w:nsid w:val="2443A858"/>
    <w:multiLevelType w:val="hybridMultilevel"/>
    <w:lvl w:ilvl="0">
      <w:lvlJc w:val="left"/>
      <w:lvlText w:val="(%1)"/>
      <w:numFmt w:val="lowerLetter"/>
      <w:start w:val="10"/>
    </w:lvl>
    <w:lvl w:ilvl="1">
      <w:lvlJc w:val="left"/>
      <w:lvlText w:val="(%2)"/>
      <w:numFmt w:val="lowerRoman"/>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0">
    <w:nsid w:val="6763845E"/>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1">
    <w:nsid w:val="75A2A8D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8"/>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2019-12-29T04:06:16Z</dcterms:created>
  <dcterms:modified xsi:type="dcterms:W3CDTF">2019-12-29T04:06:16Z</dcterms:modified>
</cp:coreProperties>
</file>