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Nanodimension Management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60"/>
              <w:spacing w:after="0"/>
              <w:rPr>
                <w:sz w:val="20"/>
                <w:szCs w:val="20"/>
                <w:color w:val="auto"/>
              </w:rPr>
            </w:pPr>
            <w:r>
              <w:rPr>
                <w:rFonts w:ascii="Arial" w:cs="Arial" w:eastAsia="Arial" w:hAnsi="Arial"/>
                <w:sz w:val="14"/>
                <w:szCs w:val="14"/>
                <w:color w:val="auto"/>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GOVERNOR'S SQUARE, UNIT 3-213-62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w w:val="99"/>
              </w:rPr>
              <w:t>23 LIME TREE BAY AVE</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GRAND</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0000FF"/>
              </w:rPr>
              <w:t>E9</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0000FF"/>
              </w:rPr>
              <w:t>KY1-1302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CAYMAN</w:t>
            </w:r>
          </w:p>
        </w:tc>
        <w:tc>
          <w:tcPr>
            <w:tcW w:w="11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5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23,167</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w w:val="98"/>
              </w:rPr>
              <w:t>See Footnote</w:t>
            </w:r>
            <w:r>
              <w:rPr>
                <w:rFonts w:ascii="Arial" w:cs="Arial" w:eastAsia="Arial" w:hAnsi="Arial"/>
                <w:sz w:val="22"/>
                <w:szCs w:val="22"/>
                <w:color w:val="008000"/>
                <w:w w:val="98"/>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8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6"/>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8"/>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Series B Convertible Preferred Stock</w:t>
            </w:r>
          </w:p>
        </w:tc>
        <w:tc>
          <w:tcPr>
            <w:tcW w:w="1420" w:type="dxa"/>
            <w:vAlign w:val="bottom"/>
            <w:tcBorders>
              <w:bottom w:val="single" w:sz="8" w:color="2C2C2C"/>
            </w:tcBorders>
            <w:gridSpan w:val="3"/>
          </w:tcPr>
          <w:p>
            <w:pPr>
              <w:jc w:val="center"/>
              <w:ind w:left="453"/>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6"/>
              </w:rPr>
              <w:t>315,729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Series C Convertible Preferred Stock</w:t>
            </w:r>
          </w:p>
        </w:tc>
        <w:tc>
          <w:tcPr>
            <w:tcW w:w="1420" w:type="dxa"/>
            <w:vAlign w:val="bottom"/>
            <w:tcBorders>
              <w:bottom w:val="single" w:sz="8" w:color="2C2C2C"/>
            </w:tcBorders>
            <w:gridSpan w:val="3"/>
          </w:tcPr>
          <w:p>
            <w:pPr>
              <w:jc w:val="center"/>
              <w:ind w:left="453"/>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94,183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Series D Convertible Preferred Stock</w:t>
            </w:r>
          </w:p>
        </w:tc>
        <w:tc>
          <w:tcPr>
            <w:tcW w:w="1420" w:type="dxa"/>
            <w:vAlign w:val="bottom"/>
            <w:tcBorders>
              <w:bottom w:val="single" w:sz="8" w:color="2C2C2C"/>
            </w:tcBorders>
            <w:gridSpan w:val="3"/>
          </w:tcPr>
          <w:p>
            <w:pPr>
              <w:jc w:val="center"/>
              <w:ind w:left="453"/>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83,596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Series E Convertible Preferred Stock</w:t>
            </w:r>
          </w:p>
        </w:tc>
        <w:tc>
          <w:tcPr>
            <w:tcW w:w="1420" w:type="dxa"/>
            <w:vAlign w:val="bottom"/>
            <w:tcBorders>
              <w:bottom w:val="single" w:sz="8" w:color="2C2C2C"/>
            </w:tcBorders>
            <w:gridSpan w:val="3"/>
          </w:tcPr>
          <w:p>
            <w:pPr>
              <w:jc w:val="center"/>
              <w:ind w:left="453"/>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93,078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5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center"/>
              <w:ind w:left="453"/>
              <w:spacing w:after="0"/>
              <w:rPr>
                <w:sz w:val="20"/>
                <w:szCs w:val="20"/>
                <w:color w:val="auto"/>
              </w:rPr>
            </w:pPr>
            <w:r>
              <w:rPr>
                <w:rFonts w:ascii="Arial" w:cs="Arial" w:eastAsia="Arial" w:hAnsi="Arial"/>
                <w:sz w:val="14"/>
                <w:szCs w:val="14"/>
                <w:color w:val="0000FF"/>
                <w:w w:val="88"/>
              </w:rPr>
              <w:t>07/24/2015</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4"/>
                <w:szCs w:val="14"/>
                <w:color w:val="0000FF"/>
                <w:w w:val="88"/>
              </w:rPr>
              <w:t>07/24/2018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7,007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17.55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1">
              <w:r>
                <w:rPr>
                  <w:rFonts w:ascii="Arial" w:cs="Arial" w:eastAsia="Arial" w:hAnsi="Arial"/>
                  <w:sz w:val="22"/>
                  <w:szCs w:val="22"/>
                  <w:color w:val="0000EE"/>
                  <w:w w:val="89"/>
                </w:rPr>
                <w:t>Nanodimension Management Ltd</w:t>
              </w:r>
            </w:hyperlink>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0000FF"/>
              </w:rPr>
              <w:t>GOVERNOR'S SQUARE, UNIT 3-213-62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23 LIME TREE BAY AVE</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GRAND</w:t>
            </w:r>
          </w:p>
        </w:tc>
        <w:tc>
          <w:tcPr>
            <w:tcW w:w="1540" w:type="dxa"/>
            <w:vAlign w:val="bottom"/>
            <w:vMerge w:val="restart"/>
          </w:tcPr>
          <w:p>
            <w:pPr>
              <w:ind w:left="80"/>
              <w:spacing w:after="0"/>
              <w:rPr>
                <w:sz w:val="20"/>
                <w:szCs w:val="20"/>
                <w:color w:val="auto"/>
              </w:rPr>
            </w:pPr>
            <w:r>
              <w:rPr>
                <w:rFonts w:ascii="Arial" w:cs="Arial" w:eastAsia="Arial" w:hAnsi="Arial"/>
                <w:sz w:val="18"/>
                <w:szCs w:val="18"/>
                <w:color w:val="0000FF"/>
              </w:rPr>
              <w:t>E9</w:t>
            </w:r>
          </w:p>
        </w:tc>
        <w:tc>
          <w:tcPr>
            <w:tcW w:w="1420" w:type="dxa"/>
            <w:vAlign w:val="bottom"/>
            <w:gridSpan w:val="3"/>
            <w:vMerge w:val="restart"/>
          </w:tcPr>
          <w:p>
            <w:pPr>
              <w:spacing w:after="0"/>
              <w:rPr>
                <w:sz w:val="20"/>
                <w:szCs w:val="20"/>
                <w:color w:val="auto"/>
              </w:rPr>
            </w:pPr>
            <w:r>
              <w:rPr>
                <w:rFonts w:ascii="Arial" w:cs="Arial" w:eastAsia="Arial" w:hAnsi="Arial"/>
                <w:sz w:val="18"/>
                <w:szCs w:val="18"/>
                <w:color w:val="0000FF"/>
              </w:rPr>
              <w:t>KY1-1302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540" w:type="dxa"/>
            <w:vAlign w:val="bottom"/>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80"/>
              <w:spacing w:after="0"/>
              <w:rPr>
                <w:sz w:val="20"/>
                <w:szCs w:val="20"/>
                <w:color w:val="auto"/>
              </w:rPr>
            </w:pPr>
            <w:r>
              <w:rPr>
                <w:rFonts w:ascii="Arial" w:cs="Arial" w:eastAsia="Arial" w:hAnsi="Arial"/>
                <w:sz w:val="14"/>
                <w:szCs w:val="14"/>
                <w:color w:val="auto"/>
              </w:rPr>
              <w:t>(State)</w:t>
            </w:r>
          </w:p>
        </w:tc>
        <w:tc>
          <w:tcPr>
            <w:tcW w:w="1420" w:type="dxa"/>
            <w:vAlign w:val="bottom"/>
            <w:gridSpan w:val="3"/>
          </w:tcPr>
          <w:p>
            <w:pPr>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Nanodimension Limited Partnership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0000FF"/>
              </w:rPr>
              <w:t>GOVERNOR'S SQUARE, UNIT 3-213-62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23 LIME TREE BAY AVE</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GRAND</w:t>
            </w:r>
          </w:p>
        </w:tc>
        <w:tc>
          <w:tcPr>
            <w:tcW w:w="1540" w:type="dxa"/>
            <w:vAlign w:val="bottom"/>
            <w:vMerge w:val="restart"/>
          </w:tcPr>
          <w:p>
            <w:pPr>
              <w:ind w:left="80"/>
              <w:spacing w:after="0"/>
              <w:rPr>
                <w:sz w:val="20"/>
                <w:szCs w:val="20"/>
                <w:color w:val="auto"/>
              </w:rPr>
            </w:pPr>
            <w:r>
              <w:rPr>
                <w:rFonts w:ascii="Arial" w:cs="Arial" w:eastAsia="Arial" w:hAnsi="Arial"/>
                <w:sz w:val="18"/>
                <w:szCs w:val="18"/>
                <w:color w:val="0000FF"/>
              </w:rPr>
              <w:t>E9</w:t>
            </w:r>
          </w:p>
        </w:tc>
        <w:tc>
          <w:tcPr>
            <w:tcW w:w="1420" w:type="dxa"/>
            <w:vAlign w:val="bottom"/>
            <w:gridSpan w:val="3"/>
            <w:vMerge w:val="restart"/>
          </w:tcPr>
          <w:p>
            <w:pPr>
              <w:spacing w:after="0"/>
              <w:rPr>
                <w:sz w:val="20"/>
                <w:szCs w:val="20"/>
                <w:color w:val="auto"/>
              </w:rPr>
            </w:pPr>
            <w:r>
              <w:rPr>
                <w:rFonts w:ascii="Arial" w:cs="Arial" w:eastAsia="Arial" w:hAnsi="Arial"/>
                <w:sz w:val="18"/>
                <w:szCs w:val="18"/>
                <w:color w:val="0000FF"/>
              </w:rPr>
              <w:t>KY1-1302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540" w:type="dxa"/>
            <w:vAlign w:val="bottom"/>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29845"/>
                    </a:xfrm>
                    <a:prstGeom prst="rect">
                      <a:avLst/>
                    </a:prstGeom>
                    <a:noFill/>
                  </pic:spPr>
                </pic:pic>
              </a:graphicData>
            </a:graphic>
          </wp:anchor>
        </w:drawing>
        <w:t>Explanation of Responses:</w:t>
      </w:r>
    </w:p>
    <w:p>
      <w:pPr>
        <w:spacing w:after="0" w:line="47" w:lineRule="exact"/>
        <w:rPr>
          <w:sz w:val="20"/>
          <w:szCs w:val="20"/>
          <w:color w:val="auto"/>
        </w:rPr>
      </w:pPr>
    </w:p>
    <w:p>
      <w:pPr>
        <w:jc w:val="both"/>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Held by NanoDimension L.P. ("ND LP"). NanoDimension Management Ltd., or ND GP, serves as the general partner of ND LP and possesses the power to direct the voting and disposition of the shares owned by ND LP and may be deemed to have indirect beneficial ownership of the shares held by ND LP. ND GP disclaims beneficial ownership of such shares, except to the extent of its pecuniary interest therein. Jonathan Nicholson and Richard Coles are the members of the board of directors of ND GP and share voting and dispositive power over the shares held by ND LP. Each reporting person disclaims beneficial ownership of the securities reported herein, except to the extent of their respective pecuniary interest therein.</w:t>
      </w:r>
    </w:p>
    <w:p>
      <w:pPr>
        <w:spacing w:after="0" w:line="8" w:lineRule="exact"/>
        <w:rPr>
          <w:rFonts w:ascii="Arial" w:cs="Arial" w:eastAsia="Arial" w:hAnsi="Arial"/>
          <w:sz w:val="12"/>
          <w:szCs w:val="12"/>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ectPr>
          <w:pgSz w:w="11900" w:h="16838" w:orient="portrait"/>
          <w:cols w:equalWidth="0" w:num="1">
            <w:col w:w="11060"/>
          </w:cols>
          <w:pgMar w:left="280" w:top="190" w:right="55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NanoDimension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Ltd. By: /s/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29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290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Nicholson,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85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NanoDimension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20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NanoDimension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Ltd.,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65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Jonathan Nicholson,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9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09370" cy="8890"/>
                    </a:xfrm>
                    <a:prstGeom prst="rect">
                      <a:avLst/>
                    </a:prstGeom>
                    <a:noFill/>
                  </pic:spPr>
                </pic:pic>
              </a:graphicData>
            </a:graphic>
          </wp:anchor>
        </w:drawing>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1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40"/>
            <w:col w:w="1940"/>
          </w:cols>
          <w:pgMar w:left="280" w:top="190" w:right="5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280" w:top="19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1" Type="http://schemas.openxmlformats.org/officeDocument/2006/relationships/hyperlink" Target="http://www.sec.gov/cgi-bin/browse-edgar?action=getcompany&amp;CIK=0001677406" TargetMode="External"/><Relationship Id="rId12" Type="http://schemas.openxmlformats.org/officeDocument/2006/relationships/hyperlink" Target="http://www.sec.gov/cgi-bin/browse-edgar?action=getcompany&amp;CIK=0001453687" TargetMode="External"/><Relationship Id="rId13" Type="http://schemas.openxmlformats.org/officeDocument/2006/relationships/hyperlink" Target="http://www.sec.gov/cgi-bin/browse-edgar?action=getcompany&amp;CIK=00016774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2019-12-08T18:58:11Z</dcterms:created>
  <dcterms:modified xsi:type="dcterms:W3CDTF">2019-12-08T18:58:11Z</dcterms:modified>
</cp:coreProperties>
</file>