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72390</wp:posOffset>
            </wp:positionH>
            <wp:positionV relativeFrom="page">
              <wp:posOffset>81280</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127000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30" w:lineRule="exact"/>
        <w:rPr>
          <w:sz w:val="24"/>
          <w:szCs w:val="24"/>
          <w:color w:val="auto"/>
        </w:rPr>
      </w:pPr>
    </w:p>
    <w:p>
      <w:pPr>
        <w:jc w:val="center"/>
        <w:ind w:right="-65"/>
        <w:spacing w:after="0"/>
        <w:rPr>
          <w:sz w:val="20"/>
          <w:szCs w:val="20"/>
          <w:color w:val="auto"/>
        </w:rPr>
      </w:pPr>
      <w:r>
        <w:rPr>
          <w:rFonts w:ascii="Arial" w:cs="Arial" w:eastAsia="Arial" w:hAnsi="Arial"/>
          <w:sz w:val="34"/>
          <w:szCs w:val="34"/>
          <w:b w:val="1"/>
          <w:bCs w:val="1"/>
          <w:color w:val="auto"/>
        </w:rPr>
        <w:t>SECURITIES AND EXCHANGE COMMISSION</w:t>
      </w:r>
    </w:p>
    <w:p>
      <w:pPr>
        <w:jc w:val="center"/>
        <w:ind w:right="-65"/>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3015615</wp:posOffset>
            </wp:positionH>
            <wp:positionV relativeFrom="paragraph">
              <wp:posOffset>214630</wp:posOffset>
            </wp:positionV>
            <wp:extent cx="1593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65"/>
        <w:spacing w:after="0"/>
        <w:rPr>
          <w:sz w:val="20"/>
          <w:szCs w:val="20"/>
          <w:color w:val="auto"/>
        </w:rPr>
      </w:pPr>
      <w:r>
        <w:rPr>
          <w:rFonts w:ascii="Arial" w:cs="Arial" w:eastAsia="Arial" w:hAnsi="Arial"/>
          <w:sz w:val="34"/>
          <w:szCs w:val="34"/>
          <w:b w:val="1"/>
          <w:bCs w:val="1"/>
          <w:color w:val="auto"/>
        </w:rPr>
        <w:t>SCHEDULE 13D</w:t>
      </w:r>
    </w:p>
    <w:p>
      <w:pPr>
        <w:spacing w:after="0" w:line="195" w:lineRule="exact"/>
        <w:rPr>
          <w:sz w:val="24"/>
          <w:szCs w:val="24"/>
          <w:color w:val="auto"/>
        </w:rPr>
      </w:pPr>
    </w:p>
    <w:p>
      <w:pPr>
        <w:jc w:val="center"/>
        <w:ind w:right="-65"/>
        <w:spacing w:after="0"/>
        <w:rPr>
          <w:sz w:val="20"/>
          <w:szCs w:val="20"/>
          <w:color w:val="auto"/>
        </w:rPr>
      </w:pPr>
      <w:r>
        <w:rPr>
          <w:rFonts w:ascii="Arial" w:cs="Arial" w:eastAsia="Arial" w:hAnsi="Arial"/>
          <w:sz w:val="23"/>
          <w:szCs w:val="23"/>
          <w:b w:val="1"/>
          <w:bCs w:val="1"/>
          <w:color w:val="auto"/>
        </w:rPr>
        <w:t>Under the Securities Exchange Act of 1934</w:t>
      </w:r>
    </w:p>
    <w:p>
      <w:pPr>
        <w:spacing w:after="0" w:line="18" w:lineRule="exact"/>
        <w:rPr>
          <w:sz w:val="24"/>
          <w:szCs w:val="24"/>
          <w:color w:val="auto"/>
        </w:rPr>
      </w:pPr>
    </w:p>
    <w:p>
      <w:pPr>
        <w:jc w:val="center"/>
        <w:ind w:right="-65"/>
        <w:spacing w:after="0"/>
        <w:rPr>
          <w:sz w:val="20"/>
          <w:szCs w:val="20"/>
          <w:color w:val="auto"/>
        </w:rPr>
      </w:pPr>
      <w:r>
        <w:rPr>
          <w:rFonts w:ascii="Arial" w:cs="Arial" w:eastAsia="Arial" w:hAnsi="Arial"/>
          <w:sz w:val="23"/>
          <w:szCs w:val="23"/>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3015615</wp:posOffset>
            </wp:positionH>
            <wp:positionV relativeFrom="paragraph">
              <wp:posOffset>214630</wp:posOffset>
            </wp:positionV>
            <wp:extent cx="1593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45"/>
        <w:spacing w:after="0"/>
        <w:rPr>
          <w:sz w:val="20"/>
          <w:szCs w:val="20"/>
          <w:color w:val="auto"/>
        </w:rPr>
      </w:pPr>
      <w:r>
        <w:rPr>
          <w:rFonts w:ascii="Arial" w:cs="Arial" w:eastAsia="Arial" w:hAnsi="Arial"/>
          <w:sz w:val="42"/>
          <w:szCs w:val="42"/>
          <w:b w:val="1"/>
          <w:bCs w:val="1"/>
          <w:color w:val="auto"/>
        </w:rPr>
        <w:t>SELECTA BIOSCIENCES, INC.</w:t>
      </w:r>
    </w:p>
    <w:p>
      <w:pPr>
        <w:spacing w:after="0" w:line="39" w:lineRule="exact"/>
        <w:rPr>
          <w:sz w:val="24"/>
          <w:szCs w:val="24"/>
          <w:color w:val="auto"/>
        </w:rPr>
      </w:pPr>
    </w:p>
    <w:p>
      <w:pPr>
        <w:jc w:val="center"/>
        <w:ind w:right="-65"/>
        <w:spacing w:after="0"/>
        <w:rPr>
          <w:sz w:val="20"/>
          <w:szCs w:val="20"/>
          <w:color w:val="auto"/>
        </w:rPr>
      </w:pPr>
      <w:r>
        <w:rPr>
          <w:rFonts w:ascii="Arial" w:cs="Arial" w:eastAsia="Arial" w:hAnsi="Arial"/>
          <w:sz w:val="19"/>
          <w:szCs w:val="19"/>
          <w:b w:val="1"/>
          <w:bCs w:val="1"/>
          <w:color w:val="auto"/>
        </w:rPr>
        <w:t>(Name of Issuer)</w:t>
      </w:r>
    </w:p>
    <w:p>
      <w:pPr>
        <w:spacing w:after="0" w:line="173" w:lineRule="exact"/>
        <w:rPr>
          <w:sz w:val="24"/>
          <w:szCs w:val="24"/>
          <w:color w:val="auto"/>
        </w:rPr>
      </w:pPr>
    </w:p>
    <w:p>
      <w:pPr>
        <w:jc w:val="center"/>
        <w:ind w:right="-65"/>
        <w:spacing w:after="0"/>
        <w:rPr>
          <w:sz w:val="20"/>
          <w:szCs w:val="20"/>
          <w:color w:val="auto"/>
        </w:rPr>
      </w:pPr>
      <w:r>
        <w:rPr>
          <w:rFonts w:ascii="Arial" w:cs="Arial" w:eastAsia="Arial" w:hAnsi="Arial"/>
          <w:sz w:val="19"/>
          <w:szCs w:val="19"/>
          <w:b w:val="1"/>
          <w:bCs w:val="1"/>
          <w:color w:val="auto"/>
        </w:rPr>
        <w:t>Common Stock, $0.0001 par value</w:t>
      </w:r>
    </w:p>
    <w:p>
      <w:pPr>
        <w:spacing w:after="0" w:line="23" w:lineRule="exact"/>
        <w:rPr>
          <w:sz w:val="24"/>
          <w:szCs w:val="24"/>
          <w:color w:val="auto"/>
        </w:rPr>
      </w:pPr>
    </w:p>
    <w:p>
      <w:pPr>
        <w:jc w:val="center"/>
        <w:ind w:right="-65"/>
        <w:spacing w:after="0"/>
        <w:rPr>
          <w:sz w:val="20"/>
          <w:szCs w:val="20"/>
          <w:color w:val="auto"/>
        </w:rPr>
      </w:pPr>
      <w:r>
        <w:rPr>
          <w:rFonts w:ascii="Arial" w:cs="Arial" w:eastAsia="Arial" w:hAnsi="Arial"/>
          <w:sz w:val="15"/>
          <w:szCs w:val="15"/>
          <w:b w:val="1"/>
          <w:bCs w:val="1"/>
          <w:color w:val="auto"/>
        </w:rPr>
        <w:t>(Title of Class of Securities)</w:t>
      </w:r>
    </w:p>
    <w:p>
      <w:pPr>
        <w:spacing w:after="0" w:line="157" w:lineRule="exact"/>
        <w:rPr>
          <w:sz w:val="24"/>
          <w:szCs w:val="24"/>
          <w:color w:val="auto"/>
        </w:rPr>
      </w:pPr>
    </w:p>
    <w:p>
      <w:pPr>
        <w:jc w:val="center"/>
        <w:ind w:right="-65"/>
        <w:spacing w:after="0"/>
        <w:rPr>
          <w:sz w:val="20"/>
          <w:szCs w:val="20"/>
          <w:color w:val="auto"/>
        </w:rPr>
      </w:pPr>
      <w:r>
        <w:rPr>
          <w:rFonts w:ascii="Arial" w:cs="Arial" w:eastAsia="Arial" w:hAnsi="Arial"/>
          <w:sz w:val="19"/>
          <w:szCs w:val="19"/>
          <w:b w:val="1"/>
          <w:bCs w:val="1"/>
          <w:color w:val="auto"/>
        </w:rPr>
        <w:t>816212104</w:t>
      </w:r>
    </w:p>
    <w:p>
      <w:pPr>
        <w:spacing w:after="0" w:line="23" w:lineRule="exact"/>
        <w:rPr>
          <w:sz w:val="24"/>
          <w:szCs w:val="24"/>
          <w:color w:val="auto"/>
        </w:rPr>
      </w:pPr>
    </w:p>
    <w:p>
      <w:pPr>
        <w:jc w:val="center"/>
        <w:ind w:right="-65"/>
        <w:spacing w:after="0"/>
        <w:rPr>
          <w:sz w:val="20"/>
          <w:szCs w:val="20"/>
          <w:color w:val="auto"/>
        </w:rPr>
      </w:pPr>
      <w:r>
        <w:rPr>
          <w:rFonts w:ascii="Arial" w:cs="Arial" w:eastAsia="Arial" w:hAnsi="Arial"/>
          <w:sz w:val="15"/>
          <w:szCs w:val="15"/>
          <w:b w:val="1"/>
          <w:bCs w:val="1"/>
          <w:color w:val="auto"/>
        </w:rPr>
        <w:t>(CUSIP Number)</w:t>
      </w:r>
    </w:p>
    <w:p>
      <w:pPr>
        <w:spacing w:after="0" w:line="199" w:lineRule="exact"/>
        <w:rPr>
          <w:sz w:val="24"/>
          <w:szCs w:val="24"/>
          <w:color w:val="auto"/>
        </w:rPr>
      </w:pPr>
    </w:p>
    <w:tbl>
      <w:tblPr>
        <w:tblLayout w:type="fixed"/>
        <w:tblInd w:w="1586" w:type="dxa"/>
        <w:tblCellMar>
          <w:top w:w="0" w:type="dxa"/>
          <w:left w:w="0" w:type="dxa"/>
          <w:bottom w:w="0" w:type="dxa"/>
          <w:right w:w="0" w:type="dxa"/>
        </w:tblCellMar>
      </w:tblPr>
      <w:tr>
        <w:trPr>
          <w:trHeight w:val="228"/>
        </w:trPr>
        <w:tc>
          <w:tcPr>
            <w:tcW w:w="4420" w:type="dxa"/>
            <w:vAlign w:val="bottom"/>
          </w:tcPr>
          <w:p>
            <w:pPr>
              <w:jc w:val="center"/>
              <w:ind w:right="1445"/>
              <w:spacing w:after="0"/>
              <w:rPr>
                <w:sz w:val="20"/>
                <w:szCs w:val="20"/>
                <w:color w:val="auto"/>
              </w:rPr>
            </w:pPr>
            <w:r>
              <w:rPr>
                <w:rFonts w:ascii="Arial" w:cs="Arial" w:eastAsia="Arial" w:hAnsi="Arial"/>
                <w:sz w:val="19"/>
                <w:szCs w:val="19"/>
                <w:b w:val="1"/>
                <w:bCs w:val="1"/>
                <w:color w:val="auto"/>
                <w:w w:val="90"/>
              </w:rPr>
              <w:t>Polaris Partners</w:t>
            </w:r>
          </w:p>
        </w:tc>
        <w:tc>
          <w:tcPr>
            <w:tcW w:w="4660" w:type="dxa"/>
            <w:vAlign w:val="bottom"/>
          </w:tcPr>
          <w:p>
            <w:pPr>
              <w:jc w:val="center"/>
              <w:ind w:left="1425"/>
              <w:spacing w:after="0"/>
              <w:rPr>
                <w:sz w:val="20"/>
                <w:szCs w:val="20"/>
                <w:color w:val="auto"/>
              </w:rPr>
            </w:pPr>
            <w:r>
              <w:rPr>
                <w:rFonts w:ascii="Arial" w:cs="Arial" w:eastAsia="Arial" w:hAnsi="Arial"/>
                <w:sz w:val="19"/>
                <w:szCs w:val="19"/>
                <w:b w:val="1"/>
                <w:bCs w:val="1"/>
                <w:color w:val="auto"/>
                <w:w w:val="90"/>
              </w:rPr>
              <w:t>Gunderson Dettmer Stough Villeneuve</w:t>
            </w:r>
          </w:p>
        </w:tc>
      </w:tr>
      <w:tr>
        <w:trPr>
          <w:trHeight w:val="228"/>
        </w:trPr>
        <w:tc>
          <w:tcPr>
            <w:tcW w:w="4420" w:type="dxa"/>
            <w:vAlign w:val="bottom"/>
          </w:tcPr>
          <w:p>
            <w:pPr>
              <w:jc w:val="center"/>
              <w:ind w:right="1425"/>
              <w:spacing w:after="0"/>
              <w:rPr>
                <w:sz w:val="20"/>
                <w:szCs w:val="20"/>
                <w:color w:val="auto"/>
              </w:rPr>
            </w:pPr>
            <w:r>
              <w:rPr>
                <w:rFonts w:ascii="Arial" w:cs="Arial" w:eastAsia="Arial" w:hAnsi="Arial"/>
                <w:sz w:val="19"/>
                <w:szCs w:val="19"/>
                <w:b w:val="1"/>
                <w:bCs w:val="1"/>
                <w:color w:val="auto"/>
                <w:w w:val="95"/>
              </w:rPr>
              <w:t>One Marina Park Drive, 10th Floor</w:t>
            </w:r>
          </w:p>
        </w:tc>
        <w:tc>
          <w:tcPr>
            <w:tcW w:w="4660" w:type="dxa"/>
            <w:vAlign w:val="bottom"/>
          </w:tcPr>
          <w:p>
            <w:pPr>
              <w:jc w:val="center"/>
              <w:ind w:left="1425"/>
              <w:spacing w:after="0"/>
              <w:rPr>
                <w:sz w:val="20"/>
                <w:szCs w:val="20"/>
                <w:color w:val="auto"/>
              </w:rPr>
            </w:pPr>
            <w:r>
              <w:rPr>
                <w:rFonts w:ascii="Arial" w:cs="Arial" w:eastAsia="Arial" w:hAnsi="Arial"/>
                <w:sz w:val="19"/>
                <w:szCs w:val="19"/>
                <w:b w:val="1"/>
                <w:bCs w:val="1"/>
                <w:color w:val="auto"/>
                <w:w w:val="95"/>
              </w:rPr>
              <w:t>Franklin &amp; Hachigian, LLP</w:t>
            </w:r>
          </w:p>
        </w:tc>
      </w:tr>
      <w:tr>
        <w:trPr>
          <w:trHeight w:val="228"/>
        </w:trPr>
        <w:tc>
          <w:tcPr>
            <w:tcW w:w="4420" w:type="dxa"/>
            <w:vAlign w:val="bottom"/>
          </w:tcPr>
          <w:p>
            <w:pPr>
              <w:jc w:val="center"/>
              <w:ind w:right="1425"/>
              <w:spacing w:after="0"/>
              <w:rPr>
                <w:sz w:val="20"/>
                <w:szCs w:val="20"/>
                <w:color w:val="auto"/>
              </w:rPr>
            </w:pPr>
            <w:r>
              <w:rPr>
                <w:rFonts w:ascii="Arial" w:cs="Arial" w:eastAsia="Arial" w:hAnsi="Arial"/>
                <w:sz w:val="19"/>
                <w:szCs w:val="19"/>
                <w:b w:val="1"/>
                <w:bCs w:val="1"/>
                <w:color w:val="auto"/>
                <w:w w:val="91"/>
              </w:rPr>
              <w:t>Boston, MA 02210</w:t>
            </w:r>
          </w:p>
        </w:tc>
        <w:tc>
          <w:tcPr>
            <w:tcW w:w="4660" w:type="dxa"/>
            <w:vAlign w:val="bottom"/>
          </w:tcPr>
          <w:p>
            <w:pPr>
              <w:jc w:val="center"/>
              <w:ind w:left="1425"/>
              <w:spacing w:after="0"/>
              <w:rPr>
                <w:sz w:val="20"/>
                <w:szCs w:val="20"/>
                <w:color w:val="auto"/>
              </w:rPr>
            </w:pPr>
            <w:r>
              <w:rPr>
                <w:rFonts w:ascii="Arial" w:cs="Arial" w:eastAsia="Arial" w:hAnsi="Arial"/>
                <w:sz w:val="19"/>
                <w:szCs w:val="19"/>
                <w:b w:val="1"/>
                <w:bCs w:val="1"/>
                <w:color w:val="auto"/>
                <w:w w:val="93"/>
              </w:rPr>
              <w:t>One Marina Park Drive, Suite 900</w:t>
            </w:r>
          </w:p>
        </w:tc>
      </w:tr>
      <w:tr>
        <w:trPr>
          <w:trHeight w:val="228"/>
        </w:trPr>
        <w:tc>
          <w:tcPr>
            <w:tcW w:w="4420" w:type="dxa"/>
            <w:vAlign w:val="bottom"/>
          </w:tcPr>
          <w:p>
            <w:pPr>
              <w:spacing w:after="0"/>
              <w:rPr>
                <w:sz w:val="19"/>
                <w:szCs w:val="19"/>
                <w:color w:val="auto"/>
              </w:rPr>
            </w:pPr>
          </w:p>
        </w:tc>
        <w:tc>
          <w:tcPr>
            <w:tcW w:w="4660" w:type="dxa"/>
            <w:vAlign w:val="bottom"/>
          </w:tcPr>
          <w:p>
            <w:pPr>
              <w:jc w:val="center"/>
              <w:ind w:left="1425"/>
              <w:spacing w:after="0"/>
              <w:rPr>
                <w:sz w:val="20"/>
                <w:szCs w:val="20"/>
                <w:color w:val="auto"/>
              </w:rPr>
            </w:pPr>
            <w:r>
              <w:rPr>
                <w:rFonts w:ascii="Arial" w:cs="Arial" w:eastAsia="Arial" w:hAnsi="Arial"/>
                <w:sz w:val="19"/>
                <w:szCs w:val="19"/>
                <w:b w:val="1"/>
                <w:bCs w:val="1"/>
                <w:color w:val="auto"/>
                <w:w w:val="91"/>
              </w:rPr>
              <w:t>Boston, MA 02210</w:t>
            </w:r>
          </w:p>
        </w:tc>
      </w:tr>
      <w:tr>
        <w:trPr>
          <w:trHeight w:val="228"/>
        </w:trPr>
        <w:tc>
          <w:tcPr>
            <w:tcW w:w="4420" w:type="dxa"/>
            <w:vAlign w:val="bottom"/>
          </w:tcPr>
          <w:p>
            <w:pPr>
              <w:spacing w:after="0"/>
              <w:rPr>
                <w:sz w:val="19"/>
                <w:szCs w:val="19"/>
                <w:color w:val="auto"/>
              </w:rPr>
            </w:pPr>
          </w:p>
        </w:tc>
        <w:tc>
          <w:tcPr>
            <w:tcW w:w="4660" w:type="dxa"/>
            <w:vAlign w:val="bottom"/>
          </w:tcPr>
          <w:p>
            <w:pPr>
              <w:jc w:val="center"/>
              <w:ind w:left="1425"/>
              <w:spacing w:after="0"/>
              <w:rPr>
                <w:sz w:val="20"/>
                <w:szCs w:val="20"/>
                <w:color w:val="auto"/>
              </w:rPr>
            </w:pPr>
            <w:r>
              <w:rPr>
                <w:rFonts w:ascii="Arial" w:cs="Arial" w:eastAsia="Arial" w:hAnsi="Arial"/>
                <w:sz w:val="19"/>
                <w:szCs w:val="19"/>
                <w:b w:val="1"/>
                <w:bCs w:val="1"/>
                <w:color w:val="auto"/>
                <w:w w:val="92"/>
              </w:rPr>
              <w:t>Attn: Jay K. Hachigian, Esq.</w:t>
            </w:r>
          </w:p>
        </w:tc>
      </w:tr>
      <w:tr>
        <w:trPr>
          <w:trHeight w:val="247"/>
        </w:trPr>
        <w:tc>
          <w:tcPr>
            <w:tcW w:w="4420" w:type="dxa"/>
            <w:vAlign w:val="bottom"/>
          </w:tcPr>
          <w:p>
            <w:pPr>
              <w:spacing w:after="0"/>
              <w:rPr>
                <w:sz w:val="21"/>
                <w:szCs w:val="21"/>
                <w:color w:val="auto"/>
              </w:rPr>
            </w:pPr>
          </w:p>
        </w:tc>
        <w:tc>
          <w:tcPr>
            <w:tcW w:w="4660" w:type="dxa"/>
            <w:vAlign w:val="bottom"/>
          </w:tcPr>
          <w:p>
            <w:pPr>
              <w:jc w:val="center"/>
              <w:ind w:left="1425"/>
              <w:spacing w:after="0"/>
              <w:rPr>
                <w:sz w:val="20"/>
                <w:szCs w:val="20"/>
                <w:color w:val="auto"/>
              </w:rPr>
            </w:pPr>
            <w:r>
              <w:rPr>
                <w:rFonts w:ascii="Arial" w:cs="Arial" w:eastAsia="Arial" w:hAnsi="Arial"/>
                <w:sz w:val="19"/>
                <w:szCs w:val="19"/>
                <w:b w:val="1"/>
                <w:bCs w:val="1"/>
                <w:color w:val="auto"/>
                <w:w w:val="90"/>
              </w:rPr>
              <w:t>(617) 648-9100</w:t>
            </w:r>
          </w:p>
        </w:tc>
      </w:tr>
    </w:tbl>
    <w:p>
      <w:pPr>
        <w:jc w:val="center"/>
        <w:ind w:right="-65"/>
        <w:spacing w:after="0"/>
        <w:rPr>
          <w:sz w:val="20"/>
          <w:szCs w:val="20"/>
          <w:color w:val="auto"/>
        </w:rPr>
      </w:pPr>
      <w:r>
        <w:rPr>
          <w:rFonts w:ascii="Arial" w:cs="Arial" w:eastAsia="Arial" w:hAnsi="Arial"/>
          <w:sz w:val="15"/>
          <w:szCs w:val="15"/>
          <w:b w:val="1"/>
          <w:bCs w:val="1"/>
          <w:color w:val="auto"/>
        </w:rPr>
        <w:t>(Name, Address and Telephone Number of Person Authorized to Receive Notices and Communications)</w:t>
      </w:r>
    </w:p>
    <w:p>
      <w:pPr>
        <w:spacing w:after="0" w:line="179" w:lineRule="exact"/>
        <w:rPr>
          <w:sz w:val="24"/>
          <w:szCs w:val="24"/>
          <w:color w:val="auto"/>
        </w:rPr>
      </w:pPr>
    </w:p>
    <w:p>
      <w:pPr>
        <w:jc w:val="center"/>
        <w:ind w:right="-65"/>
        <w:spacing w:after="0"/>
        <w:rPr>
          <w:sz w:val="20"/>
          <w:szCs w:val="20"/>
          <w:color w:val="auto"/>
        </w:rPr>
      </w:pPr>
      <w:r>
        <w:rPr>
          <w:rFonts w:ascii="Arial" w:cs="Arial" w:eastAsia="Arial" w:hAnsi="Arial"/>
          <w:sz w:val="19"/>
          <w:szCs w:val="19"/>
          <w:b w:val="1"/>
          <w:bCs w:val="1"/>
          <w:color w:val="auto"/>
        </w:rPr>
        <w:t>January 25, 2019</w:t>
      </w:r>
    </w:p>
    <w:p>
      <w:pPr>
        <w:spacing w:after="0" w:line="23" w:lineRule="exact"/>
        <w:rPr>
          <w:sz w:val="24"/>
          <w:szCs w:val="24"/>
          <w:color w:val="auto"/>
        </w:rPr>
      </w:pPr>
    </w:p>
    <w:p>
      <w:pPr>
        <w:jc w:val="center"/>
        <w:ind w:right="-65"/>
        <w:spacing w:after="0"/>
        <w:rPr>
          <w:sz w:val="20"/>
          <w:szCs w:val="20"/>
          <w:color w:val="auto"/>
        </w:rPr>
      </w:pPr>
      <w:r>
        <w:rPr>
          <w:rFonts w:ascii="Arial" w:cs="Arial" w:eastAsia="Arial" w:hAnsi="Arial"/>
          <w:sz w:val="15"/>
          <w:szCs w:val="15"/>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3015615</wp:posOffset>
            </wp:positionH>
            <wp:positionV relativeFrom="paragraph">
              <wp:posOffset>212090</wp:posOffset>
            </wp:positionV>
            <wp:extent cx="1593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6" w:right="520"/>
        <w:spacing w:after="0" w:line="245"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40" w:lineRule="exact"/>
        <w:rPr>
          <w:sz w:val="24"/>
          <w:szCs w:val="24"/>
          <w:color w:val="auto"/>
        </w:rPr>
      </w:pPr>
    </w:p>
    <w:p>
      <w:pPr>
        <w:ind w:left="6" w:right="100"/>
        <w:spacing w:after="0" w:line="282" w:lineRule="auto"/>
        <w:rPr>
          <w:sz w:val="20"/>
          <w:szCs w:val="20"/>
          <w:color w:val="auto"/>
        </w:rPr>
      </w:pPr>
      <w:r>
        <w:rPr>
          <w:rFonts w:ascii="Arial" w:cs="Arial" w:eastAsia="Arial" w:hAnsi="Arial"/>
          <w:sz w:val="19"/>
          <w:szCs w:val="19"/>
          <w:b w:val="1"/>
          <w:bCs w:val="1"/>
          <w:color w:val="auto"/>
        </w:rPr>
        <w:t xml:space="preserve">Note: </w:t>
      </w:r>
      <w:r>
        <w:rPr>
          <w:rFonts w:ascii="Arial" w:cs="Arial" w:eastAsia="Arial" w:hAnsi="Arial"/>
          <w:sz w:val="19"/>
          <w:szCs w:val="19"/>
          <w:color w:val="auto"/>
        </w:rPr>
        <w:t>Schedules filed in paper format shall include a signed original and five copies of the schedule, including all exhibits. See §240.13d-7 for other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625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466" w:right="40" w:hanging="466"/>
        <w:spacing w:after="0" w:line="275" w:lineRule="auto"/>
        <w:tabs>
          <w:tab w:leader="none" w:pos="466"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1" w:lineRule="exact"/>
        <w:rPr>
          <w:sz w:val="24"/>
          <w:szCs w:val="24"/>
          <w:color w:val="auto"/>
        </w:rPr>
      </w:pPr>
    </w:p>
    <w:p>
      <w:pPr>
        <w:ind w:left="6"/>
        <w:spacing w:after="0" w:line="336" w:lineRule="auto"/>
        <w:rPr>
          <w:sz w:val="20"/>
          <w:szCs w:val="20"/>
          <w:color w:val="auto"/>
        </w:rPr>
      </w:pPr>
      <w:r>
        <w:rPr>
          <w:rFonts w:ascii="Arial" w:cs="Arial" w:eastAsia="Arial" w:hAnsi="Arial"/>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625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7625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46"/>
          </w:cols>
          <w:pgMar w:left="114" w:top="396" w:right="180" w:bottom="1440" w:gutter="0" w:footer="0" w:header="0"/>
        </w:sectPr>
      </w:pPr>
    </w:p>
    <w:bookmarkStart w:id="1" w:name="page2"/>
    <w:bookmarkEnd w:id="1"/>
    <w:p>
      <w:pPr>
        <w:ind w:left="340" w:hanging="340"/>
        <w:spacing w:after="0"/>
        <w:tabs>
          <w:tab w:leader="none" w:pos="340" w:val="left"/>
        </w:tabs>
        <w:numPr>
          <w:ilvl w:val="0"/>
          <w:numId w:val="2"/>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75704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68260" cy="7570470"/>
                    </a:xfrm>
                    <a:prstGeom prst="rect">
                      <a:avLst/>
                    </a:prstGeom>
                    <a:noFill/>
                  </pic:spPr>
                </pic:pic>
              </a:graphicData>
            </a:graphic>
          </wp:anchor>
        </w:drawing>
        <w:t>Names of Reporting Persons.</w:t>
      </w:r>
    </w:p>
    <w:p>
      <w:pPr>
        <w:spacing w:after="0" w:line="266"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Polaris Venture Partners V, L.P. (“PVP V”)</w:t>
      </w:r>
    </w:p>
    <w:p>
      <w:pPr>
        <w:spacing w:after="0" w:line="38" w:lineRule="exact"/>
        <w:rPr>
          <w:rFonts w:ascii="Arial" w:cs="Arial" w:eastAsia="Arial" w:hAnsi="Arial"/>
          <w:sz w:val="19"/>
          <w:szCs w:val="19"/>
          <w:color w:val="auto"/>
        </w:rPr>
      </w:pPr>
    </w:p>
    <w:p>
      <w:pPr>
        <w:ind w:left="340" w:hanging="340"/>
        <w:spacing w:after="0"/>
        <w:tabs>
          <w:tab w:leader="none" w:pos="340" w:val="left"/>
        </w:tabs>
        <w:numPr>
          <w:ilvl w:val="0"/>
          <w:numId w:val="2"/>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9" w:lineRule="exact"/>
        <w:rPr>
          <w:sz w:val="20"/>
          <w:szCs w:val="20"/>
          <w:color w:val="auto"/>
        </w:rPr>
      </w:pPr>
    </w:p>
    <w:p>
      <w:pPr>
        <w:ind w:left="340"/>
        <w:spacing w:after="0" w:line="219" w:lineRule="exact"/>
        <w:tabs>
          <w:tab w:leader="none" w:pos="1180" w:val="left"/>
        </w:tabs>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sz w:val="20"/>
          <w:szCs w:val="20"/>
          <w:color w:val="auto"/>
        </w:rPr>
        <w:tab/>
      </w:r>
      <w:r>
        <w:rPr>
          <w:rFonts w:ascii="Arial" w:cs="Arial" w:eastAsia="Arial" w:hAnsi="Arial"/>
          <w:sz w:val="19"/>
          <w:szCs w:val="19"/>
          <w:color w:val="auto"/>
        </w:rPr>
        <w:t xml:space="preserve">(b) </w:t>
      </w:r>
      <w:r>
        <w:rPr>
          <w:rFonts w:ascii="MS PGothic" w:cs="MS PGothic" w:eastAsia="MS PGothic" w:hAnsi="MS PGothic"/>
          <w:sz w:val="19"/>
          <w:szCs w:val="19"/>
          <w:color w:val="auto"/>
        </w:rPr>
        <w:t>☒</w:t>
      </w:r>
    </w:p>
    <w:p>
      <w:pPr>
        <w:spacing w:after="0" w:line="286" w:lineRule="exact"/>
        <w:rPr>
          <w:sz w:val="20"/>
          <w:szCs w:val="20"/>
          <w:color w:val="auto"/>
        </w:rPr>
      </w:pPr>
    </w:p>
    <w:p>
      <w:pPr>
        <w:ind w:left="340" w:hanging="340"/>
        <w:spacing w:after="0"/>
        <w:tabs>
          <w:tab w:leader="none" w:pos="340" w:val="left"/>
        </w:tabs>
        <w:numPr>
          <w:ilvl w:val="0"/>
          <w:numId w:val="3"/>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94" w:lineRule="exact"/>
        <w:rPr>
          <w:rFonts w:ascii="Arial" w:cs="Arial" w:eastAsia="Arial" w:hAnsi="Arial"/>
          <w:sz w:val="19"/>
          <w:szCs w:val="19"/>
          <w:color w:val="auto"/>
        </w:rPr>
      </w:pPr>
    </w:p>
    <w:p>
      <w:pPr>
        <w:ind w:left="340" w:hanging="340"/>
        <w:spacing w:after="0"/>
        <w:tabs>
          <w:tab w:leader="none" w:pos="340" w:val="left"/>
        </w:tabs>
        <w:numPr>
          <w:ilvl w:val="0"/>
          <w:numId w:val="3"/>
        </w:numPr>
        <w:rPr>
          <w:rFonts w:ascii="Arial" w:cs="Arial" w:eastAsia="Arial" w:hAnsi="Arial"/>
          <w:sz w:val="19"/>
          <w:szCs w:val="19"/>
          <w:color w:val="auto"/>
        </w:rPr>
      </w:pPr>
      <w:r>
        <w:rPr>
          <w:rFonts w:ascii="Arial" w:cs="Arial" w:eastAsia="Arial" w:hAnsi="Arial"/>
          <w:sz w:val="19"/>
          <w:szCs w:val="19"/>
          <w:color w:val="auto"/>
        </w:rPr>
        <w:t>Source of Funds (See Instructions)</w:t>
      </w:r>
    </w:p>
    <w:p>
      <w:pPr>
        <w:spacing w:after="0" w:line="266"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WC</w:t>
      </w:r>
    </w:p>
    <w:p>
      <w:pPr>
        <w:spacing w:after="0" w:line="38" w:lineRule="exact"/>
        <w:rPr>
          <w:rFonts w:ascii="Arial" w:cs="Arial" w:eastAsia="Arial" w:hAnsi="Arial"/>
          <w:sz w:val="19"/>
          <w:szCs w:val="19"/>
          <w:color w:val="auto"/>
        </w:rPr>
      </w:pPr>
    </w:p>
    <w:p>
      <w:pPr>
        <w:ind w:left="340" w:hanging="340"/>
        <w:spacing w:after="0"/>
        <w:tabs>
          <w:tab w:leader="none" w:pos="3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Check if Disclosure of Legal Proceedings Is Required Pursuant to Items 2(d) or 2(e)</w:t>
      </w:r>
    </w:p>
    <w:p>
      <w:pPr>
        <w:spacing w:after="0" w:line="231" w:lineRule="exact"/>
        <w:rPr>
          <w:rFonts w:ascii="Arial" w:cs="Arial" w:eastAsia="Arial" w:hAnsi="Arial"/>
          <w:sz w:val="19"/>
          <w:szCs w:val="19"/>
          <w:color w:val="auto"/>
        </w:rPr>
      </w:pPr>
    </w:p>
    <w:p>
      <w:pPr>
        <w:ind w:left="340"/>
        <w:spacing w:after="0" w:line="191" w:lineRule="exact"/>
        <w:rPr>
          <w:rFonts w:ascii="Arial" w:cs="Arial" w:eastAsia="Arial" w:hAnsi="Arial"/>
          <w:sz w:val="19"/>
          <w:szCs w:val="19"/>
          <w:color w:val="auto"/>
        </w:rPr>
      </w:pPr>
      <w:r>
        <w:rPr>
          <w:rFonts w:ascii="MS PGothic" w:cs="MS PGothic" w:eastAsia="MS PGothic" w:hAnsi="MS PGothic"/>
          <w:sz w:val="19"/>
          <w:szCs w:val="19"/>
          <w:color w:val="auto"/>
        </w:rPr>
        <w:t>☐</w:t>
      </w:r>
    </w:p>
    <w:p>
      <w:pPr>
        <w:spacing w:after="0" w:line="108" w:lineRule="exact"/>
        <w:rPr>
          <w:rFonts w:ascii="Arial" w:cs="Arial" w:eastAsia="Arial" w:hAnsi="Arial"/>
          <w:sz w:val="19"/>
          <w:szCs w:val="19"/>
          <w:color w:val="auto"/>
        </w:rPr>
      </w:pPr>
    </w:p>
    <w:p>
      <w:pPr>
        <w:ind w:left="340" w:right="8740" w:hanging="340"/>
        <w:spacing w:after="0" w:line="403" w:lineRule="auto"/>
        <w:tabs>
          <w:tab w:leader="none" w:pos="3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1" w:lineRule="exact"/>
        <w:rPr>
          <w:rFonts w:ascii="Arial" w:cs="Arial" w:eastAsia="Arial" w:hAnsi="Arial"/>
          <w:sz w:val="19"/>
          <w:szCs w:val="19"/>
          <w:color w:val="auto"/>
        </w:rPr>
      </w:pPr>
    </w:p>
    <w:p>
      <w:pPr>
        <w:ind w:left="1500" w:hanging="359"/>
        <w:spacing w:after="0"/>
        <w:tabs>
          <w:tab w:leader="none" w:pos="1500" w:val="left"/>
        </w:tabs>
        <w:numPr>
          <w:ilvl w:val="1"/>
          <w:numId w:val="3"/>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66" w:lineRule="exact"/>
        <w:rPr>
          <w:rFonts w:ascii="Arial" w:cs="Arial" w:eastAsia="Arial" w:hAnsi="Arial"/>
          <w:sz w:val="19"/>
          <w:szCs w:val="19"/>
          <w:color w:val="auto"/>
        </w:rPr>
      </w:pPr>
    </w:p>
    <w:p>
      <w:pPr>
        <w:ind w:left="1500" w:right="80"/>
        <w:spacing w:after="0" w:line="285" w:lineRule="auto"/>
        <w:rPr>
          <w:rFonts w:ascii="Arial" w:cs="Arial" w:eastAsia="Arial" w:hAnsi="Arial"/>
          <w:sz w:val="19"/>
          <w:szCs w:val="19"/>
          <w:color w:val="auto"/>
        </w:rPr>
      </w:pPr>
      <w:r>
        <w:rPr>
          <w:rFonts w:ascii="Arial" w:cs="Arial" w:eastAsia="Arial" w:hAnsi="Arial"/>
          <w:sz w:val="17"/>
          <w:szCs w:val="17"/>
          <w:color w:val="auto"/>
        </w:rPr>
        <w:t>2,676,234 shares, except that (i) Polaris Venture Management Co. V, L.L.C. (“PVM V”), the general partner of PVP V, may be deemed to have sole power to vote these shares, and (ii) Jonathan A. Flint (“Flint”), a managing member of PVM V, may be deemed to have shared power to vote these shares, Terrance G. McGuire (“McGuire”), a managing member of PVM V, may be deemed to have shared</w:t>
      </w: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2"/>
              </w:rPr>
              <w:t>Number of</w:t>
            </w:r>
          </w:p>
        </w:tc>
        <w:tc>
          <w:tcPr>
            <w:tcW w:w="460" w:type="dxa"/>
            <w:vAlign w:val="bottom"/>
          </w:tcPr>
          <w:p>
            <w:pPr>
              <w:spacing w:after="0"/>
              <w:rPr>
                <w:sz w:val="18"/>
                <w:szCs w:val="18"/>
                <w:color w:val="auto"/>
              </w:rPr>
            </w:pPr>
          </w:p>
        </w:tc>
        <w:tc>
          <w:tcPr>
            <w:tcW w:w="10460" w:type="dxa"/>
            <w:vAlign w:val="bottom"/>
          </w:tcPr>
          <w:p>
            <w:pPr>
              <w:ind w:left="100"/>
              <w:spacing w:after="0" w:line="216" w:lineRule="exact"/>
              <w:rPr>
                <w:sz w:val="20"/>
                <w:szCs w:val="20"/>
                <w:color w:val="auto"/>
              </w:rPr>
            </w:pPr>
            <w:r>
              <w:rPr>
                <w:rFonts w:ascii="Arial" w:cs="Arial" w:eastAsia="Arial" w:hAnsi="Arial"/>
                <w:sz w:val="19"/>
                <w:szCs w:val="19"/>
                <w:color w:val="auto"/>
                <w:w w:val="91"/>
              </w:rPr>
              <w:t>power to vote these shares and Amir Nashat (“Nashat”), a member of PVM V and member of the Board of Directors of the Issuer, may</w:t>
            </w:r>
          </w:p>
        </w:tc>
        <w:tc>
          <w:tcPr>
            <w:tcW w:w="0" w:type="dxa"/>
            <w:vAlign w:val="bottom"/>
          </w:tcPr>
          <w:p>
            <w:pPr>
              <w:spacing w:after="0"/>
              <w:rPr>
                <w:sz w:val="1"/>
                <w:szCs w:val="1"/>
                <w:color w:val="auto"/>
              </w:rPr>
            </w:pPr>
          </w:p>
        </w:tc>
      </w:tr>
      <w:tr>
        <w:trPr>
          <w:trHeight w:val="71"/>
        </w:trPr>
        <w:tc>
          <w:tcPr>
            <w:tcW w:w="9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be deemed to have shared power to vote these shares.</w:t>
            </w:r>
          </w:p>
        </w:tc>
        <w:tc>
          <w:tcPr>
            <w:tcW w:w="0" w:type="dxa"/>
            <w:vAlign w:val="bottom"/>
          </w:tcPr>
          <w:p>
            <w:pPr>
              <w:spacing w:after="0"/>
              <w:rPr>
                <w:sz w:val="1"/>
                <w:szCs w:val="1"/>
                <w:color w:val="auto"/>
              </w:rPr>
            </w:pPr>
          </w:p>
        </w:tc>
      </w:tr>
      <w:tr>
        <w:trPr>
          <w:trHeight w:val="185"/>
        </w:trPr>
        <w:tc>
          <w:tcPr>
            <w:tcW w:w="940" w:type="dxa"/>
            <w:vAlign w:val="bottom"/>
          </w:tcPr>
          <w:p>
            <w:pPr>
              <w:jc w:val="center"/>
              <w:spacing w:after="0" w:line="165" w:lineRule="exact"/>
              <w:rPr>
                <w:sz w:val="20"/>
                <w:szCs w:val="20"/>
                <w:color w:val="auto"/>
              </w:rPr>
            </w:pPr>
            <w:r>
              <w:rPr>
                <w:rFonts w:ascii="Arial" w:cs="Arial" w:eastAsia="Arial" w:hAnsi="Arial"/>
                <w:sz w:val="19"/>
                <w:szCs w:val="19"/>
                <w:color w:val="auto"/>
                <w:w w:val="82"/>
              </w:rPr>
              <w:t>Shares</w:t>
            </w:r>
          </w:p>
        </w:tc>
        <w:tc>
          <w:tcPr>
            <w:tcW w:w="460" w:type="dxa"/>
            <w:vAlign w:val="bottom"/>
            <w:tcBorders>
              <w:bottom w:val="single" w:sz="8" w:color="auto"/>
            </w:tcBorders>
          </w:tcPr>
          <w:p>
            <w:pPr>
              <w:spacing w:after="0"/>
              <w:rPr>
                <w:sz w:val="16"/>
                <w:szCs w:val="16"/>
                <w:color w:val="auto"/>
              </w:rPr>
            </w:pPr>
          </w:p>
        </w:tc>
        <w:tc>
          <w:tcPr>
            <w:tcW w:w="10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940" w:type="dxa"/>
            <w:vAlign w:val="bottom"/>
          </w:tcPr>
          <w:p>
            <w:pPr>
              <w:jc w:val="center"/>
              <w:spacing w:after="0"/>
              <w:rPr>
                <w:sz w:val="20"/>
                <w:szCs w:val="20"/>
                <w:color w:val="auto"/>
              </w:rPr>
            </w:pPr>
            <w:r>
              <w:rPr>
                <w:rFonts w:ascii="Arial" w:cs="Arial" w:eastAsia="Arial" w:hAnsi="Arial"/>
                <w:sz w:val="19"/>
                <w:szCs w:val="19"/>
                <w:color w:val="auto"/>
                <w:w w:val="97"/>
              </w:rPr>
              <w:t>Beneficially</w:t>
            </w:r>
          </w:p>
        </w:tc>
        <w:tc>
          <w:tcPr>
            <w:tcW w:w="460" w:type="dxa"/>
            <w:vAlign w:val="bottom"/>
          </w:tcPr>
          <w:p>
            <w:pPr>
              <w:jc w:val="right"/>
              <w:ind w:right="25"/>
              <w:spacing w:after="0"/>
              <w:rPr>
                <w:sz w:val="20"/>
                <w:szCs w:val="20"/>
                <w:color w:val="auto"/>
              </w:rPr>
            </w:pPr>
            <w:r>
              <w:rPr>
                <w:rFonts w:ascii="Arial" w:cs="Arial" w:eastAsia="Arial" w:hAnsi="Arial"/>
                <w:sz w:val="19"/>
                <w:szCs w:val="19"/>
                <w:color w:val="auto"/>
              </w:rPr>
              <w:t>8.</w:t>
            </w:r>
          </w:p>
        </w:tc>
        <w:tc>
          <w:tcPr>
            <w:tcW w:w="10460" w:type="dxa"/>
            <w:vAlign w:val="bottom"/>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9"/>
                <w:szCs w:val="19"/>
                <w:color w:val="auto"/>
                <w:w w:val="91"/>
              </w:rPr>
              <w:t>Owned by</w:t>
            </w:r>
          </w:p>
        </w:tc>
        <w:tc>
          <w:tcPr>
            <w:tcW w:w="460" w:type="dxa"/>
            <w:vAlign w:val="bottom"/>
          </w:tcPr>
          <w:p>
            <w:pPr>
              <w:spacing w:after="0"/>
              <w:rPr>
                <w:sz w:val="19"/>
                <w:szCs w:val="19"/>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See response to row 7.</w:t>
            </w:r>
          </w:p>
        </w:tc>
        <w:tc>
          <w:tcPr>
            <w:tcW w:w="0" w:type="dxa"/>
            <w:vAlign w:val="bottom"/>
          </w:tcPr>
          <w:p>
            <w:pPr>
              <w:spacing w:after="0"/>
              <w:rPr>
                <w:sz w:val="1"/>
                <w:szCs w:val="1"/>
                <w:color w:val="auto"/>
              </w:rPr>
            </w:pPr>
          </w:p>
        </w:tc>
      </w:tr>
      <w:tr>
        <w:trPr>
          <w:trHeight w:val="241"/>
        </w:trPr>
        <w:tc>
          <w:tcPr>
            <w:tcW w:w="940" w:type="dxa"/>
            <w:vAlign w:val="bottom"/>
          </w:tcPr>
          <w:p>
            <w:pPr>
              <w:jc w:val="center"/>
              <w:spacing w:after="0"/>
              <w:rPr>
                <w:sz w:val="20"/>
                <w:szCs w:val="20"/>
                <w:color w:val="auto"/>
              </w:rPr>
            </w:pPr>
            <w:r>
              <w:rPr>
                <w:rFonts w:ascii="Arial" w:cs="Arial" w:eastAsia="Arial" w:hAnsi="Arial"/>
                <w:sz w:val="19"/>
                <w:szCs w:val="19"/>
                <w:color w:val="auto"/>
                <w:w w:val="87"/>
              </w:rPr>
              <w:t>Each</w:t>
            </w:r>
          </w:p>
        </w:tc>
        <w:tc>
          <w:tcPr>
            <w:tcW w:w="460" w:type="dxa"/>
            <w:vAlign w:val="bottom"/>
            <w:tcBorders>
              <w:bottom w:val="single" w:sz="8" w:color="auto"/>
            </w:tcBorders>
          </w:tcPr>
          <w:p>
            <w:pPr>
              <w:spacing w:after="0"/>
              <w:rPr>
                <w:sz w:val="20"/>
                <w:szCs w:val="20"/>
                <w:color w:val="auto"/>
              </w:rPr>
            </w:pPr>
          </w:p>
        </w:tc>
        <w:tc>
          <w:tcPr>
            <w:tcW w:w="10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40" w:type="dxa"/>
            <w:vAlign w:val="bottom"/>
          </w:tcPr>
          <w:p>
            <w:pPr>
              <w:jc w:val="center"/>
              <w:spacing w:after="0" w:line="195" w:lineRule="exact"/>
              <w:rPr>
                <w:sz w:val="20"/>
                <w:szCs w:val="20"/>
                <w:color w:val="auto"/>
              </w:rPr>
            </w:pPr>
            <w:r>
              <w:rPr>
                <w:rFonts w:ascii="Arial" w:cs="Arial" w:eastAsia="Arial" w:hAnsi="Arial"/>
                <w:sz w:val="19"/>
                <w:szCs w:val="19"/>
                <w:color w:val="auto"/>
                <w:w w:val="92"/>
              </w:rPr>
              <w:t>Reporting</w:t>
            </w:r>
          </w:p>
        </w:tc>
        <w:tc>
          <w:tcPr>
            <w:tcW w:w="460" w:type="dxa"/>
            <w:vAlign w:val="bottom"/>
          </w:tcPr>
          <w:p>
            <w:pPr>
              <w:jc w:val="right"/>
              <w:ind w:right="25"/>
              <w:spacing w:after="0" w:line="195" w:lineRule="exact"/>
              <w:rPr>
                <w:sz w:val="20"/>
                <w:szCs w:val="20"/>
                <w:color w:val="auto"/>
              </w:rPr>
            </w:pPr>
            <w:r>
              <w:rPr>
                <w:rFonts w:ascii="Arial" w:cs="Arial" w:eastAsia="Arial" w:hAnsi="Arial"/>
                <w:sz w:val="19"/>
                <w:szCs w:val="19"/>
                <w:color w:val="auto"/>
              </w:rPr>
              <w:t>9.</w:t>
            </w:r>
          </w:p>
        </w:tc>
        <w:tc>
          <w:tcPr>
            <w:tcW w:w="10460" w:type="dxa"/>
            <w:vAlign w:val="bottom"/>
          </w:tcPr>
          <w:p>
            <w:pPr>
              <w:ind w:left="100"/>
              <w:spacing w:after="0" w:line="195"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9"/>
                <w:szCs w:val="19"/>
                <w:color w:val="auto"/>
                <w:w w:val="86"/>
              </w:rPr>
              <w:t>Person</w:t>
            </w:r>
          </w:p>
        </w:tc>
        <w:tc>
          <w:tcPr>
            <w:tcW w:w="460" w:type="dxa"/>
            <w:vAlign w:val="bottom"/>
          </w:tcPr>
          <w:p>
            <w:pPr>
              <w:spacing w:after="0"/>
              <w:rPr>
                <w:sz w:val="19"/>
                <w:szCs w:val="19"/>
                <w:color w:val="auto"/>
              </w:rPr>
            </w:pPr>
          </w:p>
        </w:tc>
        <w:tc>
          <w:tcPr>
            <w:tcW w:w="10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940" w:type="dxa"/>
            <w:vAlign w:val="bottom"/>
          </w:tcPr>
          <w:p>
            <w:pPr>
              <w:jc w:val="center"/>
              <w:spacing w:after="0"/>
              <w:rPr>
                <w:sz w:val="20"/>
                <w:szCs w:val="20"/>
                <w:color w:val="auto"/>
              </w:rPr>
            </w:pPr>
            <w:r>
              <w:rPr>
                <w:rFonts w:ascii="Arial" w:cs="Arial" w:eastAsia="Arial" w:hAnsi="Arial"/>
                <w:sz w:val="19"/>
                <w:szCs w:val="19"/>
                <w:color w:val="auto"/>
                <w:w w:val="99"/>
              </w:rPr>
              <w:t>With</w:t>
            </w:r>
          </w:p>
        </w:tc>
        <w:tc>
          <w:tcPr>
            <w:tcW w:w="460" w:type="dxa"/>
            <w:vAlign w:val="bottom"/>
          </w:tcPr>
          <w:p>
            <w:pPr>
              <w:spacing w:after="0"/>
              <w:rPr>
                <w:sz w:val="23"/>
                <w:szCs w:val="23"/>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1"/>
              </w:rPr>
              <w:t>2,676,234 shares, except that (i) PVM V, the general partner of PVP V, may be deemed to have sole power to dispose of these shares,</w:t>
            </w: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2"/>
              </w:rPr>
              <w:t>and (ii) Flint, a managing member of PVM V, may be deemed to have shared power to dispose of these shares, McGuire, a managing</w:t>
            </w: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1"/>
              </w:rPr>
              <w:t>member of PVM V, may be deemed to have shared power to dispose of these shares and Nashat, a member of PVM V and member of</w:t>
            </w:r>
          </w:p>
        </w:tc>
        <w:tc>
          <w:tcPr>
            <w:tcW w:w="0" w:type="dxa"/>
            <w:vAlign w:val="bottom"/>
          </w:tcPr>
          <w:p>
            <w:pPr>
              <w:spacing w:after="0"/>
              <w:rPr>
                <w:sz w:val="1"/>
                <w:szCs w:val="1"/>
                <w:color w:val="auto"/>
              </w:rPr>
            </w:pPr>
          </w:p>
        </w:tc>
      </w:tr>
      <w:tr>
        <w:trPr>
          <w:trHeight w:val="241"/>
        </w:trPr>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rPr>
              <w:t>the Board of Directors of the Issuer, maybe be deemed to have shared power to dispose of these shares.</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500" w:right="8380" w:hanging="454"/>
        <w:spacing w:after="0" w:line="455" w:lineRule="auto"/>
        <w:tabs>
          <w:tab w:leader="none" w:pos="1500" w:val="left"/>
        </w:tabs>
        <w:numPr>
          <w:ilvl w:val="1"/>
          <w:numId w:val="4"/>
        </w:numPr>
        <w:rPr>
          <w:rFonts w:ascii="Arial" w:cs="Arial" w:eastAsia="Arial" w:hAnsi="Arial"/>
          <w:sz w:val="17"/>
          <w:szCs w:val="17"/>
          <w:color w:val="auto"/>
        </w:rPr>
      </w:pPr>
      <w:r>
        <w:rPr>
          <w:rFonts w:ascii="Arial" w:cs="Arial" w:eastAsia="Arial" w:hAnsi="Arial"/>
          <w:sz w:val="17"/>
          <w:szCs w:val="17"/>
          <w:color w:val="auto"/>
        </w:rPr>
        <w:t>Shared Dispositive Power See response to row 9.</w:t>
      </w:r>
    </w:p>
    <w:p>
      <w:pPr>
        <w:ind w:left="440" w:right="6360" w:hanging="440"/>
        <w:spacing w:after="0" w:line="407" w:lineRule="auto"/>
        <w:tabs>
          <w:tab w:leader="none" w:pos="440" w:val="left"/>
        </w:tabs>
        <w:numPr>
          <w:ilvl w:val="0"/>
          <w:numId w:val="5"/>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2,676,234</w:t>
      </w:r>
    </w:p>
    <w:p>
      <w:pPr>
        <w:ind w:left="440" w:hanging="440"/>
        <w:spacing w:after="0"/>
        <w:tabs>
          <w:tab w:leader="none" w:pos="440" w:val="left"/>
        </w:tabs>
        <w:numPr>
          <w:ilvl w:val="0"/>
          <w:numId w:val="5"/>
        </w:numPr>
        <w:rPr>
          <w:rFonts w:ascii="Arial" w:cs="Arial" w:eastAsia="Arial" w:hAnsi="Arial"/>
          <w:sz w:val="19"/>
          <w:szCs w:val="19"/>
          <w:color w:val="auto"/>
        </w:rPr>
      </w:pPr>
      <w:r>
        <w:rPr>
          <w:rFonts w:ascii="Arial" w:cs="Arial" w:eastAsia="Arial" w:hAnsi="Arial"/>
          <w:sz w:val="19"/>
          <w:szCs w:val="19"/>
          <w:color w:val="auto"/>
        </w:rPr>
        <w:t>Check if the Aggregate Amount in Row (11) Excludes Certain Shares (See Instructions)</w:t>
      </w:r>
    </w:p>
    <w:p>
      <w:pPr>
        <w:spacing w:after="0" w:line="231" w:lineRule="exact"/>
        <w:rPr>
          <w:rFonts w:ascii="Arial" w:cs="Arial" w:eastAsia="Arial" w:hAnsi="Arial"/>
          <w:sz w:val="19"/>
          <w:szCs w:val="19"/>
          <w:color w:val="auto"/>
        </w:rPr>
      </w:pPr>
    </w:p>
    <w:p>
      <w:pPr>
        <w:ind w:left="440"/>
        <w:spacing w:after="0" w:line="191" w:lineRule="exact"/>
        <w:rPr>
          <w:rFonts w:ascii="Arial" w:cs="Arial" w:eastAsia="Arial" w:hAnsi="Arial"/>
          <w:sz w:val="19"/>
          <w:szCs w:val="19"/>
          <w:color w:val="auto"/>
        </w:rPr>
      </w:pPr>
      <w:r>
        <w:rPr>
          <w:rFonts w:ascii="MS PGothic" w:cs="MS PGothic" w:eastAsia="MS PGothic" w:hAnsi="MS PGothic"/>
          <w:sz w:val="19"/>
          <w:szCs w:val="19"/>
          <w:color w:val="auto"/>
        </w:rPr>
        <w:t>☐</w:t>
      </w:r>
    </w:p>
    <w:p>
      <w:pPr>
        <w:spacing w:after="0" w:line="108" w:lineRule="exact"/>
        <w:rPr>
          <w:rFonts w:ascii="Arial" w:cs="Arial" w:eastAsia="Arial" w:hAnsi="Arial"/>
          <w:sz w:val="19"/>
          <w:szCs w:val="19"/>
          <w:color w:val="auto"/>
        </w:rPr>
      </w:pPr>
    </w:p>
    <w:p>
      <w:pPr>
        <w:ind w:left="440" w:right="7340" w:hanging="440"/>
        <w:spacing w:after="0" w:line="403" w:lineRule="auto"/>
        <w:tabs>
          <w:tab w:leader="none" w:pos="440" w:val="left"/>
        </w:tabs>
        <w:numPr>
          <w:ilvl w:val="0"/>
          <w:numId w:val="5"/>
        </w:numPr>
        <w:rPr>
          <w:rFonts w:ascii="Arial" w:cs="Arial" w:eastAsia="Arial" w:hAnsi="Arial"/>
          <w:sz w:val="19"/>
          <w:szCs w:val="19"/>
          <w:color w:val="auto"/>
        </w:rPr>
      </w:pPr>
      <w:r>
        <w:rPr>
          <w:rFonts w:ascii="Arial" w:cs="Arial" w:eastAsia="Arial" w:hAnsi="Arial"/>
          <w:sz w:val="19"/>
          <w:szCs w:val="19"/>
          <w:color w:val="auto"/>
        </w:rPr>
        <w:t>Percent of Class Represented by Amount in Row (11) 6.3%</w:t>
      </w:r>
    </w:p>
    <w:p>
      <w:pPr>
        <w:spacing w:after="0" w:line="1" w:lineRule="exact"/>
        <w:rPr>
          <w:rFonts w:ascii="Arial" w:cs="Arial" w:eastAsia="Arial" w:hAnsi="Arial"/>
          <w:sz w:val="19"/>
          <w:szCs w:val="19"/>
          <w:color w:val="auto"/>
        </w:rPr>
      </w:pPr>
    </w:p>
    <w:p>
      <w:pPr>
        <w:ind w:left="440" w:hanging="440"/>
        <w:spacing w:after="0"/>
        <w:tabs>
          <w:tab w:leader="none" w:pos="440" w:val="left"/>
        </w:tabs>
        <w:numPr>
          <w:ilvl w:val="0"/>
          <w:numId w:val="5"/>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66" w:lineRule="exact"/>
        <w:rPr>
          <w:rFonts w:ascii="Arial" w:cs="Arial" w:eastAsia="Arial" w:hAnsi="Arial"/>
          <w:sz w:val="19"/>
          <w:szCs w:val="19"/>
          <w:color w:val="auto"/>
        </w:rPr>
      </w:pPr>
    </w:p>
    <w:p>
      <w:pPr>
        <w:ind w:left="440"/>
        <w:spacing w:after="0"/>
        <w:rPr>
          <w:rFonts w:ascii="Arial" w:cs="Arial" w:eastAsia="Arial" w:hAnsi="Arial"/>
          <w:sz w:val="19"/>
          <w:szCs w:val="19"/>
          <w:color w:val="auto"/>
        </w:rPr>
      </w:pPr>
      <w:r>
        <w:rPr>
          <w:rFonts w:ascii="Arial" w:cs="Arial" w:eastAsia="Arial" w:hAnsi="Arial"/>
          <w:sz w:val="19"/>
          <w:szCs w:val="19"/>
          <w:color w:val="auto"/>
        </w:rPr>
        <w:t>PN</w:t>
      </w:r>
    </w:p>
    <w:p>
      <w:pPr>
        <w:sectPr>
          <w:pgSz w:w="12240" w:h="15840" w:orient="portrait"/>
          <w:cols w:equalWidth="0" w:num="1">
            <w:col w:w="11860"/>
          </w:cols>
          <w:pgMar w:left="280" w:top="156" w:right="100" w:bottom="1440" w:gutter="0" w:footer="0" w:header="0"/>
        </w:sectPr>
      </w:pPr>
    </w:p>
    <w:bookmarkStart w:id="2" w:name="page3"/>
    <w:bookmarkEnd w:id="2"/>
    <w:p>
      <w:pPr>
        <w:ind w:left="340" w:hanging="340"/>
        <w:spacing w:after="0"/>
        <w:tabs>
          <w:tab w:leader="none" w:pos="340" w:val="left"/>
        </w:tabs>
        <w:numPr>
          <w:ilvl w:val="0"/>
          <w:numId w:val="6"/>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7425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68260" cy="7425690"/>
                    </a:xfrm>
                    <a:prstGeom prst="rect">
                      <a:avLst/>
                    </a:prstGeom>
                    <a:noFill/>
                  </pic:spPr>
                </pic:pic>
              </a:graphicData>
            </a:graphic>
          </wp:anchor>
        </w:drawing>
        <w:t>Names of Reporting Persons.</w:t>
      </w:r>
    </w:p>
    <w:p>
      <w:pPr>
        <w:spacing w:after="0" w:line="266"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Polaris Venture Partners Entrepreneurs’ Fund V, L.P. (“PVPE V”)</w:t>
      </w:r>
    </w:p>
    <w:p>
      <w:pPr>
        <w:spacing w:after="0" w:line="38" w:lineRule="exact"/>
        <w:rPr>
          <w:rFonts w:ascii="Arial" w:cs="Arial" w:eastAsia="Arial" w:hAnsi="Arial"/>
          <w:sz w:val="19"/>
          <w:szCs w:val="19"/>
          <w:color w:val="auto"/>
        </w:rPr>
      </w:pPr>
    </w:p>
    <w:p>
      <w:pPr>
        <w:ind w:left="340" w:hanging="340"/>
        <w:spacing w:after="0"/>
        <w:tabs>
          <w:tab w:leader="none" w:pos="340" w:val="left"/>
        </w:tabs>
        <w:numPr>
          <w:ilvl w:val="0"/>
          <w:numId w:val="6"/>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9" w:lineRule="exact"/>
        <w:rPr>
          <w:sz w:val="20"/>
          <w:szCs w:val="20"/>
          <w:color w:val="auto"/>
        </w:rPr>
      </w:pPr>
    </w:p>
    <w:p>
      <w:pPr>
        <w:ind w:left="340"/>
        <w:spacing w:after="0" w:line="219" w:lineRule="exact"/>
        <w:tabs>
          <w:tab w:leader="none" w:pos="1180" w:val="left"/>
        </w:tabs>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sz w:val="20"/>
          <w:szCs w:val="20"/>
          <w:color w:val="auto"/>
        </w:rPr>
        <w:tab/>
      </w:r>
      <w:r>
        <w:rPr>
          <w:rFonts w:ascii="Arial" w:cs="Arial" w:eastAsia="Arial" w:hAnsi="Arial"/>
          <w:sz w:val="19"/>
          <w:szCs w:val="19"/>
          <w:color w:val="auto"/>
        </w:rPr>
        <w:t xml:space="preserve">(b) </w:t>
      </w:r>
      <w:r>
        <w:rPr>
          <w:rFonts w:ascii="MS PGothic" w:cs="MS PGothic" w:eastAsia="MS PGothic" w:hAnsi="MS PGothic"/>
          <w:sz w:val="19"/>
          <w:szCs w:val="19"/>
          <w:color w:val="auto"/>
        </w:rPr>
        <w:t>☒</w:t>
      </w:r>
    </w:p>
    <w:p>
      <w:pPr>
        <w:spacing w:after="0" w:line="286" w:lineRule="exact"/>
        <w:rPr>
          <w:sz w:val="20"/>
          <w:szCs w:val="20"/>
          <w:color w:val="auto"/>
        </w:rPr>
      </w:pPr>
    </w:p>
    <w:p>
      <w:pPr>
        <w:ind w:left="340" w:hanging="340"/>
        <w:spacing w:after="0"/>
        <w:tabs>
          <w:tab w:leader="none" w:pos="340" w:val="left"/>
        </w:tabs>
        <w:numPr>
          <w:ilvl w:val="0"/>
          <w:numId w:val="7"/>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94" w:lineRule="exact"/>
        <w:rPr>
          <w:rFonts w:ascii="Arial" w:cs="Arial" w:eastAsia="Arial" w:hAnsi="Arial"/>
          <w:sz w:val="19"/>
          <w:szCs w:val="19"/>
          <w:color w:val="auto"/>
        </w:rPr>
      </w:pPr>
    </w:p>
    <w:p>
      <w:pPr>
        <w:ind w:left="340" w:hanging="340"/>
        <w:spacing w:after="0"/>
        <w:tabs>
          <w:tab w:leader="none" w:pos="340" w:val="left"/>
        </w:tabs>
        <w:numPr>
          <w:ilvl w:val="0"/>
          <w:numId w:val="7"/>
        </w:numPr>
        <w:rPr>
          <w:rFonts w:ascii="Arial" w:cs="Arial" w:eastAsia="Arial" w:hAnsi="Arial"/>
          <w:sz w:val="19"/>
          <w:szCs w:val="19"/>
          <w:color w:val="auto"/>
        </w:rPr>
      </w:pPr>
      <w:r>
        <w:rPr>
          <w:rFonts w:ascii="Arial" w:cs="Arial" w:eastAsia="Arial" w:hAnsi="Arial"/>
          <w:sz w:val="19"/>
          <w:szCs w:val="19"/>
          <w:color w:val="auto"/>
        </w:rPr>
        <w:t>Source of Funds (See Instructions)</w:t>
      </w:r>
    </w:p>
    <w:p>
      <w:pPr>
        <w:spacing w:after="0" w:line="266"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WC</w:t>
      </w:r>
    </w:p>
    <w:p>
      <w:pPr>
        <w:spacing w:after="0" w:line="38" w:lineRule="exact"/>
        <w:rPr>
          <w:rFonts w:ascii="Arial" w:cs="Arial" w:eastAsia="Arial" w:hAnsi="Arial"/>
          <w:sz w:val="19"/>
          <w:szCs w:val="19"/>
          <w:color w:val="auto"/>
        </w:rPr>
      </w:pPr>
    </w:p>
    <w:p>
      <w:pPr>
        <w:ind w:left="340" w:hanging="340"/>
        <w:spacing w:after="0"/>
        <w:tabs>
          <w:tab w:leader="none" w:pos="340" w:val="left"/>
        </w:tabs>
        <w:numPr>
          <w:ilvl w:val="0"/>
          <w:numId w:val="7"/>
        </w:numPr>
        <w:rPr>
          <w:rFonts w:ascii="Arial" w:cs="Arial" w:eastAsia="Arial" w:hAnsi="Arial"/>
          <w:sz w:val="19"/>
          <w:szCs w:val="19"/>
          <w:color w:val="auto"/>
        </w:rPr>
      </w:pPr>
      <w:r>
        <w:rPr>
          <w:rFonts w:ascii="Arial" w:cs="Arial" w:eastAsia="Arial" w:hAnsi="Arial"/>
          <w:sz w:val="19"/>
          <w:szCs w:val="19"/>
          <w:color w:val="auto"/>
        </w:rPr>
        <w:t>Check if Disclosure of Legal Proceedings is Required Pursuant to Items 2(d) or 2(e)</w:t>
      </w:r>
    </w:p>
    <w:p>
      <w:pPr>
        <w:spacing w:after="0" w:line="231" w:lineRule="exact"/>
        <w:rPr>
          <w:rFonts w:ascii="Arial" w:cs="Arial" w:eastAsia="Arial" w:hAnsi="Arial"/>
          <w:sz w:val="19"/>
          <w:szCs w:val="19"/>
          <w:color w:val="auto"/>
        </w:rPr>
      </w:pPr>
    </w:p>
    <w:p>
      <w:pPr>
        <w:ind w:left="340"/>
        <w:spacing w:after="0" w:line="191" w:lineRule="exact"/>
        <w:rPr>
          <w:rFonts w:ascii="Arial" w:cs="Arial" w:eastAsia="Arial" w:hAnsi="Arial"/>
          <w:sz w:val="19"/>
          <w:szCs w:val="19"/>
          <w:color w:val="auto"/>
        </w:rPr>
      </w:pPr>
      <w:r>
        <w:rPr>
          <w:rFonts w:ascii="MS PGothic" w:cs="MS PGothic" w:eastAsia="MS PGothic" w:hAnsi="MS PGothic"/>
          <w:sz w:val="19"/>
          <w:szCs w:val="19"/>
          <w:color w:val="auto"/>
        </w:rPr>
        <w:t>☐</w:t>
      </w:r>
    </w:p>
    <w:p>
      <w:pPr>
        <w:spacing w:after="0" w:line="108" w:lineRule="exact"/>
        <w:rPr>
          <w:rFonts w:ascii="Arial" w:cs="Arial" w:eastAsia="Arial" w:hAnsi="Arial"/>
          <w:sz w:val="19"/>
          <w:szCs w:val="19"/>
          <w:color w:val="auto"/>
        </w:rPr>
      </w:pPr>
    </w:p>
    <w:p>
      <w:pPr>
        <w:ind w:left="340" w:right="8740" w:hanging="340"/>
        <w:spacing w:after="0" w:line="403" w:lineRule="auto"/>
        <w:tabs>
          <w:tab w:leader="none" w:pos="340" w:val="left"/>
        </w:tabs>
        <w:numPr>
          <w:ilvl w:val="0"/>
          <w:numId w:val="7"/>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1" w:lineRule="exact"/>
        <w:rPr>
          <w:rFonts w:ascii="Arial" w:cs="Arial" w:eastAsia="Arial" w:hAnsi="Arial"/>
          <w:sz w:val="19"/>
          <w:szCs w:val="19"/>
          <w:color w:val="auto"/>
        </w:rPr>
      </w:pPr>
    </w:p>
    <w:p>
      <w:pPr>
        <w:ind w:left="1500" w:hanging="359"/>
        <w:spacing w:after="0"/>
        <w:tabs>
          <w:tab w:leader="none" w:pos="1500" w:val="left"/>
        </w:tabs>
        <w:numPr>
          <w:ilvl w:val="1"/>
          <w:numId w:val="7"/>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3"/>
              </w:rPr>
              <w:t>52,156 shares, except that (i) PVM V, the general partner of PVPE V, may be deemed to have sole power to vote these shares, and</w:t>
            </w: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1"/>
              </w:rPr>
              <w:t>(ii) Flint, a managing member of PVM V, may be deemed to have shared power to vote these shares, McGuire, a managing member of</w:t>
            </w:r>
          </w:p>
        </w:tc>
        <w:tc>
          <w:tcPr>
            <w:tcW w:w="0" w:type="dxa"/>
            <w:vAlign w:val="bottom"/>
          </w:tcPr>
          <w:p>
            <w:pPr>
              <w:spacing w:after="0"/>
              <w:rPr>
                <w:sz w:val="1"/>
                <w:szCs w:val="1"/>
                <w:color w:val="auto"/>
              </w:rPr>
            </w:pPr>
          </w:p>
        </w:tc>
      </w:tr>
      <w:tr>
        <w:trPr>
          <w:trHeight w:val="228"/>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2"/>
              </w:rPr>
              <w:t>Number of</w:t>
            </w: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4"/>
              </w:rPr>
              <w:t>PVM V, may be deemed to have shared power to vote these shares and Nashat, a member of PVM V and member of the Board of</w:t>
            </w:r>
          </w:p>
        </w:tc>
        <w:tc>
          <w:tcPr>
            <w:tcW w:w="0" w:type="dxa"/>
            <w:vAlign w:val="bottom"/>
          </w:tcPr>
          <w:p>
            <w:pPr>
              <w:spacing w:after="0"/>
              <w:rPr>
                <w:sz w:val="1"/>
                <w:szCs w:val="1"/>
                <w:color w:val="auto"/>
              </w:rPr>
            </w:pPr>
          </w:p>
        </w:tc>
      </w:tr>
      <w:tr>
        <w:trPr>
          <w:trHeight w:val="185"/>
        </w:trPr>
        <w:tc>
          <w:tcPr>
            <w:tcW w:w="9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460" w:type="dxa"/>
            <w:vAlign w:val="bottom"/>
          </w:tcPr>
          <w:p>
            <w:pPr>
              <w:ind w:left="100"/>
              <w:spacing w:after="0" w:line="185" w:lineRule="exact"/>
              <w:rPr>
                <w:sz w:val="20"/>
                <w:szCs w:val="20"/>
                <w:color w:val="auto"/>
              </w:rPr>
            </w:pPr>
            <w:r>
              <w:rPr>
                <w:rFonts w:ascii="Arial" w:cs="Arial" w:eastAsia="Arial" w:hAnsi="Arial"/>
                <w:sz w:val="19"/>
                <w:szCs w:val="19"/>
                <w:color w:val="auto"/>
              </w:rPr>
              <w:t>Directors of the Issuer, may be deemed to have shared power to vote these shares.</w:t>
            </w:r>
          </w:p>
        </w:tc>
        <w:tc>
          <w:tcPr>
            <w:tcW w:w="0" w:type="dxa"/>
            <w:vAlign w:val="bottom"/>
          </w:tcPr>
          <w:p>
            <w:pPr>
              <w:spacing w:after="0"/>
              <w:rPr>
                <w:sz w:val="1"/>
                <w:szCs w:val="1"/>
                <w:color w:val="auto"/>
              </w:rPr>
            </w:pPr>
          </w:p>
        </w:tc>
      </w:tr>
      <w:tr>
        <w:trPr>
          <w:trHeight w:val="71"/>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82"/>
              </w:rPr>
              <w:t>Shares</w:t>
            </w:r>
          </w:p>
        </w:tc>
        <w:tc>
          <w:tcPr>
            <w:tcW w:w="460" w:type="dxa"/>
            <w:vAlign w:val="bottom"/>
            <w:tcBorders>
              <w:bottom w:val="single" w:sz="8" w:color="auto"/>
            </w:tcBorders>
          </w:tcPr>
          <w:p>
            <w:pPr>
              <w:spacing w:after="0"/>
              <w:rPr>
                <w:sz w:val="6"/>
                <w:szCs w:val="6"/>
                <w:color w:val="auto"/>
              </w:rPr>
            </w:pPr>
          </w:p>
        </w:tc>
        <w:tc>
          <w:tcPr>
            <w:tcW w:w="10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940" w:type="dxa"/>
            <w:vAlign w:val="bottom"/>
            <w:vMerge w:val="continue"/>
          </w:tcPr>
          <w:p>
            <w:pPr>
              <w:spacing w:after="0"/>
              <w:rPr>
                <w:sz w:val="11"/>
                <w:szCs w:val="11"/>
                <w:color w:val="auto"/>
              </w:rPr>
            </w:pPr>
          </w:p>
        </w:tc>
        <w:tc>
          <w:tcPr>
            <w:tcW w:w="460" w:type="dxa"/>
            <w:vAlign w:val="bottom"/>
            <w:vMerge w:val="restart"/>
          </w:tcPr>
          <w:p>
            <w:pPr>
              <w:jc w:val="right"/>
              <w:ind w:right="25"/>
              <w:spacing w:after="0"/>
              <w:rPr>
                <w:sz w:val="20"/>
                <w:szCs w:val="20"/>
                <w:color w:val="auto"/>
              </w:rPr>
            </w:pPr>
            <w:r>
              <w:rPr>
                <w:rFonts w:ascii="Arial" w:cs="Arial" w:eastAsia="Arial" w:hAnsi="Arial"/>
                <w:sz w:val="19"/>
                <w:szCs w:val="19"/>
                <w:color w:val="auto"/>
              </w:rPr>
              <w:t>8.</w:t>
            </w: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99"/>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7"/>
              </w:rPr>
              <w:t>Beneficially</w:t>
            </w:r>
          </w:p>
        </w:tc>
        <w:tc>
          <w:tcPr>
            <w:tcW w:w="460" w:type="dxa"/>
            <w:vAlign w:val="bottom"/>
            <w:vMerge w:val="continue"/>
          </w:tcPr>
          <w:p>
            <w:pPr>
              <w:spacing w:after="0"/>
              <w:rPr>
                <w:sz w:val="8"/>
                <w:szCs w:val="8"/>
                <w:color w:val="auto"/>
              </w:rPr>
            </w:pPr>
          </w:p>
        </w:tc>
        <w:tc>
          <w:tcPr>
            <w:tcW w:w="10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9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9"/>
                <w:szCs w:val="19"/>
                <w:color w:val="auto"/>
                <w:w w:val="91"/>
              </w:rPr>
              <w:t>Owned by</w:t>
            </w:r>
          </w:p>
        </w:tc>
        <w:tc>
          <w:tcPr>
            <w:tcW w:w="460" w:type="dxa"/>
            <w:vAlign w:val="bottom"/>
          </w:tcPr>
          <w:p>
            <w:pPr>
              <w:spacing w:after="0"/>
              <w:rPr>
                <w:sz w:val="19"/>
                <w:szCs w:val="19"/>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See response to row 7.</w:t>
            </w:r>
          </w:p>
        </w:tc>
        <w:tc>
          <w:tcPr>
            <w:tcW w:w="0" w:type="dxa"/>
            <w:vAlign w:val="bottom"/>
          </w:tcPr>
          <w:p>
            <w:pPr>
              <w:spacing w:after="0"/>
              <w:rPr>
                <w:sz w:val="1"/>
                <w:szCs w:val="1"/>
                <w:color w:val="auto"/>
              </w:rPr>
            </w:pPr>
          </w:p>
        </w:tc>
      </w:tr>
      <w:tr>
        <w:trPr>
          <w:trHeight w:val="123"/>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87"/>
              </w:rPr>
              <w:t>Each</w:t>
            </w:r>
          </w:p>
        </w:tc>
        <w:tc>
          <w:tcPr>
            <w:tcW w:w="460" w:type="dxa"/>
            <w:vAlign w:val="bottom"/>
            <w:tcBorders>
              <w:bottom w:val="single" w:sz="8" w:color="auto"/>
            </w:tcBorders>
          </w:tcPr>
          <w:p>
            <w:pPr>
              <w:spacing w:after="0"/>
              <w:rPr>
                <w:sz w:val="10"/>
                <w:szCs w:val="10"/>
                <w:color w:val="auto"/>
              </w:rPr>
            </w:pPr>
          </w:p>
        </w:tc>
        <w:tc>
          <w:tcPr>
            <w:tcW w:w="10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940" w:type="dxa"/>
            <w:vAlign w:val="bottom"/>
            <w:vMerge w:val="continue"/>
          </w:tcPr>
          <w:p>
            <w:pPr>
              <w:spacing w:after="0"/>
              <w:rPr>
                <w:sz w:val="7"/>
                <w:szCs w:val="7"/>
                <w:color w:val="auto"/>
              </w:rPr>
            </w:pPr>
          </w:p>
        </w:tc>
        <w:tc>
          <w:tcPr>
            <w:tcW w:w="460" w:type="dxa"/>
            <w:vAlign w:val="bottom"/>
            <w:vMerge w:val="restart"/>
          </w:tcPr>
          <w:p>
            <w:pPr>
              <w:jc w:val="right"/>
              <w:ind w:right="25"/>
              <w:spacing w:after="0"/>
              <w:rPr>
                <w:sz w:val="20"/>
                <w:szCs w:val="20"/>
                <w:color w:val="auto"/>
              </w:rPr>
            </w:pPr>
            <w:r>
              <w:rPr>
                <w:rFonts w:ascii="Arial" w:cs="Arial" w:eastAsia="Arial" w:hAnsi="Arial"/>
                <w:sz w:val="19"/>
                <w:szCs w:val="19"/>
                <w:color w:val="auto"/>
              </w:rPr>
              <w:t>9.</w:t>
            </w: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2"/>
              </w:rPr>
              <w:t>Reporting</w:t>
            </w:r>
          </w:p>
        </w:tc>
        <w:tc>
          <w:tcPr>
            <w:tcW w:w="460" w:type="dxa"/>
            <w:vAlign w:val="bottom"/>
            <w:vMerge w:val="continue"/>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9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0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9"/>
                <w:szCs w:val="19"/>
                <w:color w:val="auto"/>
                <w:w w:val="86"/>
              </w:rPr>
              <w:t>Person</w:t>
            </w:r>
          </w:p>
        </w:tc>
        <w:tc>
          <w:tcPr>
            <w:tcW w:w="460" w:type="dxa"/>
            <w:vAlign w:val="bottom"/>
          </w:tcPr>
          <w:p>
            <w:pPr>
              <w:spacing w:after="0"/>
              <w:rPr>
                <w:sz w:val="19"/>
                <w:szCs w:val="19"/>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w w:val="92"/>
              </w:rPr>
              <w:t>52,156 shares, except that (i) PVM V, the general partner of PVPE V, may be deemed to have sole power to dispose of these shares,</w:t>
            </w:r>
          </w:p>
        </w:tc>
        <w:tc>
          <w:tcPr>
            <w:tcW w:w="0" w:type="dxa"/>
            <w:vAlign w:val="bottom"/>
          </w:tcPr>
          <w:p>
            <w:pPr>
              <w:spacing w:after="0"/>
              <w:rPr>
                <w:sz w:val="1"/>
                <w:szCs w:val="1"/>
                <w:color w:val="auto"/>
              </w:rPr>
            </w:pPr>
          </w:p>
        </w:tc>
      </w:tr>
      <w:tr>
        <w:trPr>
          <w:trHeight w:val="157"/>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9"/>
              </w:rPr>
              <w:t>With</w:t>
            </w:r>
          </w:p>
        </w:tc>
        <w:tc>
          <w:tcPr>
            <w:tcW w:w="460" w:type="dxa"/>
            <w:vAlign w:val="bottom"/>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9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w w:val="92"/>
              </w:rPr>
              <w:t>and (ii) Flint, a managing member of PVM V, may be deemed to have shared power to dispose of these shares, McGuire, a managing</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0"/>
              </w:rPr>
              <w:t>member of PVM V, may be deemed to have shared power to dispose of these shares, and Nashat, a member of PVM V and member of</w:t>
            </w:r>
          </w:p>
        </w:tc>
        <w:tc>
          <w:tcPr>
            <w:tcW w:w="0" w:type="dxa"/>
            <w:vAlign w:val="bottom"/>
          </w:tcPr>
          <w:p>
            <w:pPr>
              <w:spacing w:after="0"/>
              <w:rPr>
                <w:sz w:val="1"/>
                <w:szCs w:val="1"/>
                <w:color w:val="auto"/>
              </w:rPr>
            </w:pPr>
          </w:p>
        </w:tc>
      </w:tr>
      <w:tr>
        <w:trPr>
          <w:trHeight w:val="241"/>
        </w:trPr>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rPr>
              <w:t>the Board of Directors of the Issuer, may be deemed to have shared power to dispose of these shares.</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500" w:right="8380" w:hanging="454"/>
        <w:spacing w:after="0" w:line="455" w:lineRule="auto"/>
        <w:tabs>
          <w:tab w:leader="none" w:pos="1500" w:val="left"/>
        </w:tabs>
        <w:numPr>
          <w:ilvl w:val="1"/>
          <w:numId w:val="8"/>
        </w:numPr>
        <w:rPr>
          <w:rFonts w:ascii="Arial" w:cs="Arial" w:eastAsia="Arial" w:hAnsi="Arial"/>
          <w:sz w:val="17"/>
          <w:szCs w:val="17"/>
          <w:color w:val="auto"/>
        </w:rPr>
      </w:pPr>
      <w:r>
        <w:rPr>
          <w:rFonts w:ascii="Arial" w:cs="Arial" w:eastAsia="Arial" w:hAnsi="Arial"/>
          <w:sz w:val="17"/>
          <w:szCs w:val="17"/>
          <w:color w:val="auto"/>
        </w:rPr>
        <w:t>Shared Dispositive Power See response to Row 9.</w:t>
      </w:r>
    </w:p>
    <w:p>
      <w:pPr>
        <w:ind w:left="440" w:right="6360" w:hanging="440"/>
        <w:spacing w:after="0" w:line="407" w:lineRule="auto"/>
        <w:tabs>
          <w:tab w:leader="none" w:pos="440" w:val="left"/>
        </w:tabs>
        <w:numPr>
          <w:ilvl w:val="0"/>
          <w:numId w:val="9"/>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52,156</w:t>
      </w:r>
    </w:p>
    <w:p>
      <w:pPr>
        <w:ind w:left="440" w:hanging="440"/>
        <w:spacing w:after="0"/>
        <w:tabs>
          <w:tab w:leader="none" w:pos="440" w:val="left"/>
        </w:tabs>
        <w:numPr>
          <w:ilvl w:val="0"/>
          <w:numId w:val="9"/>
        </w:numPr>
        <w:rPr>
          <w:rFonts w:ascii="Arial" w:cs="Arial" w:eastAsia="Arial" w:hAnsi="Arial"/>
          <w:sz w:val="19"/>
          <w:szCs w:val="19"/>
          <w:color w:val="auto"/>
        </w:rPr>
      </w:pPr>
      <w:r>
        <w:rPr>
          <w:rFonts w:ascii="Arial" w:cs="Arial" w:eastAsia="Arial" w:hAnsi="Arial"/>
          <w:sz w:val="19"/>
          <w:szCs w:val="19"/>
          <w:color w:val="auto"/>
        </w:rPr>
        <w:t>Check if the Aggregate Amount in Row (11) Excludes Certain Shares (See Instructions)</w:t>
      </w:r>
    </w:p>
    <w:p>
      <w:pPr>
        <w:spacing w:after="0" w:line="231" w:lineRule="exact"/>
        <w:rPr>
          <w:rFonts w:ascii="Arial" w:cs="Arial" w:eastAsia="Arial" w:hAnsi="Arial"/>
          <w:sz w:val="19"/>
          <w:szCs w:val="19"/>
          <w:color w:val="auto"/>
        </w:rPr>
      </w:pPr>
    </w:p>
    <w:p>
      <w:pPr>
        <w:ind w:left="440"/>
        <w:spacing w:after="0" w:line="191" w:lineRule="exact"/>
        <w:rPr>
          <w:rFonts w:ascii="Arial" w:cs="Arial" w:eastAsia="Arial" w:hAnsi="Arial"/>
          <w:sz w:val="19"/>
          <w:szCs w:val="19"/>
          <w:color w:val="auto"/>
        </w:rPr>
      </w:pPr>
      <w:r>
        <w:rPr>
          <w:rFonts w:ascii="MS PGothic" w:cs="MS PGothic" w:eastAsia="MS PGothic" w:hAnsi="MS PGothic"/>
          <w:sz w:val="19"/>
          <w:szCs w:val="19"/>
          <w:color w:val="auto"/>
        </w:rPr>
        <w:t>☐</w:t>
      </w:r>
    </w:p>
    <w:p>
      <w:pPr>
        <w:spacing w:after="0" w:line="108" w:lineRule="exact"/>
        <w:rPr>
          <w:rFonts w:ascii="Arial" w:cs="Arial" w:eastAsia="Arial" w:hAnsi="Arial"/>
          <w:sz w:val="19"/>
          <w:szCs w:val="19"/>
          <w:color w:val="auto"/>
        </w:rPr>
      </w:pPr>
    </w:p>
    <w:p>
      <w:pPr>
        <w:ind w:left="440" w:right="7340" w:hanging="440"/>
        <w:spacing w:after="0" w:line="403" w:lineRule="auto"/>
        <w:tabs>
          <w:tab w:leader="none" w:pos="440" w:val="left"/>
        </w:tabs>
        <w:numPr>
          <w:ilvl w:val="0"/>
          <w:numId w:val="9"/>
        </w:numPr>
        <w:rPr>
          <w:rFonts w:ascii="Arial" w:cs="Arial" w:eastAsia="Arial" w:hAnsi="Arial"/>
          <w:sz w:val="19"/>
          <w:szCs w:val="19"/>
          <w:color w:val="auto"/>
        </w:rPr>
      </w:pPr>
      <w:r>
        <w:rPr>
          <w:rFonts w:ascii="Arial" w:cs="Arial" w:eastAsia="Arial" w:hAnsi="Arial"/>
          <w:sz w:val="19"/>
          <w:szCs w:val="19"/>
          <w:color w:val="auto"/>
        </w:rPr>
        <w:t>Percent of Class Represented by Amount in Row (11) 0.1%</w:t>
      </w:r>
    </w:p>
    <w:p>
      <w:pPr>
        <w:spacing w:after="0" w:line="1" w:lineRule="exact"/>
        <w:rPr>
          <w:rFonts w:ascii="Arial" w:cs="Arial" w:eastAsia="Arial" w:hAnsi="Arial"/>
          <w:sz w:val="19"/>
          <w:szCs w:val="19"/>
          <w:color w:val="auto"/>
        </w:rPr>
      </w:pPr>
    </w:p>
    <w:p>
      <w:pPr>
        <w:ind w:left="440" w:hanging="440"/>
        <w:spacing w:after="0"/>
        <w:tabs>
          <w:tab w:leader="none" w:pos="440" w:val="left"/>
        </w:tabs>
        <w:numPr>
          <w:ilvl w:val="0"/>
          <w:numId w:val="9"/>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66" w:lineRule="exact"/>
        <w:rPr>
          <w:rFonts w:ascii="Arial" w:cs="Arial" w:eastAsia="Arial" w:hAnsi="Arial"/>
          <w:sz w:val="19"/>
          <w:szCs w:val="19"/>
          <w:color w:val="auto"/>
        </w:rPr>
      </w:pPr>
    </w:p>
    <w:p>
      <w:pPr>
        <w:ind w:left="440"/>
        <w:spacing w:after="0"/>
        <w:rPr>
          <w:rFonts w:ascii="Arial" w:cs="Arial" w:eastAsia="Arial" w:hAnsi="Arial"/>
          <w:sz w:val="19"/>
          <w:szCs w:val="19"/>
          <w:color w:val="auto"/>
        </w:rPr>
      </w:pPr>
      <w:r>
        <w:rPr>
          <w:rFonts w:ascii="Arial" w:cs="Arial" w:eastAsia="Arial" w:hAnsi="Arial"/>
          <w:sz w:val="19"/>
          <w:szCs w:val="19"/>
          <w:color w:val="auto"/>
        </w:rPr>
        <w:t>PN</w:t>
      </w:r>
    </w:p>
    <w:p>
      <w:pPr>
        <w:sectPr>
          <w:pgSz w:w="12240" w:h="15840" w:orient="portrait"/>
          <w:cols w:equalWidth="0" w:num="1">
            <w:col w:w="11860"/>
          </w:cols>
          <w:pgMar w:left="280" w:top="156" w:right="100" w:bottom="1440" w:gutter="0" w:footer="0" w:header="0"/>
        </w:sectPr>
      </w:pPr>
    </w:p>
    <w:bookmarkStart w:id="3" w:name="page4"/>
    <w:bookmarkEnd w:id="3"/>
    <w:p>
      <w:pPr>
        <w:ind w:left="340" w:hanging="340"/>
        <w:spacing w:after="0"/>
        <w:tabs>
          <w:tab w:leader="none" w:pos="340" w:val="left"/>
        </w:tabs>
        <w:numPr>
          <w:ilvl w:val="0"/>
          <w:numId w:val="10"/>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7425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68260" cy="7425690"/>
                    </a:xfrm>
                    <a:prstGeom prst="rect">
                      <a:avLst/>
                    </a:prstGeom>
                    <a:noFill/>
                  </pic:spPr>
                </pic:pic>
              </a:graphicData>
            </a:graphic>
          </wp:anchor>
        </w:drawing>
        <w:t>Names of Reporting Persons.</w:t>
      </w:r>
    </w:p>
    <w:p>
      <w:pPr>
        <w:spacing w:after="0" w:line="266"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Polaris Venture Partners Founders’ Fund V, L.P. (“PVPFF V”)</w:t>
      </w:r>
    </w:p>
    <w:p>
      <w:pPr>
        <w:spacing w:after="0" w:line="38" w:lineRule="exact"/>
        <w:rPr>
          <w:rFonts w:ascii="Arial" w:cs="Arial" w:eastAsia="Arial" w:hAnsi="Arial"/>
          <w:sz w:val="19"/>
          <w:szCs w:val="19"/>
          <w:color w:val="auto"/>
        </w:rPr>
      </w:pPr>
    </w:p>
    <w:p>
      <w:pPr>
        <w:ind w:left="340" w:hanging="340"/>
        <w:spacing w:after="0"/>
        <w:tabs>
          <w:tab w:leader="none" w:pos="3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9" w:lineRule="exact"/>
        <w:rPr>
          <w:sz w:val="20"/>
          <w:szCs w:val="20"/>
          <w:color w:val="auto"/>
        </w:rPr>
      </w:pPr>
    </w:p>
    <w:p>
      <w:pPr>
        <w:ind w:left="340"/>
        <w:spacing w:after="0" w:line="219" w:lineRule="exact"/>
        <w:tabs>
          <w:tab w:leader="none" w:pos="1180" w:val="left"/>
        </w:tabs>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sz w:val="20"/>
          <w:szCs w:val="20"/>
          <w:color w:val="auto"/>
        </w:rPr>
        <w:tab/>
      </w:r>
      <w:r>
        <w:rPr>
          <w:rFonts w:ascii="Arial" w:cs="Arial" w:eastAsia="Arial" w:hAnsi="Arial"/>
          <w:sz w:val="19"/>
          <w:szCs w:val="19"/>
          <w:color w:val="auto"/>
        </w:rPr>
        <w:t xml:space="preserve">(b) </w:t>
      </w:r>
      <w:r>
        <w:rPr>
          <w:rFonts w:ascii="MS PGothic" w:cs="MS PGothic" w:eastAsia="MS PGothic" w:hAnsi="MS PGothic"/>
          <w:sz w:val="19"/>
          <w:szCs w:val="19"/>
          <w:color w:val="auto"/>
        </w:rPr>
        <w:t>☒</w:t>
      </w:r>
    </w:p>
    <w:p>
      <w:pPr>
        <w:spacing w:after="0" w:line="286" w:lineRule="exact"/>
        <w:rPr>
          <w:sz w:val="20"/>
          <w:szCs w:val="20"/>
          <w:color w:val="auto"/>
        </w:rPr>
      </w:pPr>
    </w:p>
    <w:p>
      <w:pPr>
        <w:ind w:left="340" w:hanging="340"/>
        <w:spacing w:after="0"/>
        <w:tabs>
          <w:tab w:leader="none" w:pos="3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94" w:lineRule="exact"/>
        <w:rPr>
          <w:rFonts w:ascii="Arial" w:cs="Arial" w:eastAsia="Arial" w:hAnsi="Arial"/>
          <w:sz w:val="19"/>
          <w:szCs w:val="19"/>
          <w:color w:val="auto"/>
        </w:rPr>
      </w:pPr>
    </w:p>
    <w:p>
      <w:pPr>
        <w:ind w:left="340" w:hanging="340"/>
        <w:spacing w:after="0"/>
        <w:tabs>
          <w:tab w:leader="none" w:pos="3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Source of Funds (See Instructions)</w:t>
      </w:r>
    </w:p>
    <w:p>
      <w:pPr>
        <w:spacing w:after="0" w:line="266"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WC</w:t>
      </w:r>
    </w:p>
    <w:p>
      <w:pPr>
        <w:spacing w:after="0" w:line="38" w:lineRule="exact"/>
        <w:rPr>
          <w:rFonts w:ascii="Arial" w:cs="Arial" w:eastAsia="Arial" w:hAnsi="Arial"/>
          <w:sz w:val="19"/>
          <w:szCs w:val="19"/>
          <w:color w:val="auto"/>
        </w:rPr>
      </w:pPr>
    </w:p>
    <w:p>
      <w:pPr>
        <w:ind w:left="340" w:hanging="340"/>
        <w:spacing w:after="0"/>
        <w:tabs>
          <w:tab w:leader="none" w:pos="3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Check if Disclosure of Legal Proceedings is Required Pursuant to Items 2(d) or 2(e)</w:t>
      </w:r>
    </w:p>
    <w:p>
      <w:pPr>
        <w:spacing w:after="0" w:line="231" w:lineRule="exact"/>
        <w:rPr>
          <w:rFonts w:ascii="Arial" w:cs="Arial" w:eastAsia="Arial" w:hAnsi="Arial"/>
          <w:sz w:val="19"/>
          <w:szCs w:val="19"/>
          <w:color w:val="auto"/>
        </w:rPr>
      </w:pPr>
    </w:p>
    <w:p>
      <w:pPr>
        <w:ind w:left="340"/>
        <w:spacing w:after="0" w:line="191" w:lineRule="exact"/>
        <w:rPr>
          <w:rFonts w:ascii="Arial" w:cs="Arial" w:eastAsia="Arial" w:hAnsi="Arial"/>
          <w:sz w:val="19"/>
          <w:szCs w:val="19"/>
          <w:color w:val="auto"/>
        </w:rPr>
      </w:pPr>
      <w:r>
        <w:rPr>
          <w:rFonts w:ascii="MS PGothic" w:cs="MS PGothic" w:eastAsia="MS PGothic" w:hAnsi="MS PGothic"/>
          <w:sz w:val="19"/>
          <w:szCs w:val="19"/>
          <w:color w:val="auto"/>
        </w:rPr>
        <w:t>☐</w:t>
      </w:r>
    </w:p>
    <w:p>
      <w:pPr>
        <w:spacing w:after="0" w:line="108" w:lineRule="exact"/>
        <w:rPr>
          <w:rFonts w:ascii="Arial" w:cs="Arial" w:eastAsia="Arial" w:hAnsi="Arial"/>
          <w:sz w:val="19"/>
          <w:szCs w:val="19"/>
          <w:color w:val="auto"/>
        </w:rPr>
      </w:pPr>
    </w:p>
    <w:p>
      <w:pPr>
        <w:ind w:left="340" w:right="8740" w:hanging="340"/>
        <w:spacing w:after="0" w:line="403" w:lineRule="auto"/>
        <w:tabs>
          <w:tab w:leader="none" w:pos="3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1" w:lineRule="exact"/>
        <w:rPr>
          <w:rFonts w:ascii="Arial" w:cs="Arial" w:eastAsia="Arial" w:hAnsi="Arial"/>
          <w:sz w:val="19"/>
          <w:szCs w:val="19"/>
          <w:color w:val="auto"/>
        </w:rPr>
      </w:pPr>
    </w:p>
    <w:p>
      <w:pPr>
        <w:ind w:left="1500" w:hanging="359"/>
        <w:spacing w:after="0"/>
        <w:tabs>
          <w:tab w:leader="none" w:pos="1500" w:val="left"/>
        </w:tabs>
        <w:numPr>
          <w:ilvl w:val="1"/>
          <w:numId w:val="11"/>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2"/>
              </w:rPr>
              <w:t>18,329 shares, except that (i) PVM V, the general partner of PVPFF V, may be deemed to have sole power to vote these shares, and</w:t>
            </w: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1"/>
              </w:rPr>
              <w:t>(ii) Flint, a managing member of PVM V, may be deemed to have shared power to vote these shares, McGuire, a managing member of</w:t>
            </w:r>
          </w:p>
        </w:tc>
        <w:tc>
          <w:tcPr>
            <w:tcW w:w="0" w:type="dxa"/>
            <w:vAlign w:val="bottom"/>
          </w:tcPr>
          <w:p>
            <w:pPr>
              <w:spacing w:after="0"/>
              <w:rPr>
                <w:sz w:val="1"/>
                <w:szCs w:val="1"/>
                <w:color w:val="auto"/>
              </w:rPr>
            </w:pPr>
          </w:p>
        </w:tc>
      </w:tr>
      <w:tr>
        <w:trPr>
          <w:trHeight w:val="228"/>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2"/>
              </w:rPr>
              <w:t>Number of</w:t>
            </w: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3"/>
              </w:rPr>
              <w:t>PVM V, may be deemed to have shared power to vote these shares, and Nashat, a member of PVM V and member of the Board of</w:t>
            </w:r>
          </w:p>
        </w:tc>
        <w:tc>
          <w:tcPr>
            <w:tcW w:w="0" w:type="dxa"/>
            <w:vAlign w:val="bottom"/>
          </w:tcPr>
          <w:p>
            <w:pPr>
              <w:spacing w:after="0"/>
              <w:rPr>
                <w:sz w:val="1"/>
                <w:szCs w:val="1"/>
                <w:color w:val="auto"/>
              </w:rPr>
            </w:pPr>
          </w:p>
        </w:tc>
      </w:tr>
      <w:tr>
        <w:trPr>
          <w:trHeight w:val="185"/>
        </w:trPr>
        <w:tc>
          <w:tcPr>
            <w:tcW w:w="9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460" w:type="dxa"/>
            <w:vAlign w:val="bottom"/>
          </w:tcPr>
          <w:p>
            <w:pPr>
              <w:ind w:left="100"/>
              <w:spacing w:after="0" w:line="185" w:lineRule="exact"/>
              <w:rPr>
                <w:sz w:val="20"/>
                <w:szCs w:val="20"/>
                <w:color w:val="auto"/>
              </w:rPr>
            </w:pPr>
            <w:r>
              <w:rPr>
                <w:rFonts w:ascii="Arial" w:cs="Arial" w:eastAsia="Arial" w:hAnsi="Arial"/>
                <w:sz w:val="19"/>
                <w:szCs w:val="19"/>
                <w:color w:val="auto"/>
              </w:rPr>
              <w:t>Directors of the Issuer, may be deemed to have shared power to vote these shares.</w:t>
            </w:r>
          </w:p>
        </w:tc>
        <w:tc>
          <w:tcPr>
            <w:tcW w:w="0" w:type="dxa"/>
            <w:vAlign w:val="bottom"/>
          </w:tcPr>
          <w:p>
            <w:pPr>
              <w:spacing w:after="0"/>
              <w:rPr>
                <w:sz w:val="1"/>
                <w:szCs w:val="1"/>
                <w:color w:val="auto"/>
              </w:rPr>
            </w:pPr>
          </w:p>
        </w:tc>
      </w:tr>
      <w:tr>
        <w:trPr>
          <w:trHeight w:val="71"/>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82"/>
              </w:rPr>
              <w:t>Shares</w:t>
            </w:r>
          </w:p>
        </w:tc>
        <w:tc>
          <w:tcPr>
            <w:tcW w:w="460" w:type="dxa"/>
            <w:vAlign w:val="bottom"/>
            <w:tcBorders>
              <w:bottom w:val="single" w:sz="8" w:color="auto"/>
            </w:tcBorders>
          </w:tcPr>
          <w:p>
            <w:pPr>
              <w:spacing w:after="0"/>
              <w:rPr>
                <w:sz w:val="6"/>
                <w:szCs w:val="6"/>
                <w:color w:val="auto"/>
              </w:rPr>
            </w:pPr>
          </w:p>
        </w:tc>
        <w:tc>
          <w:tcPr>
            <w:tcW w:w="10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940" w:type="dxa"/>
            <w:vAlign w:val="bottom"/>
            <w:vMerge w:val="continue"/>
          </w:tcPr>
          <w:p>
            <w:pPr>
              <w:spacing w:after="0"/>
              <w:rPr>
                <w:sz w:val="11"/>
                <w:szCs w:val="11"/>
                <w:color w:val="auto"/>
              </w:rPr>
            </w:pPr>
          </w:p>
        </w:tc>
        <w:tc>
          <w:tcPr>
            <w:tcW w:w="460" w:type="dxa"/>
            <w:vAlign w:val="bottom"/>
            <w:vMerge w:val="restart"/>
          </w:tcPr>
          <w:p>
            <w:pPr>
              <w:jc w:val="right"/>
              <w:ind w:right="25"/>
              <w:spacing w:after="0"/>
              <w:rPr>
                <w:sz w:val="20"/>
                <w:szCs w:val="20"/>
                <w:color w:val="auto"/>
              </w:rPr>
            </w:pPr>
            <w:r>
              <w:rPr>
                <w:rFonts w:ascii="Arial" w:cs="Arial" w:eastAsia="Arial" w:hAnsi="Arial"/>
                <w:sz w:val="19"/>
                <w:szCs w:val="19"/>
                <w:color w:val="auto"/>
              </w:rPr>
              <w:t>8.</w:t>
            </w: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99"/>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7"/>
              </w:rPr>
              <w:t>Beneficially</w:t>
            </w:r>
          </w:p>
        </w:tc>
        <w:tc>
          <w:tcPr>
            <w:tcW w:w="460" w:type="dxa"/>
            <w:vAlign w:val="bottom"/>
            <w:vMerge w:val="continue"/>
          </w:tcPr>
          <w:p>
            <w:pPr>
              <w:spacing w:after="0"/>
              <w:rPr>
                <w:sz w:val="8"/>
                <w:szCs w:val="8"/>
                <w:color w:val="auto"/>
              </w:rPr>
            </w:pPr>
          </w:p>
        </w:tc>
        <w:tc>
          <w:tcPr>
            <w:tcW w:w="10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9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9"/>
                <w:szCs w:val="19"/>
                <w:color w:val="auto"/>
                <w:w w:val="91"/>
              </w:rPr>
              <w:t>Owned by</w:t>
            </w:r>
          </w:p>
        </w:tc>
        <w:tc>
          <w:tcPr>
            <w:tcW w:w="460" w:type="dxa"/>
            <w:vAlign w:val="bottom"/>
          </w:tcPr>
          <w:p>
            <w:pPr>
              <w:spacing w:after="0"/>
              <w:rPr>
                <w:sz w:val="19"/>
                <w:szCs w:val="19"/>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See response to row 7.</w:t>
            </w:r>
          </w:p>
        </w:tc>
        <w:tc>
          <w:tcPr>
            <w:tcW w:w="0" w:type="dxa"/>
            <w:vAlign w:val="bottom"/>
          </w:tcPr>
          <w:p>
            <w:pPr>
              <w:spacing w:after="0"/>
              <w:rPr>
                <w:sz w:val="1"/>
                <w:szCs w:val="1"/>
                <w:color w:val="auto"/>
              </w:rPr>
            </w:pPr>
          </w:p>
        </w:tc>
      </w:tr>
      <w:tr>
        <w:trPr>
          <w:trHeight w:val="123"/>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87"/>
              </w:rPr>
              <w:t>Each</w:t>
            </w:r>
          </w:p>
        </w:tc>
        <w:tc>
          <w:tcPr>
            <w:tcW w:w="460" w:type="dxa"/>
            <w:vAlign w:val="bottom"/>
            <w:tcBorders>
              <w:bottom w:val="single" w:sz="8" w:color="auto"/>
            </w:tcBorders>
          </w:tcPr>
          <w:p>
            <w:pPr>
              <w:spacing w:after="0"/>
              <w:rPr>
                <w:sz w:val="10"/>
                <w:szCs w:val="10"/>
                <w:color w:val="auto"/>
              </w:rPr>
            </w:pPr>
          </w:p>
        </w:tc>
        <w:tc>
          <w:tcPr>
            <w:tcW w:w="10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940" w:type="dxa"/>
            <w:vAlign w:val="bottom"/>
            <w:vMerge w:val="continue"/>
          </w:tcPr>
          <w:p>
            <w:pPr>
              <w:spacing w:after="0"/>
              <w:rPr>
                <w:sz w:val="7"/>
                <w:szCs w:val="7"/>
                <w:color w:val="auto"/>
              </w:rPr>
            </w:pPr>
          </w:p>
        </w:tc>
        <w:tc>
          <w:tcPr>
            <w:tcW w:w="460" w:type="dxa"/>
            <w:vAlign w:val="bottom"/>
            <w:vMerge w:val="restart"/>
          </w:tcPr>
          <w:p>
            <w:pPr>
              <w:jc w:val="right"/>
              <w:ind w:right="25"/>
              <w:spacing w:after="0"/>
              <w:rPr>
                <w:sz w:val="20"/>
                <w:szCs w:val="20"/>
                <w:color w:val="auto"/>
              </w:rPr>
            </w:pPr>
            <w:r>
              <w:rPr>
                <w:rFonts w:ascii="Arial" w:cs="Arial" w:eastAsia="Arial" w:hAnsi="Arial"/>
                <w:sz w:val="19"/>
                <w:szCs w:val="19"/>
                <w:color w:val="auto"/>
              </w:rPr>
              <w:t>9.</w:t>
            </w: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2"/>
              </w:rPr>
              <w:t>Reporting</w:t>
            </w:r>
          </w:p>
        </w:tc>
        <w:tc>
          <w:tcPr>
            <w:tcW w:w="460" w:type="dxa"/>
            <w:vAlign w:val="bottom"/>
            <w:vMerge w:val="continue"/>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9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0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9"/>
                <w:szCs w:val="19"/>
                <w:color w:val="auto"/>
                <w:w w:val="86"/>
              </w:rPr>
              <w:t>Person</w:t>
            </w:r>
          </w:p>
        </w:tc>
        <w:tc>
          <w:tcPr>
            <w:tcW w:w="460" w:type="dxa"/>
            <w:vAlign w:val="bottom"/>
          </w:tcPr>
          <w:p>
            <w:pPr>
              <w:spacing w:after="0"/>
              <w:rPr>
                <w:sz w:val="19"/>
                <w:szCs w:val="19"/>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w w:val="91"/>
              </w:rPr>
              <w:t>18,329 shares, except that (i) PVM V, the general partner of PVPFF V, may be deemed to have sole power to dispose of these shares,</w:t>
            </w:r>
          </w:p>
        </w:tc>
        <w:tc>
          <w:tcPr>
            <w:tcW w:w="0" w:type="dxa"/>
            <w:vAlign w:val="bottom"/>
          </w:tcPr>
          <w:p>
            <w:pPr>
              <w:spacing w:after="0"/>
              <w:rPr>
                <w:sz w:val="1"/>
                <w:szCs w:val="1"/>
                <w:color w:val="auto"/>
              </w:rPr>
            </w:pPr>
          </w:p>
        </w:tc>
      </w:tr>
      <w:tr>
        <w:trPr>
          <w:trHeight w:val="157"/>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9"/>
              </w:rPr>
              <w:t>With</w:t>
            </w:r>
          </w:p>
        </w:tc>
        <w:tc>
          <w:tcPr>
            <w:tcW w:w="460" w:type="dxa"/>
            <w:vAlign w:val="bottom"/>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9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w w:val="92"/>
              </w:rPr>
              <w:t>and (ii) Flint, a managing member of PVM V, may be deemed to have shared power to dispose of these shares, McGuire, a managing</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0"/>
              </w:rPr>
              <w:t>member of PVM V, may be deemed to have shared power to dispose of these shares, and Nashat, a member of PVM V and member of</w:t>
            </w:r>
          </w:p>
        </w:tc>
        <w:tc>
          <w:tcPr>
            <w:tcW w:w="0" w:type="dxa"/>
            <w:vAlign w:val="bottom"/>
          </w:tcPr>
          <w:p>
            <w:pPr>
              <w:spacing w:after="0"/>
              <w:rPr>
                <w:sz w:val="1"/>
                <w:szCs w:val="1"/>
                <w:color w:val="auto"/>
              </w:rPr>
            </w:pPr>
          </w:p>
        </w:tc>
      </w:tr>
      <w:tr>
        <w:trPr>
          <w:trHeight w:val="241"/>
        </w:trPr>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rPr>
              <w:t>the Board of Directors of the Issuer, may be deemed to have shared power to dispose of these shares.</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500" w:right="8380" w:hanging="454"/>
        <w:spacing w:after="0" w:line="455" w:lineRule="auto"/>
        <w:tabs>
          <w:tab w:leader="none" w:pos="15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Shared Dispositive Power See response to Row 9.</w:t>
      </w:r>
    </w:p>
    <w:p>
      <w:pPr>
        <w:ind w:left="440" w:right="6360" w:hanging="440"/>
        <w:spacing w:after="0" w:line="407" w:lineRule="auto"/>
        <w:tabs>
          <w:tab w:leader="none" w:pos="4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18,329</w:t>
      </w:r>
    </w:p>
    <w:p>
      <w:pPr>
        <w:ind w:left="440" w:hanging="440"/>
        <w:spacing w:after="0"/>
        <w:tabs>
          <w:tab w:leader="none" w:pos="4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Check if the Aggregate Amount in Row (11) Excludes Certain Shares (See Instructions)</w:t>
      </w:r>
    </w:p>
    <w:p>
      <w:pPr>
        <w:spacing w:after="0" w:line="231" w:lineRule="exact"/>
        <w:rPr>
          <w:rFonts w:ascii="Arial" w:cs="Arial" w:eastAsia="Arial" w:hAnsi="Arial"/>
          <w:sz w:val="19"/>
          <w:szCs w:val="19"/>
          <w:color w:val="auto"/>
        </w:rPr>
      </w:pPr>
    </w:p>
    <w:p>
      <w:pPr>
        <w:ind w:left="440"/>
        <w:spacing w:after="0" w:line="191" w:lineRule="exact"/>
        <w:rPr>
          <w:rFonts w:ascii="Arial" w:cs="Arial" w:eastAsia="Arial" w:hAnsi="Arial"/>
          <w:sz w:val="19"/>
          <w:szCs w:val="19"/>
          <w:color w:val="auto"/>
        </w:rPr>
      </w:pPr>
      <w:r>
        <w:rPr>
          <w:rFonts w:ascii="MS PGothic" w:cs="MS PGothic" w:eastAsia="MS PGothic" w:hAnsi="MS PGothic"/>
          <w:sz w:val="19"/>
          <w:szCs w:val="19"/>
          <w:color w:val="auto"/>
        </w:rPr>
        <w:t>☐</w:t>
      </w:r>
    </w:p>
    <w:p>
      <w:pPr>
        <w:spacing w:after="0" w:line="108" w:lineRule="exact"/>
        <w:rPr>
          <w:rFonts w:ascii="Arial" w:cs="Arial" w:eastAsia="Arial" w:hAnsi="Arial"/>
          <w:sz w:val="19"/>
          <w:szCs w:val="19"/>
          <w:color w:val="auto"/>
        </w:rPr>
      </w:pPr>
    </w:p>
    <w:p>
      <w:pPr>
        <w:ind w:left="440" w:right="7340" w:hanging="440"/>
        <w:spacing w:after="0" w:line="403" w:lineRule="auto"/>
        <w:tabs>
          <w:tab w:leader="none" w:pos="4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Percent of Class Represented by Amount in Row (11) 0.0%</w:t>
      </w:r>
    </w:p>
    <w:p>
      <w:pPr>
        <w:spacing w:after="0" w:line="1" w:lineRule="exact"/>
        <w:rPr>
          <w:rFonts w:ascii="Arial" w:cs="Arial" w:eastAsia="Arial" w:hAnsi="Arial"/>
          <w:sz w:val="19"/>
          <w:szCs w:val="19"/>
          <w:color w:val="auto"/>
        </w:rPr>
      </w:pPr>
    </w:p>
    <w:p>
      <w:pPr>
        <w:ind w:left="440" w:hanging="440"/>
        <w:spacing w:after="0"/>
        <w:tabs>
          <w:tab w:leader="none" w:pos="4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66" w:lineRule="exact"/>
        <w:rPr>
          <w:rFonts w:ascii="Arial" w:cs="Arial" w:eastAsia="Arial" w:hAnsi="Arial"/>
          <w:sz w:val="19"/>
          <w:szCs w:val="19"/>
          <w:color w:val="auto"/>
        </w:rPr>
      </w:pPr>
    </w:p>
    <w:p>
      <w:pPr>
        <w:ind w:left="440"/>
        <w:spacing w:after="0"/>
        <w:rPr>
          <w:rFonts w:ascii="Arial" w:cs="Arial" w:eastAsia="Arial" w:hAnsi="Arial"/>
          <w:sz w:val="19"/>
          <w:szCs w:val="19"/>
          <w:color w:val="auto"/>
        </w:rPr>
      </w:pPr>
      <w:r>
        <w:rPr>
          <w:rFonts w:ascii="Arial" w:cs="Arial" w:eastAsia="Arial" w:hAnsi="Arial"/>
          <w:sz w:val="19"/>
          <w:szCs w:val="19"/>
          <w:color w:val="auto"/>
        </w:rPr>
        <w:t>PN</w:t>
      </w:r>
    </w:p>
    <w:p>
      <w:pPr>
        <w:sectPr>
          <w:pgSz w:w="12240" w:h="15840" w:orient="portrait"/>
          <w:cols w:equalWidth="0" w:num="1">
            <w:col w:w="11860"/>
          </w:cols>
          <w:pgMar w:left="280" w:top="156" w:right="100" w:bottom="1440" w:gutter="0" w:footer="0" w:header="0"/>
        </w:sectPr>
      </w:pPr>
    </w:p>
    <w:bookmarkStart w:id="4" w:name="page5"/>
    <w:bookmarkEnd w:id="4"/>
    <w:p>
      <w:pPr>
        <w:ind w:left="340" w:hanging="340"/>
        <w:spacing w:after="0"/>
        <w:tabs>
          <w:tab w:leader="none" w:pos="340" w:val="left"/>
        </w:tabs>
        <w:numPr>
          <w:ilvl w:val="0"/>
          <w:numId w:val="14"/>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7425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68260" cy="7425690"/>
                    </a:xfrm>
                    <a:prstGeom prst="rect">
                      <a:avLst/>
                    </a:prstGeom>
                    <a:noFill/>
                  </pic:spPr>
                </pic:pic>
              </a:graphicData>
            </a:graphic>
          </wp:anchor>
        </w:drawing>
        <w:t>Names of Reporting Persons.</w:t>
      </w:r>
    </w:p>
    <w:p>
      <w:pPr>
        <w:spacing w:after="0" w:line="266"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Polaris Venture Partners Special Founders’ Fund V, L.P. (“PVPSFF V”)</w:t>
      </w:r>
    </w:p>
    <w:p>
      <w:pPr>
        <w:spacing w:after="0" w:line="38" w:lineRule="exact"/>
        <w:rPr>
          <w:rFonts w:ascii="Arial" w:cs="Arial" w:eastAsia="Arial" w:hAnsi="Arial"/>
          <w:sz w:val="19"/>
          <w:szCs w:val="19"/>
          <w:color w:val="auto"/>
        </w:rPr>
      </w:pPr>
    </w:p>
    <w:p>
      <w:pPr>
        <w:ind w:left="340" w:hanging="340"/>
        <w:spacing w:after="0"/>
        <w:tabs>
          <w:tab w:leader="none" w:pos="3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9" w:lineRule="exact"/>
        <w:rPr>
          <w:sz w:val="20"/>
          <w:szCs w:val="20"/>
          <w:color w:val="auto"/>
        </w:rPr>
      </w:pPr>
    </w:p>
    <w:p>
      <w:pPr>
        <w:ind w:left="340"/>
        <w:spacing w:after="0" w:line="219" w:lineRule="exact"/>
        <w:tabs>
          <w:tab w:leader="none" w:pos="1179" w:val="left"/>
        </w:tabs>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sz w:val="20"/>
          <w:szCs w:val="20"/>
          <w:color w:val="auto"/>
        </w:rPr>
        <w:tab/>
      </w:r>
      <w:r>
        <w:rPr>
          <w:rFonts w:ascii="Arial" w:cs="Arial" w:eastAsia="Arial" w:hAnsi="Arial"/>
          <w:sz w:val="19"/>
          <w:szCs w:val="19"/>
          <w:color w:val="auto"/>
        </w:rPr>
        <w:t xml:space="preserve">(b) </w:t>
      </w:r>
      <w:r>
        <w:rPr>
          <w:rFonts w:ascii="MS PGothic" w:cs="MS PGothic" w:eastAsia="MS PGothic" w:hAnsi="MS PGothic"/>
          <w:sz w:val="19"/>
          <w:szCs w:val="19"/>
          <w:color w:val="auto"/>
        </w:rPr>
        <w:t>☒</w:t>
      </w:r>
    </w:p>
    <w:p>
      <w:pPr>
        <w:spacing w:after="0" w:line="286" w:lineRule="exact"/>
        <w:rPr>
          <w:sz w:val="20"/>
          <w:szCs w:val="20"/>
          <w:color w:val="auto"/>
        </w:rPr>
      </w:pPr>
    </w:p>
    <w:p>
      <w:pPr>
        <w:ind w:left="340" w:hanging="340"/>
        <w:spacing w:after="0"/>
        <w:tabs>
          <w:tab w:leader="none" w:pos="3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94" w:lineRule="exact"/>
        <w:rPr>
          <w:rFonts w:ascii="Arial" w:cs="Arial" w:eastAsia="Arial" w:hAnsi="Arial"/>
          <w:sz w:val="19"/>
          <w:szCs w:val="19"/>
          <w:color w:val="auto"/>
        </w:rPr>
      </w:pPr>
    </w:p>
    <w:p>
      <w:pPr>
        <w:ind w:left="340" w:hanging="340"/>
        <w:spacing w:after="0"/>
        <w:tabs>
          <w:tab w:leader="none" w:pos="3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Source of Funds (See Instructions)</w:t>
      </w:r>
    </w:p>
    <w:p>
      <w:pPr>
        <w:spacing w:after="0" w:line="266"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WC</w:t>
      </w:r>
    </w:p>
    <w:p>
      <w:pPr>
        <w:spacing w:after="0" w:line="38" w:lineRule="exact"/>
        <w:rPr>
          <w:rFonts w:ascii="Arial" w:cs="Arial" w:eastAsia="Arial" w:hAnsi="Arial"/>
          <w:sz w:val="19"/>
          <w:szCs w:val="19"/>
          <w:color w:val="auto"/>
        </w:rPr>
      </w:pPr>
    </w:p>
    <w:p>
      <w:pPr>
        <w:ind w:left="340" w:hanging="340"/>
        <w:spacing w:after="0"/>
        <w:tabs>
          <w:tab w:leader="none" w:pos="3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Check if Disclosure of Legal Proceedings is Required Pursuant to Items 2(d) or 2(e)</w:t>
      </w:r>
    </w:p>
    <w:p>
      <w:pPr>
        <w:spacing w:after="0" w:line="231" w:lineRule="exact"/>
        <w:rPr>
          <w:rFonts w:ascii="Arial" w:cs="Arial" w:eastAsia="Arial" w:hAnsi="Arial"/>
          <w:sz w:val="19"/>
          <w:szCs w:val="19"/>
          <w:color w:val="auto"/>
        </w:rPr>
      </w:pPr>
    </w:p>
    <w:p>
      <w:pPr>
        <w:ind w:left="340"/>
        <w:spacing w:after="0" w:line="191" w:lineRule="exact"/>
        <w:rPr>
          <w:rFonts w:ascii="Arial" w:cs="Arial" w:eastAsia="Arial" w:hAnsi="Arial"/>
          <w:sz w:val="19"/>
          <w:szCs w:val="19"/>
          <w:color w:val="auto"/>
        </w:rPr>
      </w:pPr>
      <w:r>
        <w:rPr>
          <w:rFonts w:ascii="MS PGothic" w:cs="MS PGothic" w:eastAsia="MS PGothic" w:hAnsi="MS PGothic"/>
          <w:sz w:val="19"/>
          <w:szCs w:val="19"/>
          <w:color w:val="auto"/>
        </w:rPr>
        <w:t>☐</w:t>
      </w:r>
    </w:p>
    <w:p>
      <w:pPr>
        <w:spacing w:after="0" w:line="108" w:lineRule="exact"/>
        <w:rPr>
          <w:rFonts w:ascii="Arial" w:cs="Arial" w:eastAsia="Arial" w:hAnsi="Arial"/>
          <w:sz w:val="19"/>
          <w:szCs w:val="19"/>
          <w:color w:val="auto"/>
        </w:rPr>
      </w:pPr>
    </w:p>
    <w:p>
      <w:pPr>
        <w:ind w:left="340" w:right="8740" w:hanging="340"/>
        <w:spacing w:after="0" w:line="403" w:lineRule="auto"/>
        <w:tabs>
          <w:tab w:leader="none" w:pos="3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1" w:lineRule="exact"/>
        <w:rPr>
          <w:rFonts w:ascii="Arial" w:cs="Arial" w:eastAsia="Arial" w:hAnsi="Arial"/>
          <w:sz w:val="19"/>
          <w:szCs w:val="19"/>
          <w:color w:val="auto"/>
        </w:rPr>
      </w:pPr>
    </w:p>
    <w:p>
      <w:pPr>
        <w:ind w:left="1560" w:hanging="362"/>
        <w:spacing w:after="0"/>
        <w:tabs>
          <w:tab w:leader="none" w:pos="1560" w:val="left"/>
        </w:tabs>
        <w:numPr>
          <w:ilvl w:val="1"/>
          <w:numId w:val="15"/>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tcPr>
          <w:p>
            <w:pPr>
              <w:ind w:left="100"/>
              <w:spacing w:after="0"/>
              <w:rPr>
                <w:sz w:val="20"/>
                <w:szCs w:val="20"/>
                <w:color w:val="auto"/>
              </w:rPr>
            </w:pPr>
            <w:r>
              <w:rPr>
                <w:rFonts w:ascii="Arial" w:cs="Arial" w:eastAsia="Arial" w:hAnsi="Arial"/>
                <w:sz w:val="19"/>
                <w:szCs w:val="19"/>
                <w:color w:val="auto"/>
                <w:w w:val="90"/>
              </w:rPr>
              <w:t>26,760 shares, except that (i) PVM V, the general partner of PVPSFF V, may be deemed to have sole power to vote these shares, and</w:t>
            </w: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9"/>
                <w:szCs w:val="19"/>
                <w:color w:val="auto"/>
                <w:w w:val="92"/>
              </w:rPr>
              <w:t>Number of</w:t>
            </w:r>
          </w:p>
        </w:tc>
        <w:tc>
          <w:tcPr>
            <w:tcW w:w="480" w:type="dxa"/>
            <w:vAlign w:val="bottom"/>
          </w:tcPr>
          <w:p>
            <w:pPr>
              <w:spacing w:after="0"/>
              <w:rPr>
                <w:sz w:val="19"/>
                <w:szCs w:val="19"/>
                <w:color w:val="auto"/>
              </w:rPr>
            </w:pPr>
          </w:p>
        </w:tc>
        <w:tc>
          <w:tcPr>
            <w:tcW w:w="10400" w:type="dxa"/>
            <w:vAlign w:val="bottom"/>
          </w:tcPr>
          <w:p>
            <w:pPr>
              <w:ind w:left="100"/>
              <w:spacing w:after="0"/>
              <w:rPr>
                <w:sz w:val="20"/>
                <w:szCs w:val="20"/>
                <w:color w:val="auto"/>
              </w:rPr>
            </w:pPr>
            <w:r>
              <w:rPr>
                <w:rFonts w:ascii="Arial" w:cs="Arial" w:eastAsia="Arial" w:hAnsi="Arial"/>
                <w:sz w:val="19"/>
                <w:szCs w:val="19"/>
                <w:color w:val="auto"/>
                <w:w w:val="90"/>
              </w:rPr>
              <w:t>(ii) Flint, a managing member of PVM V, may be deemed to have shared power to vote these shares, McGuire, a managing member of</w:t>
            </w: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9"/>
                <w:szCs w:val="19"/>
                <w:color w:val="auto"/>
                <w:w w:val="82"/>
              </w:rPr>
              <w:t>Shares</w:t>
            </w:r>
          </w:p>
        </w:tc>
        <w:tc>
          <w:tcPr>
            <w:tcW w:w="480" w:type="dxa"/>
            <w:vAlign w:val="bottom"/>
          </w:tcPr>
          <w:p>
            <w:pPr>
              <w:spacing w:after="0"/>
              <w:rPr>
                <w:sz w:val="19"/>
                <w:szCs w:val="19"/>
                <w:color w:val="auto"/>
              </w:rPr>
            </w:pPr>
          </w:p>
        </w:tc>
        <w:tc>
          <w:tcPr>
            <w:tcW w:w="10400" w:type="dxa"/>
            <w:vAlign w:val="bottom"/>
          </w:tcPr>
          <w:p>
            <w:pPr>
              <w:ind w:left="100"/>
              <w:spacing w:after="0"/>
              <w:rPr>
                <w:sz w:val="20"/>
                <w:szCs w:val="20"/>
                <w:color w:val="auto"/>
              </w:rPr>
            </w:pPr>
            <w:r>
              <w:rPr>
                <w:rFonts w:ascii="Arial" w:cs="Arial" w:eastAsia="Arial" w:hAnsi="Arial"/>
                <w:sz w:val="19"/>
                <w:szCs w:val="19"/>
                <w:color w:val="auto"/>
                <w:w w:val="93"/>
              </w:rPr>
              <w:t>PVM V, may be deemed to have shared power to vote these shares, and Nashat, a member of PVM V and member of the Board of</w:t>
            </w:r>
          </w:p>
        </w:tc>
        <w:tc>
          <w:tcPr>
            <w:tcW w:w="0" w:type="dxa"/>
            <w:vAlign w:val="bottom"/>
          </w:tcPr>
          <w:p>
            <w:pPr>
              <w:spacing w:after="0"/>
              <w:rPr>
                <w:sz w:val="1"/>
                <w:szCs w:val="1"/>
                <w:color w:val="auto"/>
              </w:rPr>
            </w:pPr>
          </w:p>
        </w:tc>
      </w:tr>
      <w:tr>
        <w:trPr>
          <w:trHeight w:val="257"/>
        </w:trPr>
        <w:tc>
          <w:tcPr>
            <w:tcW w:w="940" w:type="dxa"/>
            <w:vAlign w:val="bottom"/>
          </w:tcPr>
          <w:p>
            <w:pPr>
              <w:jc w:val="center"/>
              <w:spacing w:after="0"/>
              <w:rPr>
                <w:sz w:val="20"/>
                <w:szCs w:val="20"/>
                <w:color w:val="auto"/>
              </w:rPr>
            </w:pPr>
            <w:r>
              <w:rPr>
                <w:rFonts w:ascii="Arial" w:cs="Arial" w:eastAsia="Arial" w:hAnsi="Arial"/>
                <w:sz w:val="19"/>
                <w:szCs w:val="19"/>
                <w:color w:val="auto"/>
                <w:w w:val="95"/>
              </w:rPr>
              <w:t>Beneficially</w:t>
            </w:r>
          </w:p>
        </w:tc>
        <w:tc>
          <w:tcPr>
            <w:tcW w:w="480" w:type="dxa"/>
            <w:vAlign w:val="bottom"/>
            <w:tcBorders>
              <w:bottom w:val="single" w:sz="8" w:color="auto"/>
            </w:tcBorders>
          </w:tcPr>
          <w:p>
            <w:pPr>
              <w:spacing w:after="0"/>
              <w:rPr>
                <w:sz w:val="22"/>
                <w:szCs w:val="22"/>
                <w:color w:val="auto"/>
              </w:rPr>
            </w:pPr>
          </w:p>
        </w:tc>
        <w:tc>
          <w:tcPr>
            <w:tcW w:w="1040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Directors of the Issuer, may be deemed to have shared power to vote these shares.</w:t>
            </w:r>
          </w:p>
        </w:tc>
        <w:tc>
          <w:tcPr>
            <w:tcW w:w="0" w:type="dxa"/>
            <w:vAlign w:val="bottom"/>
          </w:tcPr>
          <w:p>
            <w:pPr>
              <w:spacing w:after="0"/>
              <w:rPr>
                <w:sz w:val="1"/>
                <w:szCs w:val="1"/>
                <w:color w:val="auto"/>
              </w:rPr>
            </w:pPr>
          </w:p>
        </w:tc>
      </w:tr>
      <w:tr>
        <w:trPr>
          <w:trHeight w:val="222"/>
        </w:trPr>
        <w:tc>
          <w:tcPr>
            <w:tcW w:w="940" w:type="dxa"/>
            <w:vAlign w:val="bottom"/>
          </w:tcPr>
          <w:p>
            <w:pPr>
              <w:jc w:val="center"/>
              <w:spacing w:after="0"/>
              <w:rPr>
                <w:sz w:val="20"/>
                <w:szCs w:val="20"/>
                <w:color w:val="auto"/>
              </w:rPr>
            </w:pPr>
            <w:r>
              <w:rPr>
                <w:rFonts w:ascii="Arial" w:cs="Arial" w:eastAsia="Arial" w:hAnsi="Arial"/>
                <w:sz w:val="19"/>
                <w:szCs w:val="19"/>
                <w:color w:val="auto"/>
                <w:w w:val="91"/>
              </w:rPr>
              <w:t>Owned by</w:t>
            </w:r>
          </w:p>
        </w:tc>
        <w:tc>
          <w:tcPr>
            <w:tcW w:w="480" w:type="dxa"/>
            <w:vAlign w:val="bottom"/>
          </w:tcPr>
          <w:p>
            <w:pPr>
              <w:jc w:val="right"/>
              <w:ind w:right="25"/>
              <w:spacing w:after="0"/>
              <w:rPr>
                <w:sz w:val="20"/>
                <w:szCs w:val="20"/>
                <w:color w:val="auto"/>
              </w:rPr>
            </w:pPr>
            <w:r>
              <w:rPr>
                <w:rFonts w:ascii="Arial" w:cs="Arial" w:eastAsia="Arial" w:hAnsi="Arial"/>
                <w:sz w:val="19"/>
                <w:szCs w:val="19"/>
                <w:color w:val="auto"/>
              </w:rPr>
              <w:t>8.</w:t>
            </w:r>
          </w:p>
        </w:tc>
        <w:tc>
          <w:tcPr>
            <w:tcW w:w="10400" w:type="dxa"/>
            <w:vAlign w:val="bottom"/>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9"/>
                <w:szCs w:val="19"/>
                <w:color w:val="auto"/>
                <w:w w:val="87"/>
              </w:rPr>
              <w:t>Each</w:t>
            </w:r>
          </w:p>
        </w:tc>
        <w:tc>
          <w:tcPr>
            <w:tcW w:w="480" w:type="dxa"/>
            <w:vAlign w:val="bottom"/>
          </w:tcPr>
          <w:p>
            <w:pPr>
              <w:spacing w:after="0"/>
              <w:rPr>
                <w:sz w:val="19"/>
                <w:szCs w:val="19"/>
                <w:color w:val="auto"/>
              </w:rPr>
            </w:pPr>
          </w:p>
        </w:tc>
        <w:tc>
          <w:tcPr>
            <w:tcW w:w="10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9"/>
                <w:szCs w:val="19"/>
                <w:color w:val="auto"/>
                <w:w w:val="92"/>
              </w:rPr>
              <w:t>Reporting</w:t>
            </w:r>
          </w:p>
        </w:tc>
        <w:tc>
          <w:tcPr>
            <w:tcW w:w="480" w:type="dxa"/>
            <w:vAlign w:val="bottom"/>
          </w:tcPr>
          <w:p>
            <w:pPr>
              <w:spacing w:after="0"/>
              <w:rPr>
                <w:sz w:val="19"/>
                <w:szCs w:val="19"/>
                <w:color w:val="auto"/>
              </w:rPr>
            </w:pPr>
          </w:p>
        </w:tc>
        <w:tc>
          <w:tcPr>
            <w:tcW w:w="10400" w:type="dxa"/>
            <w:vAlign w:val="bottom"/>
          </w:tcPr>
          <w:p>
            <w:pPr>
              <w:ind w:left="100"/>
              <w:spacing w:after="0"/>
              <w:rPr>
                <w:sz w:val="20"/>
                <w:szCs w:val="20"/>
                <w:color w:val="auto"/>
              </w:rPr>
            </w:pPr>
            <w:r>
              <w:rPr>
                <w:rFonts w:ascii="Arial" w:cs="Arial" w:eastAsia="Arial" w:hAnsi="Arial"/>
                <w:sz w:val="19"/>
                <w:szCs w:val="19"/>
                <w:color w:val="auto"/>
              </w:rPr>
              <w:t>See response to row 7.</w:t>
            </w:r>
          </w:p>
        </w:tc>
        <w:tc>
          <w:tcPr>
            <w:tcW w:w="0" w:type="dxa"/>
            <w:vAlign w:val="bottom"/>
          </w:tcPr>
          <w:p>
            <w:pPr>
              <w:spacing w:after="0"/>
              <w:rPr>
                <w:sz w:val="1"/>
                <w:szCs w:val="1"/>
                <w:color w:val="auto"/>
              </w:rPr>
            </w:pPr>
          </w:p>
        </w:tc>
      </w:tr>
      <w:tr>
        <w:trPr>
          <w:trHeight w:val="43"/>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86"/>
              </w:rPr>
              <w:t>Person</w:t>
            </w:r>
          </w:p>
        </w:tc>
        <w:tc>
          <w:tcPr>
            <w:tcW w:w="480" w:type="dxa"/>
            <w:vAlign w:val="bottom"/>
            <w:tcBorders>
              <w:bottom w:val="single" w:sz="8" w:color="auto"/>
            </w:tcBorders>
          </w:tcPr>
          <w:p>
            <w:pPr>
              <w:spacing w:after="0"/>
              <w:rPr>
                <w:sz w:val="3"/>
                <w:szCs w:val="3"/>
                <w:color w:val="auto"/>
              </w:rPr>
            </w:pPr>
          </w:p>
        </w:tc>
        <w:tc>
          <w:tcPr>
            <w:tcW w:w="10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940" w:type="dxa"/>
            <w:vAlign w:val="bottom"/>
            <w:vMerge w:val="continue"/>
          </w:tcPr>
          <w:p>
            <w:pPr>
              <w:spacing w:after="0"/>
              <w:rPr>
                <w:sz w:val="14"/>
                <w:szCs w:val="14"/>
                <w:color w:val="auto"/>
              </w:rPr>
            </w:pPr>
          </w:p>
        </w:tc>
        <w:tc>
          <w:tcPr>
            <w:tcW w:w="480" w:type="dxa"/>
            <w:vAlign w:val="bottom"/>
          </w:tcPr>
          <w:p>
            <w:pPr>
              <w:jc w:val="right"/>
              <w:ind w:right="25"/>
              <w:spacing w:after="0" w:line="165" w:lineRule="exact"/>
              <w:rPr>
                <w:sz w:val="20"/>
                <w:szCs w:val="20"/>
                <w:color w:val="auto"/>
              </w:rPr>
            </w:pPr>
            <w:r>
              <w:rPr>
                <w:rFonts w:ascii="Arial" w:cs="Arial" w:eastAsia="Arial" w:hAnsi="Arial"/>
                <w:sz w:val="19"/>
                <w:szCs w:val="19"/>
                <w:color w:val="auto"/>
              </w:rPr>
              <w:t>9.</w:t>
            </w:r>
          </w:p>
        </w:tc>
        <w:tc>
          <w:tcPr>
            <w:tcW w:w="10400" w:type="dxa"/>
            <w:vAlign w:val="bottom"/>
          </w:tcPr>
          <w:p>
            <w:pPr>
              <w:ind w:left="100"/>
              <w:spacing w:after="0" w:line="165"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41"/>
        </w:trPr>
        <w:tc>
          <w:tcPr>
            <w:tcW w:w="940" w:type="dxa"/>
            <w:vAlign w:val="bottom"/>
          </w:tcPr>
          <w:p>
            <w:pPr>
              <w:jc w:val="center"/>
              <w:spacing w:after="0"/>
              <w:rPr>
                <w:sz w:val="20"/>
                <w:szCs w:val="20"/>
                <w:color w:val="auto"/>
              </w:rPr>
            </w:pPr>
            <w:r>
              <w:rPr>
                <w:rFonts w:ascii="Arial" w:cs="Arial" w:eastAsia="Arial" w:hAnsi="Arial"/>
                <w:sz w:val="19"/>
                <w:szCs w:val="19"/>
                <w:color w:val="auto"/>
                <w:w w:val="99"/>
              </w:rPr>
              <w:t>With</w:t>
            </w:r>
          </w:p>
        </w:tc>
        <w:tc>
          <w:tcPr>
            <w:tcW w:w="480" w:type="dxa"/>
            <w:vAlign w:val="bottom"/>
          </w:tcPr>
          <w:p>
            <w:pPr>
              <w:spacing w:after="0"/>
              <w:rPr>
                <w:sz w:val="20"/>
                <w:szCs w:val="20"/>
                <w:color w:val="auto"/>
              </w:rPr>
            </w:pPr>
          </w:p>
        </w:tc>
        <w:tc>
          <w:tcPr>
            <w:tcW w:w="10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560" w:right="80"/>
        <w:spacing w:after="0" w:line="288" w:lineRule="auto"/>
        <w:rPr>
          <w:sz w:val="20"/>
          <w:szCs w:val="20"/>
          <w:color w:val="auto"/>
        </w:rPr>
      </w:pPr>
      <w:r>
        <w:rPr>
          <w:rFonts w:ascii="Arial" w:cs="Arial" w:eastAsia="Arial" w:hAnsi="Arial"/>
          <w:sz w:val="17"/>
          <w:szCs w:val="17"/>
          <w:color w:val="auto"/>
        </w:rPr>
        <w:t>26,760 shares, except that (i) PVM V, the general partner of PVPSFF V, may be deemed to have sole power to dispose of these shares, and (ii) Flint, a managing member of PVM V, may be deemed to have shared power to dispose of these shares, McGuire, a managing member of PVM V, may be deemed to have shared power to dispose of these shares, and Nashat, a member of PVM V and member of the Board of Directors of the Issuer, may be deemed to have shared power to dispose of these shares.</w:t>
      </w:r>
    </w:p>
    <w:p>
      <w:pPr>
        <w:spacing w:after="0" w:line="3" w:lineRule="exact"/>
        <w:rPr>
          <w:sz w:val="20"/>
          <w:szCs w:val="20"/>
          <w:color w:val="auto"/>
        </w:rPr>
      </w:pPr>
    </w:p>
    <w:p>
      <w:pPr>
        <w:ind w:left="1560" w:right="8320" w:hanging="457"/>
        <w:spacing w:after="0" w:line="455" w:lineRule="auto"/>
        <w:tabs>
          <w:tab w:leader="none" w:pos="15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Shared Dispositive Power See response to row 9.</w:t>
      </w:r>
    </w:p>
    <w:p>
      <w:pPr>
        <w:ind w:left="440" w:right="6360" w:hanging="440"/>
        <w:spacing w:after="0" w:line="407" w:lineRule="auto"/>
        <w:tabs>
          <w:tab w:leader="none" w:pos="4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26,760</w:t>
      </w:r>
    </w:p>
    <w:p>
      <w:pPr>
        <w:ind w:left="440" w:hanging="440"/>
        <w:spacing w:after="0"/>
        <w:tabs>
          <w:tab w:leader="none" w:pos="4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Check if the Aggregate Amount in Row (11) Excludes Certain Shares (See Instructions)</w:t>
      </w:r>
    </w:p>
    <w:p>
      <w:pPr>
        <w:spacing w:after="0" w:line="231" w:lineRule="exact"/>
        <w:rPr>
          <w:rFonts w:ascii="Arial" w:cs="Arial" w:eastAsia="Arial" w:hAnsi="Arial"/>
          <w:sz w:val="19"/>
          <w:szCs w:val="19"/>
          <w:color w:val="auto"/>
        </w:rPr>
      </w:pPr>
    </w:p>
    <w:p>
      <w:pPr>
        <w:ind w:left="440"/>
        <w:spacing w:after="0" w:line="191" w:lineRule="exact"/>
        <w:rPr>
          <w:rFonts w:ascii="Arial" w:cs="Arial" w:eastAsia="Arial" w:hAnsi="Arial"/>
          <w:sz w:val="19"/>
          <w:szCs w:val="19"/>
          <w:color w:val="auto"/>
        </w:rPr>
      </w:pPr>
      <w:r>
        <w:rPr>
          <w:rFonts w:ascii="MS PGothic" w:cs="MS PGothic" w:eastAsia="MS PGothic" w:hAnsi="MS PGothic"/>
          <w:sz w:val="19"/>
          <w:szCs w:val="19"/>
          <w:color w:val="auto"/>
        </w:rPr>
        <w:t>☐</w:t>
      </w:r>
    </w:p>
    <w:p>
      <w:pPr>
        <w:spacing w:after="0" w:line="108" w:lineRule="exact"/>
        <w:rPr>
          <w:rFonts w:ascii="Arial" w:cs="Arial" w:eastAsia="Arial" w:hAnsi="Arial"/>
          <w:sz w:val="19"/>
          <w:szCs w:val="19"/>
          <w:color w:val="auto"/>
        </w:rPr>
      </w:pPr>
    </w:p>
    <w:p>
      <w:pPr>
        <w:ind w:left="440" w:right="7340" w:hanging="440"/>
        <w:spacing w:after="0" w:line="403" w:lineRule="auto"/>
        <w:tabs>
          <w:tab w:leader="none" w:pos="4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Percent of Class Represented by Amount in Row (11) 0.1%</w:t>
      </w:r>
    </w:p>
    <w:p>
      <w:pPr>
        <w:spacing w:after="0" w:line="1" w:lineRule="exact"/>
        <w:rPr>
          <w:rFonts w:ascii="Arial" w:cs="Arial" w:eastAsia="Arial" w:hAnsi="Arial"/>
          <w:sz w:val="19"/>
          <w:szCs w:val="19"/>
          <w:color w:val="auto"/>
        </w:rPr>
      </w:pPr>
    </w:p>
    <w:p>
      <w:pPr>
        <w:ind w:left="440" w:hanging="440"/>
        <w:spacing w:after="0"/>
        <w:tabs>
          <w:tab w:leader="none" w:pos="4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66" w:lineRule="exact"/>
        <w:rPr>
          <w:rFonts w:ascii="Arial" w:cs="Arial" w:eastAsia="Arial" w:hAnsi="Arial"/>
          <w:sz w:val="19"/>
          <w:szCs w:val="19"/>
          <w:color w:val="auto"/>
        </w:rPr>
      </w:pPr>
    </w:p>
    <w:p>
      <w:pPr>
        <w:ind w:left="440"/>
        <w:spacing w:after="0"/>
        <w:rPr>
          <w:rFonts w:ascii="Arial" w:cs="Arial" w:eastAsia="Arial" w:hAnsi="Arial"/>
          <w:sz w:val="19"/>
          <w:szCs w:val="19"/>
          <w:color w:val="auto"/>
        </w:rPr>
      </w:pPr>
      <w:r>
        <w:rPr>
          <w:rFonts w:ascii="Arial" w:cs="Arial" w:eastAsia="Arial" w:hAnsi="Arial"/>
          <w:sz w:val="19"/>
          <w:szCs w:val="19"/>
          <w:color w:val="auto"/>
        </w:rPr>
        <w:t>PN</w:t>
      </w:r>
    </w:p>
    <w:p>
      <w:pPr>
        <w:sectPr>
          <w:pgSz w:w="12240" w:h="15840" w:orient="portrait"/>
          <w:cols w:equalWidth="0" w:num="1">
            <w:col w:w="11860"/>
          </w:cols>
          <w:pgMar w:left="280" w:top="156" w:right="100" w:bottom="1440" w:gutter="0" w:footer="0" w:header="0"/>
        </w:sectPr>
      </w:pPr>
    </w:p>
    <w:bookmarkStart w:id="5" w:name="page6"/>
    <w:bookmarkEnd w:id="5"/>
    <w:p>
      <w:pPr>
        <w:ind w:left="340" w:hanging="340"/>
        <w:spacing w:after="0"/>
        <w:tabs>
          <w:tab w:leader="none" w:pos="340" w:val="left"/>
        </w:tabs>
        <w:numPr>
          <w:ilvl w:val="0"/>
          <w:numId w:val="18"/>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8023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68260" cy="8023225"/>
                    </a:xfrm>
                    <a:prstGeom prst="rect">
                      <a:avLst/>
                    </a:prstGeom>
                    <a:noFill/>
                  </pic:spPr>
                </pic:pic>
              </a:graphicData>
            </a:graphic>
          </wp:anchor>
        </w:drawing>
        <w:t>Names of Reporting Persons.</w:t>
      </w:r>
    </w:p>
    <w:p>
      <w:pPr>
        <w:spacing w:after="0" w:line="266"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Polaris Venture Management Co. V, L.L.C. (“PVM V”)</w:t>
      </w:r>
    </w:p>
    <w:p>
      <w:pPr>
        <w:spacing w:after="0" w:line="38" w:lineRule="exact"/>
        <w:rPr>
          <w:rFonts w:ascii="Arial" w:cs="Arial" w:eastAsia="Arial" w:hAnsi="Arial"/>
          <w:sz w:val="19"/>
          <w:szCs w:val="19"/>
          <w:color w:val="auto"/>
        </w:rPr>
      </w:pPr>
    </w:p>
    <w:p>
      <w:pPr>
        <w:ind w:left="340" w:hanging="340"/>
        <w:spacing w:after="0"/>
        <w:tabs>
          <w:tab w:leader="none" w:pos="3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9" w:lineRule="exact"/>
        <w:rPr>
          <w:sz w:val="20"/>
          <w:szCs w:val="20"/>
          <w:color w:val="auto"/>
        </w:rPr>
      </w:pPr>
    </w:p>
    <w:p>
      <w:pPr>
        <w:ind w:left="340"/>
        <w:spacing w:after="0" w:line="219" w:lineRule="exact"/>
        <w:tabs>
          <w:tab w:leader="none" w:pos="1180" w:val="left"/>
        </w:tabs>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sz w:val="20"/>
          <w:szCs w:val="20"/>
          <w:color w:val="auto"/>
        </w:rPr>
        <w:tab/>
      </w:r>
      <w:r>
        <w:rPr>
          <w:rFonts w:ascii="Arial" w:cs="Arial" w:eastAsia="Arial" w:hAnsi="Arial"/>
          <w:sz w:val="19"/>
          <w:szCs w:val="19"/>
          <w:color w:val="auto"/>
        </w:rPr>
        <w:t xml:space="preserve">(b) </w:t>
      </w:r>
      <w:r>
        <w:rPr>
          <w:rFonts w:ascii="MS PGothic" w:cs="MS PGothic" w:eastAsia="MS PGothic" w:hAnsi="MS PGothic"/>
          <w:sz w:val="19"/>
          <w:szCs w:val="19"/>
          <w:color w:val="auto"/>
        </w:rPr>
        <w:t>☒</w:t>
      </w:r>
    </w:p>
    <w:p>
      <w:pPr>
        <w:spacing w:after="0" w:line="286" w:lineRule="exact"/>
        <w:rPr>
          <w:sz w:val="20"/>
          <w:szCs w:val="20"/>
          <w:color w:val="auto"/>
        </w:rPr>
      </w:pPr>
    </w:p>
    <w:p>
      <w:pPr>
        <w:ind w:left="340" w:hanging="340"/>
        <w:spacing w:after="0"/>
        <w:tabs>
          <w:tab w:leader="none" w:pos="3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94" w:lineRule="exact"/>
        <w:rPr>
          <w:rFonts w:ascii="Arial" w:cs="Arial" w:eastAsia="Arial" w:hAnsi="Arial"/>
          <w:sz w:val="19"/>
          <w:szCs w:val="19"/>
          <w:color w:val="auto"/>
        </w:rPr>
      </w:pPr>
    </w:p>
    <w:p>
      <w:pPr>
        <w:ind w:left="340" w:hanging="340"/>
        <w:spacing w:after="0"/>
        <w:tabs>
          <w:tab w:leader="none" w:pos="3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Source of Funds (See Instructions)</w:t>
      </w:r>
    </w:p>
    <w:p>
      <w:pPr>
        <w:spacing w:after="0" w:line="266"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AF</w:t>
      </w:r>
    </w:p>
    <w:p>
      <w:pPr>
        <w:spacing w:after="0" w:line="38" w:lineRule="exact"/>
        <w:rPr>
          <w:rFonts w:ascii="Arial" w:cs="Arial" w:eastAsia="Arial" w:hAnsi="Arial"/>
          <w:sz w:val="19"/>
          <w:szCs w:val="19"/>
          <w:color w:val="auto"/>
        </w:rPr>
      </w:pPr>
    </w:p>
    <w:p>
      <w:pPr>
        <w:ind w:left="340" w:hanging="340"/>
        <w:spacing w:after="0"/>
        <w:tabs>
          <w:tab w:leader="none" w:pos="3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Check if Disclosure of Legal Proceedings is Required Pursuant to Items 2(d) or 2(e)</w:t>
      </w:r>
    </w:p>
    <w:p>
      <w:pPr>
        <w:spacing w:after="0" w:line="231" w:lineRule="exact"/>
        <w:rPr>
          <w:rFonts w:ascii="Arial" w:cs="Arial" w:eastAsia="Arial" w:hAnsi="Arial"/>
          <w:sz w:val="19"/>
          <w:szCs w:val="19"/>
          <w:color w:val="auto"/>
        </w:rPr>
      </w:pPr>
    </w:p>
    <w:p>
      <w:pPr>
        <w:ind w:left="340"/>
        <w:spacing w:after="0" w:line="191" w:lineRule="exact"/>
        <w:rPr>
          <w:rFonts w:ascii="Arial" w:cs="Arial" w:eastAsia="Arial" w:hAnsi="Arial"/>
          <w:sz w:val="19"/>
          <w:szCs w:val="19"/>
          <w:color w:val="auto"/>
        </w:rPr>
      </w:pPr>
      <w:r>
        <w:rPr>
          <w:rFonts w:ascii="MS PGothic" w:cs="MS PGothic" w:eastAsia="MS PGothic" w:hAnsi="MS PGothic"/>
          <w:sz w:val="19"/>
          <w:szCs w:val="19"/>
          <w:color w:val="auto"/>
        </w:rPr>
        <w:t>☐</w:t>
      </w:r>
    </w:p>
    <w:p>
      <w:pPr>
        <w:spacing w:after="0" w:line="108" w:lineRule="exact"/>
        <w:rPr>
          <w:rFonts w:ascii="Arial" w:cs="Arial" w:eastAsia="Arial" w:hAnsi="Arial"/>
          <w:sz w:val="19"/>
          <w:szCs w:val="19"/>
          <w:color w:val="auto"/>
        </w:rPr>
      </w:pPr>
    </w:p>
    <w:p>
      <w:pPr>
        <w:ind w:left="340" w:right="8740" w:hanging="340"/>
        <w:spacing w:after="0" w:line="403" w:lineRule="auto"/>
        <w:tabs>
          <w:tab w:leader="none" w:pos="3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1" w:lineRule="exact"/>
        <w:rPr>
          <w:rFonts w:ascii="Arial" w:cs="Arial" w:eastAsia="Arial" w:hAnsi="Arial"/>
          <w:sz w:val="19"/>
          <w:szCs w:val="19"/>
          <w:color w:val="auto"/>
        </w:rPr>
      </w:pPr>
    </w:p>
    <w:p>
      <w:pPr>
        <w:ind w:left="1500" w:hanging="359"/>
        <w:spacing w:after="0"/>
        <w:tabs>
          <w:tab w:leader="none" w:pos="1500" w:val="left"/>
        </w:tabs>
        <w:numPr>
          <w:ilvl w:val="1"/>
          <w:numId w:val="19"/>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66" w:lineRule="exact"/>
        <w:rPr>
          <w:rFonts w:ascii="Arial" w:cs="Arial" w:eastAsia="Arial" w:hAnsi="Arial"/>
          <w:sz w:val="19"/>
          <w:szCs w:val="19"/>
          <w:color w:val="auto"/>
        </w:rPr>
      </w:pPr>
    </w:p>
    <w:p>
      <w:pPr>
        <w:ind w:left="1500" w:right="120"/>
        <w:spacing w:after="0" w:line="285" w:lineRule="auto"/>
        <w:rPr>
          <w:rFonts w:ascii="Arial" w:cs="Arial" w:eastAsia="Arial" w:hAnsi="Arial"/>
          <w:sz w:val="19"/>
          <w:szCs w:val="19"/>
          <w:color w:val="auto"/>
        </w:rPr>
      </w:pPr>
      <w:r>
        <w:rPr>
          <w:rFonts w:ascii="Arial" w:cs="Arial" w:eastAsia="Arial" w:hAnsi="Arial"/>
          <w:sz w:val="17"/>
          <w:szCs w:val="17"/>
          <w:color w:val="auto"/>
        </w:rPr>
        <w:t>2,773,479 shares, of which (a) 2,676,234 shares are directly owned by PVP V, (b) 52,156 shares are directly owned by PVPE V, (c) 18,329 shares are directly owned by PVPFF and (d) 26,760 shares are directly owned by PVPSFF V, except that Flint, a managing member of PVM V, the general partner of each of PVP V, PVPE V, PVPFF V and PVPSFF V, may be deemed to have shared power to</w:t>
      </w: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60" w:type="dxa"/>
            <w:vAlign w:val="bottom"/>
          </w:tcPr>
          <w:p>
            <w:pPr>
              <w:ind w:left="100"/>
              <w:spacing w:after="0" w:line="216" w:lineRule="exact"/>
              <w:rPr>
                <w:sz w:val="20"/>
                <w:szCs w:val="20"/>
                <w:color w:val="auto"/>
              </w:rPr>
            </w:pPr>
            <w:r>
              <w:rPr>
                <w:rFonts w:ascii="Arial" w:cs="Arial" w:eastAsia="Arial" w:hAnsi="Arial"/>
                <w:sz w:val="19"/>
                <w:szCs w:val="19"/>
                <w:color w:val="auto"/>
                <w:w w:val="97"/>
              </w:rPr>
              <w:t>vote PVP V’s, PVPE V’s, PVPFF V’s and PVPSFF V’s shares (collectively, the “Fund V Shares”) shares, McGuire, a managing</w:t>
            </w:r>
          </w:p>
        </w:tc>
        <w:tc>
          <w:tcPr>
            <w:tcW w:w="0" w:type="dxa"/>
            <w:vAlign w:val="bottom"/>
          </w:tcPr>
          <w:p>
            <w:pPr>
              <w:spacing w:after="0"/>
              <w:rPr>
                <w:sz w:val="1"/>
                <w:szCs w:val="1"/>
                <w:color w:val="auto"/>
              </w:rPr>
            </w:pPr>
          </w:p>
        </w:tc>
      </w:tr>
      <w:tr>
        <w:trPr>
          <w:trHeight w:val="228"/>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2"/>
              </w:rPr>
              <w:t>Number of</w:t>
            </w: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0"/>
              </w:rPr>
              <w:t>member of PVM V, may be deemed to have shared power to vote the Fund V Shares, and Nashat, a member of PVM V and member of</w:t>
            </w:r>
          </w:p>
        </w:tc>
        <w:tc>
          <w:tcPr>
            <w:tcW w:w="0" w:type="dxa"/>
            <w:vAlign w:val="bottom"/>
          </w:tcPr>
          <w:p>
            <w:pPr>
              <w:spacing w:after="0"/>
              <w:rPr>
                <w:sz w:val="1"/>
                <w:szCs w:val="1"/>
                <w:color w:val="auto"/>
              </w:rPr>
            </w:pPr>
          </w:p>
        </w:tc>
      </w:tr>
      <w:tr>
        <w:trPr>
          <w:trHeight w:val="185"/>
        </w:trPr>
        <w:tc>
          <w:tcPr>
            <w:tcW w:w="9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460" w:type="dxa"/>
            <w:vAlign w:val="bottom"/>
          </w:tcPr>
          <w:p>
            <w:pPr>
              <w:ind w:left="100"/>
              <w:spacing w:after="0" w:line="185" w:lineRule="exact"/>
              <w:rPr>
                <w:sz w:val="20"/>
                <w:szCs w:val="20"/>
                <w:color w:val="auto"/>
              </w:rPr>
            </w:pPr>
            <w:r>
              <w:rPr>
                <w:rFonts w:ascii="Arial" w:cs="Arial" w:eastAsia="Arial" w:hAnsi="Arial"/>
                <w:sz w:val="19"/>
                <w:szCs w:val="19"/>
                <w:color w:val="auto"/>
              </w:rPr>
              <w:t>the Board of Directors of the Issuer, may be deemed to have shared power to vote the Fund V Shares.</w:t>
            </w:r>
          </w:p>
        </w:tc>
        <w:tc>
          <w:tcPr>
            <w:tcW w:w="0" w:type="dxa"/>
            <w:vAlign w:val="bottom"/>
          </w:tcPr>
          <w:p>
            <w:pPr>
              <w:spacing w:after="0"/>
              <w:rPr>
                <w:sz w:val="1"/>
                <w:szCs w:val="1"/>
                <w:color w:val="auto"/>
              </w:rPr>
            </w:pPr>
          </w:p>
        </w:tc>
      </w:tr>
      <w:tr>
        <w:trPr>
          <w:trHeight w:val="71"/>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82"/>
              </w:rPr>
              <w:t>Shares</w:t>
            </w:r>
          </w:p>
        </w:tc>
        <w:tc>
          <w:tcPr>
            <w:tcW w:w="460" w:type="dxa"/>
            <w:vAlign w:val="bottom"/>
            <w:tcBorders>
              <w:bottom w:val="single" w:sz="8" w:color="auto"/>
            </w:tcBorders>
          </w:tcPr>
          <w:p>
            <w:pPr>
              <w:spacing w:after="0"/>
              <w:rPr>
                <w:sz w:val="6"/>
                <w:szCs w:val="6"/>
                <w:color w:val="auto"/>
              </w:rPr>
            </w:pPr>
          </w:p>
        </w:tc>
        <w:tc>
          <w:tcPr>
            <w:tcW w:w="10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940" w:type="dxa"/>
            <w:vAlign w:val="bottom"/>
            <w:vMerge w:val="continue"/>
          </w:tcPr>
          <w:p>
            <w:pPr>
              <w:spacing w:after="0"/>
              <w:rPr>
                <w:sz w:val="11"/>
                <w:szCs w:val="11"/>
                <w:color w:val="auto"/>
              </w:rPr>
            </w:pPr>
          </w:p>
        </w:tc>
        <w:tc>
          <w:tcPr>
            <w:tcW w:w="460" w:type="dxa"/>
            <w:vAlign w:val="bottom"/>
            <w:vMerge w:val="restart"/>
          </w:tcPr>
          <w:p>
            <w:pPr>
              <w:jc w:val="right"/>
              <w:ind w:right="25"/>
              <w:spacing w:after="0"/>
              <w:rPr>
                <w:sz w:val="20"/>
                <w:szCs w:val="20"/>
                <w:color w:val="auto"/>
              </w:rPr>
            </w:pPr>
            <w:r>
              <w:rPr>
                <w:rFonts w:ascii="Arial" w:cs="Arial" w:eastAsia="Arial" w:hAnsi="Arial"/>
                <w:sz w:val="19"/>
                <w:szCs w:val="19"/>
                <w:color w:val="auto"/>
              </w:rPr>
              <w:t>8.</w:t>
            </w: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99"/>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7"/>
              </w:rPr>
              <w:t>Beneficially</w:t>
            </w:r>
          </w:p>
        </w:tc>
        <w:tc>
          <w:tcPr>
            <w:tcW w:w="460" w:type="dxa"/>
            <w:vAlign w:val="bottom"/>
            <w:vMerge w:val="continue"/>
          </w:tcPr>
          <w:p>
            <w:pPr>
              <w:spacing w:after="0"/>
              <w:rPr>
                <w:sz w:val="8"/>
                <w:szCs w:val="8"/>
                <w:color w:val="auto"/>
              </w:rPr>
            </w:pPr>
          </w:p>
        </w:tc>
        <w:tc>
          <w:tcPr>
            <w:tcW w:w="10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9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9"/>
                <w:szCs w:val="19"/>
                <w:color w:val="auto"/>
                <w:w w:val="91"/>
              </w:rPr>
              <w:t>Owned by</w:t>
            </w:r>
          </w:p>
        </w:tc>
        <w:tc>
          <w:tcPr>
            <w:tcW w:w="460" w:type="dxa"/>
            <w:vAlign w:val="bottom"/>
          </w:tcPr>
          <w:p>
            <w:pPr>
              <w:spacing w:after="0"/>
              <w:rPr>
                <w:sz w:val="19"/>
                <w:szCs w:val="19"/>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See response to row 7.</w:t>
            </w:r>
          </w:p>
        </w:tc>
        <w:tc>
          <w:tcPr>
            <w:tcW w:w="0" w:type="dxa"/>
            <w:vAlign w:val="bottom"/>
          </w:tcPr>
          <w:p>
            <w:pPr>
              <w:spacing w:after="0"/>
              <w:rPr>
                <w:sz w:val="1"/>
                <w:szCs w:val="1"/>
                <w:color w:val="auto"/>
              </w:rPr>
            </w:pPr>
          </w:p>
        </w:tc>
      </w:tr>
      <w:tr>
        <w:trPr>
          <w:trHeight w:val="123"/>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87"/>
              </w:rPr>
              <w:t>Each</w:t>
            </w:r>
          </w:p>
        </w:tc>
        <w:tc>
          <w:tcPr>
            <w:tcW w:w="460" w:type="dxa"/>
            <w:vAlign w:val="bottom"/>
            <w:tcBorders>
              <w:bottom w:val="single" w:sz="8" w:color="auto"/>
            </w:tcBorders>
          </w:tcPr>
          <w:p>
            <w:pPr>
              <w:spacing w:after="0"/>
              <w:rPr>
                <w:sz w:val="10"/>
                <w:szCs w:val="10"/>
                <w:color w:val="auto"/>
              </w:rPr>
            </w:pPr>
          </w:p>
        </w:tc>
        <w:tc>
          <w:tcPr>
            <w:tcW w:w="10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940" w:type="dxa"/>
            <w:vAlign w:val="bottom"/>
            <w:vMerge w:val="continue"/>
          </w:tcPr>
          <w:p>
            <w:pPr>
              <w:spacing w:after="0"/>
              <w:rPr>
                <w:sz w:val="7"/>
                <w:szCs w:val="7"/>
                <w:color w:val="auto"/>
              </w:rPr>
            </w:pPr>
          </w:p>
        </w:tc>
        <w:tc>
          <w:tcPr>
            <w:tcW w:w="460" w:type="dxa"/>
            <w:vAlign w:val="bottom"/>
            <w:vMerge w:val="restart"/>
          </w:tcPr>
          <w:p>
            <w:pPr>
              <w:jc w:val="right"/>
              <w:ind w:right="25"/>
              <w:spacing w:after="0"/>
              <w:rPr>
                <w:sz w:val="20"/>
                <w:szCs w:val="20"/>
                <w:color w:val="auto"/>
              </w:rPr>
            </w:pPr>
            <w:r>
              <w:rPr>
                <w:rFonts w:ascii="Arial" w:cs="Arial" w:eastAsia="Arial" w:hAnsi="Arial"/>
                <w:sz w:val="19"/>
                <w:szCs w:val="19"/>
                <w:color w:val="auto"/>
              </w:rPr>
              <w:t>9.</w:t>
            </w: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2"/>
              </w:rPr>
              <w:t>Reporting</w:t>
            </w:r>
          </w:p>
        </w:tc>
        <w:tc>
          <w:tcPr>
            <w:tcW w:w="460" w:type="dxa"/>
            <w:vAlign w:val="bottom"/>
            <w:vMerge w:val="continue"/>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9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0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9"/>
                <w:szCs w:val="19"/>
                <w:color w:val="auto"/>
                <w:w w:val="86"/>
              </w:rPr>
              <w:t>Person</w:t>
            </w:r>
          </w:p>
        </w:tc>
        <w:tc>
          <w:tcPr>
            <w:tcW w:w="460" w:type="dxa"/>
            <w:vAlign w:val="bottom"/>
          </w:tcPr>
          <w:p>
            <w:pPr>
              <w:spacing w:after="0"/>
              <w:rPr>
                <w:sz w:val="19"/>
                <w:szCs w:val="19"/>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w w:val="93"/>
              </w:rPr>
              <w:t>2,773,479 shares, of which (a) 2,676,234 shares are directly owned by PVP V, (b) 52,156 shares are directly owned by PVPE V, (c)</w:t>
            </w:r>
          </w:p>
        </w:tc>
        <w:tc>
          <w:tcPr>
            <w:tcW w:w="0" w:type="dxa"/>
            <w:vAlign w:val="bottom"/>
          </w:tcPr>
          <w:p>
            <w:pPr>
              <w:spacing w:after="0"/>
              <w:rPr>
                <w:sz w:val="1"/>
                <w:szCs w:val="1"/>
                <w:color w:val="auto"/>
              </w:rPr>
            </w:pPr>
          </w:p>
        </w:tc>
      </w:tr>
      <w:tr>
        <w:trPr>
          <w:trHeight w:val="157"/>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9"/>
              </w:rPr>
              <w:t>With</w:t>
            </w:r>
          </w:p>
        </w:tc>
        <w:tc>
          <w:tcPr>
            <w:tcW w:w="460" w:type="dxa"/>
            <w:vAlign w:val="bottom"/>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9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w w:val="94"/>
              </w:rPr>
              <w:t>18,329 shares are directly owned by PVPFF and (d) 26,760 shares are directly owned by PVPSFF V, except that Flint, a managing</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1"/>
              </w:rPr>
              <w:t>member of PVM V, the general partner of each of PVP V, PVPE V, PVPFF V and PVPSFF V, may be deemed to have shared power to</w:t>
            </w: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1"/>
              </w:rPr>
              <w:t>dispose of the Fund V Shares, McGuire, a managing member of PVM V, may be deemed to have shared power to dispose of the Fund</w:t>
            </w: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1"/>
              </w:rPr>
              <w:t>V Shares, and Nashat, a member of PVM V and member of the Board of Directors of the Issuer, may be deemed to have shared power</w:t>
            </w:r>
          </w:p>
        </w:tc>
        <w:tc>
          <w:tcPr>
            <w:tcW w:w="0" w:type="dxa"/>
            <w:vAlign w:val="bottom"/>
          </w:tcPr>
          <w:p>
            <w:pPr>
              <w:spacing w:after="0"/>
              <w:rPr>
                <w:sz w:val="1"/>
                <w:szCs w:val="1"/>
                <w:color w:val="auto"/>
              </w:rPr>
            </w:pPr>
          </w:p>
        </w:tc>
      </w:tr>
      <w:tr>
        <w:trPr>
          <w:trHeight w:val="241"/>
        </w:trPr>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rPr>
              <w:t>to dispose of the Fund V Shares.</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500" w:right="8380" w:hanging="454"/>
        <w:spacing w:after="0" w:line="455" w:lineRule="auto"/>
        <w:tabs>
          <w:tab w:leader="none" w:pos="15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Shared Dispositive Power See response to row 9.</w:t>
      </w:r>
    </w:p>
    <w:p>
      <w:pPr>
        <w:ind w:left="440" w:right="6360" w:hanging="440"/>
        <w:spacing w:after="0" w:line="407" w:lineRule="auto"/>
        <w:tabs>
          <w:tab w:leader="none" w:pos="4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2,773,479</w:t>
      </w:r>
    </w:p>
    <w:p>
      <w:pPr>
        <w:ind w:left="440" w:hanging="440"/>
        <w:spacing w:after="0"/>
        <w:tabs>
          <w:tab w:leader="none" w:pos="4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Check if the Aggregate Amount in Row (11) Excludes Certain Shares (See Instructions)</w:t>
      </w:r>
    </w:p>
    <w:p>
      <w:pPr>
        <w:spacing w:after="0" w:line="231" w:lineRule="exact"/>
        <w:rPr>
          <w:rFonts w:ascii="Arial" w:cs="Arial" w:eastAsia="Arial" w:hAnsi="Arial"/>
          <w:sz w:val="19"/>
          <w:szCs w:val="19"/>
          <w:color w:val="auto"/>
        </w:rPr>
      </w:pPr>
    </w:p>
    <w:p>
      <w:pPr>
        <w:ind w:left="440"/>
        <w:spacing w:after="0" w:line="191" w:lineRule="exact"/>
        <w:rPr>
          <w:rFonts w:ascii="Arial" w:cs="Arial" w:eastAsia="Arial" w:hAnsi="Arial"/>
          <w:sz w:val="19"/>
          <w:szCs w:val="19"/>
          <w:color w:val="auto"/>
        </w:rPr>
      </w:pPr>
      <w:r>
        <w:rPr>
          <w:rFonts w:ascii="MS PGothic" w:cs="MS PGothic" w:eastAsia="MS PGothic" w:hAnsi="MS PGothic"/>
          <w:sz w:val="19"/>
          <w:szCs w:val="19"/>
          <w:color w:val="auto"/>
        </w:rPr>
        <w:t>☐</w:t>
      </w:r>
    </w:p>
    <w:p>
      <w:pPr>
        <w:spacing w:after="0" w:line="108" w:lineRule="exact"/>
        <w:rPr>
          <w:rFonts w:ascii="Arial" w:cs="Arial" w:eastAsia="Arial" w:hAnsi="Arial"/>
          <w:sz w:val="19"/>
          <w:szCs w:val="19"/>
          <w:color w:val="auto"/>
        </w:rPr>
      </w:pPr>
    </w:p>
    <w:p>
      <w:pPr>
        <w:ind w:left="440" w:right="7340" w:hanging="440"/>
        <w:spacing w:after="0" w:line="403" w:lineRule="auto"/>
        <w:tabs>
          <w:tab w:leader="none" w:pos="4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Percent of Class Represented by Amount in Row (11) 6.5%</w:t>
      </w:r>
    </w:p>
    <w:p>
      <w:pPr>
        <w:spacing w:after="0" w:line="1" w:lineRule="exact"/>
        <w:rPr>
          <w:rFonts w:ascii="Arial" w:cs="Arial" w:eastAsia="Arial" w:hAnsi="Arial"/>
          <w:sz w:val="19"/>
          <w:szCs w:val="19"/>
          <w:color w:val="auto"/>
        </w:rPr>
      </w:pPr>
    </w:p>
    <w:p>
      <w:pPr>
        <w:ind w:left="440" w:hanging="440"/>
        <w:spacing w:after="0"/>
        <w:tabs>
          <w:tab w:leader="none" w:pos="4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23"/>
          <w:szCs w:val="23"/>
          <w:color w:val="auto"/>
        </w:rPr>
        <w:t>OO</w:t>
      </w:r>
    </w:p>
    <w:p>
      <w:pPr>
        <w:sectPr>
          <w:pgSz w:w="12240" w:h="15840" w:orient="portrait"/>
          <w:cols w:equalWidth="0" w:num="1">
            <w:col w:w="11860"/>
          </w:cols>
          <w:pgMar w:left="280" w:top="156" w:right="100" w:bottom="1440" w:gutter="0" w:footer="0" w:header="0"/>
        </w:sectPr>
      </w:pPr>
    </w:p>
    <w:bookmarkStart w:id="6" w:name="page7"/>
    <w:bookmarkEnd w:id="6"/>
    <w:p>
      <w:pPr>
        <w:ind w:left="340" w:right="9280" w:hanging="340"/>
        <w:spacing w:after="0" w:line="407" w:lineRule="auto"/>
        <w:tabs>
          <w:tab w:leader="none" w:pos="340" w:val="left"/>
        </w:tabs>
        <w:numPr>
          <w:ilvl w:val="0"/>
          <w:numId w:val="22"/>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7715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68260" cy="7715250"/>
                    </a:xfrm>
                    <a:prstGeom prst="rect">
                      <a:avLst/>
                    </a:prstGeom>
                    <a:noFill/>
                  </pic:spPr>
                </pic:pic>
              </a:graphicData>
            </a:graphic>
          </wp:anchor>
        </w:drawing>
        <w:t>Names of Reporting Persons. Jonathan A. Flint</w:t>
      </w:r>
    </w:p>
    <w:p>
      <w:pPr>
        <w:ind w:left="340" w:hanging="340"/>
        <w:spacing w:after="0"/>
        <w:tabs>
          <w:tab w:leader="none" w:pos="3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9" w:lineRule="exact"/>
        <w:rPr>
          <w:sz w:val="20"/>
          <w:szCs w:val="20"/>
          <w:color w:val="auto"/>
        </w:rPr>
      </w:pPr>
    </w:p>
    <w:p>
      <w:pPr>
        <w:ind w:left="340"/>
        <w:spacing w:after="0" w:line="219" w:lineRule="exact"/>
        <w:tabs>
          <w:tab w:leader="none" w:pos="1180" w:val="left"/>
        </w:tabs>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sz w:val="20"/>
          <w:szCs w:val="20"/>
          <w:color w:val="auto"/>
        </w:rPr>
        <w:tab/>
      </w:r>
      <w:r>
        <w:rPr>
          <w:rFonts w:ascii="Arial" w:cs="Arial" w:eastAsia="Arial" w:hAnsi="Arial"/>
          <w:sz w:val="19"/>
          <w:szCs w:val="19"/>
          <w:color w:val="auto"/>
        </w:rPr>
        <w:t xml:space="preserve">(b) </w:t>
      </w:r>
      <w:r>
        <w:rPr>
          <w:rFonts w:ascii="MS PGothic" w:cs="MS PGothic" w:eastAsia="MS PGothic" w:hAnsi="MS PGothic"/>
          <w:sz w:val="19"/>
          <w:szCs w:val="19"/>
          <w:color w:val="auto"/>
        </w:rPr>
        <w:t>☒</w:t>
      </w:r>
    </w:p>
    <w:p>
      <w:pPr>
        <w:spacing w:after="0" w:line="286" w:lineRule="exact"/>
        <w:rPr>
          <w:sz w:val="20"/>
          <w:szCs w:val="20"/>
          <w:color w:val="auto"/>
        </w:rPr>
      </w:pPr>
    </w:p>
    <w:p>
      <w:pPr>
        <w:ind w:left="340" w:hanging="340"/>
        <w:spacing w:after="0"/>
        <w:tabs>
          <w:tab w:leader="none" w:pos="3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94" w:lineRule="exact"/>
        <w:rPr>
          <w:rFonts w:ascii="Arial" w:cs="Arial" w:eastAsia="Arial" w:hAnsi="Arial"/>
          <w:sz w:val="19"/>
          <w:szCs w:val="19"/>
          <w:color w:val="auto"/>
        </w:rPr>
      </w:pPr>
    </w:p>
    <w:p>
      <w:pPr>
        <w:ind w:left="340" w:hanging="340"/>
        <w:spacing w:after="0"/>
        <w:tabs>
          <w:tab w:leader="none" w:pos="3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Source of Funds (See Instructions)</w:t>
      </w:r>
    </w:p>
    <w:p>
      <w:pPr>
        <w:spacing w:after="0" w:line="266"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AF</w:t>
      </w:r>
    </w:p>
    <w:p>
      <w:pPr>
        <w:spacing w:after="0" w:line="38" w:lineRule="exact"/>
        <w:rPr>
          <w:rFonts w:ascii="Arial" w:cs="Arial" w:eastAsia="Arial" w:hAnsi="Arial"/>
          <w:sz w:val="19"/>
          <w:szCs w:val="19"/>
          <w:color w:val="auto"/>
        </w:rPr>
      </w:pPr>
    </w:p>
    <w:p>
      <w:pPr>
        <w:ind w:left="340" w:hanging="340"/>
        <w:spacing w:after="0"/>
        <w:tabs>
          <w:tab w:leader="none" w:pos="3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Check if Disclosure of Legal Proceedings is Required Pursuant to Items 2(d) or 2(e)</w:t>
      </w:r>
    </w:p>
    <w:p>
      <w:pPr>
        <w:spacing w:after="0" w:line="231" w:lineRule="exact"/>
        <w:rPr>
          <w:rFonts w:ascii="Arial" w:cs="Arial" w:eastAsia="Arial" w:hAnsi="Arial"/>
          <w:sz w:val="19"/>
          <w:szCs w:val="19"/>
          <w:color w:val="auto"/>
        </w:rPr>
      </w:pPr>
    </w:p>
    <w:p>
      <w:pPr>
        <w:ind w:left="340"/>
        <w:spacing w:after="0" w:line="191" w:lineRule="exact"/>
        <w:rPr>
          <w:rFonts w:ascii="Arial" w:cs="Arial" w:eastAsia="Arial" w:hAnsi="Arial"/>
          <w:sz w:val="19"/>
          <w:szCs w:val="19"/>
          <w:color w:val="auto"/>
        </w:rPr>
      </w:pPr>
      <w:r>
        <w:rPr>
          <w:rFonts w:ascii="MS PGothic" w:cs="MS PGothic" w:eastAsia="MS PGothic" w:hAnsi="MS PGothic"/>
          <w:sz w:val="19"/>
          <w:szCs w:val="19"/>
          <w:color w:val="auto"/>
        </w:rPr>
        <w:t>☐</w:t>
      </w:r>
    </w:p>
    <w:p>
      <w:pPr>
        <w:spacing w:after="0" w:line="108" w:lineRule="exact"/>
        <w:rPr>
          <w:rFonts w:ascii="Arial" w:cs="Arial" w:eastAsia="Arial" w:hAnsi="Arial"/>
          <w:sz w:val="19"/>
          <w:szCs w:val="19"/>
          <w:color w:val="auto"/>
        </w:rPr>
      </w:pPr>
    </w:p>
    <w:p>
      <w:pPr>
        <w:ind w:left="340" w:hanging="340"/>
        <w:spacing w:after="0"/>
        <w:tabs>
          <w:tab w:leader="none" w:pos="3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Citizenship or Place of Organization</w:t>
      </w:r>
    </w:p>
    <w:p>
      <w:pPr>
        <w:spacing w:after="0" w:line="259"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USA</w:t>
      </w:r>
    </w:p>
    <w:p>
      <w:pPr>
        <w:spacing w:after="0" w:line="38" w:lineRule="exact"/>
        <w:rPr>
          <w:rFonts w:ascii="Arial" w:cs="Arial" w:eastAsia="Arial" w:hAnsi="Arial"/>
          <w:sz w:val="19"/>
          <w:szCs w:val="19"/>
          <w:color w:val="auto"/>
        </w:rPr>
      </w:pPr>
    </w:p>
    <w:p>
      <w:pPr>
        <w:ind w:left="1500" w:hanging="359"/>
        <w:spacing w:after="0"/>
        <w:tabs>
          <w:tab w:leader="none" w:pos="1500" w:val="left"/>
        </w:tabs>
        <w:numPr>
          <w:ilvl w:val="1"/>
          <w:numId w:val="23"/>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66" w:lineRule="exact"/>
        <w:rPr>
          <w:rFonts w:ascii="Arial" w:cs="Arial" w:eastAsia="Arial" w:hAnsi="Arial"/>
          <w:sz w:val="19"/>
          <w:szCs w:val="19"/>
          <w:color w:val="auto"/>
        </w:rPr>
      </w:pPr>
    </w:p>
    <w:p>
      <w:pPr>
        <w:ind w:left="1500" w:right="280"/>
        <w:spacing w:after="0" w:line="288" w:lineRule="auto"/>
        <w:rPr>
          <w:rFonts w:ascii="Arial" w:cs="Arial" w:eastAsia="Arial" w:hAnsi="Arial"/>
          <w:sz w:val="19"/>
          <w:szCs w:val="19"/>
          <w:color w:val="auto"/>
        </w:rPr>
      </w:pPr>
      <w:r>
        <w:rPr>
          <w:rFonts w:ascii="Arial" w:cs="Arial" w:eastAsia="Arial" w:hAnsi="Arial"/>
          <w:sz w:val="17"/>
          <w:szCs w:val="17"/>
          <w:color w:val="auto"/>
        </w:rPr>
        <w:t>2,773,479 shares, of which (a) 2,676,234 shares are directly owned by PVP V, (b) 52,156 shares are directly owned by PVPE V, (c) 18,329 shares are directly owned by PVPFF and (d) 26,760 shares are directly owned by PVPSFF V, except that PVM V, the general</w:t>
      </w:r>
    </w:p>
    <w:tbl>
      <w:tblPr>
        <w:tblLayout w:type="fixed"/>
        <w:tblInd w:w="0" w:type="dxa"/>
        <w:tblCellMar>
          <w:top w:w="0" w:type="dxa"/>
          <w:left w:w="0" w:type="dxa"/>
          <w:bottom w:w="0" w:type="dxa"/>
          <w:right w:w="0" w:type="dxa"/>
        </w:tblCellMar>
      </w:tblPr>
      <w:tr>
        <w:trPr>
          <w:trHeight w:val="215"/>
        </w:trPr>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60" w:type="dxa"/>
            <w:vAlign w:val="bottom"/>
          </w:tcPr>
          <w:p>
            <w:pPr>
              <w:ind w:left="100"/>
              <w:spacing w:after="0" w:line="215" w:lineRule="exact"/>
              <w:rPr>
                <w:sz w:val="20"/>
                <w:szCs w:val="20"/>
                <w:color w:val="auto"/>
              </w:rPr>
            </w:pPr>
            <w:r>
              <w:rPr>
                <w:rFonts w:ascii="Arial" w:cs="Arial" w:eastAsia="Arial" w:hAnsi="Arial"/>
                <w:sz w:val="19"/>
                <w:szCs w:val="19"/>
                <w:color w:val="auto"/>
                <w:w w:val="92"/>
              </w:rPr>
              <w:t>partner of PVP V, PVPE V, PVPFF V and PVPSFF V, may be deemed to have sole power to vote the Fund V Shares, McGuire, as a</w:t>
            </w:r>
          </w:p>
        </w:tc>
        <w:tc>
          <w:tcPr>
            <w:tcW w:w="0" w:type="dxa"/>
            <w:vAlign w:val="bottom"/>
          </w:tcPr>
          <w:p>
            <w:pPr>
              <w:spacing w:after="0"/>
              <w:rPr>
                <w:sz w:val="1"/>
                <w:szCs w:val="1"/>
                <w:color w:val="auto"/>
              </w:rPr>
            </w:pPr>
          </w:p>
        </w:tc>
      </w:tr>
      <w:tr>
        <w:trPr>
          <w:trHeight w:val="228"/>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2"/>
              </w:rPr>
              <w:t>Number of</w:t>
            </w: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0"/>
              </w:rPr>
              <w:t>managing member of PVM V, may be deemed to have shared power to vote the Fund V Shares, and Nashat, a member of PVM V, may</w:t>
            </w:r>
          </w:p>
        </w:tc>
        <w:tc>
          <w:tcPr>
            <w:tcW w:w="0" w:type="dxa"/>
            <w:vAlign w:val="bottom"/>
          </w:tcPr>
          <w:p>
            <w:pPr>
              <w:spacing w:after="0"/>
              <w:rPr>
                <w:sz w:val="1"/>
                <w:szCs w:val="1"/>
                <w:color w:val="auto"/>
              </w:rPr>
            </w:pPr>
          </w:p>
        </w:tc>
      </w:tr>
      <w:tr>
        <w:trPr>
          <w:trHeight w:val="185"/>
        </w:trPr>
        <w:tc>
          <w:tcPr>
            <w:tcW w:w="9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460" w:type="dxa"/>
            <w:vAlign w:val="bottom"/>
          </w:tcPr>
          <w:p>
            <w:pPr>
              <w:ind w:left="100"/>
              <w:spacing w:after="0" w:line="185" w:lineRule="exact"/>
              <w:rPr>
                <w:sz w:val="20"/>
                <w:szCs w:val="20"/>
                <w:color w:val="auto"/>
              </w:rPr>
            </w:pPr>
            <w:r>
              <w:rPr>
                <w:rFonts w:ascii="Arial" w:cs="Arial" w:eastAsia="Arial" w:hAnsi="Arial"/>
                <w:sz w:val="19"/>
                <w:szCs w:val="19"/>
                <w:color w:val="auto"/>
              </w:rPr>
              <w:t>be deemed to have shared power to vote the Fund V Shares.</w:t>
            </w:r>
          </w:p>
        </w:tc>
        <w:tc>
          <w:tcPr>
            <w:tcW w:w="0" w:type="dxa"/>
            <w:vAlign w:val="bottom"/>
          </w:tcPr>
          <w:p>
            <w:pPr>
              <w:spacing w:after="0"/>
              <w:rPr>
                <w:sz w:val="1"/>
                <w:szCs w:val="1"/>
                <w:color w:val="auto"/>
              </w:rPr>
            </w:pPr>
          </w:p>
        </w:tc>
      </w:tr>
      <w:tr>
        <w:trPr>
          <w:trHeight w:val="71"/>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82"/>
              </w:rPr>
              <w:t>Shares</w:t>
            </w:r>
          </w:p>
        </w:tc>
        <w:tc>
          <w:tcPr>
            <w:tcW w:w="460" w:type="dxa"/>
            <w:vAlign w:val="bottom"/>
            <w:tcBorders>
              <w:bottom w:val="single" w:sz="8" w:color="auto"/>
            </w:tcBorders>
          </w:tcPr>
          <w:p>
            <w:pPr>
              <w:spacing w:after="0"/>
              <w:rPr>
                <w:sz w:val="6"/>
                <w:szCs w:val="6"/>
                <w:color w:val="auto"/>
              </w:rPr>
            </w:pPr>
          </w:p>
        </w:tc>
        <w:tc>
          <w:tcPr>
            <w:tcW w:w="10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940" w:type="dxa"/>
            <w:vAlign w:val="bottom"/>
            <w:vMerge w:val="continue"/>
          </w:tcPr>
          <w:p>
            <w:pPr>
              <w:spacing w:after="0"/>
              <w:rPr>
                <w:sz w:val="11"/>
                <w:szCs w:val="11"/>
                <w:color w:val="auto"/>
              </w:rPr>
            </w:pPr>
          </w:p>
        </w:tc>
        <w:tc>
          <w:tcPr>
            <w:tcW w:w="460" w:type="dxa"/>
            <w:vAlign w:val="bottom"/>
            <w:vMerge w:val="restart"/>
          </w:tcPr>
          <w:p>
            <w:pPr>
              <w:jc w:val="right"/>
              <w:ind w:right="25"/>
              <w:spacing w:after="0"/>
              <w:rPr>
                <w:sz w:val="20"/>
                <w:szCs w:val="20"/>
                <w:color w:val="auto"/>
              </w:rPr>
            </w:pPr>
            <w:r>
              <w:rPr>
                <w:rFonts w:ascii="Arial" w:cs="Arial" w:eastAsia="Arial" w:hAnsi="Arial"/>
                <w:sz w:val="19"/>
                <w:szCs w:val="19"/>
                <w:color w:val="auto"/>
              </w:rPr>
              <w:t>8.</w:t>
            </w: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99"/>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7"/>
              </w:rPr>
              <w:t>Beneficially</w:t>
            </w:r>
          </w:p>
        </w:tc>
        <w:tc>
          <w:tcPr>
            <w:tcW w:w="460" w:type="dxa"/>
            <w:vAlign w:val="bottom"/>
            <w:vMerge w:val="continue"/>
          </w:tcPr>
          <w:p>
            <w:pPr>
              <w:spacing w:after="0"/>
              <w:rPr>
                <w:sz w:val="8"/>
                <w:szCs w:val="8"/>
                <w:color w:val="auto"/>
              </w:rPr>
            </w:pPr>
          </w:p>
        </w:tc>
        <w:tc>
          <w:tcPr>
            <w:tcW w:w="10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9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9"/>
                <w:szCs w:val="19"/>
                <w:color w:val="auto"/>
                <w:w w:val="91"/>
              </w:rPr>
              <w:t>Owned by</w:t>
            </w:r>
          </w:p>
        </w:tc>
        <w:tc>
          <w:tcPr>
            <w:tcW w:w="460" w:type="dxa"/>
            <w:vAlign w:val="bottom"/>
          </w:tcPr>
          <w:p>
            <w:pPr>
              <w:spacing w:after="0"/>
              <w:rPr>
                <w:sz w:val="19"/>
                <w:szCs w:val="19"/>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See response to row 7.</w:t>
            </w:r>
          </w:p>
        </w:tc>
        <w:tc>
          <w:tcPr>
            <w:tcW w:w="0" w:type="dxa"/>
            <w:vAlign w:val="bottom"/>
          </w:tcPr>
          <w:p>
            <w:pPr>
              <w:spacing w:after="0"/>
              <w:rPr>
                <w:sz w:val="1"/>
                <w:szCs w:val="1"/>
                <w:color w:val="auto"/>
              </w:rPr>
            </w:pPr>
          </w:p>
        </w:tc>
      </w:tr>
      <w:tr>
        <w:trPr>
          <w:trHeight w:val="123"/>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87"/>
              </w:rPr>
              <w:t>Each</w:t>
            </w:r>
          </w:p>
        </w:tc>
        <w:tc>
          <w:tcPr>
            <w:tcW w:w="460" w:type="dxa"/>
            <w:vAlign w:val="bottom"/>
            <w:tcBorders>
              <w:bottom w:val="single" w:sz="8" w:color="auto"/>
            </w:tcBorders>
          </w:tcPr>
          <w:p>
            <w:pPr>
              <w:spacing w:after="0"/>
              <w:rPr>
                <w:sz w:val="10"/>
                <w:szCs w:val="10"/>
                <w:color w:val="auto"/>
              </w:rPr>
            </w:pPr>
          </w:p>
        </w:tc>
        <w:tc>
          <w:tcPr>
            <w:tcW w:w="10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940" w:type="dxa"/>
            <w:vAlign w:val="bottom"/>
            <w:vMerge w:val="continue"/>
          </w:tcPr>
          <w:p>
            <w:pPr>
              <w:spacing w:after="0"/>
              <w:rPr>
                <w:sz w:val="7"/>
                <w:szCs w:val="7"/>
                <w:color w:val="auto"/>
              </w:rPr>
            </w:pPr>
          </w:p>
        </w:tc>
        <w:tc>
          <w:tcPr>
            <w:tcW w:w="460" w:type="dxa"/>
            <w:vAlign w:val="bottom"/>
            <w:vMerge w:val="restart"/>
          </w:tcPr>
          <w:p>
            <w:pPr>
              <w:jc w:val="right"/>
              <w:ind w:right="25"/>
              <w:spacing w:after="0"/>
              <w:rPr>
                <w:sz w:val="20"/>
                <w:szCs w:val="20"/>
                <w:color w:val="auto"/>
              </w:rPr>
            </w:pPr>
            <w:r>
              <w:rPr>
                <w:rFonts w:ascii="Arial" w:cs="Arial" w:eastAsia="Arial" w:hAnsi="Arial"/>
                <w:sz w:val="19"/>
                <w:szCs w:val="19"/>
                <w:color w:val="auto"/>
              </w:rPr>
              <w:t>9.</w:t>
            </w: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2"/>
              </w:rPr>
              <w:t>Reporting</w:t>
            </w:r>
          </w:p>
        </w:tc>
        <w:tc>
          <w:tcPr>
            <w:tcW w:w="460" w:type="dxa"/>
            <w:vAlign w:val="bottom"/>
            <w:vMerge w:val="continue"/>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9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0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9"/>
                <w:szCs w:val="19"/>
                <w:color w:val="auto"/>
                <w:w w:val="86"/>
              </w:rPr>
              <w:t>Person</w:t>
            </w:r>
          </w:p>
        </w:tc>
        <w:tc>
          <w:tcPr>
            <w:tcW w:w="460" w:type="dxa"/>
            <w:vAlign w:val="bottom"/>
          </w:tcPr>
          <w:p>
            <w:pPr>
              <w:spacing w:after="0"/>
              <w:rPr>
                <w:sz w:val="19"/>
                <w:szCs w:val="19"/>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w w:val="93"/>
              </w:rPr>
              <w:t>2,773,479 shares, of which (a) 2,676,234 shares are directly owned by PVP V, (b) 52,156 shares are directly owned by PVPE V, (c)</w:t>
            </w:r>
          </w:p>
        </w:tc>
        <w:tc>
          <w:tcPr>
            <w:tcW w:w="0" w:type="dxa"/>
            <w:vAlign w:val="bottom"/>
          </w:tcPr>
          <w:p>
            <w:pPr>
              <w:spacing w:after="0"/>
              <w:rPr>
                <w:sz w:val="1"/>
                <w:szCs w:val="1"/>
                <w:color w:val="auto"/>
              </w:rPr>
            </w:pPr>
          </w:p>
        </w:tc>
      </w:tr>
      <w:tr>
        <w:trPr>
          <w:trHeight w:val="157"/>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9"/>
              </w:rPr>
              <w:t>With</w:t>
            </w:r>
          </w:p>
        </w:tc>
        <w:tc>
          <w:tcPr>
            <w:tcW w:w="460" w:type="dxa"/>
            <w:vAlign w:val="bottom"/>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9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w w:val="92"/>
              </w:rPr>
              <w:t>18,329 shares are directly owned by PVPFF and (d) 26,760 shares are directly owned by PVPSFF V, except that PVM V, as general</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0"/>
              </w:rPr>
              <w:t>partner of PVP V, PVPE V, PVPFF V and PVPSFF V, maybe deemed to have sole power to dispose of the Fund V Shares, McGuire, as</w:t>
            </w: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0"/>
              </w:rPr>
              <w:t>a managing member of PVM V, may be deemed to have shared power to dispose of the Fund V Shares, and Nashat, a member of PVM</w:t>
            </w:r>
          </w:p>
        </w:tc>
        <w:tc>
          <w:tcPr>
            <w:tcW w:w="0" w:type="dxa"/>
            <w:vAlign w:val="bottom"/>
          </w:tcPr>
          <w:p>
            <w:pPr>
              <w:spacing w:after="0"/>
              <w:rPr>
                <w:sz w:val="1"/>
                <w:szCs w:val="1"/>
                <w:color w:val="auto"/>
              </w:rPr>
            </w:pPr>
          </w:p>
        </w:tc>
      </w:tr>
      <w:tr>
        <w:trPr>
          <w:trHeight w:val="241"/>
        </w:trPr>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rPr>
              <w:t>V, may be deemed to have shared power to dispose of the Fund V Shares.</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500" w:right="8380" w:hanging="454"/>
        <w:spacing w:after="0" w:line="455" w:lineRule="auto"/>
        <w:tabs>
          <w:tab w:leader="none" w:pos="15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Shared Dispositive Power See response to row 9.</w:t>
      </w:r>
    </w:p>
    <w:p>
      <w:pPr>
        <w:ind w:left="440" w:right="6360" w:hanging="440"/>
        <w:spacing w:after="0" w:line="407" w:lineRule="auto"/>
        <w:tabs>
          <w:tab w:leader="none" w:pos="4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2,773,479</w:t>
      </w:r>
    </w:p>
    <w:p>
      <w:pPr>
        <w:ind w:left="440" w:hanging="440"/>
        <w:spacing w:after="0"/>
        <w:tabs>
          <w:tab w:leader="none" w:pos="4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Check if the Aggregate Amount in Row (11) Excludes Certain Shares (See Instructions)</w:t>
      </w:r>
    </w:p>
    <w:p>
      <w:pPr>
        <w:spacing w:after="0" w:line="231" w:lineRule="exact"/>
        <w:rPr>
          <w:rFonts w:ascii="Arial" w:cs="Arial" w:eastAsia="Arial" w:hAnsi="Arial"/>
          <w:sz w:val="19"/>
          <w:szCs w:val="19"/>
          <w:color w:val="auto"/>
        </w:rPr>
      </w:pPr>
    </w:p>
    <w:p>
      <w:pPr>
        <w:ind w:left="440"/>
        <w:spacing w:after="0" w:line="191" w:lineRule="exact"/>
        <w:rPr>
          <w:rFonts w:ascii="Arial" w:cs="Arial" w:eastAsia="Arial" w:hAnsi="Arial"/>
          <w:sz w:val="19"/>
          <w:szCs w:val="19"/>
          <w:color w:val="auto"/>
        </w:rPr>
      </w:pPr>
      <w:r>
        <w:rPr>
          <w:rFonts w:ascii="MS PGothic" w:cs="MS PGothic" w:eastAsia="MS PGothic" w:hAnsi="MS PGothic"/>
          <w:sz w:val="19"/>
          <w:szCs w:val="19"/>
          <w:color w:val="auto"/>
        </w:rPr>
        <w:t>☐</w:t>
      </w:r>
    </w:p>
    <w:p>
      <w:pPr>
        <w:spacing w:after="0" w:line="108" w:lineRule="exact"/>
        <w:rPr>
          <w:rFonts w:ascii="Arial" w:cs="Arial" w:eastAsia="Arial" w:hAnsi="Arial"/>
          <w:sz w:val="19"/>
          <w:szCs w:val="19"/>
          <w:color w:val="auto"/>
        </w:rPr>
      </w:pPr>
    </w:p>
    <w:p>
      <w:pPr>
        <w:ind w:left="440" w:right="7340" w:hanging="440"/>
        <w:spacing w:after="0" w:line="403" w:lineRule="auto"/>
        <w:tabs>
          <w:tab w:leader="none" w:pos="4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Percent of Class Represented by Amount in Row (11) 6.5%</w:t>
      </w:r>
    </w:p>
    <w:p>
      <w:pPr>
        <w:spacing w:after="0" w:line="1" w:lineRule="exact"/>
        <w:rPr>
          <w:rFonts w:ascii="Arial" w:cs="Arial" w:eastAsia="Arial" w:hAnsi="Arial"/>
          <w:sz w:val="19"/>
          <w:szCs w:val="19"/>
          <w:color w:val="auto"/>
        </w:rPr>
      </w:pPr>
    </w:p>
    <w:p>
      <w:pPr>
        <w:ind w:left="440" w:hanging="440"/>
        <w:spacing w:after="0"/>
        <w:tabs>
          <w:tab w:leader="none" w:pos="4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66" w:lineRule="exact"/>
        <w:rPr>
          <w:rFonts w:ascii="Arial" w:cs="Arial" w:eastAsia="Arial" w:hAnsi="Arial"/>
          <w:sz w:val="19"/>
          <w:szCs w:val="19"/>
          <w:color w:val="auto"/>
        </w:rPr>
      </w:pPr>
    </w:p>
    <w:p>
      <w:pPr>
        <w:ind w:left="440"/>
        <w:spacing w:after="0"/>
        <w:rPr>
          <w:rFonts w:ascii="Arial" w:cs="Arial" w:eastAsia="Arial" w:hAnsi="Arial"/>
          <w:sz w:val="19"/>
          <w:szCs w:val="19"/>
          <w:color w:val="auto"/>
        </w:rPr>
      </w:pPr>
      <w:r>
        <w:rPr>
          <w:rFonts w:ascii="Arial" w:cs="Arial" w:eastAsia="Arial" w:hAnsi="Arial"/>
          <w:sz w:val="19"/>
          <w:szCs w:val="19"/>
          <w:color w:val="auto"/>
        </w:rPr>
        <w:t>IN</w:t>
      </w:r>
    </w:p>
    <w:p>
      <w:pPr>
        <w:sectPr>
          <w:pgSz w:w="12240" w:h="15840" w:orient="portrait"/>
          <w:cols w:equalWidth="0" w:num="1">
            <w:col w:w="11860"/>
          </w:cols>
          <w:pgMar w:left="280" w:top="156" w:right="100" w:bottom="1440" w:gutter="0" w:footer="0" w:header="0"/>
        </w:sectPr>
      </w:pPr>
    </w:p>
    <w:bookmarkStart w:id="7" w:name="page8"/>
    <w:bookmarkEnd w:id="7"/>
    <w:p>
      <w:pPr>
        <w:ind w:left="340" w:right="9280" w:hanging="340"/>
        <w:spacing w:after="0" w:line="455"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77152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68260" cy="7715250"/>
                    </a:xfrm>
                    <a:prstGeom prst="rect">
                      <a:avLst/>
                    </a:prstGeom>
                    <a:noFill/>
                  </pic:spPr>
                </pic:pic>
              </a:graphicData>
            </a:graphic>
          </wp:anchor>
        </w:drawing>
        <w:t>Names of Reporting Persons. Terrance G. McGuire</w:t>
      </w:r>
    </w:p>
    <w:p>
      <w:pPr>
        <w:ind w:left="340" w:hanging="340"/>
        <w:spacing w:after="0"/>
        <w:tabs>
          <w:tab w:leader="none" w:pos="3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9" w:lineRule="exact"/>
        <w:rPr>
          <w:sz w:val="20"/>
          <w:szCs w:val="20"/>
          <w:color w:val="auto"/>
        </w:rPr>
      </w:pPr>
    </w:p>
    <w:p>
      <w:pPr>
        <w:ind w:left="340"/>
        <w:spacing w:after="0" w:line="219" w:lineRule="exact"/>
        <w:tabs>
          <w:tab w:leader="none" w:pos="1180" w:val="left"/>
        </w:tabs>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sz w:val="20"/>
          <w:szCs w:val="20"/>
          <w:color w:val="auto"/>
        </w:rPr>
        <w:tab/>
      </w:r>
      <w:r>
        <w:rPr>
          <w:rFonts w:ascii="Arial" w:cs="Arial" w:eastAsia="Arial" w:hAnsi="Arial"/>
          <w:sz w:val="19"/>
          <w:szCs w:val="19"/>
          <w:color w:val="auto"/>
        </w:rPr>
        <w:t xml:space="preserve">(b) </w:t>
      </w:r>
      <w:r>
        <w:rPr>
          <w:rFonts w:ascii="MS PGothic" w:cs="MS PGothic" w:eastAsia="MS PGothic" w:hAnsi="MS PGothic"/>
          <w:sz w:val="19"/>
          <w:szCs w:val="19"/>
          <w:color w:val="auto"/>
        </w:rPr>
        <w:t>☒</w:t>
      </w:r>
    </w:p>
    <w:p>
      <w:pPr>
        <w:spacing w:after="0" w:line="286" w:lineRule="exact"/>
        <w:rPr>
          <w:sz w:val="20"/>
          <w:szCs w:val="20"/>
          <w:color w:val="auto"/>
        </w:rPr>
      </w:pPr>
    </w:p>
    <w:p>
      <w:pPr>
        <w:ind w:left="340" w:hanging="340"/>
        <w:spacing w:after="0"/>
        <w:tabs>
          <w:tab w:leader="none" w:pos="3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94" w:lineRule="exact"/>
        <w:rPr>
          <w:rFonts w:ascii="Arial" w:cs="Arial" w:eastAsia="Arial" w:hAnsi="Arial"/>
          <w:sz w:val="19"/>
          <w:szCs w:val="19"/>
          <w:color w:val="auto"/>
        </w:rPr>
      </w:pPr>
    </w:p>
    <w:p>
      <w:pPr>
        <w:ind w:left="340" w:hanging="340"/>
        <w:spacing w:after="0"/>
        <w:tabs>
          <w:tab w:leader="none" w:pos="3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Source of Funds (See Instructions)</w:t>
      </w:r>
    </w:p>
    <w:p>
      <w:pPr>
        <w:spacing w:after="0" w:line="266"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AF</w:t>
      </w:r>
    </w:p>
    <w:p>
      <w:pPr>
        <w:spacing w:after="0" w:line="38" w:lineRule="exact"/>
        <w:rPr>
          <w:rFonts w:ascii="Arial" w:cs="Arial" w:eastAsia="Arial" w:hAnsi="Arial"/>
          <w:sz w:val="19"/>
          <w:szCs w:val="19"/>
          <w:color w:val="auto"/>
        </w:rPr>
      </w:pPr>
    </w:p>
    <w:p>
      <w:pPr>
        <w:ind w:left="340" w:hanging="340"/>
        <w:spacing w:after="0"/>
        <w:tabs>
          <w:tab w:leader="none" w:pos="3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Check if Disclosure of Legal Proceedings is Required Pursuant to Items 2(d) or 2(e)</w:t>
      </w:r>
    </w:p>
    <w:p>
      <w:pPr>
        <w:spacing w:after="0" w:line="231" w:lineRule="exact"/>
        <w:rPr>
          <w:rFonts w:ascii="Arial" w:cs="Arial" w:eastAsia="Arial" w:hAnsi="Arial"/>
          <w:sz w:val="19"/>
          <w:szCs w:val="19"/>
          <w:color w:val="auto"/>
        </w:rPr>
      </w:pPr>
    </w:p>
    <w:p>
      <w:pPr>
        <w:ind w:left="340"/>
        <w:spacing w:after="0" w:line="191" w:lineRule="exact"/>
        <w:rPr>
          <w:rFonts w:ascii="Arial" w:cs="Arial" w:eastAsia="Arial" w:hAnsi="Arial"/>
          <w:sz w:val="19"/>
          <w:szCs w:val="19"/>
          <w:color w:val="auto"/>
        </w:rPr>
      </w:pPr>
      <w:r>
        <w:rPr>
          <w:rFonts w:ascii="MS PGothic" w:cs="MS PGothic" w:eastAsia="MS PGothic" w:hAnsi="MS PGothic"/>
          <w:sz w:val="19"/>
          <w:szCs w:val="19"/>
          <w:color w:val="auto"/>
        </w:rPr>
        <w:t>☐</w:t>
      </w:r>
    </w:p>
    <w:p>
      <w:pPr>
        <w:spacing w:after="0" w:line="108" w:lineRule="exact"/>
        <w:rPr>
          <w:rFonts w:ascii="Arial" w:cs="Arial" w:eastAsia="Arial" w:hAnsi="Arial"/>
          <w:sz w:val="19"/>
          <w:szCs w:val="19"/>
          <w:color w:val="auto"/>
        </w:rPr>
      </w:pPr>
    </w:p>
    <w:p>
      <w:pPr>
        <w:ind w:left="340" w:hanging="340"/>
        <w:spacing w:after="0"/>
        <w:tabs>
          <w:tab w:leader="none" w:pos="3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Citizenship or Place of Organization</w:t>
      </w:r>
    </w:p>
    <w:p>
      <w:pPr>
        <w:spacing w:after="0" w:line="259"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USA</w:t>
      </w:r>
    </w:p>
    <w:p>
      <w:pPr>
        <w:spacing w:after="0" w:line="38" w:lineRule="exact"/>
        <w:rPr>
          <w:rFonts w:ascii="Arial" w:cs="Arial" w:eastAsia="Arial" w:hAnsi="Arial"/>
          <w:sz w:val="19"/>
          <w:szCs w:val="19"/>
          <w:color w:val="auto"/>
        </w:rPr>
      </w:pPr>
    </w:p>
    <w:p>
      <w:pPr>
        <w:ind w:left="1500" w:hanging="359"/>
        <w:spacing w:after="0"/>
        <w:tabs>
          <w:tab w:leader="none" w:pos="1500" w:val="left"/>
        </w:tabs>
        <w:numPr>
          <w:ilvl w:val="1"/>
          <w:numId w:val="27"/>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66" w:lineRule="exact"/>
        <w:rPr>
          <w:rFonts w:ascii="Arial" w:cs="Arial" w:eastAsia="Arial" w:hAnsi="Arial"/>
          <w:sz w:val="19"/>
          <w:szCs w:val="19"/>
          <w:color w:val="auto"/>
        </w:rPr>
      </w:pPr>
    </w:p>
    <w:p>
      <w:pPr>
        <w:ind w:left="1500" w:right="280"/>
        <w:spacing w:after="0" w:line="288" w:lineRule="auto"/>
        <w:rPr>
          <w:rFonts w:ascii="Arial" w:cs="Arial" w:eastAsia="Arial" w:hAnsi="Arial"/>
          <w:sz w:val="19"/>
          <w:szCs w:val="19"/>
          <w:color w:val="auto"/>
        </w:rPr>
      </w:pPr>
      <w:r>
        <w:rPr>
          <w:rFonts w:ascii="Arial" w:cs="Arial" w:eastAsia="Arial" w:hAnsi="Arial"/>
          <w:sz w:val="17"/>
          <w:szCs w:val="17"/>
          <w:color w:val="auto"/>
        </w:rPr>
        <w:t>2,773,479 shares, of which (a) 2,676,234 shares are directly owned by PVP V, (b) 52,156 shares are directly owned by PVPE V, (c) 18,329 shares are directly owned by PVPFF and (d) 26,760 shares are directly owned by PVPSFF V, except that PVM V, the general</w:t>
      </w:r>
    </w:p>
    <w:tbl>
      <w:tblPr>
        <w:tblLayout w:type="fixed"/>
        <w:tblInd w:w="0" w:type="dxa"/>
        <w:tblCellMar>
          <w:top w:w="0" w:type="dxa"/>
          <w:left w:w="0" w:type="dxa"/>
          <w:bottom w:w="0" w:type="dxa"/>
          <w:right w:w="0" w:type="dxa"/>
        </w:tblCellMar>
      </w:tblPr>
      <w:tr>
        <w:trPr>
          <w:trHeight w:val="215"/>
        </w:trPr>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60" w:type="dxa"/>
            <w:vAlign w:val="bottom"/>
          </w:tcPr>
          <w:p>
            <w:pPr>
              <w:ind w:left="100"/>
              <w:spacing w:after="0" w:line="215" w:lineRule="exact"/>
              <w:rPr>
                <w:sz w:val="20"/>
                <w:szCs w:val="20"/>
                <w:color w:val="auto"/>
              </w:rPr>
            </w:pPr>
            <w:r>
              <w:rPr>
                <w:rFonts w:ascii="Arial" w:cs="Arial" w:eastAsia="Arial" w:hAnsi="Arial"/>
                <w:sz w:val="19"/>
                <w:szCs w:val="19"/>
                <w:color w:val="auto"/>
                <w:w w:val="96"/>
              </w:rPr>
              <w:t>partner of PVP V, PVPE V, PVPFF V and PVPSFF V, may be deemed to have sole power to vote the Fund V Shares, Flint, as a</w:t>
            </w:r>
          </w:p>
        </w:tc>
        <w:tc>
          <w:tcPr>
            <w:tcW w:w="0" w:type="dxa"/>
            <w:vAlign w:val="bottom"/>
          </w:tcPr>
          <w:p>
            <w:pPr>
              <w:spacing w:after="0"/>
              <w:rPr>
                <w:sz w:val="1"/>
                <w:szCs w:val="1"/>
                <w:color w:val="auto"/>
              </w:rPr>
            </w:pPr>
          </w:p>
        </w:tc>
      </w:tr>
      <w:tr>
        <w:trPr>
          <w:trHeight w:val="228"/>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2"/>
              </w:rPr>
              <w:t>Number of</w:t>
            </w: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0"/>
              </w:rPr>
              <w:t>managing member of PVM V, may be deemed to have shared power to vote the Fund V Shares, and Nashat, a member of PVM V, may</w:t>
            </w:r>
          </w:p>
        </w:tc>
        <w:tc>
          <w:tcPr>
            <w:tcW w:w="0" w:type="dxa"/>
            <w:vAlign w:val="bottom"/>
          </w:tcPr>
          <w:p>
            <w:pPr>
              <w:spacing w:after="0"/>
              <w:rPr>
                <w:sz w:val="1"/>
                <w:szCs w:val="1"/>
                <w:color w:val="auto"/>
              </w:rPr>
            </w:pPr>
          </w:p>
        </w:tc>
      </w:tr>
      <w:tr>
        <w:trPr>
          <w:trHeight w:val="185"/>
        </w:trPr>
        <w:tc>
          <w:tcPr>
            <w:tcW w:w="9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460" w:type="dxa"/>
            <w:vAlign w:val="bottom"/>
          </w:tcPr>
          <w:p>
            <w:pPr>
              <w:ind w:left="100"/>
              <w:spacing w:after="0" w:line="185" w:lineRule="exact"/>
              <w:rPr>
                <w:sz w:val="20"/>
                <w:szCs w:val="20"/>
                <w:color w:val="auto"/>
              </w:rPr>
            </w:pPr>
            <w:r>
              <w:rPr>
                <w:rFonts w:ascii="Arial" w:cs="Arial" w:eastAsia="Arial" w:hAnsi="Arial"/>
                <w:sz w:val="19"/>
                <w:szCs w:val="19"/>
                <w:color w:val="auto"/>
              </w:rPr>
              <w:t>be deemed to have shared power to vote the Fund V Shares.</w:t>
            </w:r>
          </w:p>
        </w:tc>
        <w:tc>
          <w:tcPr>
            <w:tcW w:w="0" w:type="dxa"/>
            <w:vAlign w:val="bottom"/>
          </w:tcPr>
          <w:p>
            <w:pPr>
              <w:spacing w:after="0"/>
              <w:rPr>
                <w:sz w:val="1"/>
                <w:szCs w:val="1"/>
                <w:color w:val="auto"/>
              </w:rPr>
            </w:pPr>
          </w:p>
        </w:tc>
      </w:tr>
      <w:tr>
        <w:trPr>
          <w:trHeight w:val="71"/>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82"/>
              </w:rPr>
              <w:t>Shares</w:t>
            </w:r>
          </w:p>
        </w:tc>
        <w:tc>
          <w:tcPr>
            <w:tcW w:w="460" w:type="dxa"/>
            <w:vAlign w:val="bottom"/>
            <w:tcBorders>
              <w:bottom w:val="single" w:sz="8" w:color="auto"/>
            </w:tcBorders>
          </w:tcPr>
          <w:p>
            <w:pPr>
              <w:spacing w:after="0"/>
              <w:rPr>
                <w:sz w:val="6"/>
                <w:szCs w:val="6"/>
                <w:color w:val="auto"/>
              </w:rPr>
            </w:pPr>
          </w:p>
        </w:tc>
        <w:tc>
          <w:tcPr>
            <w:tcW w:w="10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940" w:type="dxa"/>
            <w:vAlign w:val="bottom"/>
            <w:vMerge w:val="continue"/>
          </w:tcPr>
          <w:p>
            <w:pPr>
              <w:spacing w:after="0"/>
              <w:rPr>
                <w:sz w:val="11"/>
                <w:szCs w:val="11"/>
                <w:color w:val="auto"/>
              </w:rPr>
            </w:pPr>
          </w:p>
        </w:tc>
        <w:tc>
          <w:tcPr>
            <w:tcW w:w="460" w:type="dxa"/>
            <w:vAlign w:val="bottom"/>
            <w:vMerge w:val="restart"/>
          </w:tcPr>
          <w:p>
            <w:pPr>
              <w:jc w:val="right"/>
              <w:ind w:right="25"/>
              <w:spacing w:after="0"/>
              <w:rPr>
                <w:sz w:val="20"/>
                <w:szCs w:val="20"/>
                <w:color w:val="auto"/>
              </w:rPr>
            </w:pPr>
            <w:r>
              <w:rPr>
                <w:rFonts w:ascii="Arial" w:cs="Arial" w:eastAsia="Arial" w:hAnsi="Arial"/>
                <w:sz w:val="19"/>
                <w:szCs w:val="19"/>
                <w:color w:val="auto"/>
              </w:rPr>
              <w:t>8.</w:t>
            </w: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99"/>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7"/>
              </w:rPr>
              <w:t>Beneficially</w:t>
            </w:r>
          </w:p>
        </w:tc>
        <w:tc>
          <w:tcPr>
            <w:tcW w:w="460" w:type="dxa"/>
            <w:vAlign w:val="bottom"/>
            <w:vMerge w:val="continue"/>
          </w:tcPr>
          <w:p>
            <w:pPr>
              <w:spacing w:after="0"/>
              <w:rPr>
                <w:sz w:val="8"/>
                <w:szCs w:val="8"/>
                <w:color w:val="auto"/>
              </w:rPr>
            </w:pPr>
          </w:p>
        </w:tc>
        <w:tc>
          <w:tcPr>
            <w:tcW w:w="10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9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9"/>
                <w:szCs w:val="19"/>
                <w:color w:val="auto"/>
                <w:w w:val="91"/>
              </w:rPr>
              <w:t>Owned by</w:t>
            </w:r>
          </w:p>
        </w:tc>
        <w:tc>
          <w:tcPr>
            <w:tcW w:w="460" w:type="dxa"/>
            <w:vAlign w:val="bottom"/>
          </w:tcPr>
          <w:p>
            <w:pPr>
              <w:spacing w:after="0"/>
              <w:rPr>
                <w:sz w:val="19"/>
                <w:szCs w:val="19"/>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See response to row 7.</w:t>
            </w:r>
          </w:p>
        </w:tc>
        <w:tc>
          <w:tcPr>
            <w:tcW w:w="0" w:type="dxa"/>
            <w:vAlign w:val="bottom"/>
          </w:tcPr>
          <w:p>
            <w:pPr>
              <w:spacing w:after="0"/>
              <w:rPr>
                <w:sz w:val="1"/>
                <w:szCs w:val="1"/>
                <w:color w:val="auto"/>
              </w:rPr>
            </w:pPr>
          </w:p>
        </w:tc>
      </w:tr>
      <w:tr>
        <w:trPr>
          <w:trHeight w:val="123"/>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87"/>
              </w:rPr>
              <w:t>Each</w:t>
            </w:r>
          </w:p>
        </w:tc>
        <w:tc>
          <w:tcPr>
            <w:tcW w:w="460" w:type="dxa"/>
            <w:vAlign w:val="bottom"/>
            <w:tcBorders>
              <w:bottom w:val="single" w:sz="8" w:color="auto"/>
            </w:tcBorders>
          </w:tcPr>
          <w:p>
            <w:pPr>
              <w:spacing w:after="0"/>
              <w:rPr>
                <w:sz w:val="10"/>
                <w:szCs w:val="10"/>
                <w:color w:val="auto"/>
              </w:rPr>
            </w:pPr>
          </w:p>
        </w:tc>
        <w:tc>
          <w:tcPr>
            <w:tcW w:w="10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940" w:type="dxa"/>
            <w:vAlign w:val="bottom"/>
            <w:vMerge w:val="continue"/>
          </w:tcPr>
          <w:p>
            <w:pPr>
              <w:spacing w:after="0"/>
              <w:rPr>
                <w:sz w:val="7"/>
                <w:szCs w:val="7"/>
                <w:color w:val="auto"/>
              </w:rPr>
            </w:pPr>
          </w:p>
        </w:tc>
        <w:tc>
          <w:tcPr>
            <w:tcW w:w="460" w:type="dxa"/>
            <w:vAlign w:val="bottom"/>
            <w:vMerge w:val="restart"/>
          </w:tcPr>
          <w:p>
            <w:pPr>
              <w:jc w:val="right"/>
              <w:ind w:right="25"/>
              <w:spacing w:after="0"/>
              <w:rPr>
                <w:sz w:val="20"/>
                <w:szCs w:val="20"/>
                <w:color w:val="auto"/>
              </w:rPr>
            </w:pPr>
            <w:r>
              <w:rPr>
                <w:rFonts w:ascii="Arial" w:cs="Arial" w:eastAsia="Arial" w:hAnsi="Arial"/>
                <w:sz w:val="19"/>
                <w:szCs w:val="19"/>
                <w:color w:val="auto"/>
              </w:rPr>
              <w:t>9.</w:t>
            </w: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2"/>
              </w:rPr>
              <w:t>Reporting</w:t>
            </w:r>
          </w:p>
        </w:tc>
        <w:tc>
          <w:tcPr>
            <w:tcW w:w="460" w:type="dxa"/>
            <w:vAlign w:val="bottom"/>
            <w:vMerge w:val="continue"/>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9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0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9"/>
                <w:szCs w:val="19"/>
                <w:color w:val="auto"/>
                <w:w w:val="86"/>
              </w:rPr>
              <w:t>Person</w:t>
            </w:r>
          </w:p>
        </w:tc>
        <w:tc>
          <w:tcPr>
            <w:tcW w:w="460" w:type="dxa"/>
            <w:vAlign w:val="bottom"/>
          </w:tcPr>
          <w:p>
            <w:pPr>
              <w:spacing w:after="0"/>
              <w:rPr>
                <w:sz w:val="19"/>
                <w:szCs w:val="19"/>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w w:val="93"/>
              </w:rPr>
              <w:t>2,773,479 shares, of which (a) 2,676,234 shares are directly owned by PVP V, (b) 52,156 shares are directly owned by PVPE V, (c)</w:t>
            </w:r>
          </w:p>
        </w:tc>
        <w:tc>
          <w:tcPr>
            <w:tcW w:w="0" w:type="dxa"/>
            <w:vAlign w:val="bottom"/>
          </w:tcPr>
          <w:p>
            <w:pPr>
              <w:spacing w:after="0"/>
              <w:rPr>
                <w:sz w:val="1"/>
                <w:szCs w:val="1"/>
                <w:color w:val="auto"/>
              </w:rPr>
            </w:pPr>
          </w:p>
        </w:tc>
      </w:tr>
      <w:tr>
        <w:trPr>
          <w:trHeight w:val="157"/>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9"/>
              </w:rPr>
              <w:t>With</w:t>
            </w:r>
          </w:p>
        </w:tc>
        <w:tc>
          <w:tcPr>
            <w:tcW w:w="460" w:type="dxa"/>
            <w:vAlign w:val="bottom"/>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9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w w:val="92"/>
              </w:rPr>
              <w:t>18,329 shares are directly owned by PVPFF and (d) 26,760 shares are directly owned by PVPSFF V, except that PVM V, as general</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1"/>
              </w:rPr>
              <w:t>partner of PVP V, PVPE V, PVPFF V and PVPSFF V, may be deemed to have sole power to dispose of the Fund V Shares, Flint, as a</w:t>
            </w: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1"/>
              </w:rPr>
              <w:t>managing member of PVM V, may be deemed to have shared power to dispose of the Fund V Shares, and Nashat, a member of PVM</w:t>
            </w:r>
          </w:p>
        </w:tc>
        <w:tc>
          <w:tcPr>
            <w:tcW w:w="0" w:type="dxa"/>
            <w:vAlign w:val="bottom"/>
          </w:tcPr>
          <w:p>
            <w:pPr>
              <w:spacing w:after="0"/>
              <w:rPr>
                <w:sz w:val="1"/>
                <w:szCs w:val="1"/>
                <w:color w:val="auto"/>
              </w:rPr>
            </w:pPr>
          </w:p>
        </w:tc>
      </w:tr>
      <w:tr>
        <w:trPr>
          <w:trHeight w:val="241"/>
        </w:trPr>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rPr>
              <w:t>V, may be deemed to have shared power to dispose of the Fund V Shares.</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500" w:right="8380" w:hanging="454"/>
        <w:spacing w:after="0" w:line="455" w:lineRule="auto"/>
        <w:tabs>
          <w:tab w:leader="none" w:pos="15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Shared Dispositive Power See response to row 9.</w:t>
      </w:r>
    </w:p>
    <w:p>
      <w:pPr>
        <w:ind w:left="440" w:right="6360" w:hanging="440"/>
        <w:spacing w:after="0" w:line="407" w:lineRule="auto"/>
        <w:tabs>
          <w:tab w:leader="none" w:pos="4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2,773,479</w:t>
      </w:r>
    </w:p>
    <w:p>
      <w:pPr>
        <w:ind w:left="440" w:hanging="440"/>
        <w:spacing w:after="0"/>
        <w:tabs>
          <w:tab w:leader="none" w:pos="4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Check if the Aggregate Amount in Row (11) Excludes Certain Shares (See Instructions)</w:t>
      </w:r>
    </w:p>
    <w:p>
      <w:pPr>
        <w:spacing w:after="0" w:line="231" w:lineRule="exact"/>
        <w:rPr>
          <w:rFonts w:ascii="Arial" w:cs="Arial" w:eastAsia="Arial" w:hAnsi="Arial"/>
          <w:sz w:val="19"/>
          <w:szCs w:val="19"/>
          <w:color w:val="auto"/>
        </w:rPr>
      </w:pPr>
    </w:p>
    <w:p>
      <w:pPr>
        <w:ind w:left="440"/>
        <w:spacing w:after="0" w:line="191" w:lineRule="exact"/>
        <w:rPr>
          <w:rFonts w:ascii="Arial" w:cs="Arial" w:eastAsia="Arial" w:hAnsi="Arial"/>
          <w:sz w:val="19"/>
          <w:szCs w:val="19"/>
          <w:color w:val="auto"/>
        </w:rPr>
      </w:pPr>
      <w:r>
        <w:rPr>
          <w:rFonts w:ascii="MS PGothic" w:cs="MS PGothic" w:eastAsia="MS PGothic" w:hAnsi="MS PGothic"/>
          <w:sz w:val="19"/>
          <w:szCs w:val="19"/>
          <w:color w:val="auto"/>
        </w:rPr>
        <w:t>☐</w:t>
      </w:r>
    </w:p>
    <w:p>
      <w:pPr>
        <w:spacing w:after="0" w:line="108" w:lineRule="exact"/>
        <w:rPr>
          <w:rFonts w:ascii="Arial" w:cs="Arial" w:eastAsia="Arial" w:hAnsi="Arial"/>
          <w:sz w:val="19"/>
          <w:szCs w:val="19"/>
          <w:color w:val="auto"/>
        </w:rPr>
      </w:pPr>
    </w:p>
    <w:p>
      <w:pPr>
        <w:ind w:left="440" w:right="7340" w:hanging="440"/>
        <w:spacing w:after="0" w:line="403" w:lineRule="auto"/>
        <w:tabs>
          <w:tab w:leader="none" w:pos="4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Percent of Class Represented by Amount in Row (11) 6.5%</w:t>
      </w:r>
    </w:p>
    <w:p>
      <w:pPr>
        <w:spacing w:after="0" w:line="1" w:lineRule="exact"/>
        <w:rPr>
          <w:rFonts w:ascii="Arial" w:cs="Arial" w:eastAsia="Arial" w:hAnsi="Arial"/>
          <w:sz w:val="19"/>
          <w:szCs w:val="19"/>
          <w:color w:val="auto"/>
        </w:rPr>
      </w:pPr>
    </w:p>
    <w:p>
      <w:pPr>
        <w:ind w:left="440" w:hanging="440"/>
        <w:spacing w:after="0"/>
        <w:tabs>
          <w:tab w:leader="none" w:pos="4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66" w:lineRule="exact"/>
        <w:rPr>
          <w:rFonts w:ascii="Arial" w:cs="Arial" w:eastAsia="Arial" w:hAnsi="Arial"/>
          <w:sz w:val="19"/>
          <w:szCs w:val="19"/>
          <w:color w:val="auto"/>
        </w:rPr>
      </w:pPr>
    </w:p>
    <w:p>
      <w:pPr>
        <w:ind w:left="440"/>
        <w:spacing w:after="0"/>
        <w:rPr>
          <w:rFonts w:ascii="Arial" w:cs="Arial" w:eastAsia="Arial" w:hAnsi="Arial"/>
          <w:sz w:val="19"/>
          <w:szCs w:val="19"/>
          <w:color w:val="auto"/>
        </w:rPr>
      </w:pPr>
      <w:r>
        <w:rPr>
          <w:rFonts w:ascii="Arial" w:cs="Arial" w:eastAsia="Arial" w:hAnsi="Arial"/>
          <w:sz w:val="19"/>
          <w:szCs w:val="19"/>
          <w:color w:val="auto"/>
        </w:rPr>
        <w:t>IN</w:t>
      </w:r>
    </w:p>
    <w:p>
      <w:pPr>
        <w:sectPr>
          <w:pgSz w:w="12240" w:h="15840" w:orient="portrait"/>
          <w:cols w:equalWidth="0" w:num="1">
            <w:col w:w="11860"/>
          </w:cols>
          <w:pgMar w:left="280" w:top="156" w:right="100" w:bottom="1440" w:gutter="0" w:footer="0" w:header="0"/>
        </w:sectPr>
      </w:pPr>
    </w:p>
    <w:bookmarkStart w:id="8" w:name="page9"/>
    <w:bookmarkEnd w:id="8"/>
    <w:p>
      <w:pPr>
        <w:ind w:left="340" w:right="9280" w:hanging="340"/>
        <w:spacing w:after="0" w:line="407" w:lineRule="auto"/>
        <w:tabs>
          <w:tab w:leader="none" w:pos="340" w:val="left"/>
        </w:tabs>
        <w:numPr>
          <w:ilvl w:val="0"/>
          <w:numId w:val="30"/>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8005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68260" cy="8005445"/>
                    </a:xfrm>
                    <a:prstGeom prst="rect">
                      <a:avLst/>
                    </a:prstGeom>
                    <a:noFill/>
                  </pic:spPr>
                </pic:pic>
              </a:graphicData>
            </a:graphic>
          </wp:anchor>
        </w:drawing>
        <w:t>Names of Reporting Persons. Amir Nashat</w:t>
      </w:r>
    </w:p>
    <w:p>
      <w:pPr>
        <w:ind w:left="340" w:hanging="340"/>
        <w:spacing w:after="0"/>
        <w:tabs>
          <w:tab w:leader="none" w:pos="3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9" w:lineRule="exact"/>
        <w:rPr>
          <w:sz w:val="20"/>
          <w:szCs w:val="20"/>
          <w:color w:val="auto"/>
        </w:rPr>
      </w:pPr>
    </w:p>
    <w:p>
      <w:pPr>
        <w:ind w:left="340"/>
        <w:spacing w:after="0" w:line="219" w:lineRule="exact"/>
        <w:tabs>
          <w:tab w:leader="none" w:pos="1180" w:val="left"/>
        </w:tabs>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sz w:val="20"/>
          <w:szCs w:val="20"/>
          <w:color w:val="auto"/>
        </w:rPr>
        <w:tab/>
      </w:r>
      <w:r>
        <w:rPr>
          <w:rFonts w:ascii="Arial" w:cs="Arial" w:eastAsia="Arial" w:hAnsi="Arial"/>
          <w:sz w:val="19"/>
          <w:szCs w:val="19"/>
          <w:color w:val="auto"/>
        </w:rPr>
        <w:t xml:space="preserve">(b) </w:t>
      </w:r>
      <w:r>
        <w:rPr>
          <w:rFonts w:ascii="MS PGothic" w:cs="MS PGothic" w:eastAsia="MS PGothic" w:hAnsi="MS PGothic"/>
          <w:sz w:val="19"/>
          <w:szCs w:val="19"/>
          <w:color w:val="auto"/>
        </w:rPr>
        <w:t>☒</w:t>
      </w:r>
    </w:p>
    <w:p>
      <w:pPr>
        <w:spacing w:after="0" w:line="286" w:lineRule="exact"/>
        <w:rPr>
          <w:sz w:val="20"/>
          <w:szCs w:val="20"/>
          <w:color w:val="auto"/>
        </w:rPr>
      </w:pPr>
    </w:p>
    <w:p>
      <w:pPr>
        <w:ind w:left="340" w:hanging="340"/>
        <w:spacing w:after="0"/>
        <w:tabs>
          <w:tab w:leader="none" w:pos="3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94" w:lineRule="exact"/>
        <w:rPr>
          <w:rFonts w:ascii="Arial" w:cs="Arial" w:eastAsia="Arial" w:hAnsi="Arial"/>
          <w:sz w:val="19"/>
          <w:szCs w:val="19"/>
          <w:color w:val="auto"/>
        </w:rPr>
      </w:pPr>
    </w:p>
    <w:p>
      <w:pPr>
        <w:ind w:left="340" w:hanging="340"/>
        <w:spacing w:after="0"/>
        <w:tabs>
          <w:tab w:leader="none" w:pos="3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Source of Funds (See Instructions)</w:t>
      </w:r>
    </w:p>
    <w:p>
      <w:pPr>
        <w:spacing w:after="0" w:line="266"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AF</w:t>
      </w:r>
    </w:p>
    <w:p>
      <w:pPr>
        <w:spacing w:after="0" w:line="38" w:lineRule="exact"/>
        <w:rPr>
          <w:rFonts w:ascii="Arial" w:cs="Arial" w:eastAsia="Arial" w:hAnsi="Arial"/>
          <w:sz w:val="19"/>
          <w:szCs w:val="19"/>
          <w:color w:val="auto"/>
        </w:rPr>
      </w:pPr>
    </w:p>
    <w:p>
      <w:pPr>
        <w:ind w:left="340" w:hanging="340"/>
        <w:spacing w:after="0"/>
        <w:tabs>
          <w:tab w:leader="none" w:pos="3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Check if Disclosure of Legal Proceedings is Required Pursuant to Items 2(d) or 2(e)</w:t>
      </w:r>
    </w:p>
    <w:p>
      <w:pPr>
        <w:spacing w:after="0" w:line="231" w:lineRule="exact"/>
        <w:rPr>
          <w:rFonts w:ascii="Arial" w:cs="Arial" w:eastAsia="Arial" w:hAnsi="Arial"/>
          <w:sz w:val="19"/>
          <w:szCs w:val="19"/>
          <w:color w:val="auto"/>
        </w:rPr>
      </w:pPr>
    </w:p>
    <w:p>
      <w:pPr>
        <w:ind w:left="340"/>
        <w:spacing w:after="0" w:line="191" w:lineRule="exact"/>
        <w:rPr>
          <w:rFonts w:ascii="Arial" w:cs="Arial" w:eastAsia="Arial" w:hAnsi="Arial"/>
          <w:sz w:val="19"/>
          <w:szCs w:val="19"/>
          <w:color w:val="auto"/>
        </w:rPr>
      </w:pPr>
      <w:r>
        <w:rPr>
          <w:rFonts w:ascii="MS PGothic" w:cs="MS PGothic" w:eastAsia="MS PGothic" w:hAnsi="MS PGothic"/>
          <w:sz w:val="19"/>
          <w:szCs w:val="19"/>
          <w:color w:val="auto"/>
        </w:rPr>
        <w:t>☐</w:t>
      </w:r>
    </w:p>
    <w:p>
      <w:pPr>
        <w:spacing w:after="0" w:line="108" w:lineRule="exact"/>
        <w:rPr>
          <w:rFonts w:ascii="Arial" w:cs="Arial" w:eastAsia="Arial" w:hAnsi="Arial"/>
          <w:sz w:val="19"/>
          <w:szCs w:val="19"/>
          <w:color w:val="auto"/>
        </w:rPr>
      </w:pPr>
    </w:p>
    <w:p>
      <w:pPr>
        <w:ind w:left="340" w:hanging="340"/>
        <w:spacing w:after="0"/>
        <w:tabs>
          <w:tab w:leader="none" w:pos="3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Citizenship or Place of Organization</w:t>
      </w:r>
    </w:p>
    <w:p>
      <w:pPr>
        <w:spacing w:after="0" w:line="259"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19"/>
          <w:szCs w:val="19"/>
          <w:color w:val="auto"/>
        </w:rPr>
        <w:t>USA</w:t>
      </w:r>
    </w:p>
    <w:p>
      <w:pPr>
        <w:spacing w:after="0" w:line="38" w:lineRule="exact"/>
        <w:rPr>
          <w:rFonts w:ascii="Arial" w:cs="Arial" w:eastAsia="Arial" w:hAnsi="Arial"/>
          <w:sz w:val="19"/>
          <w:szCs w:val="19"/>
          <w:color w:val="auto"/>
        </w:rPr>
      </w:pPr>
    </w:p>
    <w:p>
      <w:pPr>
        <w:ind w:left="1500" w:hanging="359"/>
        <w:spacing w:after="0"/>
        <w:tabs>
          <w:tab w:leader="none" w:pos="15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66" w:lineRule="exact"/>
        <w:rPr>
          <w:rFonts w:ascii="Arial" w:cs="Arial" w:eastAsia="Arial" w:hAnsi="Arial"/>
          <w:sz w:val="19"/>
          <w:szCs w:val="19"/>
          <w:color w:val="auto"/>
        </w:rPr>
      </w:pPr>
    </w:p>
    <w:p>
      <w:pPr>
        <w:ind w:left="1500" w:right="60"/>
        <w:spacing w:after="0" w:line="284" w:lineRule="auto"/>
        <w:rPr>
          <w:rFonts w:ascii="Arial" w:cs="Arial" w:eastAsia="Arial" w:hAnsi="Arial"/>
          <w:sz w:val="19"/>
          <w:szCs w:val="19"/>
          <w:color w:val="auto"/>
        </w:rPr>
      </w:pPr>
      <w:r>
        <w:rPr>
          <w:rFonts w:ascii="Arial" w:cs="Arial" w:eastAsia="Arial" w:hAnsi="Arial"/>
          <w:sz w:val="17"/>
          <w:szCs w:val="17"/>
          <w:color w:val="auto"/>
        </w:rPr>
        <w:t>2,779,889 shares, of which (a) 2,676,234 shares are directly owned by PVP V, (b) 52,156 shares are directly owned by PVPE V, (c) 18,329 shares are directly owned by PVPFF, (d) 26,760 shares are directly owned by PVPSFF V and (e) 6,410 shares which represent Common Stock underlying a Stock Option owned by Nashat directly, except that PVM V, the general partner of PVP V, PVPE V, PVPFF V and PVPSFF V, may be deemed to have sole power to vote the Fund V Shares, Flint, as a managing member of PVM V, may</w:t>
      </w: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2"/>
              </w:rPr>
              <w:t>Number of</w:t>
            </w:r>
          </w:p>
        </w:tc>
        <w:tc>
          <w:tcPr>
            <w:tcW w:w="460" w:type="dxa"/>
            <w:vAlign w:val="bottom"/>
          </w:tcPr>
          <w:p>
            <w:pPr>
              <w:spacing w:after="0"/>
              <w:rPr>
                <w:sz w:val="18"/>
                <w:szCs w:val="18"/>
                <w:color w:val="auto"/>
              </w:rPr>
            </w:pPr>
          </w:p>
        </w:tc>
        <w:tc>
          <w:tcPr>
            <w:tcW w:w="10460" w:type="dxa"/>
            <w:vAlign w:val="bottom"/>
          </w:tcPr>
          <w:p>
            <w:pPr>
              <w:ind w:left="100"/>
              <w:spacing w:after="0" w:line="215" w:lineRule="exact"/>
              <w:rPr>
                <w:sz w:val="20"/>
                <w:szCs w:val="20"/>
                <w:color w:val="auto"/>
              </w:rPr>
            </w:pPr>
            <w:r>
              <w:rPr>
                <w:rFonts w:ascii="Arial" w:cs="Arial" w:eastAsia="Arial" w:hAnsi="Arial"/>
                <w:sz w:val="19"/>
                <w:szCs w:val="19"/>
                <w:color w:val="auto"/>
                <w:w w:val="92"/>
              </w:rPr>
              <w:t>be deemed to have shared power to vote the Fund V Shares, and McGuire, a managing member of PVM V, may be deemed to have</w:t>
            </w:r>
          </w:p>
        </w:tc>
        <w:tc>
          <w:tcPr>
            <w:tcW w:w="0" w:type="dxa"/>
            <w:vAlign w:val="bottom"/>
          </w:tcPr>
          <w:p>
            <w:pPr>
              <w:spacing w:after="0"/>
              <w:rPr>
                <w:sz w:val="1"/>
                <w:szCs w:val="1"/>
                <w:color w:val="auto"/>
              </w:rPr>
            </w:pPr>
          </w:p>
        </w:tc>
      </w:tr>
      <w:tr>
        <w:trPr>
          <w:trHeight w:val="185"/>
        </w:trPr>
        <w:tc>
          <w:tcPr>
            <w:tcW w:w="9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460" w:type="dxa"/>
            <w:vAlign w:val="bottom"/>
          </w:tcPr>
          <w:p>
            <w:pPr>
              <w:ind w:left="100"/>
              <w:spacing w:after="0" w:line="185" w:lineRule="exact"/>
              <w:rPr>
                <w:sz w:val="20"/>
                <w:szCs w:val="20"/>
                <w:color w:val="auto"/>
              </w:rPr>
            </w:pPr>
            <w:r>
              <w:rPr>
                <w:rFonts w:ascii="Arial" w:cs="Arial" w:eastAsia="Arial" w:hAnsi="Arial"/>
                <w:sz w:val="19"/>
                <w:szCs w:val="19"/>
                <w:color w:val="auto"/>
              </w:rPr>
              <w:t>shared power to vote the Fund V Shares.</w:t>
            </w:r>
          </w:p>
        </w:tc>
        <w:tc>
          <w:tcPr>
            <w:tcW w:w="0" w:type="dxa"/>
            <w:vAlign w:val="bottom"/>
          </w:tcPr>
          <w:p>
            <w:pPr>
              <w:spacing w:after="0"/>
              <w:rPr>
                <w:sz w:val="1"/>
                <w:szCs w:val="1"/>
                <w:color w:val="auto"/>
              </w:rPr>
            </w:pPr>
          </w:p>
        </w:tc>
      </w:tr>
      <w:tr>
        <w:trPr>
          <w:trHeight w:val="71"/>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82"/>
              </w:rPr>
              <w:t>Shares</w:t>
            </w:r>
          </w:p>
        </w:tc>
        <w:tc>
          <w:tcPr>
            <w:tcW w:w="460" w:type="dxa"/>
            <w:vAlign w:val="bottom"/>
            <w:tcBorders>
              <w:bottom w:val="single" w:sz="8" w:color="auto"/>
            </w:tcBorders>
          </w:tcPr>
          <w:p>
            <w:pPr>
              <w:spacing w:after="0"/>
              <w:rPr>
                <w:sz w:val="6"/>
                <w:szCs w:val="6"/>
                <w:color w:val="auto"/>
              </w:rPr>
            </w:pPr>
          </w:p>
        </w:tc>
        <w:tc>
          <w:tcPr>
            <w:tcW w:w="10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940" w:type="dxa"/>
            <w:vAlign w:val="bottom"/>
            <w:vMerge w:val="continue"/>
          </w:tcPr>
          <w:p>
            <w:pPr>
              <w:spacing w:after="0"/>
              <w:rPr>
                <w:sz w:val="11"/>
                <w:szCs w:val="11"/>
                <w:color w:val="auto"/>
              </w:rPr>
            </w:pPr>
          </w:p>
        </w:tc>
        <w:tc>
          <w:tcPr>
            <w:tcW w:w="460" w:type="dxa"/>
            <w:vAlign w:val="bottom"/>
            <w:vMerge w:val="restart"/>
          </w:tcPr>
          <w:p>
            <w:pPr>
              <w:jc w:val="right"/>
              <w:ind w:right="25"/>
              <w:spacing w:after="0"/>
              <w:rPr>
                <w:sz w:val="20"/>
                <w:szCs w:val="20"/>
                <w:color w:val="auto"/>
              </w:rPr>
            </w:pPr>
            <w:r>
              <w:rPr>
                <w:rFonts w:ascii="Arial" w:cs="Arial" w:eastAsia="Arial" w:hAnsi="Arial"/>
                <w:sz w:val="19"/>
                <w:szCs w:val="19"/>
                <w:color w:val="auto"/>
              </w:rPr>
              <w:t>8.</w:t>
            </w: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99"/>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7"/>
              </w:rPr>
              <w:t>Beneficially</w:t>
            </w:r>
          </w:p>
        </w:tc>
        <w:tc>
          <w:tcPr>
            <w:tcW w:w="460" w:type="dxa"/>
            <w:vAlign w:val="bottom"/>
            <w:vMerge w:val="continue"/>
          </w:tcPr>
          <w:p>
            <w:pPr>
              <w:spacing w:after="0"/>
              <w:rPr>
                <w:sz w:val="8"/>
                <w:szCs w:val="8"/>
                <w:color w:val="auto"/>
              </w:rPr>
            </w:pPr>
          </w:p>
        </w:tc>
        <w:tc>
          <w:tcPr>
            <w:tcW w:w="10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9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9"/>
                <w:szCs w:val="19"/>
                <w:color w:val="auto"/>
                <w:w w:val="91"/>
              </w:rPr>
              <w:t>Owned by</w:t>
            </w:r>
          </w:p>
        </w:tc>
        <w:tc>
          <w:tcPr>
            <w:tcW w:w="460" w:type="dxa"/>
            <w:vAlign w:val="bottom"/>
          </w:tcPr>
          <w:p>
            <w:pPr>
              <w:spacing w:after="0"/>
              <w:rPr>
                <w:sz w:val="19"/>
                <w:szCs w:val="19"/>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See response to row 7.</w:t>
            </w:r>
          </w:p>
        </w:tc>
        <w:tc>
          <w:tcPr>
            <w:tcW w:w="0" w:type="dxa"/>
            <w:vAlign w:val="bottom"/>
          </w:tcPr>
          <w:p>
            <w:pPr>
              <w:spacing w:after="0"/>
              <w:rPr>
                <w:sz w:val="1"/>
                <w:szCs w:val="1"/>
                <w:color w:val="auto"/>
              </w:rPr>
            </w:pPr>
          </w:p>
        </w:tc>
      </w:tr>
      <w:tr>
        <w:trPr>
          <w:trHeight w:val="123"/>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87"/>
              </w:rPr>
              <w:t>Each</w:t>
            </w:r>
          </w:p>
        </w:tc>
        <w:tc>
          <w:tcPr>
            <w:tcW w:w="460" w:type="dxa"/>
            <w:vAlign w:val="bottom"/>
            <w:tcBorders>
              <w:bottom w:val="single" w:sz="8" w:color="auto"/>
            </w:tcBorders>
          </w:tcPr>
          <w:p>
            <w:pPr>
              <w:spacing w:after="0"/>
              <w:rPr>
                <w:sz w:val="10"/>
                <w:szCs w:val="10"/>
                <w:color w:val="auto"/>
              </w:rPr>
            </w:pPr>
          </w:p>
        </w:tc>
        <w:tc>
          <w:tcPr>
            <w:tcW w:w="10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940" w:type="dxa"/>
            <w:vAlign w:val="bottom"/>
            <w:vMerge w:val="continue"/>
          </w:tcPr>
          <w:p>
            <w:pPr>
              <w:spacing w:after="0"/>
              <w:rPr>
                <w:sz w:val="7"/>
                <w:szCs w:val="7"/>
                <w:color w:val="auto"/>
              </w:rPr>
            </w:pPr>
          </w:p>
        </w:tc>
        <w:tc>
          <w:tcPr>
            <w:tcW w:w="460" w:type="dxa"/>
            <w:vAlign w:val="bottom"/>
            <w:vMerge w:val="restart"/>
          </w:tcPr>
          <w:p>
            <w:pPr>
              <w:jc w:val="right"/>
              <w:ind w:right="25"/>
              <w:spacing w:after="0"/>
              <w:rPr>
                <w:sz w:val="20"/>
                <w:szCs w:val="20"/>
                <w:color w:val="auto"/>
              </w:rPr>
            </w:pPr>
            <w:r>
              <w:rPr>
                <w:rFonts w:ascii="Arial" w:cs="Arial" w:eastAsia="Arial" w:hAnsi="Arial"/>
                <w:sz w:val="19"/>
                <w:szCs w:val="19"/>
                <w:color w:val="auto"/>
              </w:rPr>
              <w:t>9.</w:t>
            </w: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2"/>
              </w:rPr>
              <w:t>Reporting</w:t>
            </w:r>
          </w:p>
        </w:tc>
        <w:tc>
          <w:tcPr>
            <w:tcW w:w="460" w:type="dxa"/>
            <w:vAlign w:val="bottom"/>
            <w:vMerge w:val="continue"/>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9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0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Arial" w:cs="Arial" w:eastAsia="Arial" w:hAnsi="Arial"/>
                <w:sz w:val="19"/>
                <w:szCs w:val="19"/>
                <w:color w:val="auto"/>
                <w:w w:val="86"/>
              </w:rPr>
              <w:t>Person</w:t>
            </w:r>
          </w:p>
        </w:tc>
        <w:tc>
          <w:tcPr>
            <w:tcW w:w="460" w:type="dxa"/>
            <w:vAlign w:val="bottom"/>
          </w:tcPr>
          <w:p>
            <w:pPr>
              <w:spacing w:after="0"/>
              <w:rPr>
                <w:sz w:val="19"/>
                <w:szCs w:val="19"/>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w w:val="93"/>
              </w:rPr>
              <w:t>2,779,889 shares, of which (a) 2,676,234 shares are directly owned by PVP V, (b) 52,156 shares are directly owned by PVPE V, (c)</w:t>
            </w:r>
          </w:p>
        </w:tc>
        <w:tc>
          <w:tcPr>
            <w:tcW w:w="0" w:type="dxa"/>
            <w:vAlign w:val="bottom"/>
          </w:tcPr>
          <w:p>
            <w:pPr>
              <w:spacing w:after="0"/>
              <w:rPr>
                <w:sz w:val="1"/>
                <w:szCs w:val="1"/>
                <w:color w:val="auto"/>
              </w:rPr>
            </w:pPr>
          </w:p>
        </w:tc>
      </w:tr>
      <w:tr>
        <w:trPr>
          <w:trHeight w:val="157"/>
        </w:trPr>
        <w:tc>
          <w:tcPr>
            <w:tcW w:w="940" w:type="dxa"/>
            <w:vAlign w:val="bottom"/>
            <w:vMerge w:val="restart"/>
          </w:tcPr>
          <w:p>
            <w:pPr>
              <w:jc w:val="center"/>
              <w:spacing w:after="0"/>
              <w:rPr>
                <w:sz w:val="20"/>
                <w:szCs w:val="20"/>
                <w:color w:val="auto"/>
              </w:rPr>
            </w:pPr>
            <w:r>
              <w:rPr>
                <w:rFonts w:ascii="Arial" w:cs="Arial" w:eastAsia="Arial" w:hAnsi="Arial"/>
                <w:sz w:val="19"/>
                <w:szCs w:val="19"/>
                <w:color w:val="auto"/>
                <w:w w:val="99"/>
              </w:rPr>
              <w:t>With</w:t>
            </w:r>
          </w:p>
        </w:tc>
        <w:tc>
          <w:tcPr>
            <w:tcW w:w="460" w:type="dxa"/>
            <w:vAlign w:val="bottom"/>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9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0460" w:type="dxa"/>
            <w:vAlign w:val="bottom"/>
            <w:vMerge w:val="restart"/>
          </w:tcPr>
          <w:p>
            <w:pPr>
              <w:ind w:left="100"/>
              <w:spacing w:after="0"/>
              <w:rPr>
                <w:sz w:val="20"/>
                <w:szCs w:val="20"/>
                <w:color w:val="auto"/>
              </w:rPr>
            </w:pPr>
            <w:r>
              <w:rPr>
                <w:rFonts w:ascii="Arial" w:cs="Arial" w:eastAsia="Arial" w:hAnsi="Arial"/>
                <w:sz w:val="19"/>
                <w:szCs w:val="19"/>
                <w:color w:val="auto"/>
                <w:w w:val="91"/>
              </w:rPr>
              <w:t>18,329 shares are directly owned by PVPFF, (d) 26,760 shares are directly owned by PVPSFF V and (e) 6,410 shares which represent</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6"/>
              </w:rPr>
              <w:t>Common Stock underlying a Stock Option owned by Nashat directly, except that PVM V, as general partner of PVP V, PVPE V,</w:t>
            </w: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1"/>
              </w:rPr>
              <w:t>PVPFF V and PVPSFF V, may be deemed to have sole power to dispose of the Fund V Shares, Flint, as a managing member of PVM</w:t>
            </w: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w w:val="95"/>
              </w:rPr>
              <w:t>V, may be deemed to have shared power to dispose of the Fund V Shares, and McGuire, a managing member of PVM V, may be</w:t>
            </w:r>
          </w:p>
        </w:tc>
        <w:tc>
          <w:tcPr>
            <w:tcW w:w="0" w:type="dxa"/>
            <w:vAlign w:val="bottom"/>
          </w:tcPr>
          <w:p>
            <w:pPr>
              <w:spacing w:after="0"/>
              <w:rPr>
                <w:sz w:val="1"/>
                <w:szCs w:val="1"/>
                <w:color w:val="auto"/>
              </w:rPr>
            </w:pPr>
          </w:p>
        </w:tc>
      </w:tr>
      <w:tr>
        <w:trPr>
          <w:trHeight w:val="241"/>
        </w:trPr>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60" w:type="dxa"/>
            <w:vAlign w:val="bottom"/>
          </w:tcPr>
          <w:p>
            <w:pPr>
              <w:ind w:left="100"/>
              <w:spacing w:after="0"/>
              <w:rPr>
                <w:sz w:val="20"/>
                <w:szCs w:val="20"/>
                <w:color w:val="auto"/>
              </w:rPr>
            </w:pPr>
            <w:r>
              <w:rPr>
                <w:rFonts w:ascii="Arial" w:cs="Arial" w:eastAsia="Arial" w:hAnsi="Arial"/>
                <w:sz w:val="19"/>
                <w:szCs w:val="19"/>
                <w:color w:val="auto"/>
              </w:rPr>
              <w:t>deemed to have shared power to dispose of the Fund V Shares.</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500" w:right="8380" w:hanging="454"/>
        <w:spacing w:after="0" w:line="455" w:lineRule="auto"/>
        <w:tabs>
          <w:tab w:leader="none" w:pos="15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Shared Dispositive Power See response to row 9.</w:t>
      </w:r>
    </w:p>
    <w:p>
      <w:pPr>
        <w:ind w:left="440" w:right="6360" w:hanging="440"/>
        <w:spacing w:after="0" w:line="407" w:lineRule="auto"/>
        <w:tabs>
          <w:tab w:leader="none" w:pos="4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2,779,889</w:t>
      </w:r>
    </w:p>
    <w:p>
      <w:pPr>
        <w:ind w:left="440" w:hanging="440"/>
        <w:spacing w:after="0"/>
        <w:tabs>
          <w:tab w:leader="none" w:pos="4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Check if the Aggregate Amount in Row (11) Excludes Certain Shares (See Instructions)</w:t>
      </w:r>
    </w:p>
    <w:p>
      <w:pPr>
        <w:spacing w:after="0" w:line="231" w:lineRule="exact"/>
        <w:rPr>
          <w:rFonts w:ascii="Arial" w:cs="Arial" w:eastAsia="Arial" w:hAnsi="Arial"/>
          <w:sz w:val="19"/>
          <w:szCs w:val="19"/>
          <w:color w:val="auto"/>
        </w:rPr>
      </w:pPr>
    </w:p>
    <w:p>
      <w:pPr>
        <w:ind w:left="440"/>
        <w:spacing w:after="0" w:line="191" w:lineRule="exact"/>
        <w:rPr>
          <w:rFonts w:ascii="Arial" w:cs="Arial" w:eastAsia="Arial" w:hAnsi="Arial"/>
          <w:sz w:val="19"/>
          <w:szCs w:val="19"/>
          <w:color w:val="auto"/>
        </w:rPr>
      </w:pPr>
      <w:r>
        <w:rPr>
          <w:rFonts w:ascii="MS PGothic" w:cs="MS PGothic" w:eastAsia="MS PGothic" w:hAnsi="MS PGothic"/>
          <w:sz w:val="19"/>
          <w:szCs w:val="19"/>
          <w:color w:val="auto"/>
        </w:rPr>
        <w:t>☐</w:t>
      </w:r>
    </w:p>
    <w:p>
      <w:pPr>
        <w:spacing w:after="0" w:line="108" w:lineRule="exact"/>
        <w:rPr>
          <w:rFonts w:ascii="Arial" w:cs="Arial" w:eastAsia="Arial" w:hAnsi="Arial"/>
          <w:sz w:val="19"/>
          <w:szCs w:val="19"/>
          <w:color w:val="auto"/>
        </w:rPr>
      </w:pPr>
    </w:p>
    <w:p>
      <w:pPr>
        <w:ind w:left="440" w:right="7340" w:hanging="440"/>
        <w:spacing w:after="0" w:line="403" w:lineRule="auto"/>
        <w:tabs>
          <w:tab w:leader="none" w:pos="4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Percent of Class Represented by Amount in Row (11) 6.5%</w:t>
      </w:r>
    </w:p>
    <w:p>
      <w:pPr>
        <w:spacing w:after="0" w:line="1" w:lineRule="exact"/>
        <w:rPr>
          <w:rFonts w:ascii="Arial" w:cs="Arial" w:eastAsia="Arial" w:hAnsi="Arial"/>
          <w:sz w:val="19"/>
          <w:szCs w:val="19"/>
          <w:color w:val="auto"/>
        </w:rPr>
      </w:pPr>
    </w:p>
    <w:p>
      <w:pPr>
        <w:ind w:left="440" w:hanging="440"/>
        <w:spacing w:after="0"/>
        <w:tabs>
          <w:tab w:leader="none" w:pos="4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66" w:lineRule="exact"/>
        <w:rPr>
          <w:rFonts w:ascii="Arial" w:cs="Arial" w:eastAsia="Arial" w:hAnsi="Arial"/>
          <w:sz w:val="19"/>
          <w:szCs w:val="19"/>
          <w:color w:val="auto"/>
        </w:rPr>
      </w:pPr>
    </w:p>
    <w:p>
      <w:pPr>
        <w:ind w:left="440"/>
        <w:spacing w:after="0"/>
        <w:rPr>
          <w:rFonts w:ascii="Arial" w:cs="Arial" w:eastAsia="Arial" w:hAnsi="Arial"/>
          <w:sz w:val="19"/>
          <w:szCs w:val="19"/>
          <w:color w:val="auto"/>
        </w:rPr>
      </w:pPr>
      <w:r>
        <w:rPr>
          <w:rFonts w:ascii="Arial" w:cs="Arial" w:eastAsia="Arial" w:hAnsi="Arial"/>
          <w:sz w:val="19"/>
          <w:szCs w:val="19"/>
          <w:color w:val="auto"/>
        </w:rPr>
        <w:t>IN</w:t>
      </w:r>
    </w:p>
    <w:p>
      <w:pPr>
        <w:sectPr>
          <w:pgSz w:w="12240" w:h="15840" w:orient="portrait"/>
          <w:cols w:equalWidth="0" w:num="1">
            <w:col w:w="11860"/>
          </w:cols>
          <w:pgMar w:left="280" w:top="156" w:right="100" w:bottom="1440" w:gutter="0" w:footer="0" w:header="0"/>
        </w:sectPr>
      </w:pPr>
    </w:p>
    <w:bookmarkStart w:id="9" w:name="page10"/>
    <w:bookmarkEnd w:id="9"/>
    <w:p>
      <w:pPr>
        <w:ind w:left="6"/>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68260" cy="40005"/>
                    </a:xfrm>
                    <a:prstGeom prst="rect">
                      <a:avLst/>
                    </a:prstGeom>
                    <a:noFill/>
                  </pic:spPr>
                </pic:pic>
              </a:graphicData>
            </a:graphic>
          </wp:anchor>
        </w:drawing>
        <w:t>CUSIP No. 816212104</w:t>
      </w:r>
    </w:p>
    <w:p>
      <w:pPr>
        <w:spacing w:after="0" w:line="232"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SCHEDULE 13D</w:t>
      </w:r>
    </w:p>
    <w:p>
      <w:pPr>
        <w:spacing w:after="0" w:line="244" w:lineRule="exact"/>
        <w:rPr>
          <w:sz w:val="20"/>
          <w:szCs w:val="20"/>
          <w:color w:val="auto"/>
        </w:rPr>
      </w:pPr>
    </w:p>
    <w:p>
      <w:pPr>
        <w:ind w:left="6" w:right="120"/>
        <w:spacing w:after="0" w:line="289" w:lineRule="auto"/>
        <w:rPr>
          <w:sz w:val="20"/>
          <w:szCs w:val="20"/>
          <w:color w:val="auto"/>
        </w:rPr>
      </w:pPr>
      <w:r>
        <w:rPr>
          <w:rFonts w:ascii="Arial" w:cs="Arial" w:eastAsia="Arial" w:hAnsi="Arial"/>
          <w:sz w:val="17"/>
          <w:szCs w:val="17"/>
          <w:color w:val="auto"/>
        </w:rPr>
        <w:t>This Amendment No. 3 (“Amendment No. 3”) amends and supplements the Schedule 13D originally filed with the Securities and Exchange Commission (the “SEC”) on July 7, 2016 and amended on September 29, 2017 and May 3, 2018 (as amended, the “Schedule 13D”) by the Reporting Persons. The “Reporting Persons” are, collectively, Polaris Venture Partners V, L.P. (“PVP V”), Polaris Venture Partners Entrepreneurs’ Fund V, L.P. (“PVPE V”), Polaris Venture Partners Founders’ Fund V, L.P (“PVPFF V”), Polaris Venture Partners Special Founders’ Fund, L.P. (“PVPSFF V”), Polaris Venture Management Co. V, L.L.C. (“PVM V), Jonathan A. Flint (“Flint”), Terrance G. McGuire (“McGuire”) and Amir Nashat (“Nashat”). The Reporting Persons are making this single, joint filing because they may be deemed to constitute a “group” within the meaning of Section 13(d)(3) of the Securities Exchange Act of 1934, as amended. The agreement between the Reporting Persons to file as a group (the “Joint Filing Agreement”) is attached hereto as Exhibit A.</w:t>
      </w:r>
    </w:p>
    <w:p>
      <w:pPr>
        <w:spacing w:after="0" w:line="178" w:lineRule="exact"/>
        <w:rPr>
          <w:sz w:val="20"/>
          <w:szCs w:val="20"/>
          <w:color w:val="auto"/>
        </w:rPr>
      </w:pPr>
    </w:p>
    <w:p>
      <w:pPr>
        <w:ind w:left="6"/>
        <w:spacing w:after="0" w:line="284" w:lineRule="auto"/>
        <w:rPr>
          <w:sz w:val="20"/>
          <w:szCs w:val="20"/>
          <w:color w:val="auto"/>
        </w:rPr>
      </w:pPr>
      <w:r>
        <w:rPr>
          <w:rFonts w:ascii="Arial" w:cs="Arial" w:eastAsia="Arial" w:hAnsi="Arial"/>
          <w:sz w:val="18"/>
          <w:szCs w:val="18"/>
          <w:color w:val="auto"/>
        </w:rPr>
        <w:t>This Amendment No. 3 is being filed to report the acquisition of Common Stock by PVP V, PVPE V, PVPFF V and PVPSFF V on January 25, 2019, all other information is as set forth in the Schedule 13D. Information given in response to each item below shall be deemed incorporated by reference in all other items, as applicable. Capitalized terms used herein but not defined shall have the meanings ascribed thereto in the Schedule 13D.</w:t>
      </w:r>
    </w:p>
    <w:p>
      <w:pPr>
        <w:spacing w:after="0" w:line="292" w:lineRule="exact"/>
        <w:rPr>
          <w:sz w:val="20"/>
          <w:szCs w:val="20"/>
          <w:color w:val="auto"/>
        </w:rPr>
      </w:pPr>
    </w:p>
    <w:p>
      <w:pPr>
        <w:ind w:left="6"/>
        <w:spacing w:after="0"/>
        <w:rPr>
          <w:sz w:val="20"/>
          <w:szCs w:val="20"/>
          <w:color w:val="auto"/>
        </w:rPr>
      </w:pPr>
      <w:r>
        <w:rPr>
          <w:rFonts w:ascii="Arial" w:cs="Arial" w:eastAsia="Arial" w:hAnsi="Arial"/>
          <w:sz w:val="19"/>
          <w:szCs w:val="19"/>
          <w:u w:val="single" w:color="auto"/>
          <w:color w:val="auto"/>
        </w:rPr>
        <w:t>Item 5. Interest in Securities of the Issuer.</w:t>
      </w:r>
    </w:p>
    <w:p>
      <w:pPr>
        <w:spacing w:after="0" w:line="124" w:lineRule="exact"/>
        <w:rPr>
          <w:sz w:val="20"/>
          <w:szCs w:val="20"/>
          <w:color w:val="auto"/>
        </w:rPr>
      </w:pPr>
    </w:p>
    <w:p>
      <w:pPr>
        <w:ind w:left="6"/>
        <w:spacing w:after="0"/>
        <w:rPr>
          <w:sz w:val="20"/>
          <w:szCs w:val="20"/>
          <w:color w:val="auto"/>
        </w:rPr>
      </w:pPr>
      <w:r>
        <w:rPr>
          <w:rFonts w:ascii="Arial" w:cs="Arial" w:eastAsia="Arial" w:hAnsi="Arial"/>
          <w:sz w:val="19"/>
          <w:szCs w:val="19"/>
          <w:color w:val="auto"/>
        </w:rPr>
        <w:t>Item 5(a) of the Schedule 13D is hereby amended and restated in its entirety as follows:</w:t>
      </w:r>
    </w:p>
    <w:p>
      <w:pPr>
        <w:spacing w:after="0" w:line="238" w:lineRule="exact"/>
        <w:rPr>
          <w:sz w:val="20"/>
          <w:szCs w:val="20"/>
          <w:color w:val="auto"/>
        </w:rPr>
      </w:pPr>
    </w:p>
    <w:p>
      <w:pPr>
        <w:ind w:left="6" w:right="180"/>
        <w:spacing w:after="0" w:line="274" w:lineRule="auto"/>
        <w:rPr>
          <w:sz w:val="20"/>
          <w:szCs w:val="20"/>
          <w:color w:val="auto"/>
        </w:rPr>
      </w:pPr>
      <w:r>
        <w:rPr>
          <w:rFonts w:ascii="Arial" w:cs="Arial" w:eastAsia="Arial" w:hAnsi="Arial"/>
          <w:sz w:val="18"/>
          <w:szCs w:val="18"/>
          <w:color w:val="auto"/>
        </w:rPr>
        <w:t>The information reported in Row 13 of each of the Reporting Persons’ cover pages and set forth below is based on a total of 42,471,776 shares of Common Stock outstanding as reported on the Issuer’s Prospectus Supplement filed with the SEC on January 24, 2019 (the “Prospectus”) and assuming the underwriters did not exercise their option to purchase additional shares. 45,471,776 shares of Common Stock would be outstanding if the underwriters exercised in full their option to purchase additional shares (the “Underwriter Purchase”). If the Underwriter Purchase was exercised in full, each of the Reporting Persons’ percent of class represented by row 11 and reported in row 13 of their respective cover pages would be:</w:t>
      </w:r>
    </w:p>
    <w:p>
      <w:pPr>
        <w:spacing w:after="0" w:line="207" w:lineRule="exact"/>
        <w:rPr>
          <w:sz w:val="20"/>
          <w:szCs w:val="20"/>
          <w:color w:val="auto"/>
        </w:rPr>
      </w:pPr>
    </w:p>
    <w:tbl>
      <w:tblPr>
        <w:tblLayout w:type="fixed"/>
        <w:tblInd w:w="1926" w:type="dxa"/>
        <w:tblCellMar>
          <w:top w:w="0" w:type="dxa"/>
          <w:left w:w="0" w:type="dxa"/>
          <w:bottom w:w="0" w:type="dxa"/>
          <w:right w:w="0" w:type="dxa"/>
        </w:tblCellMar>
      </w:tblPr>
      <w:tr>
        <w:trPr>
          <w:trHeight w:val="180"/>
        </w:trPr>
        <w:tc>
          <w:tcPr>
            <w:tcW w:w="1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0"/>
              </w:rPr>
              <w:t>Reporting Person</w:t>
            </w:r>
          </w:p>
        </w:tc>
        <w:tc>
          <w:tcPr>
            <w:tcW w:w="572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88"/>
              </w:rPr>
              <w:t>Percent of Class</w:t>
            </w:r>
          </w:p>
        </w:tc>
        <w:tc>
          <w:tcPr>
            <w:tcW w:w="0" w:type="dxa"/>
            <w:vAlign w:val="bottom"/>
          </w:tcPr>
          <w:p>
            <w:pPr>
              <w:spacing w:after="0"/>
              <w:rPr>
                <w:sz w:val="1"/>
                <w:szCs w:val="1"/>
                <w:color w:val="auto"/>
              </w:rPr>
            </w:pPr>
          </w:p>
        </w:tc>
      </w:tr>
      <w:tr>
        <w:trPr>
          <w:trHeight w:val="20"/>
        </w:trPr>
        <w:tc>
          <w:tcPr>
            <w:tcW w:w="1160" w:type="dxa"/>
            <w:vAlign w:val="bottom"/>
            <w:vMerge w:val="restart"/>
            <w:shd w:val="clear" w:color="auto" w:fill="CCEEFF"/>
          </w:tcPr>
          <w:p>
            <w:pPr>
              <w:spacing w:after="0"/>
              <w:rPr>
                <w:sz w:val="20"/>
                <w:szCs w:val="20"/>
                <w:color w:val="auto"/>
              </w:rPr>
            </w:pPr>
            <w:r>
              <w:rPr>
                <w:rFonts w:ascii="Arial" w:cs="Arial" w:eastAsia="Arial" w:hAnsi="Arial"/>
                <w:sz w:val="19"/>
                <w:szCs w:val="19"/>
                <w:color w:val="auto"/>
              </w:rPr>
              <w:t>PVP V</w:t>
            </w:r>
          </w:p>
        </w:tc>
        <w:tc>
          <w:tcPr>
            <w:tcW w:w="572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60" w:type="dxa"/>
            <w:vAlign w:val="bottom"/>
            <w:vMerge w:val="continue"/>
            <w:shd w:val="clear" w:color="auto" w:fill="CCEEFF"/>
          </w:tcPr>
          <w:p>
            <w:pPr>
              <w:spacing w:after="0"/>
              <w:rPr>
                <w:sz w:val="18"/>
                <w:szCs w:val="18"/>
                <w:color w:val="auto"/>
              </w:rPr>
            </w:pPr>
          </w:p>
        </w:tc>
        <w:tc>
          <w:tcPr>
            <w:tcW w:w="572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line="217" w:lineRule="exact"/>
              <w:rPr>
                <w:sz w:val="20"/>
                <w:szCs w:val="20"/>
                <w:color w:val="auto"/>
              </w:rPr>
            </w:pPr>
            <w:r>
              <w:rPr>
                <w:rFonts w:ascii="Arial" w:cs="Arial" w:eastAsia="Arial" w:hAnsi="Arial"/>
                <w:sz w:val="19"/>
                <w:szCs w:val="19"/>
                <w:color w:val="auto"/>
              </w:rPr>
              <w:t>5.9%</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20"/>
                <w:szCs w:val="20"/>
                <w:color w:val="auto"/>
              </w:rPr>
            </w:pPr>
            <w:r>
              <w:rPr>
                <w:rFonts w:ascii="Arial" w:cs="Arial" w:eastAsia="Arial" w:hAnsi="Arial"/>
                <w:sz w:val="19"/>
                <w:szCs w:val="19"/>
                <w:color w:val="auto"/>
              </w:rPr>
              <w:t>PVPE V</w:t>
            </w:r>
          </w:p>
        </w:tc>
        <w:tc>
          <w:tcPr>
            <w:tcW w:w="7000" w:type="dxa"/>
            <w:vAlign w:val="bottom"/>
            <w:gridSpan w:val="3"/>
          </w:tcPr>
          <w:p>
            <w:pPr>
              <w:jc w:val="right"/>
              <w:ind w:right="60"/>
              <w:spacing w:after="0"/>
              <w:rPr>
                <w:sz w:val="20"/>
                <w:szCs w:val="20"/>
                <w:color w:val="auto"/>
              </w:rPr>
            </w:pPr>
            <w:r>
              <w:rPr>
                <w:rFonts w:ascii="Arial" w:cs="Arial" w:eastAsia="Arial" w:hAnsi="Arial"/>
                <w:sz w:val="19"/>
                <w:szCs w:val="19"/>
                <w:color w:val="auto"/>
              </w:rPr>
              <w:t>0.1%</w:t>
            </w:r>
          </w:p>
        </w:tc>
        <w:tc>
          <w:tcPr>
            <w:tcW w:w="0" w:type="dxa"/>
            <w:vAlign w:val="bottom"/>
          </w:tcPr>
          <w:p>
            <w:pPr>
              <w:spacing w:after="0"/>
              <w:rPr>
                <w:sz w:val="1"/>
                <w:szCs w:val="1"/>
                <w:color w:val="auto"/>
              </w:rPr>
            </w:pPr>
          </w:p>
        </w:tc>
      </w:tr>
      <w:tr>
        <w:trPr>
          <w:trHeight w:val="228"/>
        </w:trPr>
        <w:tc>
          <w:tcPr>
            <w:tcW w:w="1160" w:type="dxa"/>
            <w:vAlign w:val="bottom"/>
            <w:shd w:val="clear" w:color="auto" w:fill="CCEEFF"/>
          </w:tcPr>
          <w:p>
            <w:pPr>
              <w:spacing w:after="0"/>
              <w:rPr>
                <w:sz w:val="20"/>
                <w:szCs w:val="20"/>
                <w:color w:val="auto"/>
              </w:rPr>
            </w:pPr>
            <w:r>
              <w:rPr>
                <w:rFonts w:ascii="Arial" w:cs="Arial" w:eastAsia="Arial" w:hAnsi="Arial"/>
                <w:sz w:val="19"/>
                <w:szCs w:val="19"/>
                <w:color w:val="auto"/>
              </w:rPr>
              <w:t>PVPFF V</w:t>
            </w:r>
          </w:p>
        </w:tc>
        <w:tc>
          <w:tcPr>
            <w:tcW w:w="700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0.0%</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20"/>
                <w:szCs w:val="20"/>
                <w:color w:val="auto"/>
              </w:rPr>
            </w:pPr>
            <w:r>
              <w:rPr>
                <w:rFonts w:ascii="Arial" w:cs="Arial" w:eastAsia="Arial" w:hAnsi="Arial"/>
                <w:sz w:val="19"/>
                <w:szCs w:val="19"/>
                <w:color w:val="auto"/>
              </w:rPr>
              <w:t>PVPSFFV</w:t>
            </w:r>
          </w:p>
        </w:tc>
        <w:tc>
          <w:tcPr>
            <w:tcW w:w="7000" w:type="dxa"/>
            <w:vAlign w:val="bottom"/>
            <w:gridSpan w:val="3"/>
          </w:tcPr>
          <w:p>
            <w:pPr>
              <w:jc w:val="right"/>
              <w:ind w:right="60"/>
              <w:spacing w:after="0"/>
              <w:rPr>
                <w:sz w:val="20"/>
                <w:szCs w:val="20"/>
                <w:color w:val="auto"/>
              </w:rPr>
            </w:pPr>
            <w:r>
              <w:rPr>
                <w:rFonts w:ascii="Arial" w:cs="Arial" w:eastAsia="Arial" w:hAnsi="Arial"/>
                <w:sz w:val="19"/>
                <w:szCs w:val="19"/>
                <w:color w:val="auto"/>
              </w:rPr>
              <w:t>0.1%</w:t>
            </w:r>
          </w:p>
        </w:tc>
        <w:tc>
          <w:tcPr>
            <w:tcW w:w="0" w:type="dxa"/>
            <w:vAlign w:val="bottom"/>
          </w:tcPr>
          <w:p>
            <w:pPr>
              <w:spacing w:after="0"/>
              <w:rPr>
                <w:sz w:val="1"/>
                <w:szCs w:val="1"/>
                <w:color w:val="auto"/>
              </w:rPr>
            </w:pPr>
          </w:p>
        </w:tc>
      </w:tr>
      <w:tr>
        <w:trPr>
          <w:trHeight w:val="228"/>
        </w:trPr>
        <w:tc>
          <w:tcPr>
            <w:tcW w:w="1160" w:type="dxa"/>
            <w:vAlign w:val="bottom"/>
            <w:shd w:val="clear" w:color="auto" w:fill="CCEEFF"/>
          </w:tcPr>
          <w:p>
            <w:pPr>
              <w:spacing w:after="0"/>
              <w:rPr>
                <w:sz w:val="20"/>
                <w:szCs w:val="20"/>
                <w:color w:val="auto"/>
              </w:rPr>
            </w:pPr>
            <w:r>
              <w:rPr>
                <w:rFonts w:ascii="Arial" w:cs="Arial" w:eastAsia="Arial" w:hAnsi="Arial"/>
                <w:sz w:val="19"/>
                <w:szCs w:val="19"/>
                <w:color w:val="auto"/>
              </w:rPr>
              <w:t>PVM V</w:t>
            </w:r>
          </w:p>
        </w:tc>
        <w:tc>
          <w:tcPr>
            <w:tcW w:w="700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6.1%</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20"/>
                <w:szCs w:val="20"/>
                <w:color w:val="auto"/>
              </w:rPr>
            </w:pPr>
            <w:r>
              <w:rPr>
                <w:rFonts w:ascii="Arial" w:cs="Arial" w:eastAsia="Arial" w:hAnsi="Arial"/>
                <w:sz w:val="19"/>
                <w:szCs w:val="19"/>
                <w:color w:val="auto"/>
              </w:rPr>
              <w:t>Flint</w:t>
            </w:r>
          </w:p>
        </w:tc>
        <w:tc>
          <w:tcPr>
            <w:tcW w:w="7000" w:type="dxa"/>
            <w:vAlign w:val="bottom"/>
            <w:gridSpan w:val="3"/>
          </w:tcPr>
          <w:p>
            <w:pPr>
              <w:jc w:val="right"/>
              <w:ind w:right="60"/>
              <w:spacing w:after="0"/>
              <w:rPr>
                <w:sz w:val="20"/>
                <w:szCs w:val="20"/>
                <w:color w:val="auto"/>
              </w:rPr>
            </w:pPr>
            <w:r>
              <w:rPr>
                <w:rFonts w:ascii="Arial" w:cs="Arial" w:eastAsia="Arial" w:hAnsi="Arial"/>
                <w:sz w:val="19"/>
                <w:szCs w:val="19"/>
                <w:color w:val="auto"/>
              </w:rPr>
              <w:t>6.1%</w:t>
            </w:r>
          </w:p>
        </w:tc>
        <w:tc>
          <w:tcPr>
            <w:tcW w:w="0" w:type="dxa"/>
            <w:vAlign w:val="bottom"/>
          </w:tcPr>
          <w:p>
            <w:pPr>
              <w:spacing w:after="0"/>
              <w:rPr>
                <w:sz w:val="1"/>
                <w:szCs w:val="1"/>
                <w:color w:val="auto"/>
              </w:rPr>
            </w:pPr>
          </w:p>
        </w:tc>
      </w:tr>
      <w:tr>
        <w:trPr>
          <w:trHeight w:val="228"/>
        </w:trPr>
        <w:tc>
          <w:tcPr>
            <w:tcW w:w="1160" w:type="dxa"/>
            <w:vAlign w:val="bottom"/>
            <w:shd w:val="clear" w:color="auto" w:fill="CCEEFF"/>
          </w:tcPr>
          <w:p>
            <w:pPr>
              <w:spacing w:after="0"/>
              <w:rPr>
                <w:sz w:val="20"/>
                <w:szCs w:val="20"/>
                <w:color w:val="auto"/>
              </w:rPr>
            </w:pPr>
            <w:r>
              <w:rPr>
                <w:rFonts w:ascii="Arial" w:cs="Arial" w:eastAsia="Arial" w:hAnsi="Arial"/>
                <w:sz w:val="19"/>
                <w:szCs w:val="19"/>
                <w:color w:val="auto"/>
              </w:rPr>
              <w:t>McGuire</w:t>
            </w:r>
          </w:p>
        </w:tc>
        <w:tc>
          <w:tcPr>
            <w:tcW w:w="700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6.1%</w:t>
            </w: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r>
              <w:rPr>
                <w:rFonts w:ascii="Arial" w:cs="Arial" w:eastAsia="Arial" w:hAnsi="Arial"/>
                <w:sz w:val="19"/>
                <w:szCs w:val="19"/>
                <w:color w:val="auto"/>
              </w:rPr>
              <w:t>Nashat</w:t>
            </w:r>
          </w:p>
        </w:tc>
        <w:tc>
          <w:tcPr>
            <w:tcW w:w="7000" w:type="dxa"/>
            <w:vAlign w:val="bottom"/>
            <w:gridSpan w:val="3"/>
          </w:tcPr>
          <w:p>
            <w:pPr>
              <w:jc w:val="right"/>
              <w:ind w:right="60"/>
              <w:spacing w:after="0"/>
              <w:rPr>
                <w:sz w:val="20"/>
                <w:szCs w:val="20"/>
                <w:color w:val="auto"/>
              </w:rPr>
            </w:pPr>
            <w:r>
              <w:rPr>
                <w:rFonts w:ascii="Arial" w:cs="Arial" w:eastAsia="Arial" w:hAnsi="Arial"/>
                <w:sz w:val="19"/>
                <w:szCs w:val="19"/>
                <w:color w:val="auto"/>
              </w:rPr>
              <w:t>6.1%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6" w:right="240" w:hanging="466"/>
        <w:spacing w:after="0" w:line="275" w:lineRule="auto"/>
        <w:tabs>
          <w:tab w:leader="none" w:pos="466" w:val="left"/>
        </w:tabs>
        <w:numPr>
          <w:ilvl w:val="0"/>
          <w:numId w:val="34"/>
        </w:numPr>
        <w:rPr>
          <w:rFonts w:ascii="Arial" w:cs="Arial" w:eastAsia="Arial" w:hAnsi="Arial"/>
          <w:sz w:val="19"/>
          <w:szCs w:val="19"/>
          <w:color w:val="auto"/>
        </w:rPr>
      </w:pPr>
      <w:r>
        <w:rPr>
          <w:rFonts w:ascii="Arial" w:cs="Arial" w:eastAsia="Arial" w:hAnsi="Arial"/>
          <w:sz w:val="19"/>
          <w:szCs w:val="19"/>
          <w:color w:val="auto"/>
        </w:rPr>
        <w:t>On January 25, 2019, each of PVP V, PVPE V, PVPFF V and PVPSFF V participated in a follow-on public offering as represented in the Prospectus filed pursuant to such follow-on public offering, such funds made the following acquisitions of Common Stock:</w:t>
      </w:r>
    </w:p>
    <w:p>
      <w:pPr>
        <w:spacing w:after="0" w:line="203" w:lineRule="exact"/>
        <w:rPr>
          <w:sz w:val="20"/>
          <w:szCs w:val="20"/>
          <w:color w:val="auto"/>
        </w:rPr>
      </w:pPr>
    </w:p>
    <w:tbl>
      <w:tblPr>
        <w:tblLayout w:type="fixed"/>
        <w:tblInd w:w="1446" w:type="dxa"/>
        <w:tblCellMar>
          <w:top w:w="0" w:type="dxa"/>
          <w:left w:w="0" w:type="dxa"/>
          <w:bottom w:w="0" w:type="dxa"/>
          <w:right w:w="0" w:type="dxa"/>
        </w:tblCellMar>
      </w:tblPr>
      <w:tr>
        <w:trPr>
          <w:trHeight w:val="200"/>
        </w:trPr>
        <w:tc>
          <w:tcPr>
            <w:tcW w:w="3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2"/>
              </w:rPr>
              <w:t>Fund</w:t>
            </w:r>
          </w:p>
        </w:tc>
        <w:tc>
          <w:tcPr>
            <w:tcW w:w="2580" w:type="dxa"/>
            <w:vAlign w:val="bottom"/>
          </w:tcPr>
          <w:p>
            <w:pPr>
              <w:spacing w:after="0"/>
              <w:rPr>
                <w:sz w:val="17"/>
                <w:szCs w:val="17"/>
                <w:color w:val="auto"/>
              </w:rPr>
            </w:pPr>
          </w:p>
        </w:tc>
        <w:tc>
          <w:tcPr>
            <w:tcW w:w="4020" w:type="dxa"/>
            <w:vAlign w:val="bottom"/>
            <w:gridSpan w:val="2"/>
          </w:tcPr>
          <w:p>
            <w:pPr>
              <w:jc w:val="right"/>
              <w:spacing w:after="0"/>
              <w:rPr>
                <w:sz w:val="20"/>
                <w:szCs w:val="20"/>
                <w:color w:val="auto"/>
              </w:rPr>
            </w:pPr>
            <w:r>
              <w:rPr>
                <w:rFonts w:ascii="Arial" w:cs="Arial" w:eastAsia="Arial" w:hAnsi="Arial"/>
                <w:sz w:val="15"/>
                <w:szCs w:val="15"/>
                <w:b w:val="1"/>
                <w:bCs w:val="1"/>
                <w:color w:val="auto"/>
              </w:rPr>
              <w:t>Number of Shares Purchased</w:t>
            </w:r>
          </w:p>
        </w:tc>
        <w:tc>
          <w:tcPr>
            <w:tcW w:w="2160" w:type="dxa"/>
            <w:vAlign w:val="bottom"/>
            <w:gridSpan w:val="4"/>
          </w:tcPr>
          <w:p>
            <w:pPr>
              <w:jc w:val="right"/>
              <w:ind w:right="60"/>
              <w:spacing w:after="0"/>
              <w:rPr>
                <w:sz w:val="20"/>
                <w:szCs w:val="20"/>
                <w:color w:val="auto"/>
              </w:rPr>
            </w:pPr>
            <w:r>
              <w:rPr>
                <w:rFonts w:ascii="Arial" w:cs="Arial" w:eastAsia="Arial" w:hAnsi="Arial"/>
                <w:sz w:val="15"/>
                <w:szCs w:val="15"/>
                <w:b w:val="1"/>
                <w:bCs w:val="1"/>
                <w:color w:val="auto"/>
              </w:rPr>
              <w:t>Price Per Share</w:t>
            </w:r>
          </w:p>
        </w:tc>
      </w:tr>
      <w:tr>
        <w:trPr>
          <w:trHeight w:val="217"/>
        </w:trPr>
        <w:tc>
          <w:tcPr>
            <w:tcW w:w="2940" w:type="dxa"/>
            <w:vAlign w:val="bottom"/>
            <w:tcBorders>
              <w:top w:val="single" w:sz="8" w:color="CCEEFF"/>
            </w:tcBorders>
            <w:gridSpan w:val="2"/>
            <w:shd w:val="clear" w:color="auto" w:fill="CCEEFF"/>
          </w:tcPr>
          <w:p>
            <w:pPr>
              <w:spacing w:after="0" w:line="217" w:lineRule="exact"/>
              <w:rPr>
                <w:sz w:val="20"/>
                <w:szCs w:val="20"/>
                <w:color w:val="auto"/>
              </w:rPr>
            </w:pPr>
            <w:r>
              <w:rPr>
                <w:rFonts w:ascii="Arial" w:cs="Arial" w:eastAsia="Arial" w:hAnsi="Arial"/>
                <w:sz w:val="19"/>
                <w:szCs w:val="19"/>
                <w:color w:val="auto"/>
              </w:rPr>
              <w:t>PVP V</w:t>
            </w:r>
          </w:p>
        </w:tc>
        <w:tc>
          <w:tcPr>
            <w:tcW w:w="21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rPr>
              <w:t>1,125,756</w:t>
            </w:r>
          </w:p>
        </w:tc>
        <w:tc>
          <w:tcPr>
            <w:tcW w:w="10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rPr>
              <w:t>1.50</w:t>
            </w:r>
          </w:p>
        </w:tc>
        <w:tc>
          <w:tcPr>
            <w:tcW w:w="60" w:type="dxa"/>
            <w:vAlign w:val="bottom"/>
            <w:tcBorders>
              <w:top w:val="single" w:sz="8" w:color="CCEEFF"/>
            </w:tcBorders>
            <w:shd w:val="clear" w:color="auto" w:fill="CCEEFF"/>
          </w:tcPr>
          <w:p>
            <w:pPr>
              <w:spacing w:after="0"/>
              <w:rPr>
                <w:sz w:val="18"/>
                <w:szCs w:val="18"/>
                <w:color w:val="auto"/>
              </w:rPr>
            </w:pPr>
          </w:p>
        </w:tc>
      </w:tr>
      <w:tr>
        <w:trPr>
          <w:trHeight w:val="228"/>
        </w:trPr>
        <w:tc>
          <w:tcPr>
            <w:tcW w:w="2940" w:type="dxa"/>
            <w:vAlign w:val="bottom"/>
            <w:gridSpan w:val="2"/>
          </w:tcPr>
          <w:p>
            <w:pPr>
              <w:spacing w:after="0"/>
              <w:rPr>
                <w:sz w:val="20"/>
                <w:szCs w:val="20"/>
                <w:color w:val="auto"/>
              </w:rPr>
            </w:pPr>
            <w:r>
              <w:rPr>
                <w:rFonts w:ascii="Arial" w:cs="Arial" w:eastAsia="Arial" w:hAnsi="Arial"/>
                <w:sz w:val="19"/>
                <w:szCs w:val="19"/>
                <w:color w:val="auto"/>
              </w:rPr>
              <w:t>PVPE V</w:t>
            </w:r>
          </w:p>
        </w:tc>
        <w:tc>
          <w:tcPr>
            <w:tcW w:w="4020" w:type="dxa"/>
            <w:vAlign w:val="bottom"/>
            <w:gridSpan w:val="2"/>
          </w:tcPr>
          <w:p>
            <w:pPr>
              <w:jc w:val="right"/>
              <w:spacing w:after="0"/>
              <w:rPr>
                <w:sz w:val="20"/>
                <w:szCs w:val="20"/>
                <w:color w:val="auto"/>
              </w:rPr>
            </w:pPr>
            <w:r>
              <w:rPr>
                <w:rFonts w:ascii="Arial" w:cs="Arial" w:eastAsia="Arial" w:hAnsi="Arial"/>
                <w:sz w:val="19"/>
                <w:szCs w:val="19"/>
                <w:color w:val="auto"/>
              </w:rPr>
              <w:t>21,941</w:t>
            </w:r>
          </w:p>
        </w:tc>
        <w:tc>
          <w:tcPr>
            <w:tcW w:w="1460" w:type="dxa"/>
            <w:vAlign w:val="bottom"/>
            <w:gridSpan w:val="2"/>
          </w:tcPr>
          <w:p>
            <w:pPr>
              <w:jc w:val="right"/>
              <w:ind w:right="226"/>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1.50</w:t>
            </w:r>
          </w:p>
        </w:tc>
        <w:tc>
          <w:tcPr>
            <w:tcW w:w="60" w:type="dxa"/>
            <w:vAlign w:val="bottom"/>
          </w:tcPr>
          <w:p>
            <w:pPr>
              <w:spacing w:after="0"/>
              <w:rPr>
                <w:sz w:val="19"/>
                <w:szCs w:val="19"/>
                <w:color w:val="auto"/>
              </w:rPr>
            </w:pPr>
          </w:p>
        </w:tc>
      </w:tr>
      <w:tr>
        <w:trPr>
          <w:trHeight w:val="228"/>
        </w:trPr>
        <w:tc>
          <w:tcPr>
            <w:tcW w:w="29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PVPFF V</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7,711</w:t>
            </w:r>
          </w:p>
        </w:tc>
        <w:tc>
          <w:tcPr>
            <w:tcW w:w="1460" w:type="dxa"/>
            <w:vAlign w:val="bottom"/>
            <w:gridSpan w:val="2"/>
            <w:shd w:val="clear" w:color="auto" w:fill="CCEEFF"/>
          </w:tcPr>
          <w:p>
            <w:pPr>
              <w:jc w:val="right"/>
              <w:ind w:right="226"/>
              <w:spacing w:after="0"/>
              <w:rPr>
                <w:sz w:val="20"/>
                <w:szCs w:val="20"/>
                <w:color w:val="auto"/>
              </w:rPr>
            </w:pPr>
            <w:r>
              <w:rPr>
                <w:rFonts w:ascii="Arial" w:cs="Arial" w:eastAsia="Arial" w:hAnsi="Arial"/>
                <w:sz w:val="19"/>
                <w:szCs w:val="19"/>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1.50</w:t>
            </w:r>
          </w:p>
        </w:tc>
        <w:tc>
          <w:tcPr>
            <w:tcW w:w="60" w:type="dxa"/>
            <w:vAlign w:val="bottom"/>
            <w:shd w:val="clear" w:color="auto" w:fill="CCEEFF"/>
          </w:tcPr>
          <w:p>
            <w:pPr>
              <w:spacing w:after="0"/>
              <w:rPr>
                <w:sz w:val="19"/>
                <w:szCs w:val="19"/>
                <w:color w:val="auto"/>
              </w:rPr>
            </w:pPr>
          </w:p>
        </w:tc>
      </w:tr>
      <w:tr>
        <w:trPr>
          <w:trHeight w:val="241"/>
        </w:trPr>
        <w:tc>
          <w:tcPr>
            <w:tcW w:w="2940" w:type="dxa"/>
            <w:vAlign w:val="bottom"/>
            <w:gridSpan w:val="2"/>
          </w:tcPr>
          <w:p>
            <w:pPr>
              <w:spacing w:after="0"/>
              <w:rPr>
                <w:sz w:val="20"/>
                <w:szCs w:val="20"/>
                <w:color w:val="auto"/>
              </w:rPr>
            </w:pPr>
            <w:r>
              <w:rPr>
                <w:rFonts w:ascii="Arial" w:cs="Arial" w:eastAsia="Arial" w:hAnsi="Arial"/>
                <w:sz w:val="19"/>
                <w:szCs w:val="19"/>
                <w:color w:val="auto"/>
              </w:rPr>
              <w:t>PVPSFFV</w:t>
            </w:r>
          </w:p>
        </w:tc>
        <w:tc>
          <w:tcPr>
            <w:tcW w:w="4020" w:type="dxa"/>
            <w:vAlign w:val="bottom"/>
            <w:gridSpan w:val="2"/>
          </w:tcPr>
          <w:p>
            <w:pPr>
              <w:jc w:val="right"/>
              <w:spacing w:after="0"/>
              <w:rPr>
                <w:sz w:val="20"/>
                <w:szCs w:val="20"/>
                <w:color w:val="auto"/>
              </w:rPr>
            </w:pPr>
            <w:r>
              <w:rPr>
                <w:rFonts w:ascii="Arial" w:cs="Arial" w:eastAsia="Arial" w:hAnsi="Arial"/>
                <w:sz w:val="19"/>
                <w:szCs w:val="19"/>
                <w:color w:val="auto"/>
              </w:rPr>
              <w:t>11,258</w:t>
            </w:r>
          </w:p>
        </w:tc>
        <w:tc>
          <w:tcPr>
            <w:tcW w:w="1460" w:type="dxa"/>
            <w:vAlign w:val="bottom"/>
            <w:gridSpan w:val="2"/>
          </w:tcPr>
          <w:p>
            <w:pPr>
              <w:jc w:val="right"/>
              <w:ind w:right="226"/>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1.50</w:t>
            </w:r>
          </w:p>
        </w:tc>
        <w:tc>
          <w:tcPr>
            <w:tcW w:w="60" w:type="dxa"/>
            <w:vAlign w:val="bottom"/>
          </w:tcPr>
          <w:p>
            <w:pPr>
              <w:spacing w:after="0"/>
              <w:rPr>
                <w:sz w:val="20"/>
                <w:szCs w:val="20"/>
                <w:color w:val="auto"/>
              </w:rPr>
            </w:pPr>
          </w:p>
        </w:tc>
      </w:tr>
    </w:tbl>
    <w:p>
      <w:pPr>
        <w:sectPr>
          <w:pgSz w:w="12240" w:h="15840" w:orient="portrait"/>
          <w:cols w:equalWidth="0" w:num="1">
            <w:col w:w="12006"/>
          </w:cols>
          <w:pgMar w:left="114" w:top="142" w:right="120" w:bottom="1440" w:gutter="0" w:footer="0" w:header="0"/>
        </w:sectPr>
      </w:pPr>
    </w:p>
    <w:bookmarkStart w:id="10" w:name="page11"/>
    <w:bookmarkEnd w:id="10"/>
    <w:p>
      <w:pPr>
        <w:ind w:left="480"/>
        <w:spacing w:after="0" w:line="26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68260" cy="40005"/>
                    </a:xfrm>
                    <a:prstGeom prst="rect">
                      <a:avLst/>
                    </a:prstGeom>
                    <a:noFill/>
                  </pic:spPr>
                </pic:pic>
              </a:graphicData>
            </a:graphic>
          </wp:anchor>
        </w:drawing>
        <w:t>Following such purchases, PVP V beneficially owns 2,676,234 shares of Common Stock, or approximately 6.3% of the Common Stock outstanding. PVPE V beneficially owns 52,156 shares of Common Stock, or approximately 0.1% of the Common Stock outstanding. PVPFF V beneficially owns 18,329 shares of Common Stock, or approximately 0.0% of the Common Stock outstanding. PVPSFF V beneficially owns 26,760 shares of Common Stock, or approximately 0.1% of the Common Stock outstanding. Nashat owns directly 6,410 options to purchase shares of Common Stock (the “Director Options”). PVM V, the general partner of each of PVP V, PVPE V, PVPFF V and PVPSFF V, may be deemed to indirectly beneficially own the securities owned by PVP V, PVPE V, PVPFF V and PVPSFF V. Each of Flint, McGuire and Nashat, in their respective capacities with respect to PVM V, may be deemed to indirectly beneficially own the securities owned by each of PVP V, PVPE V, PVPFF V and PVPSFF V. Each of PVM, Flint, McGuire and Nashat disclaim beneficial ownership of the securities owned by each of PVP V, PVPE V, PVPFF V and PVPSFF V and this report shall not be deemed an admission that any of them is the beneficial owner of such securities for any purpose, except to the extent of their respective pecuniary interests therein.</w:t>
      </w: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Item 6. Contracts, Arrangements, Understandings or Relationships with Respect to Securities of the Issuer.</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Item 6 of the Schedule 13D is amended to add the following paragraph:</w:t>
      </w:r>
    </w:p>
    <w:p>
      <w:pPr>
        <w:spacing w:after="0" w:line="238"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On June 16, 2017, Nashat, was granted the Director Options pursuant to the Issuer’s 2008 Stock Option and Incentive Plan (the “Plan”) which is attached as Exhibit 10.1 to Amendment No. 2 to the Issuer’s Registration Statement on Form S-1 (File No. 333-211555) filed on June 20, 2016, and is incorporated herein by reference.</w:t>
      </w: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Item 7. Material to be Filed as Exhibits.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EE"/>
        </w:rPr>
        <w:t>Exhibit A - Joint Filing Agreement</w:t>
      </w:r>
    </w:p>
    <w:p>
      <w:pPr>
        <w:spacing w:after="0" w:line="238" w:lineRule="exact"/>
        <w:rPr>
          <w:sz w:val="20"/>
          <w:szCs w:val="20"/>
          <w:color w:val="auto"/>
        </w:rPr>
      </w:pPr>
    </w:p>
    <w:p>
      <w:pPr>
        <w:ind w:right="400"/>
        <w:spacing w:after="0" w:line="275" w:lineRule="auto"/>
        <w:rPr>
          <w:sz w:val="20"/>
          <w:szCs w:val="20"/>
          <w:color w:val="auto"/>
        </w:rPr>
      </w:pPr>
      <w:r>
        <w:rPr>
          <w:rFonts w:ascii="Arial" w:cs="Arial" w:eastAsia="Arial" w:hAnsi="Arial"/>
          <w:sz w:val="19"/>
          <w:szCs w:val="19"/>
          <w:color w:val="auto"/>
        </w:rPr>
        <w:t>Exhibit D - 2008 Stock Option and Incentive Plan, filed on June 20, 2016 as Exhibit 10.1 to Amendment No. 2 to the Issuer’s Registration Statement on Form S-1 (File No. 333-211555) and incorporated herein by reference.</w:t>
      </w:r>
    </w:p>
    <w:p>
      <w:pPr>
        <w:sectPr>
          <w:pgSz w:w="12240" w:h="15840" w:orient="portrait"/>
          <w:cols w:equalWidth="0" w:num="1">
            <w:col w:w="11960"/>
          </w:cols>
          <w:pgMar w:left="120" w:top="142" w:right="160" w:bottom="1440" w:gutter="0" w:footer="0" w:header="0"/>
        </w:sectPr>
      </w:pPr>
    </w:p>
    <w:bookmarkStart w:id="11" w:name="page12"/>
    <w:bookmarkEnd w:id="11"/>
    <w:p>
      <w:pPr>
        <w:jc w:val="center"/>
        <w:ind w:right="-33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Date: February 4, 2019</w:t>
      </w:r>
    </w:p>
    <w:p>
      <w:pPr>
        <w:spacing w:after="0" w:line="266"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POLARIS VENTURE PARTNERS V, L.P.</w:t>
      </w:r>
    </w:p>
    <w:p>
      <w:pPr>
        <w:spacing w:after="0" w:line="23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By: Polaris Venture Management Co. V, L.L.C.</w:t>
      </w:r>
    </w:p>
    <w:p>
      <w:pPr>
        <w:spacing w:after="0" w:line="238" w:lineRule="exact"/>
        <w:rPr>
          <w:sz w:val="20"/>
          <w:szCs w:val="20"/>
          <w:color w:val="auto"/>
        </w:rPr>
      </w:pPr>
    </w:p>
    <w:p>
      <w:pPr>
        <w:ind w:left="7220"/>
        <w:spacing w:after="0"/>
        <w:tabs>
          <w:tab w:leader="none" w:pos="9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15240</wp:posOffset>
            </wp:positionV>
            <wp:extent cx="27984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8445" cy="8890"/>
                    </a:xfrm>
                    <a:prstGeom prst="rect">
                      <a:avLst/>
                    </a:prstGeom>
                    <a:noFill/>
                  </pic:spPr>
                </pic:pic>
              </a:graphicData>
            </a:graphic>
          </wp:anchor>
        </w:drawing>
      </w:r>
    </w:p>
    <w:p>
      <w:pPr>
        <w:spacing w:after="0" w:line="18"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Managing Member</w:t>
      </w:r>
    </w:p>
    <w:p>
      <w:pPr>
        <w:spacing w:after="0" w:line="238"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POLARIS VENTURE PARTNERS ENTREPRENEURS’</w:t>
      </w:r>
    </w:p>
    <w:p>
      <w:pPr>
        <w:spacing w:after="0" w:line="34"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FUND V, L.P.</w:t>
      </w:r>
    </w:p>
    <w:p>
      <w:pPr>
        <w:spacing w:after="0" w:line="225"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By: Polaris Venture Management Co. V, L.L.C.</w:t>
      </w:r>
    </w:p>
    <w:p>
      <w:pPr>
        <w:spacing w:after="0" w:line="238" w:lineRule="exact"/>
        <w:rPr>
          <w:sz w:val="20"/>
          <w:szCs w:val="20"/>
          <w:color w:val="auto"/>
        </w:rPr>
      </w:pPr>
    </w:p>
    <w:p>
      <w:pPr>
        <w:ind w:left="7220"/>
        <w:spacing w:after="0"/>
        <w:tabs>
          <w:tab w:leader="none" w:pos="9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15240</wp:posOffset>
            </wp:positionV>
            <wp:extent cx="27984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8445" cy="8890"/>
                    </a:xfrm>
                    <a:prstGeom prst="rect">
                      <a:avLst/>
                    </a:prstGeom>
                    <a:noFill/>
                  </pic:spPr>
                </pic:pic>
              </a:graphicData>
            </a:graphic>
          </wp:anchor>
        </w:drawing>
      </w:r>
    </w:p>
    <w:p>
      <w:pPr>
        <w:spacing w:after="0" w:line="18"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Managing Member</w:t>
      </w:r>
    </w:p>
    <w:p>
      <w:pPr>
        <w:spacing w:after="0" w:line="23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POLARIS VENTURE PARTNERS</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FOUNDERS’ FUND V, L.P.</w:t>
      </w:r>
    </w:p>
    <w:p>
      <w:pPr>
        <w:spacing w:after="0" w:line="239"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By: Polaris Venture Management Co. V, L.L.C.</w:t>
      </w:r>
    </w:p>
    <w:p>
      <w:pPr>
        <w:spacing w:after="0" w:line="238" w:lineRule="exact"/>
        <w:rPr>
          <w:sz w:val="20"/>
          <w:szCs w:val="20"/>
          <w:color w:val="auto"/>
        </w:rPr>
      </w:pPr>
    </w:p>
    <w:p>
      <w:pPr>
        <w:ind w:left="7220"/>
        <w:spacing w:after="0"/>
        <w:tabs>
          <w:tab w:leader="none" w:pos="9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15240</wp:posOffset>
            </wp:positionV>
            <wp:extent cx="27984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8445" cy="8890"/>
                    </a:xfrm>
                    <a:prstGeom prst="rect">
                      <a:avLst/>
                    </a:prstGeom>
                    <a:noFill/>
                  </pic:spPr>
                </pic:pic>
              </a:graphicData>
            </a:graphic>
          </wp:anchor>
        </w:drawing>
      </w:r>
    </w:p>
    <w:p>
      <w:pPr>
        <w:spacing w:after="0" w:line="18"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Managing Member</w:t>
      </w:r>
    </w:p>
    <w:p>
      <w:pPr>
        <w:spacing w:after="0" w:line="23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POLARIS VENTURE PARTNERS SPECIAL</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FOUNDERS’ FUND V, L.P.</w:t>
      </w:r>
    </w:p>
    <w:p>
      <w:pPr>
        <w:spacing w:after="0" w:line="239"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By: Polaris Venture Management Co. V, L.L.C.</w:t>
      </w:r>
    </w:p>
    <w:p>
      <w:pPr>
        <w:spacing w:after="0" w:line="238" w:lineRule="exact"/>
        <w:rPr>
          <w:sz w:val="20"/>
          <w:szCs w:val="20"/>
          <w:color w:val="auto"/>
        </w:rPr>
      </w:pPr>
    </w:p>
    <w:p>
      <w:pPr>
        <w:ind w:left="7220"/>
        <w:spacing w:after="0"/>
        <w:tabs>
          <w:tab w:leader="none" w:pos="9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15240</wp:posOffset>
            </wp:positionV>
            <wp:extent cx="27984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8445" cy="8890"/>
                    </a:xfrm>
                    <a:prstGeom prst="rect">
                      <a:avLst/>
                    </a:prstGeom>
                    <a:noFill/>
                  </pic:spPr>
                </pic:pic>
              </a:graphicData>
            </a:graphic>
          </wp:anchor>
        </w:drawing>
      </w:r>
    </w:p>
    <w:p>
      <w:pPr>
        <w:spacing w:after="0" w:line="18"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Managing Member</w:t>
      </w:r>
    </w:p>
    <w:p>
      <w:pPr>
        <w:spacing w:after="0" w:line="23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POLARIS VENTURE MANAGEMENT CO. V, L.L.C.</w:t>
      </w:r>
    </w:p>
    <w:p>
      <w:pPr>
        <w:spacing w:after="0" w:line="238" w:lineRule="exact"/>
        <w:rPr>
          <w:sz w:val="20"/>
          <w:szCs w:val="20"/>
          <w:color w:val="auto"/>
        </w:rPr>
      </w:pPr>
    </w:p>
    <w:p>
      <w:pPr>
        <w:ind w:left="7220"/>
        <w:spacing w:after="0"/>
        <w:tabs>
          <w:tab w:leader="none" w:pos="9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15240</wp:posOffset>
            </wp:positionV>
            <wp:extent cx="27984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8445" cy="8890"/>
                    </a:xfrm>
                    <a:prstGeom prst="rect">
                      <a:avLst/>
                    </a:prstGeom>
                    <a:noFill/>
                  </pic:spPr>
                </pic:pic>
              </a:graphicData>
            </a:graphic>
          </wp:anchor>
        </w:drawing>
      </w:r>
    </w:p>
    <w:p>
      <w:pPr>
        <w:spacing w:after="0" w:line="18"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Managing Member</w:t>
      </w:r>
    </w:p>
    <w:p>
      <w:pPr>
        <w:sectPr>
          <w:pgSz w:w="12240" w:h="15840" w:orient="portrait"/>
          <w:cols w:equalWidth="0" w:num="1">
            <w:col w:w="11660"/>
          </w:cols>
          <w:pgMar w:left="120" w:top="136" w:right="460" w:bottom="1440" w:gutter="0" w:footer="0" w:header="0"/>
        </w:sectPr>
      </w:pPr>
    </w:p>
    <w:bookmarkStart w:id="12" w:name="page13"/>
    <w:bookmarkEnd w:id="12"/>
    <w:p>
      <w:pPr>
        <w:ind w:left="722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68260" cy="40005"/>
                    </a:xfrm>
                    <a:prstGeom prst="rect">
                      <a:avLst/>
                    </a:prstGeom>
                    <a:noFill/>
                  </pic:spPr>
                </pic:pic>
              </a:graphicData>
            </a:graphic>
          </wp:anchor>
        </w:drawing>
        <w:t>JONATHAN A. FLINT</w:t>
      </w:r>
    </w:p>
    <w:p>
      <w:pPr>
        <w:spacing w:after="0" w:line="238" w:lineRule="exact"/>
        <w:rPr>
          <w:sz w:val="20"/>
          <w:szCs w:val="20"/>
          <w:color w:val="auto"/>
        </w:rPr>
      </w:pPr>
    </w:p>
    <w:p>
      <w:pPr>
        <w:ind w:left="7220"/>
        <w:spacing w:after="0"/>
        <w:tabs>
          <w:tab w:leader="none" w:pos="9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15240</wp:posOffset>
            </wp:positionV>
            <wp:extent cx="27984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8445" cy="8890"/>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Jonathan A. Flint</w:t>
      </w:r>
    </w:p>
    <w:p>
      <w:pPr>
        <w:spacing w:after="0" w:line="23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TERRANCE G. MCGUIRE</w:t>
      </w:r>
    </w:p>
    <w:p>
      <w:pPr>
        <w:spacing w:after="0" w:line="238" w:lineRule="exact"/>
        <w:rPr>
          <w:sz w:val="20"/>
          <w:szCs w:val="20"/>
          <w:color w:val="auto"/>
        </w:rPr>
      </w:pPr>
    </w:p>
    <w:p>
      <w:pPr>
        <w:ind w:left="7220"/>
        <w:spacing w:after="0"/>
        <w:tabs>
          <w:tab w:leader="none" w:pos="9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15240</wp:posOffset>
            </wp:positionV>
            <wp:extent cx="27984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8445" cy="8890"/>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Terrance G. McGuire</w:t>
      </w:r>
    </w:p>
    <w:p>
      <w:pPr>
        <w:spacing w:after="0" w:line="23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AMIR NASHAT</w:t>
      </w:r>
    </w:p>
    <w:p>
      <w:pPr>
        <w:spacing w:after="0" w:line="238" w:lineRule="exact"/>
        <w:rPr>
          <w:sz w:val="20"/>
          <w:szCs w:val="20"/>
          <w:color w:val="auto"/>
        </w:rPr>
      </w:pPr>
    </w:p>
    <w:p>
      <w:pPr>
        <w:ind w:left="7220"/>
        <w:spacing w:after="0"/>
        <w:tabs>
          <w:tab w:leader="none" w:pos="9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15240</wp:posOffset>
            </wp:positionV>
            <wp:extent cx="27984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8445" cy="8890"/>
                    </a:xfrm>
                    <a:prstGeom prst="rect">
                      <a:avLst/>
                    </a:prstGeom>
                    <a:noFill/>
                  </pic:spPr>
                </pic:pic>
              </a:graphicData>
            </a:graphic>
          </wp:anchor>
        </w:drawing>
      </w:r>
    </w:p>
    <w:p>
      <w:pPr>
        <w:spacing w:after="0" w:line="18"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Amir Nashat</w:t>
      </w:r>
    </w:p>
    <w:p>
      <w:pPr>
        <w:spacing w:after="0" w:line="266"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15240</wp:posOffset>
            </wp:positionV>
            <wp:extent cx="26079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7945" cy="8890"/>
                    </a:xfrm>
                    <a:prstGeom prst="rect">
                      <a:avLst/>
                    </a:prstGeom>
                    <a:noFill/>
                  </pic:spPr>
                </pic:pic>
              </a:graphicData>
            </a:graphic>
          </wp:anchor>
        </w:drawing>
      </w:r>
    </w:p>
    <w:p>
      <w:pPr>
        <w:spacing w:after="0" w:line="18"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Max Eisenberg</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Attorney-in-Fact</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[This Schedule 13D Amendment No. 3 was executed pursuant to Powers of Attorney. Note that copies of the applicable Powers of Attorney are already on file with the appropriate agencies.]</w:t>
      </w:r>
    </w:p>
    <w:p>
      <w:pPr>
        <w:sectPr>
          <w:pgSz w:w="12240" w:h="15840" w:orient="portrait"/>
          <w:cols w:equalWidth="0" w:num="1">
            <w:col w:w="11760"/>
          </w:cols>
          <w:pgMar w:left="120" w:top="142" w:right="360" w:bottom="1440" w:gutter="0" w:footer="0" w:header="0"/>
        </w:sectPr>
      </w:pPr>
    </w:p>
    <w:bookmarkStart w:id="13" w:name="page14"/>
    <w:bookmarkEnd w:id="13"/>
    <w:p>
      <w:pPr>
        <w:jc w:val="center"/>
        <w:ind w:right="-279"/>
        <w:spacing w:after="0"/>
        <w:rPr>
          <w:sz w:val="20"/>
          <w:szCs w:val="20"/>
          <w:color w:val="auto"/>
        </w:rPr>
      </w:pPr>
      <w:r>
        <w:rPr>
          <w:rFonts w:ascii="Arial" w:cs="Arial" w:eastAsia="Arial" w:hAnsi="Arial"/>
          <w:sz w:val="19"/>
          <w:szCs w:val="19"/>
          <w:color w:val="auto"/>
        </w:rPr>
        <w:t>Exhibit A</w:t>
      </w:r>
    </w:p>
    <w:p>
      <w:pPr>
        <w:spacing w:after="0" w:line="224"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AGREEMENT REGARDING THE JOINT FILING OF</w:t>
      </w:r>
    </w:p>
    <w:p>
      <w:pPr>
        <w:spacing w:after="0" w:line="238"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SCHEDULE 13D</w:t>
      </w:r>
    </w:p>
    <w:p>
      <w:pPr>
        <w:spacing w:after="0" w:line="238"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undersigned, being duly authorized thereunto, hereby execute this agreement as an exhibit to this Schedule 13D Amendment No. 3 to evidence the agreement of the below-named parties, in accordance with the rules promulgated pursuant to the Securities Exchange Act of 1934, to file this Amendment No. 3 jointly on behalf of each such party.</w:t>
      </w:r>
    </w:p>
    <w:p>
      <w:pPr>
        <w:spacing w:after="0" w:line="194"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Date: February 4, 2019</w:t>
      </w:r>
    </w:p>
    <w:p>
      <w:pPr>
        <w:spacing w:after="0" w:line="266"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POLARIS VENTURE PARTNERS V, L.P.</w:t>
      </w:r>
    </w:p>
    <w:p>
      <w:pPr>
        <w:spacing w:after="0" w:line="23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By: Polaris Venture Management Co. V, L.L.C.</w:t>
      </w:r>
    </w:p>
    <w:p>
      <w:pPr>
        <w:spacing w:after="0" w:line="238" w:lineRule="exact"/>
        <w:rPr>
          <w:sz w:val="20"/>
          <w:szCs w:val="20"/>
          <w:color w:val="auto"/>
        </w:rPr>
      </w:pPr>
    </w:p>
    <w:p>
      <w:pPr>
        <w:ind w:left="7220"/>
        <w:spacing w:after="0"/>
        <w:tabs>
          <w:tab w:leader="none" w:pos="9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15240</wp:posOffset>
            </wp:positionV>
            <wp:extent cx="27984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98445" cy="8890"/>
                    </a:xfrm>
                    <a:prstGeom prst="rect">
                      <a:avLst/>
                    </a:prstGeom>
                    <a:noFill/>
                  </pic:spPr>
                </pic:pic>
              </a:graphicData>
            </a:graphic>
          </wp:anchor>
        </w:drawing>
      </w:r>
    </w:p>
    <w:p>
      <w:pPr>
        <w:spacing w:after="0" w:line="18"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Managing Member</w:t>
      </w:r>
    </w:p>
    <w:p>
      <w:pPr>
        <w:spacing w:after="0" w:line="238"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POLARIS VENTURE PARTNERS ENTREPRENEURS’</w:t>
      </w:r>
    </w:p>
    <w:p>
      <w:pPr>
        <w:spacing w:after="0" w:line="34"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FUND V, L.P.</w:t>
      </w:r>
    </w:p>
    <w:p>
      <w:pPr>
        <w:spacing w:after="0" w:line="225"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By: Polaris Venture Management Co. V, L.L.C.</w:t>
      </w:r>
    </w:p>
    <w:p>
      <w:pPr>
        <w:spacing w:after="0" w:line="238" w:lineRule="exact"/>
        <w:rPr>
          <w:sz w:val="20"/>
          <w:szCs w:val="20"/>
          <w:color w:val="auto"/>
        </w:rPr>
      </w:pPr>
    </w:p>
    <w:p>
      <w:pPr>
        <w:ind w:left="7220"/>
        <w:spacing w:after="0"/>
        <w:tabs>
          <w:tab w:leader="none" w:pos="9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15240</wp:posOffset>
            </wp:positionV>
            <wp:extent cx="27984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8445" cy="8890"/>
                    </a:xfrm>
                    <a:prstGeom prst="rect">
                      <a:avLst/>
                    </a:prstGeom>
                    <a:noFill/>
                  </pic:spPr>
                </pic:pic>
              </a:graphicData>
            </a:graphic>
          </wp:anchor>
        </w:drawing>
      </w:r>
    </w:p>
    <w:p>
      <w:pPr>
        <w:spacing w:after="0" w:line="18"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Managing Member</w:t>
      </w:r>
    </w:p>
    <w:p>
      <w:pPr>
        <w:spacing w:after="0" w:line="23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POLARIS VENTURE PARTNERS</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FOUNDERS’ FUND V, L.P.</w:t>
      </w:r>
    </w:p>
    <w:p>
      <w:pPr>
        <w:spacing w:after="0" w:line="239"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By: Polaris Venture Management Co. V, L.L.C.</w:t>
      </w:r>
    </w:p>
    <w:p>
      <w:pPr>
        <w:spacing w:after="0" w:line="238" w:lineRule="exact"/>
        <w:rPr>
          <w:sz w:val="20"/>
          <w:szCs w:val="20"/>
          <w:color w:val="auto"/>
        </w:rPr>
      </w:pPr>
    </w:p>
    <w:p>
      <w:pPr>
        <w:ind w:left="7220"/>
        <w:spacing w:after="0"/>
        <w:tabs>
          <w:tab w:leader="none" w:pos="9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15240</wp:posOffset>
            </wp:positionV>
            <wp:extent cx="27984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8445" cy="8890"/>
                    </a:xfrm>
                    <a:prstGeom prst="rect">
                      <a:avLst/>
                    </a:prstGeom>
                    <a:noFill/>
                  </pic:spPr>
                </pic:pic>
              </a:graphicData>
            </a:graphic>
          </wp:anchor>
        </w:drawing>
      </w:r>
    </w:p>
    <w:p>
      <w:pPr>
        <w:spacing w:after="0" w:line="18"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Managing Member</w:t>
      </w:r>
    </w:p>
    <w:p>
      <w:pPr>
        <w:spacing w:after="0" w:line="23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POLARIS VENTURE PARTNERS SPECIAL</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FOUNDERS’ FUND V, L.P.</w:t>
      </w:r>
    </w:p>
    <w:p>
      <w:pPr>
        <w:spacing w:after="0" w:line="239"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By: Polaris Venture Management Co. V, L.L.C.</w:t>
      </w:r>
    </w:p>
    <w:p>
      <w:pPr>
        <w:spacing w:after="0" w:line="238" w:lineRule="exact"/>
        <w:rPr>
          <w:sz w:val="20"/>
          <w:szCs w:val="20"/>
          <w:color w:val="auto"/>
        </w:rPr>
      </w:pPr>
    </w:p>
    <w:p>
      <w:pPr>
        <w:ind w:left="7220"/>
        <w:spacing w:after="0"/>
        <w:tabs>
          <w:tab w:leader="none" w:pos="9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15240</wp:posOffset>
            </wp:positionV>
            <wp:extent cx="27984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8445" cy="8890"/>
                    </a:xfrm>
                    <a:prstGeom prst="rect">
                      <a:avLst/>
                    </a:prstGeom>
                    <a:noFill/>
                  </pic:spPr>
                </pic:pic>
              </a:graphicData>
            </a:graphic>
          </wp:anchor>
        </w:drawing>
      </w:r>
    </w:p>
    <w:p>
      <w:pPr>
        <w:spacing w:after="0" w:line="18"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Managing Member</w:t>
      </w:r>
    </w:p>
    <w:p>
      <w:pPr>
        <w:spacing w:after="0" w:line="23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POLARIS VENTURE MANAGEMENT CO. V, L.L.C.</w:t>
      </w:r>
    </w:p>
    <w:p>
      <w:pPr>
        <w:spacing w:after="0" w:line="238" w:lineRule="exact"/>
        <w:rPr>
          <w:sz w:val="20"/>
          <w:szCs w:val="20"/>
          <w:color w:val="auto"/>
        </w:rPr>
      </w:pPr>
    </w:p>
    <w:p>
      <w:pPr>
        <w:ind w:left="7220"/>
        <w:spacing w:after="0"/>
        <w:tabs>
          <w:tab w:leader="none" w:pos="9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15240</wp:posOffset>
            </wp:positionV>
            <wp:extent cx="27984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8445" cy="8890"/>
                    </a:xfrm>
                    <a:prstGeom prst="rect">
                      <a:avLst/>
                    </a:prstGeom>
                    <a:noFill/>
                  </pic:spPr>
                </pic:pic>
              </a:graphicData>
            </a:graphic>
          </wp:anchor>
        </w:drawing>
      </w:r>
    </w:p>
    <w:p>
      <w:pPr>
        <w:spacing w:after="0" w:line="18"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Managing Member</w:t>
      </w:r>
    </w:p>
    <w:p>
      <w:pPr>
        <w:spacing w:after="0" w:line="23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JONATHAN A. FLINT</w:t>
      </w:r>
    </w:p>
    <w:p>
      <w:pPr>
        <w:spacing w:after="0" w:line="238" w:lineRule="exact"/>
        <w:rPr>
          <w:sz w:val="20"/>
          <w:szCs w:val="20"/>
          <w:color w:val="auto"/>
        </w:rPr>
      </w:pPr>
    </w:p>
    <w:p>
      <w:pPr>
        <w:ind w:left="7220"/>
        <w:spacing w:after="0"/>
        <w:tabs>
          <w:tab w:leader="none" w:pos="9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15240</wp:posOffset>
            </wp:positionV>
            <wp:extent cx="27984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8445" cy="8890"/>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Jonathan A. Flint</w:t>
      </w:r>
    </w:p>
    <w:p>
      <w:pPr>
        <w:spacing w:after="0" w:line="23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TERRANCE G. MCGUIRE</w:t>
      </w:r>
    </w:p>
    <w:p>
      <w:pPr>
        <w:spacing w:after="0" w:line="238" w:lineRule="exact"/>
        <w:rPr>
          <w:sz w:val="20"/>
          <w:szCs w:val="20"/>
          <w:color w:val="auto"/>
        </w:rPr>
      </w:pPr>
    </w:p>
    <w:p>
      <w:pPr>
        <w:ind w:left="7220"/>
        <w:spacing w:after="0"/>
        <w:tabs>
          <w:tab w:leader="none" w:pos="9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15240</wp:posOffset>
            </wp:positionV>
            <wp:extent cx="27984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8445" cy="8890"/>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Terrance G. McGuire</w:t>
      </w:r>
    </w:p>
    <w:p>
      <w:pPr>
        <w:sectPr>
          <w:pgSz w:w="12240" w:h="15840" w:orient="portrait"/>
          <w:cols w:equalWidth="0" w:num="1">
            <w:col w:w="11720"/>
          </w:cols>
          <w:pgMar w:left="120" w:top="0" w:right="400" w:bottom="1440" w:gutter="0" w:footer="0" w:header="0"/>
        </w:sectPr>
      </w:pPr>
    </w:p>
    <w:bookmarkStart w:id="14" w:name="page15"/>
    <w:bookmarkEnd w:id="14"/>
    <w:p>
      <w:pPr>
        <w:ind w:left="722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68260" cy="40005"/>
                    </a:xfrm>
                    <a:prstGeom prst="rect">
                      <a:avLst/>
                    </a:prstGeom>
                    <a:noFill/>
                  </pic:spPr>
                </pic:pic>
              </a:graphicData>
            </a:graphic>
          </wp:anchor>
        </w:drawing>
        <w:t>AMIR NASHAT</w:t>
      </w:r>
    </w:p>
    <w:p>
      <w:pPr>
        <w:spacing w:after="0" w:line="238" w:lineRule="exact"/>
        <w:rPr>
          <w:sz w:val="20"/>
          <w:szCs w:val="20"/>
          <w:color w:val="auto"/>
        </w:rPr>
      </w:pPr>
    </w:p>
    <w:p>
      <w:pPr>
        <w:ind w:left="7220"/>
        <w:spacing w:after="0"/>
        <w:tabs>
          <w:tab w:leader="none" w:pos="9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15240</wp:posOffset>
            </wp:positionV>
            <wp:extent cx="27984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8445" cy="8890"/>
                    </a:xfrm>
                    <a:prstGeom prst="rect">
                      <a:avLst/>
                    </a:prstGeom>
                    <a:noFill/>
                  </pic:spPr>
                </pic:pic>
              </a:graphicData>
            </a:graphic>
          </wp:anchor>
        </w:drawing>
      </w:r>
    </w:p>
    <w:p>
      <w:pPr>
        <w:spacing w:after="0" w:line="18" w:lineRule="exact"/>
        <w:rPr>
          <w:sz w:val="20"/>
          <w:szCs w:val="20"/>
          <w:color w:val="auto"/>
        </w:rPr>
      </w:pPr>
    </w:p>
    <w:p>
      <w:pPr>
        <w:ind w:left="7600"/>
        <w:spacing w:after="0"/>
        <w:rPr>
          <w:sz w:val="20"/>
          <w:szCs w:val="20"/>
          <w:color w:val="auto"/>
        </w:rPr>
      </w:pPr>
      <w:r>
        <w:rPr>
          <w:rFonts w:ascii="Arial" w:cs="Arial" w:eastAsia="Arial" w:hAnsi="Arial"/>
          <w:sz w:val="19"/>
          <w:szCs w:val="19"/>
          <w:color w:val="auto"/>
        </w:rPr>
        <w:t>Amir Nashat</w:t>
      </w:r>
    </w:p>
    <w:p>
      <w:pPr>
        <w:spacing w:after="0" w:line="266"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15240</wp:posOffset>
            </wp:positionV>
            <wp:extent cx="26079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7945" cy="8890"/>
                    </a:xfrm>
                    <a:prstGeom prst="rect">
                      <a:avLst/>
                    </a:prstGeom>
                    <a:noFill/>
                  </pic:spPr>
                </pic:pic>
              </a:graphicData>
            </a:graphic>
          </wp:anchor>
        </w:drawing>
      </w:r>
    </w:p>
    <w:p>
      <w:pPr>
        <w:spacing w:after="0" w:line="18"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7"/>
          <w:szCs w:val="17"/>
          <w:color w:val="auto"/>
        </w:rPr>
        <w:t>Max Eisenberg</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9"/>
          <w:szCs w:val="19"/>
          <w:color w:val="auto"/>
        </w:rPr>
        <w:t>Attorney-in-Fact</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[This Exhibit A to Schedule 13D Amendment No. 3 was executed pursuant to Powers of Attorney. Note that copies of the applicable Powers of Attorney are already on file with the appropriate agencies.]</w:t>
      </w:r>
    </w:p>
    <w:sectPr>
      <w:pgSz w:w="12240" w:h="15840" w:orient="portrait"/>
      <w:cols w:equalWidth="0" w:num="1">
        <w:col w:w="11900"/>
      </w:cols>
      <w:pgMar w:left="120" w:top="370" w:right="2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3"/>
    </w:lvl>
    <w:lvl w:ilvl="1">
      <w:lvlJc w:val="left"/>
      <w:lvlText w:val="%2."/>
      <w:numFmt w:val="decimal"/>
      <w:start w:val="7"/>
    </w:lvl>
  </w:abstractNum>
  <w:abstractNum w:abstractNumId="3">
    <w:nsid w:val="7C83E458"/>
    <w:multiLevelType w:val="hybridMultilevel"/>
    <w:lvl w:ilvl="0">
      <w:lvlJc w:val="left"/>
      <w:lvlText w:val="%1"/>
      <w:numFmt w:val="decimal"/>
      <w:start w:val="1"/>
    </w:lvl>
    <w:lvl w:ilvl="1">
      <w:lvlJc w:val="left"/>
      <w:lvlText w:val="%2."/>
      <w:numFmt w:val="decimal"/>
      <w:start w:val="10"/>
    </w:lvl>
  </w:abstractNum>
  <w:abstractNum w:abstractNumId="4">
    <w:nsid w:val="257130A3"/>
    <w:multiLevelType w:val="hybridMultilevel"/>
    <w:lvl w:ilvl="0">
      <w:lvlJc w:val="left"/>
      <w:lvlText w:val="%1."/>
      <w:numFmt w:val="decimal"/>
      <w:start w:val="11"/>
    </w:lvl>
    <w:lvl w:ilvl="1">
      <w:lvlJc w:val="left"/>
      <w:lvlText w:val="%2"/>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3"/>
    </w:lvl>
    <w:lvl w:ilvl="1">
      <w:lvlJc w:val="left"/>
      <w:lvlText w:val="%2."/>
      <w:numFmt w:val="decimal"/>
      <w:start w:val="7"/>
    </w:lvl>
  </w:abstractNum>
  <w:abstractNum w:abstractNumId="7">
    <w:nsid w:val="628C895D"/>
    <w:multiLevelType w:val="hybridMultilevel"/>
    <w:lvl w:ilvl="0">
      <w:lvlJc w:val="left"/>
      <w:lvlText w:val="%1"/>
      <w:numFmt w:val="decimal"/>
      <w:start w:val="1"/>
    </w:lvl>
    <w:lvl w:ilvl="1">
      <w:lvlJc w:val="left"/>
      <w:lvlText w:val="%2."/>
      <w:numFmt w:val="decimal"/>
      <w:start w:val="10"/>
    </w:lvl>
  </w:abstractNum>
  <w:abstractNum w:abstractNumId="8">
    <w:nsid w:val="333AB105"/>
    <w:multiLevelType w:val="hybridMultilevel"/>
    <w:lvl w:ilvl="0">
      <w:lvlJc w:val="left"/>
      <w:lvlText w:val="%1."/>
      <w:numFmt w:val="decimal"/>
      <w:start w:val="11"/>
    </w:lvl>
    <w:lvl w:ilvl="1">
      <w:lvlJc w:val="left"/>
      <w:lvlText w:val="%2"/>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3"/>
    </w:lvl>
    <w:lvl w:ilvl="1">
      <w:lvlJc w:val="left"/>
      <w:lvlText w:val="%2."/>
      <w:numFmt w:val="decimal"/>
      <w:start w:val="7"/>
    </w:lvl>
  </w:abstractNum>
  <w:abstractNum w:abstractNumId="11">
    <w:nsid w:val="2D1D5AE9"/>
    <w:multiLevelType w:val="hybridMultilevel"/>
    <w:lvl w:ilvl="0">
      <w:lvlJc w:val="left"/>
      <w:lvlText w:val="%1"/>
      <w:numFmt w:val="decimal"/>
      <w:start w:val="1"/>
    </w:lvl>
    <w:lvl w:ilvl="1">
      <w:lvlJc w:val="left"/>
      <w:lvlText w:val="%2."/>
      <w:numFmt w:val="decimal"/>
      <w:start w:val="10"/>
    </w:lvl>
  </w:abstractNum>
  <w:abstractNum w:abstractNumId="12">
    <w:nsid w:val="6763845E"/>
    <w:multiLevelType w:val="hybridMultilevel"/>
    <w:lvl w:ilvl="0">
      <w:lvlJc w:val="left"/>
      <w:lvlText w:val="%1."/>
      <w:numFmt w:val="decimal"/>
      <w:start w:val="11"/>
    </w:lvl>
    <w:lvl w:ilvl="1">
      <w:lvlJc w:val="left"/>
      <w:lvlText w:val="%2"/>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3"/>
    </w:lvl>
    <w:lvl w:ilvl="1">
      <w:lvlJc w:val="left"/>
      <w:lvlText w:val="%2."/>
      <w:numFmt w:val="decimal"/>
      <w:start w:val="7"/>
    </w:lvl>
  </w:abstractNum>
  <w:abstractNum w:abstractNumId="15">
    <w:nsid w:val="79838CB2"/>
    <w:multiLevelType w:val="hybridMultilevel"/>
    <w:lvl w:ilvl="0">
      <w:lvlJc w:val="left"/>
      <w:lvlText w:val="%1"/>
      <w:numFmt w:val="decimal"/>
      <w:start w:val="1"/>
    </w:lvl>
    <w:lvl w:ilvl="1">
      <w:lvlJc w:val="left"/>
      <w:lvlText w:val="%2."/>
      <w:numFmt w:val="decimal"/>
      <w:start w:val="10"/>
    </w:lvl>
  </w:abstractNum>
  <w:abstractNum w:abstractNumId="16">
    <w:nsid w:val="4353D0CD"/>
    <w:multiLevelType w:val="hybridMultilevel"/>
    <w:lvl w:ilvl="0">
      <w:lvlJc w:val="left"/>
      <w:lvlText w:val="%1."/>
      <w:numFmt w:val="decimal"/>
      <w:start w:val="11"/>
    </w:lvl>
    <w:lvl w:ilvl="1">
      <w:lvlJc w:val="left"/>
      <w:lvlText w:val="%2"/>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3"/>
    </w:lvl>
    <w:lvl w:ilvl="1">
      <w:lvlJc w:val="left"/>
      <w:lvlText w:val="%2."/>
      <w:numFmt w:val="decimal"/>
      <w:start w:val="7"/>
    </w:lvl>
  </w:abstractNum>
  <w:abstractNum w:abstractNumId="19">
    <w:nsid w:val="54E49EB4"/>
    <w:multiLevelType w:val="hybridMultilevel"/>
    <w:lvl w:ilvl="0">
      <w:lvlJc w:val="left"/>
      <w:lvlText w:val="%1"/>
      <w:numFmt w:val="decimal"/>
      <w:start w:val="1"/>
    </w:lvl>
    <w:lvl w:ilvl="1">
      <w:lvlJc w:val="left"/>
      <w:lvlText w:val="%2."/>
      <w:numFmt w:val="decimal"/>
      <w:start w:val="10"/>
    </w:lvl>
  </w:abstractNum>
  <w:abstractNum w:abstractNumId="20">
    <w:nsid w:val="71F32454"/>
    <w:multiLevelType w:val="hybridMultilevel"/>
    <w:lvl w:ilvl="0">
      <w:lvlJc w:val="left"/>
      <w:lvlText w:val="%1."/>
      <w:numFmt w:val="decimal"/>
      <w:start w:val="11"/>
    </w:lvl>
    <w:lvl w:ilvl="1">
      <w:lvlJc w:val="left"/>
      <w:lvlText w:val="%2"/>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3"/>
    </w:lvl>
    <w:lvl w:ilvl="1">
      <w:lvlJc w:val="left"/>
      <w:lvlText w:val="%2."/>
      <w:numFmt w:val="decimal"/>
      <w:start w:val="7"/>
    </w:lvl>
  </w:abstractNum>
  <w:abstractNum w:abstractNumId="23">
    <w:nsid w:val="2901D82"/>
    <w:multiLevelType w:val="hybridMultilevel"/>
    <w:lvl w:ilvl="0">
      <w:lvlJc w:val="left"/>
      <w:lvlText w:val="%1"/>
      <w:numFmt w:val="decimal"/>
      <w:start w:val="1"/>
    </w:lvl>
    <w:lvl w:ilvl="1">
      <w:lvlJc w:val="left"/>
      <w:lvlText w:val="%2."/>
      <w:numFmt w:val="decimal"/>
      <w:start w:val="10"/>
    </w:lvl>
  </w:abstractNum>
  <w:abstractNum w:abstractNumId="24">
    <w:nsid w:val="3A95F874"/>
    <w:multiLevelType w:val="hybridMultilevel"/>
    <w:lvl w:ilvl="0">
      <w:lvlJc w:val="left"/>
      <w:lvlText w:val="%1."/>
      <w:numFmt w:val="decimal"/>
      <w:start w:val="11"/>
    </w:lvl>
    <w:lvl w:ilvl="1">
      <w:lvlJc w:val="left"/>
      <w:lvlText w:val="%2"/>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3"/>
    </w:lvl>
    <w:lvl w:ilvl="1">
      <w:lvlJc w:val="left"/>
      <w:lvlText w:val="%2."/>
      <w:numFmt w:val="decimal"/>
      <w:start w:val="7"/>
    </w:lvl>
  </w:abstractNum>
  <w:abstractNum w:abstractNumId="27">
    <w:nsid w:val="7C3DBD3D"/>
    <w:multiLevelType w:val="hybridMultilevel"/>
    <w:lvl w:ilvl="0">
      <w:lvlJc w:val="left"/>
      <w:lvlText w:val="%1"/>
      <w:numFmt w:val="decimal"/>
      <w:start w:val="1"/>
    </w:lvl>
    <w:lvl w:ilvl="1">
      <w:lvlJc w:val="left"/>
      <w:lvlText w:val="%2."/>
      <w:numFmt w:val="decimal"/>
      <w:start w:val="10"/>
    </w:lvl>
  </w:abstractNum>
  <w:abstractNum w:abstractNumId="28">
    <w:nsid w:val="737B8DDC"/>
    <w:multiLevelType w:val="hybridMultilevel"/>
    <w:lvl w:ilvl="0">
      <w:lvlJc w:val="left"/>
      <w:lvlText w:val="%1."/>
      <w:numFmt w:val="decimal"/>
      <w:start w:val="11"/>
    </w:lvl>
    <w:lvl w:ilvl="1">
      <w:lvlJc w:val="left"/>
      <w:lvlText w:val="%2"/>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3"/>
    </w:lvl>
    <w:lvl w:ilvl="1">
      <w:lvlJc w:val="left"/>
      <w:lvlText w:val="%2."/>
      <w:numFmt w:val="decimal"/>
      <w:start w:val="7"/>
    </w:lvl>
  </w:abstractNum>
  <w:abstractNum w:abstractNumId="31">
    <w:nsid w:val="4516DDE9"/>
    <w:multiLevelType w:val="hybridMultilevel"/>
    <w:lvl w:ilvl="0">
      <w:lvlJc w:val="left"/>
      <w:lvlText w:val="%1"/>
      <w:numFmt w:val="decimal"/>
      <w:start w:val="1"/>
    </w:lvl>
    <w:lvl w:ilvl="1">
      <w:lvlJc w:val="left"/>
      <w:lvlText w:val="%2."/>
      <w:numFmt w:val="decimal"/>
      <w:start w:val="10"/>
    </w:lvl>
  </w:abstractNum>
  <w:abstractNum w:abstractNumId="32">
    <w:nsid w:val="3006C83E"/>
    <w:multiLevelType w:val="hybridMultilevel"/>
    <w:lvl w:ilvl="0">
      <w:lvlJc w:val="left"/>
      <w:lvlText w:val="%1."/>
      <w:numFmt w:val="decimal"/>
      <w:start w:val="11"/>
    </w:lvl>
    <w:lvl w:ilvl="1">
      <w:lvlJc w:val="left"/>
      <w:lvlText w:val="%2"/>
      <w:numFmt w:val="decimal"/>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2019-11-24T19:03:14Z</dcterms:created>
  <dcterms:modified xsi:type="dcterms:W3CDTF">2019-11-24T19:03:14Z</dcterms:modified>
</cp:coreProperties>
</file>