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sz w:val="20"/>
          <w:szCs w:val="20"/>
          <w:color w:val="auto"/>
        </w:rPr>
      </w:pPr>
      <w:r>
        <w:rPr>
          <w:rFonts w:ascii="Arial" w:cs="Arial" w:eastAsia="Arial" w:hAnsi="Arial"/>
          <w:sz w:val="19"/>
          <w:szCs w:val="19"/>
          <w:color w:val="auto"/>
        </w:rPr>
        <w:t>Use these links to rapidly review the document</w:t>
      </w:r>
    </w:p>
    <w:p>
      <w:pPr>
        <w:ind w:left="7"/>
        <w:spacing w:after="0" w:line="235"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1" w:lineRule="exact"/>
        <w:rPr>
          <w:sz w:val="24"/>
          <w:szCs w:val="24"/>
          <w:color w:val="auto"/>
        </w:rPr>
      </w:pPr>
    </w:p>
    <w:p>
      <w:pPr>
        <w:ind w:left="7"/>
        <w:spacing w:after="0"/>
        <w:rPr>
          <w:rFonts w:ascii="Arial" w:cs="Arial" w:eastAsia="Arial" w:hAnsi="Arial"/>
          <w:sz w:val="19"/>
          <w:szCs w:val="19"/>
          <w:u w:val="single" w:color="auto"/>
          <w:color w:val="0000EE"/>
        </w:rPr>
      </w:pPr>
      <w:hyperlink w:anchor="page232">
        <w:r>
          <w:rPr>
            <w:rFonts w:ascii="Arial" w:cs="Arial" w:eastAsia="Arial" w:hAnsi="Arial"/>
            <w:sz w:val="19"/>
            <w:szCs w:val="19"/>
            <w:u w:val="single" w:color="auto"/>
            <w:color w:val="0000EE"/>
          </w:rPr>
          <w:t>TABLE OF CONTENTS 2</w:t>
        </w:r>
      </w:hyperlink>
    </w:p>
    <w:p>
      <w:pPr>
        <w:spacing w:after="0" w:line="167"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As filed with the Securities and Exchange Commission on June 8, 2016</w:t>
      </w:r>
    </w:p>
    <w:p>
      <w:pPr>
        <w:spacing w:after="0" w:line="175"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333-211555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316230</wp:posOffset>
            </wp:positionV>
            <wp:extent cx="726630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UNITED STATES</w:t>
      </w:r>
    </w:p>
    <w:p>
      <w:pPr>
        <w:spacing w:after="0" w:line="19"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6"/>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110490</wp:posOffset>
            </wp:positionV>
            <wp:extent cx="18313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AMENDMENT NO. 1</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TO</w:t>
      </w:r>
    </w:p>
    <w:p>
      <w:pPr>
        <w:jc w:val="center"/>
        <w:ind w:right="-6"/>
        <w:spacing w:after="0" w:line="237" w:lineRule="auto"/>
        <w:rPr>
          <w:sz w:val="20"/>
          <w:szCs w:val="20"/>
          <w:color w:val="auto"/>
        </w:rPr>
      </w:pPr>
      <w:r>
        <w:rPr>
          <w:rFonts w:ascii="Arial" w:cs="Arial" w:eastAsia="Arial" w:hAnsi="Arial"/>
          <w:sz w:val="28"/>
          <w:szCs w:val="28"/>
          <w:b w:val="1"/>
          <w:bCs w:val="1"/>
          <w:color w:val="auto"/>
        </w:rPr>
        <w:t>FORM S-1</w:t>
      </w:r>
    </w:p>
    <w:p>
      <w:pPr>
        <w:jc w:val="center"/>
        <w:ind w:right="-6"/>
        <w:spacing w:after="0" w:line="221" w:lineRule="auto"/>
        <w:rPr>
          <w:sz w:val="20"/>
          <w:szCs w:val="20"/>
          <w:color w:val="auto"/>
        </w:rPr>
      </w:pPr>
      <w:r>
        <w:rPr>
          <w:rFonts w:ascii="Arial" w:cs="Arial" w:eastAsia="Arial" w:hAnsi="Arial"/>
          <w:sz w:val="12"/>
          <w:szCs w:val="12"/>
          <w:b w:val="1"/>
          <w:bCs w:val="1"/>
          <w:color w:val="auto"/>
        </w:rPr>
        <w:t>REGISTRATION STATEMENT</w:t>
      </w:r>
    </w:p>
    <w:p>
      <w:pPr>
        <w:jc w:val="center"/>
        <w:ind w:right="-6"/>
        <w:spacing w:after="0" w:line="222" w:lineRule="auto"/>
        <w:rPr>
          <w:sz w:val="20"/>
          <w:szCs w:val="20"/>
          <w:color w:val="auto"/>
        </w:rPr>
      </w:pPr>
      <w:r>
        <w:rPr>
          <w:rFonts w:ascii="Arial" w:cs="Arial" w:eastAsia="Arial" w:hAnsi="Arial"/>
          <w:sz w:val="12"/>
          <w:szCs w:val="12"/>
          <w:b w:val="1"/>
          <w:bCs w:val="1"/>
          <w:color w:val="auto"/>
        </w:rPr>
        <w:t>UNDER</w:t>
      </w:r>
    </w:p>
    <w:p>
      <w:pPr>
        <w:jc w:val="center"/>
        <w:ind w:right="-6"/>
        <w:spacing w:after="0"/>
        <w:rPr>
          <w:sz w:val="20"/>
          <w:szCs w:val="20"/>
          <w:color w:val="auto"/>
        </w:rPr>
      </w:pPr>
      <w:r>
        <w:rPr>
          <w:rFonts w:ascii="Arial" w:cs="Arial" w:eastAsia="Arial" w:hAnsi="Arial"/>
          <w:sz w:val="12"/>
          <w:szCs w:val="1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110490</wp:posOffset>
            </wp:positionV>
            <wp:extent cx="18313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Selecta Biosciences, Inc.</w:t>
      </w:r>
    </w:p>
    <w:p>
      <w:pPr>
        <w:spacing w:after="0" w:line="27" w:lineRule="exact"/>
        <w:rPr>
          <w:sz w:val="24"/>
          <w:szCs w:val="24"/>
          <w:color w:val="auto"/>
        </w:rPr>
      </w:pPr>
    </w:p>
    <w:p>
      <w:pPr>
        <w:jc w:val="center"/>
        <w:ind w:right="-6"/>
        <w:spacing w:after="0"/>
        <w:rPr>
          <w:sz w:val="20"/>
          <w:szCs w:val="20"/>
          <w:color w:val="auto"/>
        </w:rPr>
      </w:pPr>
      <w:r>
        <w:rPr>
          <w:rFonts w:ascii="Arial" w:cs="Arial" w:eastAsia="Arial" w:hAnsi="Arial"/>
          <w:sz w:val="12"/>
          <w:szCs w:val="12"/>
          <w:color w:val="auto"/>
        </w:rPr>
        <w:t>(Exact name of registrant as specified in its charter)</w:t>
      </w:r>
    </w:p>
    <w:p>
      <w:pPr>
        <w:spacing w:after="0" w:line="155" w:lineRule="exact"/>
        <w:rPr>
          <w:sz w:val="24"/>
          <w:szCs w:val="24"/>
          <w:color w:val="auto"/>
        </w:rPr>
      </w:pPr>
    </w:p>
    <w:tbl>
      <w:tblPr>
        <w:tblLayout w:type="fixed"/>
        <w:tblInd w:w="3487" w:type="dxa"/>
        <w:tblCellMar>
          <w:top w:w="0" w:type="dxa"/>
          <w:left w:w="0" w:type="dxa"/>
          <w:bottom w:w="0" w:type="dxa"/>
          <w:right w:w="0" w:type="dxa"/>
        </w:tblCellMar>
      </w:tblPr>
      <w:tr>
        <w:trPr>
          <w:trHeight w:val="138"/>
        </w:trPr>
        <w:tc>
          <w:tcPr>
            <w:tcW w:w="1440" w:type="dxa"/>
            <w:vAlign w:val="bottom"/>
          </w:tcPr>
          <w:p>
            <w:pPr>
              <w:jc w:val="center"/>
              <w:ind w:right="42"/>
              <w:spacing w:after="0"/>
              <w:rPr>
                <w:sz w:val="20"/>
                <w:szCs w:val="20"/>
                <w:color w:val="auto"/>
              </w:rPr>
            </w:pPr>
            <w:r>
              <w:rPr>
                <w:rFonts w:ascii="Arial" w:cs="Arial" w:eastAsia="Arial" w:hAnsi="Arial"/>
                <w:sz w:val="12"/>
                <w:szCs w:val="12"/>
                <w:b w:val="1"/>
                <w:bCs w:val="1"/>
                <w:color w:val="auto"/>
                <w:w w:val="87"/>
              </w:rPr>
              <w:t>Delaware</w:t>
            </w:r>
          </w:p>
        </w:tc>
        <w:tc>
          <w:tcPr>
            <w:tcW w:w="1700" w:type="dxa"/>
            <w:vAlign w:val="bottom"/>
          </w:tcPr>
          <w:p>
            <w:pPr>
              <w:jc w:val="center"/>
              <w:ind w:right="62"/>
              <w:spacing w:after="0"/>
              <w:rPr>
                <w:sz w:val="20"/>
                <w:szCs w:val="20"/>
                <w:color w:val="auto"/>
              </w:rPr>
            </w:pPr>
            <w:r>
              <w:rPr>
                <w:rFonts w:ascii="Arial" w:cs="Arial" w:eastAsia="Arial" w:hAnsi="Arial"/>
                <w:sz w:val="12"/>
                <w:szCs w:val="12"/>
                <w:b w:val="1"/>
                <w:bCs w:val="1"/>
                <w:color w:val="auto"/>
                <w:w w:val="82"/>
              </w:rPr>
              <w:t>2834</w:t>
            </w:r>
          </w:p>
        </w:tc>
        <w:tc>
          <w:tcPr>
            <w:tcW w:w="1080" w:type="dxa"/>
            <w:vAlign w:val="bottom"/>
          </w:tcPr>
          <w:p>
            <w:pPr>
              <w:jc w:val="center"/>
              <w:ind w:left="182"/>
              <w:spacing w:after="0"/>
              <w:rPr>
                <w:sz w:val="20"/>
                <w:szCs w:val="20"/>
                <w:color w:val="auto"/>
              </w:rPr>
            </w:pPr>
            <w:r>
              <w:rPr>
                <w:rFonts w:ascii="Arial" w:cs="Arial" w:eastAsia="Arial" w:hAnsi="Arial"/>
                <w:sz w:val="12"/>
                <w:szCs w:val="12"/>
                <w:b w:val="1"/>
                <w:bCs w:val="1"/>
                <w:color w:val="auto"/>
                <w:w w:val="87"/>
              </w:rPr>
              <w:t>26-1622110</w:t>
            </w:r>
          </w:p>
        </w:tc>
      </w:tr>
      <w:tr>
        <w:trPr>
          <w:trHeight w:val="127"/>
        </w:trPr>
        <w:tc>
          <w:tcPr>
            <w:tcW w:w="144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9"/>
              </w:rPr>
              <w:t>(State or other jurisdiction of</w:t>
            </w:r>
          </w:p>
        </w:tc>
        <w:tc>
          <w:tcPr>
            <w:tcW w:w="170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8"/>
              </w:rPr>
              <w:t>(Primary Standard Industrial</w:t>
            </w:r>
          </w:p>
        </w:tc>
        <w:tc>
          <w:tcPr>
            <w:tcW w:w="1080" w:type="dxa"/>
            <w:vAlign w:val="bottom"/>
          </w:tcPr>
          <w:p>
            <w:pPr>
              <w:jc w:val="center"/>
              <w:ind w:left="182"/>
              <w:spacing w:after="0" w:line="128" w:lineRule="exact"/>
              <w:rPr>
                <w:sz w:val="20"/>
                <w:szCs w:val="20"/>
                <w:color w:val="auto"/>
              </w:rPr>
            </w:pPr>
            <w:r>
              <w:rPr>
                <w:rFonts w:ascii="Arial" w:cs="Arial" w:eastAsia="Arial" w:hAnsi="Arial"/>
                <w:sz w:val="12"/>
                <w:szCs w:val="12"/>
                <w:color w:val="auto"/>
                <w:w w:val="90"/>
              </w:rPr>
              <w:t>(I.R.S. Employer</w:t>
            </w:r>
          </w:p>
        </w:tc>
      </w:tr>
      <w:tr>
        <w:trPr>
          <w:trHeight w:val="127"/>
        </w:trPr>
        <w:tc>
          <w:tcPr>
            <w:tcW w:w="144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8"/>
              </w:rPr>
              <w:t>incorporation or</w:t>
            </w:r>
          </w:p>
        </w:tc>
        <w:tc>
          <w:tcPr>
            <w:tcW w:w="170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9"/>
              </w:rPr>
              <w:t>Classification Code Number)</w:t>
            </w:r>
          </w:p>
        </w:tc>
        <w:tc>
          <w:tcPr>
            <w:tcW w:w="1080" w:type="dxa"/>
            <w:vAlign w:val="bottom"/>
          </w:tcPr>
          <w:p>
            <w:pPr>
              <w:jc w:val="center"/>
              <w:ind w:left="162"/>
              <w:spacing w:after="0" w:line="128" w:lineRule="exact"/>
              <w:rPr>
                <w:sz w:val="20"/>
                <w:szCs w:val="20"/>
                <w:color w:val="auto"/>
              </w:rPr>
            </w:pPr>
            <w:r>
              <w:rPr>
                <w:rFonts w:ascii="Arial" w:cs="Arial" w:eastAsia="Arial" w:hAnsi="Arial"/>
                <w:sz w:val="12"/>
                <w:szCs w:val="12"/>
                <w:color w:val="auto"/>
                <w:w w:val="92"/>
              </w:rPr>
              <w:t>Identification No.)</w:t>
            </w:r>
          </w:p>
        </w:tc>
      </w:tr>
      <w:tr>
        <w:trPr>
          <w:trHeight w:val="147"/>
        </w:trPr>
        <w:tc>
          <w:tcPr>
            <w:tcW w:w="1440" w:type="dxa"/>
            <w:vAlign w:val="bottom"/>
          </w:tcPr>
          <w:p>
            <w:pPr>
              <w:jc w:val="center"/>
              <w:ind w:right="42"/>
              <w:spacing w:after="0"/>
              <w:rPr>
                <w:sz w:val="20"/>
                <w:szCs w:val="20"/>
                <w:color w:val="auto"/>
              </w:rPr>
            </w:pPr>
            <w:r>
              <w:rPr>
                <w:rFonts w:ascii="Arial" w:cs="Arial" w:eastAsia="Arial" w:hAnsi="Arial"/>
                <w:sz w:val="12"/>
                <w:szCs w:val="12"/>
                <w:color w:val="auto"/>
                <w:w w:val="89"/>
              </w:rPr>
              <w:t>organization)</w:t>
            </w:r>
          </w:p>
        </w:tc>
        <w:tc>
          <w:tcPr>
            <w:tcW w:w="170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164"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480 Arsenal Street, Building One</w:t>
      </w:r>
    </w:p>
    <w:p>
      <w:pPr>
        <w:jc w:val="center"/>
        <w:ind w:right="-6"/>
        <w:spacing w:after="0" w:line="224" w:lineRule="auto"/>
        <w:rPr>
          <w:sz w:val="20"/>
          <w:szCs w:val="20"/>
          <w:color w:val="auto"/>
        </w:rPr>
      </w:pPr>
      <w:r>
        <w:rPr>
          <w:rFonts w:ascii="Arial" w:cs="Arial" w:eastAsia="Arial" w:hAnsi="Arial"/>
          <w:sz w:val="12"/>
          <w:szCs w:val="12"/>
          <w:b w:val="1"/>
          <w:bCs w:val="1"/>
          <w:color w:val="auto"/>
        </w:rPr>
        <w:t>Watertown, Massachusetts 02472</w:t>
      </w:r>
    </w:p>
    <w:p>
      <w:pPr>
        <w:jc w:val="center"/>
        <w:ind w:right="-6"/>
        <w:spacing w:after="0" w:line="221" w:lineRule="auto"/>
        <w:rPr>
          <w:sz w:val="20"/>
          <w:szCs w:val="20"/>
          <w:color w:val="auto"/>
        </w:rPr>
      </w:pPr>
      <w:r>
        <w:rPr>
          <w:rFonts w:ascii="Arial" w:cs="Arial" w:eastAsia="Arial" w:hAnsi="Arial"/>
          <w:sz w:val="12"/>
          <w:szCs w:val="12"/>
          <w:b w:val="1"/>
          <w:bCs w:val="1"/>
          <w:color w:val="auto"/>
        </w:rPr>
        <w:t>(617) 923-1400</w:t>
      </w:r>
    </w:p>
    <w:p>
      <w:pPr>
        <w:jc w:val="center"/>
        <w:ind w:right="-6"/>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110490</wp:posOffset>
            </wp:positionV>
            <wp:extent cx="18313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Werner Cautreels, Ph.D.</w:t>
      </w:r>
    </w:p>
    <w:p>
      <w:pPr>
        <w:jc w:val="center"/>
        <w:ind w:right="-6"/>
        <w:spacing w:after="0" w:line="224" w:lineRule="auto"/>
        <w:rPr>
          <w:sz w:val="20"/>
          <w:szCs w:val="20"/>
          <w:color w:val="auto"/>
        </w:rPr>
      </w:pPr>
      <w:r>
        <w:rPr>
          <w:rFonts w:ascii="Arial" w:cs="Arial" w:eastAsia="Arial" w:hAnsi="Arial"/>
          <w:sz w:val="12"/>
          <w:szCs w:val="12"/>
          <w:b w:val="1"/>
          <w:bCs w:val="1"/>
          <w:color w:val="auto"/>
        </w:rPr>
        <w:t>President and Chief Executive Officer</w:t>
      </w:r>
    </w:p>
    <w:p>
      <w:pPr>
        <w:jc w:val="center"/>
        <w:ind w:right="-6"/>
        <w:spacing w:after="0" w:line="221" w:lineRule="auto"/>
        <w:rPr>
          <w:sz w:val="20"/>
          <w:szCs w:val="20"/>
          <w:color w:val="auto"/>
        </w:rPr>
      </w:pPr>
      <w:r>
        <w:rPr>
          <w:rFonts w:ascii="Arial" w:cs="Arial" w:eastAsia="Arial" w:hAnsi="Arial"/>
          <w:sz w:val="12"/>
          <w:szCs w:val="12"/>
          <w:b w:val="1"/>
          <w:bCs w:val="1"/>
          <w:color w:val="auto"/>
        </w:rPr>
        <w:t>Selecta Biosciences, Inc.</w:t>
      </w:r>
    </w:p>
    <w:p>
      <w:pPr>
        <w:jc w:val="center"/>
        <w:ind w:right="-6"/>
        <w:spacing w:after="0" w:line="222" w:lineRule="auto"/>
        <w:rPr>
          <w:sz w:val="20"/>
          <w:szCs w:val="20"/>
          <w:color w:val="auto"/>
        </w:rPr>
      </w:pPr>
      <w:r>
        <w:rPr>
          <w:rFonts w:ascii="Arial" w:cs="Arial" w:eastAsia="Arial" w:hAnsi="Arial"/>
          <w:sz w:val="12"/>
          <w:szCs w:val="12"/>
          <w:b w:val="1"/>
          <w:bCs w:val="1"/>
          <w:color w:val="auto"/>
        </w:rPr>
        <w:t>480 Arsenal Street, Building One</w:t>
      </w:r>
    </w:p>
    <w:p>
      <w:pPr>
        <w:jc w:val="center"/>
        <w:ind w:right="-6"/>
        <w:spacing w:after="0" w:line="221" w:lineRule="auto"/>
        <w:rPr>
          <w:sz w:val="20"/>
          <w:szCs w:val="20"/>
          <w:color w:val="auto"/>
        </w:rPr>
      </w:pPr>
      <w:r>
        <w:rPr>
          <w:rFonts w:ascii="Arial" w:cs="Arial" w:eastAsia="Arial" w:hAnsi="Arial"/>
          <w:sz w:val="12"/>
          <w:szCs w:val="12"/>
          <w:b w:val="1"/>
          <w:bCs w:val="1"/>
          <w:color w:val="auto"/>
        </w:rPr>
        <w:t>Watertown, Massachusetts 02472</w:t>
      </w:r>
    </w:p>
    <w:p>
      <w:pPr>
        <w:jc w:val="center"/>
        <w:ind w:right="-6"/>
        <w:spacing w:after="0" w:line="222" w:lineRule="auto"/>
        <w:rPr>
          <w:sz w:val="20"/>
          <w:szCs w:val="20"/>
          <w:color w:val="auto"/>
        </w:rPr>
      </w:pPr>
      <w:r>
        <w:rPr>
          <w:rFonts w:ascii="Arial" w:cs="Arial" w:eastAsia="Arial" w:hAnsi="Arial"/>
          <w:sz w:val="12"/>
          <w:szCs w:val="12"/>
          <w:b w:val="1"/>
          <w:bCs w:val="1"/>
          <w:color w:val="auto"/>
        </w:rPr>
        <w:t>(617) 923-1400</w:t>
      </w:r>
    </w:p>
    <w:p>
      <w:pPr>
        <w:jc w:val="center"/>
        <w:ind w:right="-6"/>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110490</wp:posOffset>
            </wp:positionV>
            <wp:extent cx="18313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tbl>
      <w:tblPr>
        <w:tblLayout w:type="fixed"/>
        <w:tblInd w:w="3787" w:type="dxa"/>
        <w:tblCellMar>
          <w:top w:w="0" w:type="dxa"/>
          <w:left w:w="0" w:type="dxa"/>
          <w:bottom w:w="0" w:type="dxa"/>
          <w:right w:w="0" w:type="dxa"/>
        </w:tblCellMar>
      </w:tblPr>
      <w:tr>
        <w:trPr>
          <w:trHeight w:val="138"/>
        </w:trPr>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60" w:type="dxa"/>
            <w:vAlign w:val="bottom"/>
            <w:gridSpan w:val="2"/>
          </w:tcPr>
          <w:p>
            <w:pPr>
              <w:ind w:left="120"/>
              <w:spacing w:after="0"/>
              <w:rPr>
                <w:sz w:val="20"/>
                <w:szCs w:val="20"/>
                <w:color w:val="auto"/>
              </w:rPr>
            </w:pPr>
            <w:r>
              <w:rPr>
                <w:rFonts w:ascii="Arial" w:cs="Arial" w:eastAsia="Arial" w:hAnsi="Arial"/>
                <w:sz w:val="12"/>
                <w:szCs w:val="12"/>
                <w:b w:val="1"/>
                <w:bCs w:val="1"/>
                <w:color w:val="auto"/>
              </w:rPr>
              <w:t>Copies to:</w:t>
            </w:r>
          </w:p>
        </w:tc>
      </w:tr>
      <w:tr>
        <w:trPr>
          <w:trHeight w:val="127"/>
        </w:trPr>
        <w:tc>
          <w:tcPr>
            <w:tcW w:w="156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auto"/>
                <w:w w:val="88"/>
              </w:rPr>
              <w:t>Peter N. Handrinos</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93"/>
              </w:rPr>
              <w:t>Divakar Gupta</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9"/>
              </w:rPr>
              <w:t>Brandon J. Bortner</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92"/>
              </w:rPr>
              <w:t>Marc Recht</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93"/>
              </w:rPr>
              <w:t>Latham &amp; Watkins LLP</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9"/>
              </w:rPr>
              <w:t>Joshua A. Kaufman</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7"/>
              </w:rPr>
              <w:t>John Hancock Tower</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90"/>
              </w:rPr>
              <w:t>Cooley LLP</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8"/>
              </w:rPr>
              <w:t>200 Clarendon Street</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5"/>
              </w:rPr>
              <w:t>500 Boylston Street, 14th Floor</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3"/>
              </w:rPr>
              <w:t>Boston, Massachusetts 02116</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4"/>
              </w:rPr>
              <w:t>Boston, Massachusetts 02116</w:t>
            </w:r>
          </w:p>
        </w:tc>
      </w:tr>
      <w:tr>
        <w:trPr>
          <w:trHeight w:val="149"/>
        </w:trPr>
        <w:tc>
          <w:tcPr>
            <w:tcW w:w="15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(617) 948-6000</w:t>
            </w:r>
          </w:p>
        </w:tc>
        <w:tc>
          <w:tcPr>
            <w:tcW w:w="2360" w:type="dxa"/>
            <w:vAlign w:val="bottom"/>
            <w:gridSpan w:val="2"/>
          </w:tcPr>
          <w:p>
            <w:pPr>
              <w:jc w:val="center"/>
              <w:ind w:left="782"/>
              <w:spacing w:after="0"/>
              <w:rPr>
                <w:sz w:val="20"/>
                <w:szCs w:val="20"/>
                <w:color w:val="auto"/>
              </w:rPr>
            </w:pPr>
            <w:r>
              <w:rPr>
                <w:rFonts w:ascii="Arial" w:cs="Arial" w:eastAsia="Arial" w:hAnsi="Arial"/>
                <w:sz w:val="12"/>
                <w:szCs w:val="12"/>
                <w:b w:val="1"/>
                <w:bCs w:val="1"/>
                <w:color w:val="auto"/>
                <w:w w:val="87"/>
              </w:rPr>
              <w:t>(617) 937-2300</w:t>
            </w:r>
          </w:p>
        </w:tc>
      </w:tr>
      <w:tr>
        <w:trPr>
          <w:trHeight w:val="174"/>
        </w:trPr>
        <w:tc>
          <w:tcPr>
            <w:tcW w:w="5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r>
    </w:tbl>
    <w:p>
      <w:pPr>
        <w:spacing w:after="0" w:line="394"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Approximate date of commencement of proposed sale to the public:</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As soon as practicable after this Registration Statement is declared effective.</w:t>
      </w:r>
    </w:p>
    <w:p>
      <w:pPr>
        <w:spacing w:after="0" w:line="166" w:lineRule="exact"/>
        <w:rPr>
          <w:sz w:val="24"/>
          <w:szCs w:val="24"/>
          <w:color w:val="auto"/>
        </w:rPr>
      </w:pPr>
    </w:p>
    <w:p>
      <w:pPr>
        <w:ind w:left="7"/>
        <w:spacing w:after="0"/>
        <w:tabs>
          <w:tab w:leader="none" w:pos="8567" w:val="left"/>
        </w:tabs>
        <w:rPr>
          <w:sz w:val="20"/>
          <w:szCs w:val="20"/>
          <w:color w:val="auto"/>
        </w:rPr>
      </w:pPr>
      <w:r>
        <w:rPr>
          <w:rFonts w:ascii="Arial" w:cs="Arial" w:eastAsia="Arial" w:hAnsi="Arial"/>
          <w:sz w:val="10"/>
          <w:szCs w:val="10"/>
          <w:color w:val="auto"/>
        </w:rPr>
        <w:t>If any of the securities being registered on this form are to be offered on a delayed or continuous basis pursuant to Rule 415 under the Securities Act of 1933, check the following box.</w:t>
        <w:tab/>
        <w:t>o</w:t>
      </w:r>
    </w:p>
    <w:p>
      <w:pPr>
        <w:spacing w:after="0" w:line="198" w:lineRule="exact"/>
        <w:rPr>
          <w:sz w:val="24"/>
          <w:szCs w:val="24"/>
          <w:color w:val="auto"/>
        </w:rPr>
      </w:pPr>
    </w:p>
    <w:p>
      <w:pPr>
        <w:ind w:left="7" w:right="80"/>
        <w:spacing w:after="0" w:line="238"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left="7" w:right="500"/>
        <w:spacing w:after="0" w:line="238"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left="7" w:right="480"/>
        <w:spacing w:after="0" w:line="238"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left="7" w:right="460"/>
        <w:spacing w:after="0" w:line="23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6" w:lineRule="exact"/>
        <w:rPr>
          <w:sz w:val="24"/>
          <w:szCs w:val="24"/>
          <w:color w:val="auto"/>
        </w:rPr>
      </w:pPr>
    </w:p>
    <w:tbl>
      <w:tblPr>
        <w:tblLayout w:type="fixed"/>
        <w:tblInd w:w="67" w:type="dxa"/>
        <w:tblCellMar>
          <w:top w:w="0" w:type="dxa"/>
          <w:left w:w="0" w:type="dxa"/>
          <w:bottom w:w="0" w:type="dxa"/>
          <w:right w:w="0" w:type="dxa"/>
        </w:tblCellMar>
      </w:tblPr>
      <w:tr>
        <w:trPr>
          <w:trHeight w:val="148"/>
        </w:trPr>
        <w:tc>
          <w:tcPr>
            <w:tcW w:w="1280" w:type="dxa"/>
            <w:vAlign w:val="bottom"/>
          </w:tcPr>
          <w:p>
            <w:pPr>
              <w:spacing w:after="0"/>
              <w:rPr>
                <w:sz w:val="20"/>
                <w:szCs w:val="20"/>
                <w:color w:val="auto"/>
              </w:rPr>
            </w:pPr>
            <w:r>
              <w:rPr>
                <w:rFonts w:ascii="Arial" w:cs="Arial" w:eastAsia="Arial" w:hAnsi="Arial"/>
                <w:sz w:val="12"/>
                <w:szCs w:val="12"/>
                <w:color w:val="auto"/>
                <w:w w:val="97"/>
              </w:rPr>
              <w:t>Large accelerated filer o</w:t>
            </w:r>
          </w:p>
        </w:tc>
        <w:tc>
          <w:tcPr>
            <w:tcW w:w="1660" w:type="dxa"/>
            <w:vAlign w:val="bottom"/>
            <w:gridSpan w:val="3"/>
          </w:tcPr>
          <w:p>
            <w:pPr>
              <w:ind w:left="140"/>
              <w:spacing w:after="0"/>
              <w:rPr>
                <w:sz w:val="20"/>
                <w:szCs w:val="20"/>
                <w:color w:val="auto"/>
              </w:rPr>
            </w:pPr>
            <w:r>
              <w:rPr>
                <w:rFonts w:ascii="Arial" w:cs="Arial" w:eastAsia="Arial" w:hAnsi="Arial"/>
                <w:sz w:val="12"/>
                <w:szCs w:val="12"/>
                <w:color w:val="auto"/>
              </w:rPr>
              <w:t>Accelerated filer o</w:t>
            </w:r>
          </w:p>
        </w:tc>
        <w:tc>
          <w:tcPr>
            <w:tcW w:w="1280" w:type="dxa"/>
            <w:vAlign w:val="bottom"/>
          </w:tcPr>
          <w:p>
            <w:pPr>
              <w:spacing w:after="0"/>
              <w:rPr>
                <w:sz w:val="12"/>
                <w:szCs w:val="12"/>
                <w:color w:val="auto"/>
              </w:rPr>
            </w:pPr>
          </w:p>
        </w:tc>
        <w:tc>
          <w:tcPr>
            <w:tcW w:w="2620" w:type="dxa"/>
            <w:vAlign w:val="bottom"/>
          </w:tcPr>
          <w:p>
            <w:pPr>
              <w:jc w:val="center"/>
              <w:ind w:left="1082"/>
              <w:spacing w:after="0" w:line="138" w:lineRule="exact"/>
              <w:rPr>
                <w:sz w:val="20"/>
                <w:szCs w:val="20"/>
                <w:color w:val="auto"/>
              </w:rPr>
            </w:pPr>
            <w:r>
              <w:rPr>
                <w:rFonts w:ascii="Arial" w:cs="Arial" w:eastAsia="Arial" w:hAnsi="Arial"/>
                <w:sz w:val="12"/>
                <w:szCs w:val="12"/>
                <w:color w:val="auto"/>
                <w:w w:val="88"/>
              </w:rPr>
              <w:t xml:space="preserve">Non-accelerated filer </w:t>
            </w:r>
            <w:r>
              <w:rPr>
                <w:rFonts w:ascii="MS PGothic" w:cs="MS PGothic" w:eastAsia="MS PGothic" w:hAnsi="MS PGothic"/>
                <w:sz w:val="12"/>
                <w:szCs w:val="12"/>
                <w:color w:val="auto"/>
                <w:w w:val="88"/>
              </w:rPr>
              <w:t>☒</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60" w:type="dxa"/>
            <w:vAlign w:val="bottom"/>
          </w:tcPr>
          <w:p>
            <w:pPr>
              <w:ind w:left="700"/>
              <w:spacing w:after="0"/>
              <w:rPr>
                <w:sz w:val="20"/>
                <w:szCs w:val="20"/>
                <w:color w:val="auto"/>
              </w:rPr>
            </w:pPr>
            <w:r>
              <w:rPr>
                <w:rFonts w:ascii="Arial" w:cs="Arial" w:eastAsia="Arial" w:hAnsi="Arial"/>
                <w:sz w:val="12"/>
                <w:szCs w:val="12"/>
                <w:color w:val="auto"/>
                <w:w w:val="87"/>
              </w:rPr>
              <w:t>Smaller reporting company o</w:t>
            </w:r>
          </w:p>
        </w:tc>
      </w:tr>
      <w:tr>
        <w:trPr>
          <w:trHeight w:val="127"/>
        </w:trPr>
        <w:tc>
          <w:tcPr>
            <w:tcW w:w="1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20" w:type="dxa"/>
            <w:vAlign w:val="bottom"/>
          </w:tcPr>
          <w:p>
            <w:pPr>
              <w:jc w:val="center"/>
              <w:ind w:left="1082"/>
              <w:spacing w:after="0" w:line="128" w:lineRule="exact"/>
              <w:rPr>
                <w:sz w:val="20"/>
                <w:szCs w:val="20"/>
                <w:color w:val="auto"/>
              </w:rPr>
            </w:pPr>
            <w:r>
              <w:rPr>
                <w:rFonts w:ascii="Arial" w:cs="Arial" w:eastAsia="Arial" w:hAnsi="Arial"/>
                <w:sz w:val="12"/>
                <w:szCs w:val="12"/>
                <w:color w:val="auto"/>
                <w:w w:val="89"/>
              </w:rPr>
              <w:t>(Do not check if a</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47"/>
        </w:trPr>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20" w:type="dxa"/>
            <w:vAlign w:val="bottom"/>
          </w:tcPr>
          <w:p>
            <w:pPr>
              <w:jc w:val="center"/>
              <w:ind w:left="1082"/>
              <w:spacing w:after="0"/>
              <w:rPr>
                <w:sz w:val="20"/>
                <w:szCs w:val="20"/>
                <w:color w:val="auto"/>
              </w:rPr>
            </w:pPr>
            <w:r>
              <w:rPr>
                <w:rFonts w:ascii="Arial" w:cs="Arial" w:eastAsia="Arial" w:hAnsi="Arial"/>
                <w:sz w:val="12"/>
                <w:szCs w:val="12"/>
                <w:color w:val="auto"/>
                <w:w w:val="88"/>
              </w:rPr>
              <w:t>smaller reporting company)</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74"/>
        </w:trPr>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535"/>
        </w:trPr>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20" w:type="dxa"/>
            <w:vAlign w:val="bottom"/>
          </w:tcPr>
          <w:p>
            <w:pPr>
              <w:ind w:left="320"/>
              <w:spacing w:after="0"/>
              <w:rPr>
                <w:sz w:val="20"/>
                <w:szCs w:val="20"/>
                <w:color w:val="auto"/>
              </w:rPr>
            </w:pPr>
            <w:r>
              <w:rPr>
                <w:rFonts w:ascii="Arial" w:cs="Arial" w:eastAsia="Arial" w:hAnsi="Arial"/>
                <w:sz w:val="12"/>
                <w:szCs w:val="12"/>
                <w:b w:val="1"/>
                <w:bCs w:val="1"/>
                <w:color w:val="auto"/>
              </w:rPr>
              <w:t>CALCULATION OF REGISTRATION FEE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83"/>
        </w:trPr>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91"/>
        </w:trPr>
        <w:tc>
          <w:tcPr>
            <w:tcW w:w="1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220" w:type="dxa"/>
            <w:vAlign w:val="bottom"/>
            <w:gridSpan w:val="2"/>
          </w:tcPr>
          <w:p>
            <w:pPr>
              <w:jc w:val="center"/>
              <w:ind w:right="2"/>
              <w:spacing w:after="0" w:line="92" w:lineRule="exact"/>
              <w:rPr>
                <w:sz w:val="20"/>
                <w:szCs w:val="20"/>
                <w:color w:val="auto"/>
              </w:rPr>
            </w:pPr>
            <w:r>
              <w:rPr>
                <w:rFonts w:ascii="Arial" w:cs="Arial" w:eastAsia="Arial" w:hAnsi="Arial"/>
                <w:sz w:val="10"/>
                <w:szCs w:val="10"/>
                <w:b w:val="1"/>
                <w:bCs w:val="1"/>
                <w:color w:val="auto"/>
              </w:rPr>
              <w:t>Proposed Maximum</w:t>
            </w:r>
          </w:p>
        </w:tc>
        <w:tc>
          <w:tcPr>
            <w:tcW w:w="1180" w:type="dxa"/>
            <w:vAlign w:val="bottom"/>
          </w:tcPr>
          <w:p>
            <w:pPr>
              <w:spacing w:after="0"/>
              <w:rPr>
                <w:sz w:val="7"/>
                <w:szCs w:val="7"/>
                <w:color w:val="auto"/>
              </w:rPr>
            </w:pPr>
          </w:p>
        </w:tc>
        <w:tc>
          <w:tcPr>
            <w:tcW w:w="2060" w:type="dxa"/>
            <w:vAlign w:val="bottom"/>
          </w:tcPr>
          <w:p>
            <w:pPr>
              <w:spacing w:after="0"/>
              <w:rPr>
                <w:sz w:val="7"/>
                <w:szCs w:val="7"/>
                <w:color w:val="auto"/>
              </w:rPr>
            </w:pPr>
          </w:p>
        </w:tc>
      </w:tr>
      <w:tr>
        <w:trPr>
          <w:trHeight w:val="127"/>
        </w:trPr>
        <w:tc>
          <w:tcPr>
            <w:tcW w:w="1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900" w:type="dxa"/>
            <w:vAlign w:val="bottom"/>
            <w:gridSpan w:val="2"/>
          </w:tcPr>
          <w:p>
            <w:pPr>
              <w:jc w:val="center"/>
              <w:ind w:right="922"/>
              <w:spacing w:after="0" w:line="128" w:lineRule="exact"/>
              <w:rPr>
                <w:sz w:val="20"/>
                <w:szCs w:val="20"/>
                <w:color w:val="auto"/>
              </w:rPr>
            </w:pPr>
            <w:r>
              <w:rPr>
                <w:rFonts w:ascii="Arial" w:cs="Arial" w:eastAsia="Arial" w:hAnsi="Arial"/>
                <w:sz w:val="12"/>
                <w:szCs w:val="12"/>
                <w:b w:val="1"/>
                <w:bCs w:val="1"/>
                <w:color w:val="auto"/>
                <w:w w:val="85"/>
              </w:rPr>
              <w:t>Title of Each Class of Securities</w:t>
            </w:r>
          </w:p>
        </w:tc>
        <w:tc>
          <w:tcPr>
            <w:tcW w:w="1220" w:type="dxa"/>
            <w:vAlign w:val="bottom"/>
            <w:gridSpan w:val="2"/>
          </w:tcPr>
          <w:p>
            <w:pPr>
              <w:jc w:val="center"/>
              <w:ind w:right="2"/>
              <w:spacing w:after="0" w:line="128" w:lineRule="exact"/>
              <w:rPr>
                <w:sz w:val="20"/>
                <w:szCs w:val="20"/>
                <w:color w:val="auto"/>
              </w:rPr>
            </w:pPr>
            <w:r>
              <w:rPr>
                <w:rFonts w:ascii="Arial" w:cs="Arial" w:eastAsia="Arial" w:hAnsi="Arial"/>
                <w:sz w:val="12"/>
                <w:szCs w:val="12"/>
                <w:b w:val="1"/>
                <w:bCs w:val="1"/>
                <w:color w:val="auto"/>
                <w:w w:val="87"/>
              </w:rPr>
              <w:t>Aggregate Offering</w:t>
            </w:r>
          </w:p>
        </w:tc>
        <w:tc>
          <w:tcPr>
            <w:tcW w:w="3240" w:type="dxa"/>
            <w:vAlign w:val="bottom"/>
            <w:gridSpan w:val="2"/>
          </w:tcPr>
          <w:p>
            <w:pPr>
              <w:jc w:val="center"/>
              <w:ind w:right="1962"/>
              <w:spacing w:after="0" w:line="128" w:lineRule="exact"/>
              <w:rPr>
                <w:sz w:val="20"/>
                <w:szCs w:val="20"/>
                <w:color w:val="auto"/>
              </w:rPr>
            </w:pPr>
            <w:r>
              <w:rPr>
                <w:rFonts w:ascii="Arial" w:cs="Arial" w:eastAsia="Arial" w:hAnsi="Arial"/>
                <w:sz w:val="12"/>
                <w:szCs w:val="12"/>
                <w:b w:val="1"/>
                <w:bCs w:val="1"/>
                <w:color w:val="auto"/>
                <w:w w:val="89"/>
              </w:rPr>
              <w:t>Amount of</w:t>
            </w:r>
          </w:p>
        </w:tc>
      </w:tr>
      <w:tr>
        <w:trPr>
          <w:trHeight w:val="155"/>
        </w:trPr>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00" w:type="dxa"/>
            <w:vAlign w:val="bottom"/>
            <w:gridSpan w:val="2"/>
          </w:tcPr>
          <w:p>
            <w:pPr>
              <w:jc w:val="center"/>
              <w:ind w:right="922"/>
              <w:spacing w:after="0"/>
              <w:rPr>
                <w:sz w:val="20"/>
                <w:szCs w:val="20"/>
                <w:color w:val="auto"/>
              </w:rPr>
            </w:pPr>
            <w:r>
              <w:rPr>
                <w:rFonts w:ascii="Arial" w:cs="Arial" w:eastAsia="Arial" w:hAnsi="Arial"/>
                <w:sz w:val="12"/>
                <w:szCs w:val="12"/>
                <w:b w:val="1"/>
                <w:bCs w:val="1"/>
                <w:color w:val="auto"/>
                <w:w w:val="85"/>
              </w:rPr>
              <w:t>To Be Registered</w:t>
            </w:r>
          </w:p>
        </w:tc>
        <w:tc>
          <w:tcPr>
            <w:tcW w:w="260" w:type="dxa"/>
            <w:vAlign w:val="bottom"/>
          </w:tcPr>
          <w:p>
            <w:pPr>
              <w:spacing w:after="0"/>
              <w:rPr>
                <w:sz w:val="13"/>
                <w:szCs w:val="13"/>
                <w:color w:val="auto"/>
              </w:rPr>
            </w:pPr>
          </w:p>
        </w:tc>
        <w:tc>
          <w:tcPr>
            <w:tcW w:w="960" w:type="dxa"/>
            <w:vAlign w:val="bottom"/>
          </w:tcPr>
          <w:p>
            <w:pPr>
              <w:jc w:val="center"/>
              <w:ind w:right="262"/>
              <w:spacing w:after="0"/>
              <w:rPr>
                <w:sz w:val="20"/>
                <w:szCs w:val="20"/>
                <w:color w:val="auto"/>
              </w:rPr>
            </w:pPr>
            <w:r>
              <w:rPr>
                <w:rFonts w:ascii="Arial" w:cs="Arial" w:eastAsia="Arial" w:hAnsi="Arial"/>
                <w:sz w:val="12"/>
                <w:szCs w:val="12"/>
                <w:b w:val="1"/>
                <w:bCs w:val="1"/>
                <w:color w:val="auto"/>
                <w:w w:val="90"/>
              </w:rPr>
              <w:t>Price(1)</w:t>
            </w:r>
          </w:p>
        </w:tc>
        <w:tc>
          <w:tcPr>
            <w:tcW w:w="3240" w:type="dxa"/>
            <w:vAlign w:val="bottom"/>
            <w:gridSpan w:val="2"/>
          </w:tcPr>
          <w:p>
            <w:pPr>
              <w:jc w:val="center"/>
              <w:ind w:right="1962"/>
              <w:spacing w:after="0"/>
              <w:rPr>
                <w:sz w:val="20"/>
                <w:szCs w:val="20"/>
                <w:color w:val="auto"/>
              </w:rPr>
            </w:pPr>
            <w:r>
              <w:rPr>
                <w:rFonts w:ascii="Arial" w:cs="Arial" w:eastAsia="Arial" w:hAnsi="Arial"/>
                <w:sz w:val="12"/>
                <w:szCs w:val="12"/>
                <w:b w:val="1"/>
                <w:bCs w:val="1"/>
                <w:color w:val="auto"/>
                <w:w w:val="86"/>
              </w:rPr>
              <w:t>Registration Fee(2)</w:t>
            </w:r>
          </w:p>
        </w:tc>
      </w:tr>
      <w:tr>
        <w:trPr>
          <w:trHeight w:val="147"/>
        </w:trPr>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7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2"/>
                <w:szCs w:val="12"/>
                <w:color w:val="auto"/>
              </w:rPr>
              <w:t>Common Stock, $0.0001 par value per share</w:t>
            </w:r>
          </w:p>
        </w:tc>
        <w:tc>
          <w:tcPr>
            <w:tcW w:w="1220" w:type="dxa"/>
            <w:vAlign w:val="bottom"/>
            <w:tcBorders>
              <w:top w:val="single" w:sz="8" w:color="auto"/>
              <w:bottom w:val="single" w:sz="8" w:color="auto"/>
            </w:tcBorders>
            <w:gridSpan w:val="2"/>
          </w:tcPr>
          <w:p>
            <w:pPr>
              <w:jc w:val="right"/>
              <w:ind w:right="302"/>
              <w:spacing w:after="0"/>
              <w:rPr>
                <w:sz w:val="20"/>
                <w:szCs w:val="20"/>
                <w:color w:val="auto"/>
              </w:rPr>
            </w:pPr>
            <w:r>
              <w:rPr>
                <w:rFonts w:ascii="Arial" w:cs="Arial" w:eastAsia="Arial" w:hAnsi="Arial"/>
                <w:sz w:val="12"/>
                <w:szCs w:val="12"/>
                <w:color w:val="auto"/>
              </w:rPr>
              <w:t>$78,200,000</w:t>
            </w:r>
          </w:p>
        </w:tc>
        <w:tc>
          <w:tcPr>
            <w:tcW w:w="1180" w:type="dxa"/>
            <w:vAlign w:val="bottom"/>
            <w:tcBorders>
              <w:top w:val="single" w:sz="8" w:color="auto"/>
              <w:bottom w:val="single" w:sz="8" w:color="auto"/>
            </w:tcBorders>
          </w:tcPr>
          <w:p>
            <w:pPr>
              <w:jc w:val="center"/>
              <w:ind w:left="2"/>
              <w:spacing w:after="0"/>
              <w:rPr>
                <w:sz w:val="20"/>
                <w:szCs w:val="20"/>
                <w:color w:val="auto"/>
              </w:rPr>
            </w:pPr>
            <w:r>
              <w:rPr>
                <w:rFonts w:ascii="Arial" w:cs="Arial" w:eastAsia="Arial" w:hAnsi="Arial"/>
                <w:sz w:val="12"/>
                <w:szCs w:val="12"/>
                <w:color w:val="auto"/>
                <w:w w:val="87"/>
              </w:rPr>
              <w:t>$7,875</w:t>
            </w:r>
          </w:p>
        </w:tc>
        <w:tc>
          <w:tcPr>
            <w:tcW w:w="206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63" w:lineRule="exact"/>
        <w:rPr>
          <w:sz w:val="24"/>
          <w:szCs w:val="24"/>
          <w:color w:val="auto"/>
        </w:rPr>
      </w:pPr>
    </w:p>
    <w:p>
      <w:pPr>
        <w:ind w:left="467" w:right="40" w:hanging="467"/>
        <w:spacing w:after="0" w:line="241" w:lineRule="auto"/>
        <w:tabs>
          <w:tab w:leader="none" w:pos="467"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solely for the purpose of calculating the registration fee pursuant to Rule 457(o) under the Securities Act of 1933, as amended. Includes the offering price of additional shares that the underwriters have the option to purchase.</w:t>
      </w:r>
    </w:p>
    <w:p>
      <w:pPr>
        <w:sectPr>
          <w:pgSz w:w="11900" w:h="16838" w:orient="portrait"/>
          <w:cols w:equalWidth="0" w:num="1">
            <w:col w:w="11447"/>
          </w:cols>
          <w:pgMar w:left="233" w:top="607" w:right="219" w:bottom="0" w:gutter="0" w:footer="0" w:header="0"/>
        </w:sectPr>
      </w:pPr>
    </w:p>
    <w:bookmarkStart w:id="1" w:name="page2"/>
    <w:bookmarkEnd w:id="1"/>
    <w:p>
      <w:pPr>
        <w:ind w:left="467" w:hanging="467"/>
        <w:spacing w:after="0"/>
        <w:tabs>
          <w:tab w:leader="none" w:pos="467"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Calculated pursuant to Rule 457(o) based on an estimate of the proposed maximum aggregate offering price. $7,553 has been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118110</wp:posOffset>
            </wp:positionV>
            <wp:extent cx="18313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7"/>
        <w:spacing w:after="0" w:line="23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26630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36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727138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29" w:right="259" w:bottom="1440" w:gutter="0" w:footer="0" w:header="0"/>
        </w:sectPr>
      </w:pPr>
    </w:p>
    <w:bookmarkStart w:id="2" w:name="page3"/>
    <w:bookmarkEnd w:id="2"/>
    <w:p>
      <w:pPr>
        <w:jc w:val="both"/>
        <w:ind w:right="120"/>
        <w:spacing w:after="0" w:line="272" w:lineRule="auto"/>
        <w:rPr>
          <w:sz w:val="20"/>
          <w:szCs w:val="20"/>
          <w:color w:val="auto"/>
        </w:rPr>
      </w:pPr>
      <w:r>
        <w:rPr>
          <w:rFonts w:ascii="Arial" w:cs="Arial" w:eastAsia="Arial" w:hAnsi="Arial"/>
          <w:sz w:val="15"/>
          <w:szCs w:val="15"/>
          <w:b w:val="1"/>
          <w:bCs w:val="1"/>
          <w:color w:val="FF404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offers to buy these securities in any jurisdiction where the offer or sale is not permitted.</w:t>
      </w:r>
    </w:p>
    <w:p>
      <w:pPr>
        <w:spacing w:after="0" w:line="215" w:lineRule="exact"/>
        <w:rPr>
          <w:sz w:val="20"/>
          <w:szCs w:val="20"/>
          <w:color w:val="auto"/>
        </w:rPr>
      </w:pPr>
    </w:p>
    <w:p>
      <w:pPr>
        <w:ind w:left="40"/>
        <w:spacing w:after="0"/>
        <w:tabs>
          <w:tab w:leader="none" w:pos="4900" w:val="left"/>
          <w:tab w:leader="none" w:pos="10820" w:val="left"/>
        </w:tabs>
        <w:rPr>
          <w:sz w:val="20"/>
          <w:szCs w:val="20"/>
          <w:color w:val="auto"/>
        </w:rPr>
      </w:pPr>
      <w:r>
        <w:rPr>
          <w:rFonts w:ascii="Arial" w:cs="Arial" w:eastAsia="Arial" w:hAnsi="Arial"/>
          <w:sz w:val="12"/>
          <w:szCs w:val="12"/>
          <w:color w:val="auto"/>
        </w:rPr>
        <w:t>PROSPECTUS</w:t>
      </w:r>
      <w:r>
        <w:rPr>
          <w:sz w:val="20"/>
          <w:szCs w:val="20"/>
          <w:color w:val="auto"/>
        </w:rPr>
        <w:tab/>
      </w:r>
      <w:r>
        <w:rPr>
          <w:rFonts w:ascii="Arial" w:cs="Arial" w:eastAsia="Arial" w:hAnsi="Arial"/>
          <w:sz w:val="12"/>
          <w:szCs w:val="12"/>
          <w:color w:val="FF4040"/>
        </w:rPr>
        <w:t>Preliminary, Subject to Completion</w:t>
      </w:r>
      <w:r>
        <w:rPr>
          <w:sz w:val="20"/>
          <w:szCs w:val="20"/>
          <w:color w:val="auto"/>
        </w:rPr>
        <w:tab/>
      </w:r>
      <w:r>
        <w:rPr>
          <w:rFonts w:ascii="Arial" w:cs="Arial" w:eastAsia="Arial" w:hAnsi="Arial"/>
          <w:sz w:val="10"/>
          <w:szCs w:val="10"/>
          <w:color w:val="FF4040"/>
        </w:rPr>
        <w:t>June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809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2515235" cy="624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5235" cy="62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2809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6"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This is the initial public offering of our common stock. No public market for our common stock currently exists. We are offering all of the 4,250,000 shares of common stock offered by this prospectus. We expect the initial public offering price to be between $14.00 and $16.00 per share.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We have applied to list our common stock on The NASDAQ Global Market under the symbol "SELB."</w:t>
      </w:r>
    </w:p>
    <w:p>
      <w:pPr>
        <w:spacing w:after="0" w:line="198"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47" w:lineRule="exact"/>
        <w:rPr>
          <w:sz w:val="20"/>
          <w:szCs w:val="20"/>
          <w:color w:val="auto"/>
        </w:rPr>
      </w:pPr>
    </w:p>
    <w:p>
      <w:pPr>
        <w:ind w:right="340"/>
        <w:spacing w:after="0" w:line="287" w:lineRule="auto"/>
        <w:rPr>
          <w:sz w:val="20"/>
          <w:szCs w:val="20"/>
          <w:color w:val="auto"/>
        </w:rPr>
      </w:pPr>
      <w:r>
        <w:rPr>
          <w:rFonts w:ascii="Arial" w:cs="Arial" w:eastAsia="Arial" w:hAnsi="Arial"/>
          <w:sz w:val="15"/>
          <w:szCs w:val="15"/>
          <w:b w:val="1"/>
          <w:bCs w:val="1"/>
          <w:color w:val="auto"/>
        </w:rPr>
        <w:t>Investing in our common stock involves a high degree of risk. Before buying any shares, you should carefully read the discussion of material risks of investing in our common shares in "Risk Factors" beginning on page 15 of this prospectus.</w:t>
      </w:r>
    </w:p>
    <w:p>
      <w:pPr>
        <w:spacing w:after="0" w:line="143" w:lineRule="exact"/>
        <w:rPr>
          <w:sz w:val="20"/>
          <w:szCs w:val="20"/>
          <w:color w:val="auto"/>
        </w:rPr>
      </w:pPr>
    </w:p>
    <w:p>
      <w:pPr>
        <w:ind w:right="480"/>
        <w:spacing w:after="0" w:line="287" w:lineRule="auto"/>
        <w:rPr>
          <w:sz w:val="20"/>
          <w:szCs w:val="20"/>
          <w:color w:val="auto"/>
        </w:rPr>
      </w:pPr>
      <w:r>
        <w:rPr>
          <w:rFonts w:ascii="Arial" w:cs="Arial" w:eastAsia="Arial" w:hAnsi="Arial"/>
          <w:sz w:val="15"/>
          <w:szCs w:val="15"/>
          <w:b w:val="1"/>
          <w:bCs w:val="1"/>
          <w:color w:val="auto"/>
        </w:rPr>
        <w:t>Neither the Securities and Exchange Commission nor any other state securities commission has approved or disapproved of these securities or passed upon the accuracy or adequacy of this prospectus. Any representation to the contrary is a criminal offense.</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8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rPr>
              <w:t>Per share</w:t>
            </w:r>
          </w:p>
        </w:tc>
        <w:tc>
          <w:tcPr>
            <w:tcW w:w="10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Total</w:t>
            </w:r>
          </w:p>
        </w:tc>
      </w:tr>
      <w:tr>
        <w:trPr>
          <w:trHeight w:val="177"/>
        </w:trPr>
        <w:tc>
          <w:tcPr>
            <w:tcW w:w="2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Public offering price</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r>
        <w:trPr>
          <w:trHeight w:val="212"/>
        </w:trPr>
        <w:tc>
          <w:tcPr>
            <w:tcW w:w="4500" w:type="dxa"/>
            <w:vAlign w:val="bottom"/>
            <w:tcBorders>
              <w:bottom w:val="single" w:sz="8" w:color="auto"/>
            </w:tcBorders>
            <w:gridSpan w:val="2"/>
          </w:tcPr>
          <w:p>
            <w:pPr>
              <w:spacing w:after="0" w:line="212" w:lineRule="exact"/>
              <w:rPr>
                <w:sz w:val="20"/>
                <w:szCs w:val="20"/>
                <w:color w:val="auto"/>
              </w:rPr>
            </w:pPr>
            <w:r>
              <w:rPr>
                <w:rFonts w:ascii="Arial" w:cs="Arial" w:eastAsia="Arial" w:hAnsi="Arial"/>
                <w:sz w:val="15"/>
                <w:szCs w:val="15"/>
                <w:color w:val="auto"/>
              </w:rPr>
              <w:t>Underwriting discounts</w:t>
            </w:r>
            <w:r>
              <w:rPr>
                <w:rFonts w:ascii="Arial" w:cs="Arial" w:eastAsia="Arial" w:hAnsi="Arial"/>
                <w:sz w:val="24"/>
                <w:szCs w:val="24"/>
                <w:color w:val="auto"/>
                <w:vertAlign w:val="superscript"/>
              </w:rPr>
              <w:t>(1)</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r>
        <w:trPr>
          <w:trHeight w:val="17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Proceeds, before expenses, to us</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bl>
    <w:p>
      <w:pPr>
        <w:spacing w:after="0" w:line="165" w:lineRule="exact"/>
        <w:rPr>
          <w:sz w:val="20"/>
          <w:szCs w:val="20"/>
          <w:color w:val="auto"/>
        </w:rPr>
      </w:pPr>
    </w:p>
    <w:p>
      <w:pPr>
        <w:ind w:left="1600" w:hanging="463"/>
        <w:spacing w:after="0"/>
        <w:tabs>
          <w:tab w:leader="none" w:pos="160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refer you to "Underwriting" beginning on page 218 for additional information regarding total underwriting compensation.</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167"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The underwriters may also purchase up to an additional 637,500 shares of common stock from us at the public offering price, less the underwriting discounts payable by us, to cover over-allotments, if any, within 30 days from the date of this prospectus.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gridSpan w:val="2"/>
          </w:tcPr>
          <w:p>
            <w:pPr>
              <w:spacing w:after="0"/>
              <w:rPr>
                <w:sz w:val="20"/>
                <w:szCs w:val="20"/>
                <w:color w:val="auto"/>
              </w:rPr>
            </w:pPr>
            <w:r>
              <w:rPr>
                <w:rFonts w:ascii="Arial" w:cs="Arial" w:eastAsia="Arial" w:hAnsi="Arial"/>
                <w:sz w:val="15"/>
                <w:szCs w:val="15"/>
                <w:color w:val="auto"/>
                <w:w w:val="99"/>
              </w:rPr>
              <w:t>The underwriters expect to deliver the shares of common stock to investors on or about</w:t>
            </w:r>
          </w:p>
        </w:tc>
        <w:tc>
          <w:tcPr>
            <w:tcW w:w="1440" w:type="dxa"/>
            <w:vAlign w:val="bottom"/>
          </w:tcPr>
          <w:p>
            <w:pPr>
              <w:jc w:val="right"/>
              <w:ind w:right="445"/>
              <w:spacing w:after="0"/>
              <w:rPr>
                <w:sz w:val="20"/>
                <w:szCs w:val="20"/>
                <w:color w:val="auto"/>
              </w:rPr>
            </w:pPr>
            <w:r>
              <w:rPr>
                <w:rFonts w:ascii="Arial" w:cs="Arial" w:eastAsia="Arial" w:hAnsi="Arial"/>
                <w:sz w:val="15"/>
                <w:szCs w:val="15"/>
                <w:color w:val="auto"/>
              </w:rPr>
              <w:t>, 2016.</w:t>
            </w:r>
          </w:p>
        </w:tc>
        <w:tc>
          <w:tcPr>
            <w:tcW w:w="4240" w:type="dxa"/>
            <w:vAlign w:val="bottom"/>
          </w:tcPr>
          <w:p>
            <w:pPr>
              <w:spacing w:after="0"/>
              <w:rPr>
                <w:sz w:val="16"/>
                <w:szCs w:val="16"/>
                <w:color w:val="auto"/>
              </w:rPr>
            </w:pPr>
          </w:p>
        </w:tc>
      </w:tr>
      <w:tr>
        <w:trPr>
          <w:trHeight w:val="562"/>
        </w:trPr>
        <w:tc>
          <w:tcPr>
            <w:tcW w:w="5760" w:type="dxa"/>
            <w:vAlign w:val="bottom"/>
            <w:gridSpan w:val="2"/>
          </w:tcPr>
          <w:p>
            <w:pPr>
              <w:jc w:val="center"/>
              <w:ind w:right="280"/>
              <w:spacing w:after="0"/>
              <w:rPr>
                <w:sz w:val="20"/>
                <w:szCs w:val="20"/>
                <w:color w:val="auto"/>
              </w:rPr>
            </w:pPr>
            <w:r>
              <w:rPr>
                <w:rFonts w:ascii="Arial" w:cs="Arial" w:eastAsia="Arial" w:hAnsi="Arial"/>
                <w:sz w:val="21"/>
                <w:szCs w:val="21"/>
                <w:b w:val="1"/>
                <w:bCs w:val="1"/>
                <w:color w:val="auto"/>
                <w:w w:val="98"/>
              </w:rPr>
              <w:t>UBS Investment Bank</w:t>
            </w:r>
          </w:p>
        </w:tc>
        <w:tc>
          <w:tcPr>
            <w:tcW w:w="1440" w:type="dxa"/>
            <w:vAlign w:val="bottom"/>
          </w:tcPr>
          <w:p>
            <w:pPr>
              <w:spacing w:after="0"/>
              <w:rPr>
                <w:sz w:val="24"/>
                <w:szCs w:val="24"/>
                <w:color w:val="auto"/>
              </w:rPr>
            </w:pPr>
          </w:p>
        </w:tc>
        <w:tc>
          <w:tcPr>
            <w:tcW w:w="4240" w:type="dxa"/>
            <w:vAlign w:val="bottom"/>
          </w:tcPr>
          <w:p>
            <w:pPr>
              <w:jc w:val="center"/>
              <w:ind w:right="1216"/>
              <w:spacing w:after="0"/>
              <w:rPr>
                <w:sz w:val="20"/>
                <w:szCs w:val="20"/>
                <w:color w:val="auto"/>
              </w:rPr>
            </w:pPr>
            <w:r>
              <w:rPr>
                <w:rFonts w:ascii="Arial" w:cs="Arial" w:eastAsia="Arial" w:hAnsi="Arial"/>
                <w:sz w:val="21"/>
                <w:szCs w:val="21"/>
                <w:b w:val="1"/>
                <w:bCs w:val="1"/>
                <w:color w:val="auto"/>
              </w:rPr>
              <w:t>Stifel</w:t>
            </w:r>
          </w:p>
        </w:tc>
      </w:tr>
      <w:tr>
        <w:trPr>
          <w:trHeight w:val="181"/>
        </w:trPr>
        <w:tc>
          <w:tcPr>
            <w:tcW w:w="422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240" w:type="dxa"/>
            <w:vAlign w:val="bottom"/>
          </w:tcPr>
          <w:p>
            <w:pPr>
              <w:spacing w:after="0"/>
              <w:rPr>
                <w:sz w:val="15"/>
                <w:szCs w:val="15"/>
                <w:color w:val="auto"/>
              </w:rPr>
            </w:pPr>
          </w:p>
        </w:tc>
      </w:tr>
      <w:tr>
        <w:trPr>
          <w:trHeight w:val="702"/>
        </w:trPr>
        <w:tc>
          <w:tcPr>
            <w:tcW w:w="5760" w:type="dxa"/>
            <w:vAlign w:val="bottom"/>
            <w:gridSpan w:val="2"/>
          </w:tcPr>
          <w:p>
            <w:pPr>
              <w:jc w:val="center"/>
              <w:ind w:right="280"/>
              <w:spacing w:after="0"/>
              <w:rPr>
                <w:sz w:val="20"/>
                <w:szCs w:val="20"/>
                <w:color w:val="auto"/>
              </w:rPr>
            </w:pPr>
            <w:r>
              <w:rPr>
                <w:rFonts w:ascii="Arial" w:cs="Arial" w:eastAsia="Arial" w:hAnsi="Arial"/>
                <w:sz w:val="21"/>
                <w:szCs w:val="21"/>
                <w:b w:val="1"/>
                <w:bCs w:val="1"/>
                <w:color w:val="auto"/>
                <w:w w:val="99"/>
              </w:rPr>
              <w:t>Canaccord Genuity</w:t>
            </w:r>
          </w:p>
        </w:tc>
        <w:tc>
          <w:tcPr>
            <w:tcW w:w="1440" w:type="dxa"/>
            <w:vAlign w:val="bottom"/>
          </w:tcPr>
          <w:p>
            <w:pPr>
              <w:spacing w:after="0"/>
              <w:rPr>
                <w:sz w:val="24"/>
                <w:szCs w:val="24"/>
                <w:color w:val="auto"/>
              </w:rPr>
            </w:pPr>
          </w:p>
        </w:tc>
        <w:tc>
          <w:tcPr>
            <w:tcW w:w="4240" w:type="dxa"/>
            <w:vAlign w:val="bottom"/>
          </w:tcPr>
          <w:p>
            <w:pPr>
              <w:jc w:val="center"/>
              <w:ind w:right="1156"/>
              <w:spacing w:after="0"/>
              <w:rPr>
                <w:sz w:val="20"/>
                <w:szCs w:val="20"/>
                <w:color w:val="auto"/>
              </w:rPr>
            </w:pPr>
            <w:r>
              <w:rPr>
                <w:rFonts w:ascii="Arial" w:cs="Arial" w:eastAsia="Arial" w:hAnsi="Arial"/>
                <w:sz w:val="21"/>
                <w:szCs w:val="21"/>
                <w:b w:val="1"/>
                <w:bCs w:val="1"/>
                <w:color w:val="auto"/>
                <w:w w:val="98"/>
              </w:rPr>
              <w:t>Needham &amp; Company</w:t>
            </w:r>
          </w:p>
        </w:tc>
      </w:tr>
      <w:tr>
        <w:trPr>
          <w:trHeight w:val="96"/>
        </w:trPr>
        <w:tc>
          <w:tcPr>
            <w:tcW w:w="422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6687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1385" cy="668782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6060" w:type="dxa"/>
            <w:vAlign w:val="bottom"/>
            <w:gridSpan w:val="24"/>
            <w:vMerge w:val="restart"/>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Prospectus summary</w:t>
              </w:r>
            </w:hyperlink>
          </w:p>
        </w:tc>
        <w:tc>
          <w:tcPr>
            <w:tcW w:w="2500" w:type="dxa"/>
            <w:vAlign w:val="bottom"/>
          </w:tcPr>
          <w:p>
            <w:pPr>
              <w:spacing w:after="0"/>
              <w:rPr>
                <w:sz w:val="12"/>
                <w:szCs w:val="12"/>
                <w:color w:val="auto"/>
              </w:rPr>
            </w:pPr>
          </w:p>
        </w:tc>
        <w:tc>
          <w:tcPr>
            <w:tcW w:w="460" w:type="dxa"/>
            <w:vAlign w:val="bottom"/>
            <w:gridSpan w:val="5"/>
          </w:tcPr>
          <w:p>
            <w:pPr>
              <w:ind w:left="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6060" w:type="dxa"/>
            <w:vAlign w:val="bottom"/>
            <w:gridSpan w:val="24"/>
            <w:vMerge w:val="continue"/>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Borders>
              <w:top w:val="single" w:sz="8" w:color="auto"/>
            </w:tcBorders>
            <w:gridSpan w:val="4"/>
          </w:tcPr>
          <w:p>
            <w:pPr>
              <w:jc w:val="right"/>
              <w:spacing w:after="0" w:line="131" w:lineRule="exact"/>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0000EE"/>
            </w:tcBorders>
            <w:gridSpan w:val="9"/>
            <w:vMerge w:val="restart"/>
          </w:tcPr>
          <w:p>
            <w:pPr>
              <w:spacing w:after="0" w:line="154" w:lineRule="exact"/>
              <w:rPr>
                <w:rFonts w:ascii="Arial" w:cs="Arial" w:eastAsia="Arial" w:hAnsi="Arial"/>
                <w:sz w:val="15"/>
                <w:szCs w:val="15"/>
                <w:color w:val="0000EE"/>
              </w:rPr>
            </w:pPr>
            <w:hyperlink w:anchor="page20">
              <w:r>
                <w:rPr>
                  <w:rFonts w:ascii="Arial" w:cs="Arial" w:eastAsia="Arial" w:hAnsi="Arial"/>
                  <w:sz w:val="15"/>
                  <w:szCs w:val="15"/>
                  <w:color w:val="0000EE"/>
                </w:rPr>
                <w:t>Risk factors</w:t>
              </w:r>
            </w:hyperlink>
          </w:p>
        </w:tc>
        <w:tc>
          <w:tcPr>
            <w:tcW w:w="4820" w:type="dxa"/>
            <w:vAlign w:val="bottom"/>
            <w:gridSpan w:val="15"/>
            <w:vMerge w:val="restart"/>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240" w:type="dxa"/>
            <w:vAlign w:val="bottom"/>
            <w:gridSpan w:val="9"/>
            <w:vMerge w:val="continue"/>
          </w:tcPr>
          <w:p>
            <w:pPr>
              <w:spacing w:after="0"/>
              <w:rPr>
                <w:sz w:val="12"/>
                <w:szCs w:val="12"/>
                <w:color w:val="auto"/>
              </w:rPr>
            </w:pPr>
          </w:p>
        </w:tc>
        <w:tc>
          <w:tcPr>
            <w:tcW w:w="4820" w:type="dxa"/>
            <w:vAlign w:val="bottom"/>
            <w:gridSpan w:val="15"/>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0">
              <w:r>
                <w:rPr>
                  <w:rFonts w:ascii="Arial" w:cs="Arial" w:eastAsia="Arial" w:hAnsi="Arial"/>
                  <w:sz w:val="15"/>
                  <w:szCs w:val="15"/>
                  <w:b w:val="1"/>
                  <w:bCs w:val="1"/>
                  <w:color w:val="0000EE"/>
                </w:rPr>
                <w:t>15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60" w:type="dxa"/>
            <w:vAlign w:val="bottom"/>
            <w:tcBorders>
              <w:bottom w:val="single" w:sz="8" w:color="0000EE"/>
            </w:tcBorders>
            <w:gridSpan w:val="19"/>
          </w:tcPr>
          <w:p>
            <w:pPr>
              <w:spacing w:after="0" w:line="134" w:lineRule="exact"/>
              <w:rPr>
                <w:rFonts w:ascii="Arial" w:cs="Arial" w:eastAsia="Arial" w:hAnsi="Arial"/>
                <w:sz w:val="15"/>
                <w:szCs w:val="15"/>
                <w:color w:val="0000EE"/>
                <w:w w:val="90"/>
              </w:rPr>
            </w:pPr>
            <w:hyperlink w:anchor="page72">
              <w:r>
                <w:rPr>
                  <w:rFonts w:ascii="Arial" w:cs="Arial" w:eastAsia="Arial" w:hAnsi="Arial"/>
                  <w:sz w:val="15"/>
                  <w:szCs w:val="15"/>
                  <w:color w:val="0000EE"/>
                  <w:w w:val="90"/>
                </w:rPr>
                <w:t>Special note regarding forward-looking statements</w:t>
              </w:r>
            </w:hyperlink>
          </w:p>
        </w:tc>
        <w:tc>
          <w:tcPr>
            <w:tcW w:w="3000" w:type="dxa"/>
            <w:vAlign w:val="bottom"/>
            <w:gridSpan w:val="5"/>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2">
              <w:r>
                <w:rPr>
                  <w:rFonts w:ascii="Arial" w:cs="Arial" w:eastAsia="Arial" w:hAnsi="Arial"/>
                  <w:sz w:val="15"/>
                  <w:szCs w:val="15"/>
                  <w:b w:val="1"/>
                  <w:bCs w:val="1"/>
                  <w:color w:val="0000EE"/>
                  <w:w w:val="83"/>
                </w:rPr>
                <w:t>67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400" w:type="dxa"/>
            <w:vAlign w:val="bottom"/>
            <w:tcBorders>
              <w:bottom w:val="single" w:sz="8" w:color="0000EE"/>
            </w:tcBorders>
            <w:gridSpan w:val="11"/>
          </w:tcPr>
          <w:p>
            <w:pPr>
              <w:spacing w:after="0" w:line="134" w:lineRule="exact"/>
              <w:rPr>
                <w:rFonts w:ascii="Arial" w:cs="Arial" w:eastAsia="Arial" w:hAnsi="Arial"/>
                <w:sz w:val="15"/>
                <w:szCs w:val="15"/>
                <w:color w:val="0000EE"/>
                <w:w w:val="89"/>
              </w:rPr>
            </w:pPr>
            <w:hyperlink w:anchor="page73">
              <w:r>
                <w:rPr>
                  <w:rFonts w:ascii="Arial" w:cs="Arial" w:eastAsia="Arial" w:hAnsi="Arial"/>
                  <w:sz w:val="15"/>
                  <w:szCs w:val="15"/>
                  <w:color w:val="0000EE"/>
                  <w:w w:val="89"/>
                </w:rPr>
                <w:t>Industry and other data</w:t>
              </w:r>
            </w:hyperlink>
          </w:p>
        </w:tc>
        <w:tc>
          <w:tcPr>
            <w:tcW w:w="4660" w:type="dxa"/>
            <w:vAlign w:val="bottom"/>
            <w:gridSpan w:val="13"/>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3">
              <w:r>
                <w:rPr>
                  <w:rFonts w:ascii="Arial" w:cs="Arial" w:eastAsia="Arial" w:hAnsi="Arial"/>
                  <w:sz w:val="15"/>
                  <w:szCs w:val="15"/>
                  <w:b w:val="1"/>
                  <w:bCs w:val="1"/>
                  <w:color w:val="0000EE"/>
                  <w:w w:val="83"/>
                </w:rPr>
                <w:t>68</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00" w:type="dxa"/>
            <w:vAlign w:val="bottom"/>
            <w:tcBorders>
              <w:bottom w:val="single" w:sz="8" w:color="0000EE"/>
            </w:tcBorders>
            <w:gridSpan w:val="18"/>
          </w:tcPr>
          <w:p>
            <w:pPr>
              <w:spacing w:after="0" w:line="134" w:lineRule="exact"/>
              <w:rPr>
                <w:rFonts w:ascii="Arial" w:cs="Arial" w:eastAsia="Arial" w:hAnsi="Arial"/>
                <w:sz w:val="15"/>
                <w:szCs w:val="15"/>
                <w:color w:val="0000EE"/>
                <w:w w:val="87"/>
              </w:rPr>
            </w:pPr>
            <w:hyperlink w:anchor="page73">
              <w:r>
                <w:rPr>
                  <w:rFonts w:ascii="Arial" w:cs="Arial" w:eastAsia="Arial" w:hAnsi="Arial"/>
                  <w:sz w:val="15"/>
                  <w:szCs w:val="15"/>
                  <w:color w:val="0000EE"/>
                  <w:w w:val="87"/>
                </w:rPr>
                <w:t>Trademarks, service marks and tradenames</w:t>
              </w:r>
            </w:hyperlink>
          </w:p>
        </w:tc>
        <w:tc>
          <w:tcPr>
            <w:tcW w:w="3460" w:type="dxa"/>
            <w:vAlign w:val="bottom"/>
            <w:gridSpan w:val="6"/>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3">
              <w:r>
                <w:rPr>
                  <w:rFonts w:ascii="Arial" w:cs="Arial" w:eastAsia="Arial" w:hAnsi="Arial"/>
                  <w:sz w:val="15"/>
                  <w:szCs w:val="15"/>
                  <w:b w:val="1"/>
                  <w:bCs w:val="1"/>
                  <w:color w:val="0000EE"/>
                  <w:w w:val="83"/>
                </w:rPr>
                <w:t>68</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74">
              <w:r>
                <w:rPr>
                  <w:rFonts w:ascii="Arial" w:cs="Arial" w:eastAsia="Arial" w:hAnsi="Arial"/>
                  <w:sz w:val="15"/>
                  <w:szCs w:val="15"/>
                  <w:color w:val="0000EE"/>
                </w:rPr>
                <w:t>Use of proceeds</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4">
              <w:r>
                <w:rPr>
                  <w:rFonts w:ascii="Arial" w:cs="Arial" w:eastAsia="Arial" w:hAnsi="Arial"/>
                  <w:sz w:val="15"/>
                  <w:szCs w:val="15"/>
                  <w:b w:val="1"/>
                  <w:bCs w:val="1"/>
                  <w:color w:val="0000EE"/>
                </w:rPr>
                <w:t>69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80" w:type="dxa"/>
            <w:vAlign w:val="bottom"/>
            <w:tcBorders>
              <w:bottom w:val="single" w:sz="8" w:color="0000EE"/>
            </w:tcBorders>
            <w:gridSpan w:val="8"/>
          </w:tcPr>
          <w:p>
            <w:pPr>
              <w:spacing w:after="0" w:line="134" w:lineRule="exact"/>
              <w:rPr>
                <w:rFonts w:ascii="Arial" w:cs="Arial" w:eastAsia="Arial" w:hAnsi="Arial"/>
                <w:sz w:val="15"/>
                <w:szCs w:val="15"/>
                <w:color w:val="0000EE"/>
                <w:w w:val="95"/>
              </w:rPr>
            </w:pPr>
            <w:hyperlink w:anchor="page75">
              <w:r>
                <w:rPr>
                  <w:rFonts w:ascii="Arial" w:cs="Arial" w:eastAsia="Arial" w:hAnsi="Arial"/>
                  <w:sz w:val="15"/>
                  <w:szCs w:val="15"/>
                  <w:color w:val="0000EE"/>
                  <w:w w:val="95"/>
                </w:rPr>
                <w:t>Dividend policy</w:t>
              </w:r>
            </w:hyperlink>
          </w:p>
        </w:tc>
        <w:tc>
          <w:tcPr>
            <w:tcW w:w="5080" w:type="dxa"/>
            <w:vAlign w:val="bottom"/>
            <w:gridSpan w:val="16"/>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5">
              <w:r>
                <w:rPr>
                  <w:rFonts w:ascii="Arial" w:cs="Arial" w:eastAsia="Arial" w:hAnsi="Arial"/>
                  <w:sz w:val="15"/>
                  <w:szCs w:val="15"/>
                  <w:b w:val="1"/>
                  <w:bCs w:val="1"/>
                  <w:color w:val="0000EE"/>
                  <w:w w:val="83"/>
                </w:rPr>
                <w:t>70</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60" w:type="dxa"/>
            <w:vAlign w:val="bottom"/>
            <w:gridSpan w:val="24"/>
          </w:tcPr>
          <w:p>
            <w:pPr>
              <w:spacing w:after="0" w:line="134" w:lineRule="exact"/>
              <w:rPr>
                <w:rFonts w:ascii="Arial" w:cs="Arial" w:eastAsia="Arial" w:hAnsi="Arial"/>
                <w:sz w:val="15"/>
                <w:szCs w:val="15"/>
                <w:color w:val="0000EE"/>
              </w:rPr>
            </w:pPr>
            <w:hyperlink w:anchor="page76">
              <w:r>
                <w:rPr>
                  <w:rFonts w:ascii="Arial" w:cs="Arial" w:eastAsia="Arial" w:hAnsi="Arial"/>
                  <w:sz w:val="15"/>
                  <w:szCs w:val="15"/>
                  <w:color w:val="0000EE"/>
                </w:rPr>
                <w:t>Capitalization</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6">
              <w:r>
                <w:rPr>
                  <w:rFonts w:ascii="Arial" w:cs="Arial" w:eastAsia="Arial" w:hAnsi="Arial"/>
                  <w:sz w:val="15"/>
                  <w:szCs w:val="15"/>
                  <w:b w:val="1"/>
                  <w:bCs w:val="1"/>
                  <w:color w:val="0000EE"/>
                </w:rPr>
                <w:t>71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40" w:type="dxa"/>
            <w:vAlign w:val="bottom"/>
            <w:tcBorders>
              <w:top w:val="single" w:sz="8" w:color="0000EE"/>
            </w:tcBorders>
            <w:gridSpan w:val="6"/>
          </w:tcPr>
          <w:p>
            <w:pPr>
              <w:spacing w:after="0" w:line="134" w:lineRule="exact"/>
              <w:rPr>
                <w:rFonts w:ascii="Arial" w:cs="Arial" w:eastAsia="Arial" w:hAnsi="Arial"/>
                <w:sz w:val="15"/>
                <w:szCs w:val="15"/>
                <w:color w:val="0000EE"/>
              </w:rPr>
            </w:pPr>
            <w:hyperlink w:anchor="page79">
              <w:r>
                <w:rPr>
                  <w:rFonts w:ascii="Arial" w:cs="Arial" w:eastAsia="Arial" w:hAnsi="Arial"/>
                  <w:sz w:val="15"/>
                  <w:szCs w:val="15"/>
                  <w:color w:val="0000EE"/>
                </w:rPr>
                <w:t>Dilution</w:t>
              </w:r>
            </w:hyperlink>
          </w:p>
        </w:tc>
        <w:tc>
          <w:tcPr>
            <w:tcW w:w="5220" w:type="dxa"/>
            <w:vAlign w:val="bottom"/>
            <w:gridSpan w:val="18"/>
          </w:tcPr>
          <w:p>
            <w:pPr>
              <w:spacing w:after="0"/>
              <w:rPr>
                <w:sz w:val="12"/>
                <w:szCs w:val="12"/>
                <w:color w:val="auto"/>
              </w:rPr>
            </w:pPr>
          </w:p>
        </w:tc>
        <w:tc>
          <w:tcPr>
            <w:tcW w:w="2780" w:type="dxa"/>
            <w:vAlign w:val="bottom"/>
            <w:gridSpan w:val="3"/>
          </w:tcPr>
          <w:p>
            <w:pPr>
              <w:spacing w:after="0"/>
              <w:rPr>
                <w:sz w:val="12"/>
                <w:szCs w:val="12"/>
                <w:color w:val="auto"/>
              </w:rPr>
            </w:pPr>
          </w:p>
        </w:tc>
        <w:tc>
          <w:tcPr>
            <w:tcW w:w="160" w:type="dxa"/>
            <w:vAlign w:val="bottom"/>
            <w:tcBorders>
              <w:top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9">
              <w:r>
                <w:rPr>
                  <w:rFonts w:ascii="Arial" w:cs="Arial" w:eastAsia="Arial" w:hAnsi="Arial"/>
                  <w:sz w:val="15"/>
                  <w:szCs w:val="15"/>
                  <w:b w:val="1"/>
                  <w:bCs w:val="1"/>
                  <w:color w:val="0000EE"/>
                  <w:w w:val="83"/>
                </w:rPr>
                <w:t>74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83">
              <w:r>
                <w:rPr>
                  <w:rFonts w:ascii="Arial" w:cs="Arial" w:eastAsia="Arial" w:hAnsi="Arial"/>
                  <w:sz w:val="15"/>
                  <w:szCs w:val="15"/>
                  <w:color w:val="0000EE"/>
                </w:rPr>
                <w:t>Selected consolidated financial data</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83">
              <w:r>
                <w:rPr>
                  <w:rFonts w:ascii="Arial" w:cs="Arial" w:eastAsia="Arial" w:hAnsi="Arial"/>
                  <w:sz w:val="15"/>
                  <w:szCs w:val="15"/>
                  <w:b w:val="1"/>
                  <w:bCs w:val="1"/>
                  <w:color w:val="0000EE"/>
                </w:rPr>
                <w:t>78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86">
              <w:r>
                <w:rPr>
                  <w:rFonts w:ascii="Arial" w:cs="Arial" w:eastAsia="Arial" w:hAnsi="Arial"/>
                  <w:sz w:val="15"/>
                  <w:szCs w:val="15"/>
                  <w:color w:val="0000EE"/>
                </w:rPr>
                <w:t>Management's discussion and analysis of financial condition and results of operations</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86">
              <w:r>
                <w:rPr>
                  <w:rFonts w:ascii="Arial" w:cs="Arial" w:eastAsia="Arial" w:hAnsi="Arial"/>
                  <w:sz w:val="15"/>
                  <w:szCs w:val="15"/>
                  <w:b w:val="1"/>
                  <w:bCs w:val="1"/>
                  <w:color w:val="0000EE"/>
                </w:rPr>
                <w:t>81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0000EE"/>
            </w:tcBorders>
            <w:gridSpan w:val="2"/>
            <w:vMerge w:val="restart"/>
          </w:tcPr>
          <w:p>
            <w:pPr>
              <w:spacing w:after="0" w:line="154" w:lineRule="exact"/>
              <w:rPr>
                <w:rFonts w:ascii="Arial" w:cs="Arial" w:eastAsia="Arial" w:hAnsi="Arial"/>
                <w:sz w:val="15"/>
                <w:szCs w:val="15"/>
                <w:color w:val="0000EE"/>
                <w:w w:val="85"/>
              </w:rPr>
            </w:pPr>
            <w:hyperlink w:anchor="page108">
              <w:r>
                <w:rPr>
                  <w:rFonts w:ascii="Arial" w:cs="Arial" w:eastAsia="Arial" w:hAnsi="Arial"/>
                  <w:sz w:val="15"/>
                  <w:szCs w:val="15"/>
                  <w:color w:val="0000EE"/>
                  <w:w w:val="85"/>
                </w:rPr>
                <w:t>Business</w:t>
              </w:r>
            </w:hyperlink>
          </w:p>
        </w:tc>
        <w:tc>
          <w:tcPr>
            <w:tcW w:w="4620" w:type="dxa"/>
            <w:vAlign w:val="bottom"/>
            <w:tcBorders>
              <w:top w:val="single" w:sz="8" w:color="0000EE"/>
            </w:tcBorders>
            <w:gridSpan w:val="21"/>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40" w:type="dxa"/>
            <w:vAlign w:val="bottom"/>
            <w:tcBorders>
              <w:bottom w:val="single" w:sz="8" w:color="0000EE"/>
            </w:tcBorders>
            <w:gridSpan w:val="2"/>
            <w:vMerge w:val="continue"/>
          </w:tcPr>
          <w:p>
            <w:pPr>
              <w:spacing w:after="0"/>
              <w:rPr>
                <w:sz w:val="12"/>
                <w:szCs w:val="12"/>
                <w:color w:val="auto"/>
              </w:rPr>
            </w:pPr>
          </w:p>
        </w:tc>
        <w:tc>
          <w:tcPr>
            <w:tcW w:w="4620" w:type="dxa"/>
            <w:vAlign w:val="bottom"/>
            <w:gridSpan w:val="21"/>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08">
              <w:r>
                <w:rPr>
                  <w:rFonts w:ascii="Arial" w:cs="Arial" w:eastAsia="Arial" w:hAnsi="Arial"/>
                  <w:sz w:val="15"/>
                  <w:szCs w:val="15"/>
                  <w:b w:val="1"/>
                  <w:bCs w:val="1"/>
                  <w:color w:val="0000EE"/>
                </w:rPr>
                <w:t>103</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179">
              <w:r>
                <w:rPr>
                  <w:rFonts w:ascii="Arial" w:cs="Arial" w:eastAsia="Arial" w:hAnsi="Arial"/>
                  <w:sz w:val="15"/>
                  <w:szCs w:val="15"/>
                  <w:color w:val="0000EE"/>
                </w:rPr>
                <w:t>Management</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79">
              <w:r>
                <w:rPr>
                  <w:rFonts w:ascii="Arial" w:cs="Arial" w:eastAsia="Arial" w:hAnsi="Arial"/>
                  <w:sz w:val="15"/>
                  <w:szCs w:val="15"/>
                  <w:b w:val="1"/>
                  <w:bCs w:val="1"/>
                  <w:color w:val="0000EE"/>
                </w:rPr>
                <w:t>174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240" w:type="dxa"/>
            <w:vAlign w:val="bottom"/>
            <w:tcBorders>
              <w:bottom w:val="single" w:sz="8" w:color="0000EE"/>
            </w:tcBorders>
            <w:gridSpan w:val="16"/>
          </w:tcPr>
          <w:p>
            <w:pPr>
              <w:spacing w:after="0" w:line="134" w:lineRule="exact"/>
              <w:rPr>
                <w:rFonts w:ascii="Arial" w:cs="Arial" w:eastAsia="Arial" w:hAnsi="Arial"/>
                <w:sz w:val="15"/>
                <w:szCs w:val="15"/>
                <w:color w:val="0000EE"/>
                <w:w w:val="90"/>
              </w:rPr>
            </w:pPr>
            <w:hyperlink w:anchor="page189">
              <w:r>
                <w:rPr>
                  <w:rFonts w:ascii="Arial" w:cs="Arial" w:eastAsia="Arial" w:hAnsi="Arial"/>
                  <w:sz w:val="15"/>
                  <w:szCs w:val="15"/>
                  <w:color w:val="0000EE"/>
                  <w:w w:val="90"/>
                </w:rPr>
                <w:t>Executive and director compensation</w:t>
              </w:r>
            </w:hyperlink>
          </w:p>
        </w:tc>
        <w:tc>
          <w:tcPr>
            <w:tcW w:w="3820" w:type="dxa"/>
            <w:vAlign w:val="bottom"/>
            <w:gridSpan w:val="8"/>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89">
              <w:r>
                <w:rPr>
                  <w:rFonts w:ascii="Arial" w:cs="Arial" w:eastAsia="Arial" w:hAnsi="Arial"/>
                  <w:sz w:val="15"/>
                  <w:szCs w:val="15"/>
                  <w:b w:val="1"/>
                  <w:bCs w:val="1"/>
                  <w:color w:val="0000EE"/>
                </w:rPr>
                <w:t>184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203">
              <w:r>
                <w:rPr>
                  <w:rFonts w:ascii="Arial" w:cs="Arial" w:eastAsia="Arial" w:hAnsi="Arial"/>
                  <w:sz w:val="15"/>
                  <w:szCs w:val="15"/>
                  <w:color w:val="0000EE"/>
                </w:rPr>
                <w:t>Certain relationships and related person transactions</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03">
              <w:r>
                <w:rPr>
                  <w:rFonts w:ascii="Arial" w:cs="Arial" w:eastAsia="Arial" w:hAnsi="Arial"/>
                  <w:sz w:val="15"/>
                  <w:szCs w:val="15"/>
                  <w:b w:val="1"/>
                  <w:bCs w:val="1"/>
                  <w:color w:val="0000EE"/>
                </w:rPr>
                <w:t>198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0000EE"/>
            </w:tcBorders>
            <w:gridSpan w:val="21"/>
            <w:vMerge w:val="restart"/>
          </w:tcPr>
          <w:p>
            <w:pPr>
              <w:spacing w:after="0" w:line="154" w:lineRule="exact"/>
              <w:rPr>
                <w:rFonts w:ascii="Arial" w:cs="Arial" w:eastAsia="Arial" w:hAnsi="Arial"/>
                <w:sz w:val="15"/>
                <w:szCs w:val="15"/>
                <w:color w:val="0000EE"/>
              </w:rPr>
            </w:pPr>
            <w:hyperlink w:anchor="page207">
              <w:r>
                <w:rPr>
                  <w:rFonts w:ascii="Arial" w:cs="Arial" w:eastAsia="Arial" w:hAnsi="Arial"/>
                  <w:sz w:val="15"/>
                  <w:szCs w:val="15"/>
                  <w:color w:val="0000EE"/>
                </w:rPr>
                <w:t>Principal stockholders</w:t>
              </w:r>
            </w:hyperlink>
          </w:p>
        </w:tc>
        <w:tc>
          <w:tcPr>
            <w:tcW w:w="2920" w:type="dxa"/>
            <w:vAlign w:val="bottom"/>
            <w:gridSpan w:val="3"/>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140" w:type="dxa"/>
            <w:vAlign w:val="bottom"/>
            <w:gridSpan w:val="21"/>
            <w:vMerge w:val="continue"/>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07">
              <w:r>
                <w:rPr>
                  <w:rFonts w:ascii="Arial" w:cs="Arial" w:eastAsia="Arial" w:hAnsi="Arial"/>
                  <w:sz w:val="15"/>
                  <w:szCs w:val="15"/>
                  <w:b w:val="1"/>
                  <w:bCs w:val="1"/>
                  <w:color w:val="0000EE"/>
                </w:rPr>
                <w:t>202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660" w:type="dxa"/>
            <w:vAlign w:val="bottom"/>
            <w:tcBorders>
              <w:bottom w:val="single" w:sz="8" w:color="0000EE"/>
            </w:tcBorders>
            <w:gridSpan w:val="12"/>
          </w:tcPr>
          <w:p>
            <w:pPr>
              <w:spacing w:after="0" w:line="134" w:lineRule="exact"/>
              <w:rPr>
                <w:rFonts w:ascii="Arial" w:cs="Arial" w:eastAsia="Arial" w:hAnsi="Arial"/>
                <w:sz w:val="15"/>
                <w:szCs w:val="15"/>
                <w:color w:val="0000EE"/>
                <w:w w:val="91"/>
              </w:rPr>
            </w:pPr>
            <w:hyperlink w:anchor="page210">
              <w:r>
                <w:rPr>
                  <w:rFonts w:ascii="Arial" w:cs="Arial" w:eastAsia="Arial" w:hAnsi="Arial"/>
                  <w:sz w:val="15"/>
                  <w:szCs w:val="15"/>
                  <w:color w:val="0000EE"/>
                  <w:w w:val="91"/>
                </w:rPr>
                <w:t>Description of capital stock</w:t>
              </w:r>
            </w:hyperlink>
          </w:p>
        </w:tc>
        <w:tc>
          <w:tcPr>
            <w:tcW w:w="4400" w:type="dxa"/>
            <w:vAlign w:val="bottom"/>
            <w:gridSpan w:val="12"/>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10">
              <w:r>
                <w:rPr>
                  <w:rFonts w:ascii="Arial" w:cs="Arial" w:eastAsia="Arial" w:hAnsi="Arial"/>
                  <w:sz w:val="15"/>
                  <w:szCs w:val="15"/>
                  <w:b w:val="1"/>
                  <w:bCs w:val="1"/>
                  <w:color w:val="0000EE"/>
                </w:rPr>
                <w:t>205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gridSpan w:val="14"/>
            <w:vMerge w:val="restart"/>
          </w:tcPr>
          <w:p>
            <w:pPr>
              <w:spacing w:after="0" w:line="154" w:lineRule="exact"/>
              <w:rPr>
                <w:rFonts w:ascii="Arial" w:cs="Arial" w:eastAsia="Arial" w:hAnsi="Arial"/>
                <w:sz w:val="15"/>
                <w:szCs w:val="15"/>
                <w:color w:val="0000EE"/>
                <w:w w:val="90"/>
              </w:rPr>
            </w:pPr>
            <w:hyperlink w:anchor="page216">
              <w:r>
                <w:rPr>
                  <w:rFonts w:ascii="Arial" w:cs="Arial" w:eastAsia="Arial" w:hAnsi="Arial"/>
                  <w:sz w:val="15"/>
                  <w:szCs w:val="15"/>
                  <w:color w:val="0000EE"/>
                  <w:w w:val="90"/>
                </w:rPr>
                <w:t>Shares eligible for future sale</w:t>
              </w:r>
            </w:hyperlink>
          </w:p>
        </w:tc>
        <w:tc>
          <w:tcPr>
            <w:tcW w:w="4280" w:type="dxa"/>
            <w:vAlign w:val="bottom"/>
            <w:gridSpan w:val="10"/>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80" w:type="dxa"/>
            <w:vAlign w:val="bottom"/>
            <w:tcBorders>
              <w:bottom w:val="single" w:sz="8" w:color="0000EE"/>
            </w:tcBorders>
            <w:gridSpan w:val="14"/>
            <w:vMerge w:val="continue"/>
          </w:tcPr>
          <w:p>
            <w:pPr>
              <w:spacing w:after="0"/>
              <w:rPr>
                <w:sz w:val="12"/>
                <w:szCs w:val="12"/>
                <w:color w:val="auto"/>
              </w:rPr>
            </w:pPr>
          </w:p>
        </w:tc>
        <w:tc>
          <w:tcPr>
            <w:tcW w:w="4280" w:type="dxa"/>
            <w:vAlign w:val="bottom"/>
            <w:gridSpan w:val="10"/>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16">
              <w:r>
                <w:rPr>
                  <w:rFonts w:ascii="Arial" w:cs="Arial" w:eastAsia="Arial" w:hAnsi="Arial"/>
                  <w:sz w:val="15"/>
                  <w:szCs w:val="15"/>
                  <w:b w:val="1"/>
                  <w:bCs w:val="1"/>
                  <w:color w:val="0000EE"/>
                </w:rPr>
                <w:t>211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gridSpan w:val="22"/>
            <w:vMerge w:val="restart"/>
          </w:tcPr>
          <w:p>
            <w:pPr>
              <w:spacing w:after="0" w:line="154" w:lineRule="exact"/>
              <w:rPr>
                <w:rFonts w:ascii="Arial" w:cs="Arial" w:eastAsia="Arial" w:hAnsi="Arial"/>
                <w:sz w:val="15"/>
                <w:szCs w:val="15"/>
                <w:color w:val="0000EE"/>
                <w:w w:val="90"/>
              </w:rPr>
            </w:pPr>
            <w:hyperlink w:anchor="page219">
              <w:r>
                <w:rPr>
                  <w:rFonts w:ascii="Arial" w:cs="Arial" w:eastAsia="Arial" w:hAnsi="Arial"/>
                  <w:sz w:val="15"/>
                  <w:szCs w:val="15"/>
                  <w:color w:val="0000EE"/>
                  <w:w w:val="90"/>
                </w:rPr>
                <w:t>Material U.S. federal income tax consequences to non-U.S. holders</w:t>
              </w:r>
            </w:hyperlink>
          </w:p>
        </w:tc>
        <w:tc>
          <w:tcPr>
            <w:tcW w:w="2000" w:type="dxa"/>
            <w:vAlign w:val="bottom"/>
            <w:gridSpan w:val="2"/>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60" w:type="dxa"/>
            <w:vAlign w:val="bottom"/>
            <w:tcBorders>
              <w:bottom w:val="single" w:sz="8" w:color="0000EE"/>
            </w:tcBorders>
            <w:gridSpan w:val="22"/>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19">
              <w:r>
                <w:rPr>
                  <w:rFonts w:ascii="Arial" w:cs="Arial" w:eastAsia="Arial" w:hAnsi="Arial"/>
                  <w:sz w:val="15"/>
                  <w:szCs w:val="15"/>
                  <w:b w:val="1"/>
                  <w:bCs w:val="1"/>
                  <w:color w:val="0000EE"/>
                </w:rPr>
                <w:t>214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gridSpan w:val="5"/>
            <w:vMerge w:val="restart"/>
          </w:tcPr>
          <w:p>
            <w:pPr>
              <w:spacing w:after="0" w:line="154" w:lineRule="exact"/>
              <w:rPr>
                <w:rFonts w:ascii="Arial" w:cs="Arial" w:eastAsia="Arial" w:hAnsi="Arial"/>
                <w:sz w:val="15"/>
                <w:szCs w:val="15"/>
                <w:color w:val="0000EE"/>
                <w:w w:val="94"/>
              </w:rPr>
            </w:pPr>
            <w:hyperlink w:anchor="page223">
              <w:r>
                <w:rPr>
                  <w:rFonts w:ascii="Arial" w:cs="Arial" w:eastAsia="Arial" w:hAnsi="Arial"/>
                  <w:sz w:val="15"/>
                  <w:szCs w:val="15"/>
                  <w:color w:val="0000EE"/>
                  <w:w w:val="94"/>
                </w:rPr>
                <w:t>Underwriting</w:t>
              </w:r>
            </w:hyperlink>
          </w:p>
        </w:tc>
        <w:tc>
          <w:tcPr>
            <w:tcW w:w="5240" w:type="dxa"/>
            <w:vAlign w:val="bottom"/>
            <w:gridSpan w:val="19"/>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tcBorders>
              <w:bottom w:val="single" w:sz="8" w:color="0000EE"/>
            </w:tcBorders>
            <w:gridSpan w:val="5"/>
            <w:vMerge w:val="continue"/>
          </w:tcPr>
          <w:p>
            <w:pPr>
              <w:spacing w:after="0"/>
              <w:rPr>
                <w:sz w:val="12"/>
                <w:szCs w:val="12"/>
                <w:color w:val="auto"/>
              </w:rPr>
            </w:pPr>
          </w:p>
        </w:tc>
        <w:tc>
          <w:tcPr>
            <w:tcW w:w="5240" w:type="dxa"/>
            <w:vAlign w:val="bottom"/>
            <w:gridSpan w:val="19"/>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23">
              <w:r>
                <w:rPr>
                  <w:rFonts w:ascii="Arial" w:cs="Arial" w:eastAsia="Arial" w:hAnsi="Arial"/>
                  <w:sz w:val="15"/>
                  <w:szCs w:val="15"/>
                  <w:b w:val="1"/>
                  <w:bCs w:val="1"/>
                  <w:color w:val="0000EE"/>
                </w:rPr>
                <w:t>218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231">
              <w:r>
                <w:rPr>
                  <w:rFonts w:ascii="Arial" w:cs="Arial" w:eastAsia="Arial" w:hAnsi="Arial"/>
                  <w:sz w:val="15"/>
                  <w:szCs w:val="15"/>
                  <w:color w:val="0000EE"/>
                </w:rPr>
                <w:t>Legal matters</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31">
              <w:r>
                <w:rPr>
                  <w:rFonts w:ascii="Arial" w:cs="Arial" w:eastAsia="Arial" w:hAnsi="Arial"/>
                  <w:sz w:val="15"/>
                  <w:szCs w:val="15"/>
                  <w:b w:val="1"/>
                  <w:bCs w:val="1"/>
                  <w:color w:val="0000EE"/>
                </w:rPr>
                <w:t>226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0000EE"/>
            </w:tcBorders>
            <w:vMerge w:val="restart"/>
          </w:tcPr>
          <w:p>
            <w:pPr>
              <w:spacing w:after="0" w:line="154" w:lineRule="exact"/>
              <w:rPr>
                <w:rFonts w:ascii="Arial" w:cs="Arial" w:eastAsia="Arial" w:hAnsi="Arial"/>
                <w:sz w:val="15"/>
                <w:szCs w:val="15"/>
                <w:color w:val="0000EE"/>
                <w:w w:val="90"/>
              </w:rPr>
            </w:pPr>
            <w:hyperlink w:anchor="page231">
              <w:r>
                <w:rPr>
                  <w:rFonts w:ascii="Arial" w:cs="Arial" w:eastAsia="Arial" w:hAnsi="Arial"/>
                  <w:sz w:val="15"/>
                  <w:szCs w:val="15"/>
                  <w:color w:val="0000EE"/>
                  <w:w w:val="90"/>
                </w:rPr>
                <w:t>Experts</w:t>
              </w:r>
            </w:hyperlink>
          </w:p>
        </w:tc>
        <w:tc>
          <w:tcPr>
            <w:tcW w:w="320" w:type="dxa"/>
            <w:vAlign w:val="bottom"/>
            <w:tcBorders>
              <w:top w:val="single" w:sz="8" w:color="0000EE"/>
            </w:tcBorders>
            <w:gridSpan w:val="4"/>
            <w:vMerge w:val="restart"/>
          </w:tcPr>
          <w:p>
            <w:pPr>
              <w:spacing w:after="0" w:line="20" w:lineRule="exact"/>
              <w:rPr>
                <w:sz w:val="1"/>
                <w:szCs w:val="1"/>
                <w:color w:val="auto"/>
              </w:rPr>
            </w:pPr>
          </w:p>
        </w:tc>
        <w:tc>
          <w:tcPr>
            <w:tcW w:w="5240" w:type="dxa"/>
            <w:vAlign w:val="bottom"/>
            <w:gridSpan w:val="19"/>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 w:type="dxa"/>
            <w:vAlign w:val="bottom"/>
            <w:tcBorders>
              <w:bottom w:val="single" w:sz="8" w:color="0000EE"/>
            </w:tcBorders>
            <w:vMerge w:val="continue"/>
          </w:tcPr>
          <w:p>
            <w:pPr>
              <w:spacing w:after="0"/>
              <w:rPr>
                <w:sz w:val="12"/>
                <w:szCs w:val="12"/>
                <w:color w:val="auto"/>
              </w:rPr>
            </w:pPr>
          </w:p>
        </w:tc>
        <w:tc>
          <w:tcPr>
            <w:tcW w:w="320" w:type="dxa"/>
            <w:vAlign w:val="bottom"/>
            <w:gridSpan w:val="4"/>
            <w:vMerge w:val="continue"/>
          </w:tcPr>
          <w:p>
            <w:pPr>
              <w:spacing w:after="0"/>
              <w:rPr>
                <w:sz w:val="12"/>
                <w:szCs w:val="12"/>
                <w:color w:val="auto"/>
              </w:rPr>
            </w:pPr>
          </w:p>
        </w:tc>
        <w:tc>
          <w:tcPr>
            <w:tcW w:w="5240" w:type="dxa"/>
            <w:vAlign w:val="bottom"/>
            <w:gridSpan w:val="19"/>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31">
              <w:r>
                <w:rPr>
                  <w:rFonts w:ascii="Arial" w:cs="Arial" w:eastAsia="Arial" w:hAnsi="Arial"/>
                  <w:sz w:val="15"/>
                  <w:szCs w:val="15"/>
                  <w:b w:val="1"/>
                  <w:bCs w:val="1"/>
                  <w:color w:val="0000EE"/>
                </w:rPr>
                <w:t>226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231">
              <w:r>
                <w:rPr>
                  <w:rFonts w:ascii="Arial" w:cs="Arial" w:eastAsia="Arial" w:hAnsi="Arial"/>
                  <w:sz w:val="15"/>
                  <w:szCs w:val="15"/>
                  <w:color w:val="0000EE"/>
                </w:rPr>
                <w:t>Where you can find more information</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60" w:type="dxa"/>
            <w:vAlign w:val="bottom"/>
            <w:gridSpan w:val="24"/>
            <w:vMerge w:val="continue"/>
          </w:tcPr>
          <w:p>
            <w:pPr>
              <w:spacing w:after="0"/>
              <w:rPr>
                <w:sz w:val="14"/>
                <w:szCs w:val="14"/>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31">
              <w:r>
                <w:rPr>
                  <w:rFonts w:ascii="Arial" w:cs="Arial" w:eastAsia="Arial" w:hAnsi="Arial"/>
                  <w:sz w:val="15"/>
                  <w:szCs w:val="15"/>
                  <w:b w:val="1"/>
                  <w:bCs w:val="1"/>
                  <w:color w:val="0000EE"/>
                </w:rPr>
                <w:t>226</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Borders>
              <w:top w:val="single" w:sz="8" w:color="0000EE"/>
            </w:tcBorders>
            <w:gridSpan w:val="17"/>
          </w:tcPr>
          <w:p>
            <w:pPr>
              <w:spacing w:after="0" w:line="134" w:lineRule="exact"/>
              <w:rPr>
                <w:rFonts w:ascii="Arial" w:cs="Arial" w:eastAsia="Arial" w:hAnsi="Arial"/>
                <w:sz w:val="15"/>
                <w:szCs w:val="15"/>
                <w:color w:val="0000EE"/>
              </w:rPr>
            </w:pPr>
            <w:hyperlink w:anchor="page232">
              <w:r>
                <w:rPr>
                  <w:rFonts w:ascii="Arial" w:cs="Arial" w:eastAsia="Arial" w:hAnsi="Arial"/>
                  <w:sz w:val="15"/>
                  <w:szCs w:val="15"/>
                  <w:color w:val="0000EE"/>
                </w:rPr>
                <w:t>Index to financial statements</w:t>
              </w:r>
            </w:hyperlink>
          </w:p>
        </w:tc>
        <w:tc>
          <w:tcPr>
            <w:tcW w:w="3780" w:type="dxa"/>
            <w:vAlign w:val="bottom"/>
            <w:gridSpan w:val="7"/>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0000EE"/>
            </w:tcBorders>
            <w:gridSpan w:val="3"/>
          </w:tcPr>
          <w:p>
            <w:pPr>
              <w:jc w:val="right"/>
              <w:spacing w:after="0" w:line="142" w:lineRule="exact"/>
              <w:rPr>
                <w:rFonts w:ascii="Arial" w:cs="Arial" w:eastAsia="Arial" w:hAnsi="Arial"/>
                <w:sz w:val="15"/>
                <w:szCs w:val="15"/>
                <w:b w:val="1"/>
                <w:bCs w:val="1"/>
                <w:color w:val="0000EE"/>
                <w:w w:val="88"/>
              </w:rPr>
            </w:pPr>
            <w:hyperlink w:anchor="page232">
              <w:r>
                <w:rPr>
                  <w:rFonts w:ascii="Arial" w:cs="Arial" w:eastAsia="Arial" w:hAnsi="Arial"/>
                  <w:sz w:val="15"/>
                  <w:szCs w:val="15"/>
                  <w:b w:val="1"/>
                  <w:bCs w:val="1"/>
                  <w:color w:val="0000EE"/>
                  <w:w w:val="88"/>
                </w:rPr>
                <w:t>F-1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We have not, and the underwriters have not,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63"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b w:val="1"/>
          <w:bCs w:val="1"/>
          <w:color w:val="auto"/>
        </w:rPr>
        <w:t>Through and including , 2016 (the 25th day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59"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4521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452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Prospectus summary</w:t>
      </w:r>
    </w:p>
    <w:p>
      <w:pPr>
        <w:spacing w:after="0" w:line="183" w:lineRule="exact"/>
        <w:rPr>
          <w:sz w:val="20"/>
          <w:szCs w:val="20"/>
          <w:color w:val="auto"/>
        </w:rPr>
      </w:pPr>
    </w:p>
    <w:p>
      <w:pPr>
        <w:ind w:left="200" w:right="340"/>
        <w:spacing w:after="0" w:line="266" w:lineRule="auto"/>
        <w:rPr>
          <w:sz w:val="20"/>
          <w:szCs w:val="20"/>
          <w:color w:val="auto"/>
        </w:rPr>
      </w:pPr>
      <w:r>
        <w:rPr>
          <w:rFonts w:ascii="Arial" w:cs="Arial" w:eastAsia="Arial" w:hAnsi="Arial"/>
          <w:sz w:val="15"/>
          <w:szCs w:val="15"/>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"Risk factors" section beginning on page 15 and our consolidated financial statements and the related notes appearing at the end of this prospectus, before making an investment decision. As used in this prospectus, unless the context otherwise requires, references to "we," "us," "our" and "Selecta" refer to Selecta Biosciences, Inc. together with its consolidated subsidiaries.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200" w:right="240"/>
        <w:spacing w:after="0" w:line="280"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 SEL-212 is currently in a comprehensive Phase 1/2 clinical program. The Phase 1/2 clinical program is comprised of two Phase 1 clinical trials and a Phase 2 clinical trial, and is designed to evaluate the ability of SEL-212 to control uric acid levels and mitigate the formation of ADAs. Based on preliminary data from our ongoing Phase 1b clinical trial, we believe that SEL-212 has the potential to control serum uric acid levels for at least 30 days after a single dose by mitigating the formation of ADAs in response to the therapeutic enzyme. We expect to receive final data from both Phase 1 clinical trials and initiate the Phase 2 clinical trial in the second half of 2016.</w:t>
      </w:r>
    </w:p>
    <w:p>
      <w:pPr>
        <w:spacing w:after="0" w:line="155" w:lineRule="exact"/>
        <w:rPr>
          <w:sz w:val="20"/>
          <w:szCs w:val="20"/>
          <w:color w:val="auto"/>
        </w:rPr>
      </w:pPr>
    </w:p>
    <w:p>
      <w:pPr>
        <w:ind w:left="200" w:right="220"/>
        <w:spacing w:after="0" w:line="308" w:lineRule="auto"/>
        <w:rPr>
          <w:sz w:val="20"/>
          <w:szCs w:val="20"/>
          <w:color w:val="auto"/>
        </w:rPr>
      </w:pPr>
      <w:r>
        <w:rPr>
          <w:rFonts w:ascii="Arial" w:cs="Arial" w:eastAsia="Arial" w:hAnsi="Arial"/>
          <w:sz w:val="13"/>
          <w:szCs w:val="13"/>
          <w:color w:val="auto"/>
        </w:rPr>
        <w:t>Despite rapid advancement in biologic treatment of rare and serious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the co-administration of our SVP technology with biologic treatments has the potential to overcome these limitations without requiring changes in dosing or formulation. We intend to build a platform based on our SVP technology applied to the mitigation of ADAs for a wide range of biologics.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200" w:right="580"/>
        <w:spacing w:after="0" w:line="282" w:lineRule="auto"/>
        <w:rPr>
          <w:sz w:val="20"/>
          <w:szCs w:val="20"/>
          <w:color w:val="auto"/>
        </w:rPr>
      </w:pPr>
      <w:r>
        <w:rPr>
          <w:rFonts w:ascii="Arial" w:cs="Arial" w:eastAsia="Arial" w:hAnsi="Arial"/>
          <w:sz w:val="15"/>
          <w:szCs w:val="15"/>
          <w:color w:val="auto"/>
        </w:rPr>
        <w:t>Our SVP technology utilizes a biodegradable nanoparticle to selectively modulate an immune response in an antigen-specific manner. We believe that nanoparticles are uniquely suited to deliver precise</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035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50355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instructions to the immune system as a result of the natural predisposition of the immune system to interrogate nanoparticles, such as viruses.</w:t>
      </w:r>
    </w:p>
    <w:p>
      <w:pPr>
        <w:spacing w:after="0" w:line="198" w:lineRule="exact"/>
        <w:rPr>
          <w:sz w:val="20"/>
          <w:szCs w:val="20"/>
          <w:color w:val="auto"/>
        </w:rPr>
      </w:pPr>
    </w:p>
    <w:p>
      <w:pPr>
        <w:ind w:left="200" w:right="140"/>
        <w:spacing w:after="0" w:line="282"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74" w:lineRule="exact"/>
        <w:rPr>
          <w:sz w:val="20"/>
          <w:szCs w:val="20"/>
          <w:color w:val="auto"/>
        </w:rPr>
      </w:pPr>
    </w:p>
    <w:p>
      <w:pPr>
        <w:ind w:left="660" w:hanging="467"/>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treatment of chronic tophaceous and refractory gout;</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antigen-specific immune tolerance for gene therapy involving gene augmentation, replacement or editing;</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21" w:lineRule="exact"/>
        <w:rPr>
          <w:rFonts w:ascii="Arial" w:cs="Arial" w:eastAsia="Arial" w:hAnsi="Arial"/>
          <w:sz w:val="15"/>
          <w:szCs w:val="15"/>
          <w:color w:val="auto"/>
        </w:rPr>
      </w:pPr>
    </w:p>
    <w:p>
      <w:pPr>
        <w:ind w:left="660" w:hanging="467"/>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treatment of a life threatening food allergy, celiac disease and type 1 diabetes under a collaboration with Sanofi; and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infectious diseases and other diseases.</w:t>
      </w:r>
    </w:p>
    <w:p>
      <w:pPr>
        <w:spacing w:after="0" w:line="198" w:lineRule="exact"/>
        <w:rPr>
          <w:sz w:val="20"/>
          <w:szCs w:val="20"/>
          <w:color w:val="auto"/>
        </w:rPr>
      </w:pPr>
    </w:p>
    <w:p>
      <w:pPr>
        <w:ind w:left="200"/>
        <w:spacing w:after="0" w:line="282" w:lineRule="auto"/>
        <w:rPr>
          <w:sz w:val="20"/>
          <w:szCs w:val="20"/>
          <w:color w:val="auto"/>
        </w:rPr>
      </w:pPr>
      <w:r>
        <w:rPr>
          <w:rFonts w:ascii="Arial" w:cs="Arial" w:eastAsia="Arial" w:hAnsi="Arial"/>
          <w:sz w:val="15"/>
          <w:szCs w:val="15"/>
          <w:color w:val="auto"/>
        </w:rPr>
        <w:t>SVP are designed to remain intact after injection into the body and accumulate selectively in lymphoid organs, which include lymph nodes and the spleen, where the immune response is coordinated. Depending on the type of immunomodulator encapsulated in the SVP, our technology is designed to induce either a:</w:t>
      </w:r>
    </w:p>
    <w:p>
      <w:pPr>
        <w:spacing w:after="0" w:line="162" w:lineRule="exact"/>
        <w:rPr>
          <w:sz w:val="20"/>
          <w:szCs w:val="20"/>
          <w:color w:val="auto"/>
        </w:rPr>
      </w:pPr>
    </w:p>
    <w:p>
      <w:pPr>
        <w:ind w:left="660" w:hanging="467"/>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tolerogenic response to mitigate the formation of ADAs against a biologic drug or treat allergies and autoimmune diseases; or</w:t>
      </w:r>
    </w:p>
    <w:p>
      <w:pPr>
        <w:spacing w:after="0" w:line="221" w:lineRule="exact"/>
        <w:rPr>
          <w:rFonts w:ascii="Arial" w:cs="Arial" w:eastAsia="Arial" w:hAnsi="Arial"/>
          <w:sz w:val="15"/>
          <w:szCs w:val="15"/>
          <w:color w:val="auto"/>
        </w:rPr>
      </w:pPr>
    </w:p>
    <w:p>
      <w:pPr>
        <w:ind w:left="660" w:hanging="467"/>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8" w:lineRule="exact"/>
        <w:rPr>
          <w:sz w:val="20"/>
          <w:szCs w:val="20"/>
          <w:color w:val="auto"/>
        </w:rPr>
      </w:pPr>
    </w:p>
    <w:p>
      <w:pPr>
        <w:ind w:left="200" w:right="20"/>
        <w:spacing w:after="0" w:line="282" w:lineRule="auto"/>
        <w:rPr>
          <w:sz w:val="20"/>
          <w:szCs w:val="20"/>
          <w:color w:val="auto"/>
        </w:rPr>
      </w:pPr>
      <w:r>
        <w:rPr>
          <w:rFonts w:ascii="Arial" w:cs="Arial" w:eastAsia="Arial" w:hAnsi="Arial"/>
          <w:sz w:val="15"/>
          <w:szCs w:val="15"/>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151" w:lineRule="exact"/>
        <w:rPr>
          <w:sz w:val="20"/>
          <w:szCs w:val="20"/>
          <w:color w:val="auto"/>
        </w:rPr>
      </w:pPr>
    </w:p>
    <w:p>
      <w:pPr>
        <w:ind w:left="200"/>
        <w:spacing w:after="0" w:line="263"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In preclinical studies, we have observed that SVP-Rapamycin, unlike free rapamycin, can be co-administered at the beginning of therapy with a biologic drug to mitigate the formation of ADAs without altering the drug or its dose regimen. As a result, we believe that SVP-Rapamycin may provide us with significant growth opportunities in the area of tolerance because SVP-Rapamycin can be co-administered at the beginning of therapy with many different biologic drugs.</w:t>
      </w:r>
    </w:p>
    <w:p>
      <w:pPr>
        <w:spacing w:after="0" w:line="167" w:lineRule="exact"/>
        <w:rPr>
          <w:sz w:val="20"/>
          <w:szCs w:val="20"/>
          <w:color w:val="auto"/>
        </w:rPr>
      </w:pPr>
    </w:p>
    <w:p>
      <w:pPr>
        <w:ind w:left="200"/>
        <w:spacing w:after="0" w:line="290" w:lineRule="auto"/>
        <w:rPr>
          <w:sz w:val="20"/>
          <w:szCs w:val="20"/>
          <w:color w:val="auto"/>
        </w:rPr>
      </w:pPr>
      <w:r>
        <w:rPr>
          <w:rFonts w:ascii="Arial" w:cs="Arial" w:eastAsia="Arial" w:hAnsi="Arial"/>
          <w:sz w:val="14"/>
          <w:szCs w:val="14"/>
          <w:color w:val="auto"/>
        </w:rPr>
        <w:t>In addition, we believe our SVP technology has the potential to be used for therapies that stimulate the immune system to treat cancer, infectious diseases and other diseases. Our SVP immune stimulation programs are designed to encapsulate an antigen and a toll-like receptor, or TLR, agonist. Activation of TLRs alert the immune system that a potential pathogen is present and that the immune system should mount a response. TLR agonists can be used as supplements, or adjuvants, to vaccines to increase the immune response to the vaccine by activating the TLRs in antigen-presenting cells. We currently finance these programs primarily through grants.</w:t>
      </w:r>
    </w:p>
    <w:p>
      <w:pPr>
        <w:spacing w:after="0" w:line="148" w:lineRule="exact"/>
        <w:rPr>
          <w:sz w:val="20"/>
          <w:szCs w:val="20"/>
          <w:color w:val="auto"/>
        </w:rPr>
      </w:pPr>
    </w:p>
    <w:p>
      <w:pPr>
        <w:ind w:left="200" w:right="20"/>
        <w:spacing w:after="0" w:line="282" w:lineRule="auto"/>
        <w:rPr>
          <w:sz w:val="20"/>
          <w:szCs w:val="20"/>
          <w:color w:val="auto"/>
        </w:rPr>
      </w:pPr>
      <w:r>
        <w:rPr>
          <w:rFonts w:ascii="Arial" w:cs="Arial" w:eastAsia="Arial" w:hAnsi="Arial"/>
          <w:sz w:val="15"/>
          <w:szCs w:val="15"/>
          <w:color w:val="auto"/>
        </w:rPr>
        <w:t>Our SVP technology is based in part on the pioneering research performed by our co-founders at Harvard University, Massachusetts Institute of Technology, or MIT, and Brigham and Women's Hospital, or Brigham. In connection with our company's founding, we licensed 17 patent families</w:t>
      </w: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3439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343979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related to certain aspects of our SVP technology as applied to nanoparticles for use in vaccines from our co-founders' institutions pursuant to an agreement with MIT.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PRODUCT CANDIDATE AND DISCOVERY PIPELINES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SVP product candidate pipeline.</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78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Description</w:t>
            </w:r>
          </w:p>
        </w:tc>
        <w:tc>
          <w:tcPr>
            <w:tcW w:w="2920" w:type="dxa"/>
            <w:vAlign w:val="bottom"/>
            <w:tcBorders>
              <w:bottom w:val="single" w:sz="8" w:color="auto"/>
            </w:tcBorders>
          </w:tcPr>
          <w:p>
            <w:pPr>
              <w:ind w:left="940"/>
              <w:spacing w:after="0"/>
              <w:rPr>
                <w:sz w:val="20"/>
                <w:szCs w:val="20"/>
                <w:color w:val="auto"/>
              </w:rPr>
            </w:pPr>
            <w:r>
              <w:rPr>
                <w:rFonts w:ascii="Arial" w:cs="Arial" w:eastAsia="Arial" w:hAnsi="Arial"/>
                <w:sz w:val="12"/>
                <w:szCs w:val="12"/>
                <w:b w:val="1"/>
                <w:bCs w:val="1"/>
                <w:color w:val="auto"/>
              </w:rPr>
              <w:t>Development status</w:t>
            </w:r>
          </w:p>
        </w:tc>
        <w:tc>
          <w:tcPr>
            <w:tcW w:w="276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5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307"/>
        </w:trPr>
        <w:tc>
          <w:tcPr>
            <w:tcW w:w="2580" w:type="dxa"/>
            <w:vAlign w:val="bottom"/>
          </w:tcPr>
          <w:p>
            <w:pPr>
              <w:spacing w:after="0"/>
              <w:rPr>
                <w:sz w:val="20"/>
                <w:szCs w:val="20"/>
                <w:color w:val="auto"/>
              </w:rPr>
            </w:pPr>
            <w:r>
              <w:rPr>
                <w:rFonts w:ascii="Arial" w:cs="Arial" w:eastAsia="Arial" w:hAnsi="Arial"/>
                <w:sz w:val="12"/>
                <w:szCs w:val="12"/>
                <w:color w:val="auto"/>
                <w:w w:val="94"/>
              </w:rPr>
              <w:t>Refractory and chronic tophaceous gout (SEL-212)</w:t>
            </w:r>
          </w:p>
        </w:tc>
        <w:tc>
          <w:tcPr>
            <w:tcW w:w="2780" w:type="dxa"/>
            <w:vAlign w:val="bottom"/>
          </w:tcPr>
          <w:p>
            <w:pPr>
              <w:ind w:left="200"/>
              <w:spacing w:after="0"/>
              <w:rPr>
                <w:sz w:val="20"/>
                <w:szCs w:val="20"/>
                <w:color w:val="auto"/>
              </w:rPr>
            </w:pPr>
            <w:r>
              <w:rPr>
                <w:rFonts w:ascii="Arial" w:cs="Arial" w:eastAsia="Arial" w:hAnsi="Arial"/>
                <w:sz w:val="12"/>
                <w:szCs w:val="12"/>
                <w:color w:val="auto"/>
                <w:w w:val="96"/>
              </w:rPr>
              <w:t>SVP-Rapamycin co-administered with pegsiticase</w:t>
            </w:r>
          </w:p>
        </w:tc>
        <w:tc>
          <w:tcPr>
            <w:tcW w:w="2920" w:type="dxa"/>
            <w:vAlign w:val="bottom"/>
          </w:tcPr>
          <w:p>
            <w:pPr>
              <w:ind w:left="220"/>
              <w:spacing w:after="0"/>
              <w:rPr>
                <w:sz w:val="20"/>
                <w:szCs w:val="20"/>
                <w:color w:val="auto"/>
              </w:rPr>
            </w:pPr>
            <w:r>
              <w:rPr>
                <w:rFonts w:ascii="Arial" w:cs="Arial" w:eastAsia="Arial" w:hAnsi="Arial"/>
                <w:sz w:val="12"/>
                <w:szCs w:val="12"/>
                <w:color w:val="auto"/>
              </w:rPr>
              <w:t>Final data from Phase 1a and Phase 1b trials and</w:t>
            </w:r>
          </w:p>
        </w:tc>
        <w:tc>
          <w:tcPr>
            <w:tcW w:w="2760" w:type="dxa"/>
            <w:vAlign w:val="bottom"/>
          </w:tcPr>
          <w:p>
            <w:pPr>
              <w:ind w:left="120"/>
              <w:spacing w:after="0"/>
              <w:rPr>
                <w:sz w:val="20"/>
                <w:szCs w:val="20"/>
                <w:color w:val="auto"/>
              </w:rPr>
            </w:pPr>
            <w:r>
              <w:rPr>
                <w:rFonts w:ascii="Arial" w:cs="Arial" w:eastAsia="Arial" w:hAnsi="Arial"/>
                <w:sz w:val="12"/>
                <w:szCs w:val="12"/>
                <w:color w:val="auto"/>
              </w:rPr>
              <w:t>Own development</w:t>
            </w:r>
          </w:p>
        </w:tc>
      </w:tr>
      <w:tr>
        <w:trPr>
          <w:trHeight w:val="127"/>
        </w:trPr>
        <w:tc>
          <w:tcPr>
            <w:tcW w:w="2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920" w:type="dxa"/>
            <w:vAlign w:val="bottom"/>
          </w:tcPr>
          <w:p>
            <w:pPr>
              <w:ind w:left="220"/>
              <w:spacing w:after="0" w:line="128" w:lineRule="exact"/>
              <w:rPr>
                <w:sz w:val="20"/>
                <w:szCs w:val="20"/>
                <w:color w:val="auto"/>
              </w:rPr>
            </w:pPr>
            <w:r>
              <w:rPr>
                <w:rFonts w:ascii="Arial" w:cs="Arial" w:eastAsia="Arial" w:hAnsi="Arial"/>
                <w:sz w:val="12"/>
                <w:szCs w:val="12"/>
                <w:color w:val="auto"/>
                <w:w w:val="92"/>
              </w:rPr>
              <w:t>initiation of Phase 2 trial expected in the second half of</w:t>
            </w:r>
          </w:p>
        </w:tc>
        <w:tc>
          <w:tcPr>
            <w:tcW w:w="2760" w:type="dxa"/>
            <w:vAlign w:val="bottom"/>
          </w:tcPr>
          <w:p>
            <w:pPr>
              <w:spacing w:after="0"/>
              <w:rPr>
                <w:sz w:val="11"/>
                <w:szCs w:val="11"/>
                <w:color w:val="auto"/>
              </w:rPr>
            </w:pPr>
          </w:p>
        </w:tc>
      </w:tr>
      <w:tr>
        <w:trPr>
          <w:trHeight w:val="147"/>
        </w:trPr>
        <w:tc>
          <w:tcPr>
            <w:tcW w:w="25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920" w:type="dxa"/>
            <w:vAlign w:val="bottom"/>
          </w:tcPr>
          <w:p>
            <w:pPr>
              <w:ind w:left="220"/>
              <w:spacing w:after="0"/>
              <w:rPr>
                <w:sz w:val="20"/>
                <w:szCs w:val="20"/>
                <w:color w:val="auto"/>
              </w:rPr>
            </w:pPr>
            <w:r>
              <w:rPr>
                <w:rFonts w:ascii="Arial" w:cs="Arial" w:eastAsia="Arial" w:hAnsi="Arial"/>
                <w:sz w:val="12"/>
                <w:szCs w:val="12"/>
                <w:color w:val="auto"/>
              </w:rPr>
              <w:t>2016</w:t>
            </w:r>
          </w:p>
        </w:tc>
        <w:tc>
          <w:tcPr>
            <w:tcW w:w="2760" w:type="dxa"/>
            <w:vAlign w:val="bottom"/>
          </w:tcPr>
          <w:p>
            <w:pPr>
              <w:spacing w:after="0"/>
              <w:rPr>
                <w:sz w:val="12"/>
                <w:szCs w:val="12"/>
                <w:color w:val="auto"/>
              </w:rPr>
            </w:pPr>
          </w:p>
        </w:tc>
      </w:tr>
    </w:tbl>
    <w:p>
      <w:pPr>
        <w:spacing w:after="0" w:line="178" w:lineRule="exact"/>
        <w:rPr>
          <w:sz w:val="20"/>
          <w:szCs w:val="20"/>
          <w:color w:val="auto"/>
        </w:rPr>
      </w:pPr>
    </w:p>
    <w:p>
      <w:pPr>
        <w:sectPr>
          <w:pgSz w:w="11900" w:h="16838" w:orient="portrait"/>
          <w:cols w:equalWidth="0" w:num="1">
            <w:col w:w="11440"/>
          </w:cols>
          <w:pgMar w:left="240" w:top="132" w:right="219" w:bottom="1440" w:gutter="0" w:footer="0" w:header="0"/>
        </w:sectPr>
      </w:pPr>
    </w:p>
    <w:p>
      <w:pPr>
        <w:spacing w:after="0" w:line="11" w:lineRule="exact"/>
        <w:rPr>
          <w:sz w:val="20"/>
          <w:szCs w:val="20"/>
          <w:color w:val="auto"/>
        </w:rPr>
      </w:pPr>
    </w:p>
    <w:p>
      <w:pPr>
        <w:ind w:left="200"/>
        <w:spacing w:after="0" w:line="238" w:lineRule="auto"/>
        <w:rPr>
          <w:sz w:val="20"/>
          <w:szCs w:val="20"/>
          <w:color w:val="auto"/>
        </w:rPr>
      </w:pPr>
      <w:r>
        <w:rPr>
          <w:rFonts w:ascii="Arial" w:cs="Arial" w:eastAsia="Arial" w:hAnsi="Arial"/>
          <w:sz w:val="12"/>
          <w:szCs w:val="12"/>
          <w:color w:val="auto"/>
        </w:rPr>
        <w:t>Gene therapy for an autosomal recessive metabolic, or ARM, disorder</w:t>
      </w:r>
    </w:p>
    <w:p>
      <w:pPr>
        <w:spacing w:after="0" w:line="190" w:lineRule="exact"/>
        <w:rPr>
          <w:sz w:val="20"/>
          <w:szCs w:val="20"/>
          <w:color w:val="auto"/>
        </w:rPr>
      </w:pPr>
    </w:p>
    <w:p>
      <w:pPr>
        <w:ind w:left="200" w:right="200"/>
        <w:spacing w:after="0" w:line="238" w:lineRule="auto"/>
        <w:rPr>
          <w:sz w:val="20"/>
          <w:szCs w:val="20"/>
          <w:color w:val="auto"/>
        </w:rPr>
      </w:pPr>
      <w:r>
        <w:rPr>
          <w:rFonts w:ascii="Arial" w:cs="Arial" w:eastAsia="Arial" w:hAnsi="Arial"/>
          <w:sz w:val="12"/>
          <w:szCs w:val="12"/>
          <w:color w:val="auto"/>
        </w:rPr>
        <w:t>Gene therapy for an X-linked metabolic, or XLM, disorder</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SVP for immune stimulation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680" w:type="dxa"/>
            <w:vAlign w:val="bottom"/>
          </w:tcPr>
          <w:p>
            <w:pPr>
              <w:spacing w:after="0"/>
              <w:rPr>
                <w:sz w:val="20"/>
                <w:szCs w:val="20"/>
                <w:color w:val="auto"/>
              </w:rPr>
            </w:pPr>
            <w:r>
              <w:rPr>
                <w:rFonts w:ascii="Arial" w:cs="Arial" w:eastAsia="Arial" w:hAnsi="Arial"/>
                <w:sz w:val="12"/>
                <w:szCs w:val="12"/>
                <w:color w:val="auto"/>
                <w:w w:val="92"/>
              </w:rPr>
              <w:t>SVP-Rapamycin co-administered with the Anc80 gene</w:t>
            </w:r>
          </w:p>
        </w:tc>
        <w:tc>
          <w:tcPr>
            <w:tcW w:w="2860" w:type="dxa"/>
            <w:vAlign w:val="bottom"/>
          </w:tcPr>
          <w:p>
            <w:pPr>
              <w:ind w:left="120"/>
              <w:spacing w:after="0"/>
              <w:rPr>
                <w:sz w:val="20"/>
                <w:szCs w:val="20"/>
                <w:color w:val="auto"/>
              </w:rPr>
            </w:pPr>
            <w:r>
              <w:rPr>
                <w:rFonts w:ascii="Arial" w:cs="Arial" w:eastAsia="Arial" w:hAnsi="Arial"/>
                <w:sz w:val="12"/>
                <w:szCs w:val="12"/>
                <w:color w:val="auto"/>
                <w:w w:val="95"/>
              </w:rPr>
              <w:t>Investigational New Drug Application, or IND, filing for</w:t>
            </w:r>
          </w:p>
        </w:tc>
        <w:tc>
          <w:tcPr>
            <w:tcW w:w="920" w:type="dxa"/>
            <w:vAlign w:val="bottom"/>
          </w:tcPr>
          <w:p>
            <w:pPr>
              <w:ind w:left="80"/>
              <w:spacing w:after="0"/>
              <w:rPr>
                <w:sz w:val="20"/>
                <w:szCs w:val="20"/>
                <w:color w:val="auto"/>
              </w:rPr>
            </w:pPr>
            <w:r>
              <w:rPr>
                <w:rFonts w:ascii="Arial" w:cs="Arial" w:eastAsia="Arial" w:hAnsi="Arial"/>
                <w:sz w:val="12"/>
                <w:szCs w:val="12"/>
                <w:color w:val="auto"/>
                <w:w w:val="84"/>
              </w:rPr>
              <w:t>Own development</w:t>
            </w:r>
          </w:p>
        </w:tc>
      </w:tr>
      <w:tr>
        <w:trPr>
          <w:trHeight w:val="147"/>
        </w:trPr>
        <w:tc>
          <w:tcPr>
            <w:tcW w:w="2680" w:type="dxa"/>
            <w:vAlign w:val="bottom"/>
          </w:tcPr>
          <w:p>
            <w:pPr>
              <w:spacing w:after="0"/>
              <w:rPr>
                <w:sz w:val="20"/>
                <w:szCs w:val="20"/>
                <w:color w:val="auto"/>
              </w:rPr>
            </w:pPr>
            <w:r>
              <w:rPr>
                <w:rFonts w:ascii="Arial" w:cs="Arial" w:eastAsia="Arial" w:hAnsi="Arial"/>
                <w:sz w:val="12"/>
                <w:szCs w:val="12"/>
                <w:color w:val="auto"/>
              </w:rPr>
              <w:t>therapy vector, or Anc80</w:t>
            </w:r>
          </w:p>
        </w:tc>
        <w:tc>
          <w:tcPr>
            <w:tcW w:w="2860" w:type="dxa"/>
            <w:vAlign w:val="bottom"/>
          </w:tcPr>
          <w:p>
            <w:pPr>
              <w:ind w:left="120"/>
              <w:spacing w:after="0"/>
              <w:rPr>
                <w:sz w:val="20"/>
                <w:szCs w:val="20"/>
                <w:color w:val="auto"/>
              </w:rPr>
            </w:pPr>
            <w:r>
              <w:rPr>
                <w:rFonts w:ascii="Arial" w:cs="Arial" w:eastAsia="Arial" w:hAnsi="Arial"/>
                <w:sz w:val="12"/>
                <w:szCs w:val="12"/>
                <w:color w:val="auto"/>
              </w:rPr>
              <w:t>first indication expected by the end of 2017</w:t>
            </w:r>
          </w:p>
        </w:tc>
        <w:tc>
          <w:tcPr>
            <w:tcW w:w="920" w:type="dxa"/>
            <w:vAlign w:val="bottom"/>
          </w:tcPr>
          <w:p>
            <w:pPr>
              <w:spacing w:after="0"/>
              <w:rPr>
                <w:sz w:val="12"/>
                <w:szCs w:val="12"/>
                <w:color w:val="auto"/>
              </w:rPr>
            </w:pPr>
          </w:p>
        </w:tc>
      </w:tr>
      <w:tr>
        <w:trPr>
          <w:trHeight w:val="316"/>
        </w:trPr>
        <w:tc>
          <w:tcPr>
            <w:tcW w:w="2680" w:type="dxa"/>
            <w:vAlign w:val="bottom"/>
          </w:tcPr>
          <w:p>
            <w:pPr>
              <w:spacing w:after="0"/>
              <w:rPr>
                <w:sz w:val="20"/>
                <w:szCs w:val="20"/>
                <w:color w:val="auto"/>
              </w:rPr>
            </w:pPr>
            <w:r>
              <w:rPr>
                <w:rFonts w:ascii="Arial" w:cs="Arial" w:eastAsia="Arial" w:hAnsi="Arial"/>
                <w:sz w:val="12"/>
                <w:szCs w:val="12"/>
                <w:color w:val="auto"/>
              </w:rPr>
              <w:t>SVP-Rapamycin co-administered with an adeno-</w:t>
            </w:r>
          </w:p>
        </w:tc>
        <w:tc>
          <w:tcPr>
            <w:tcW w:w="2860" w:type="dxa"/>
            <w:vAlign w:val="bottom"/>
          </w:tcPr>
          <w:p>
            <w:pPr>
              <w:ind w:left="120"/>
              <w:spacing w:after="0"/>
              <w:rPr>
                <w:sz w:val="20"/>
                <w:szCs w:val="20"/>
                <w:color w:val="auto"/>
              </w:rPr>
            </w:pPr>
            <w:r>
              <w:rPr>
                <w:rFonts w:ascii="Arial" w:cs="Arial" w:eastAsia="Arial" w:hAnsi="Arial"/>
                <w:sz w:val="12"/>
                <w:szCs w:val="12"/>
                <w:color w:val="auto"/>
              </w:rPr>
              <w:t>IND filing for first indication expected in 2018</w:t>
            </w:r>
          </w:p>
        </w:tc>
        <w:tc>
          <w:tcPr>
            <w:tcW w:w="920" w:type="dxa"/>
            <w:vAlign w:val="bottom"/>
          </w:tcPr>
          <w:p>
            <w:pPr>
              <w:ind w:left="80"/>
              <w:spacing w:after="0"/>
              <w:rPr>
                <w:sz w:val="20"/>
                <w:szCs w:val="20"/>
                <w:color w:val="auto"/>
              </w:rPr>
            </w:pPr>
            <w:r>
              <w:rPr>
                <w:rFonts w:ascii="Arial" w:cs="Arial" w:eastAsia="Arial" w:hAnsi="Arial"/>
                <w:sz w:val="12"/>
                <w:szCs w:val="12"/>
                <w:color w:val="auto"/>
                <w:w w:val="84"/>
              </w:rPr>
              <w:t>Own development</w:t>
            </w:r>
          </w:p>
        </w:tc>
      </w:tr>
      <w:tr>
        <w:trPr>
          <w:trHeight w:val="147"/>
        </w:trPr>
        <w:tc>
          <w:tcPr>
            <w:tcW w:w="2680" w:type="dxa"/>
            <w:vAlign w:val="bottom"/>
          </w:tcPr>
          <w:p>
            <w:pPr>
              <w:spacing w:after="0"/>
              <w:rPr>
                <w:sz w:val="20"/>
                <w:szCs w:val="20"/>
                <w:color w:val="auto"/>
              </w:rPr>
            </w:pPr>
            <w:r>
              <w:rPr>
                <w:rFonts w:ascii="Arial" w:cs="Arial" w:eastAsia="Arial" w:hAnsi="Arial"/>
                <w:sz w:val="12"/>
                <w:szCs w:val="12"/>
                <w:color w:val="auto"/>
              </w:rPr>
              <w:t>associated virus, or AAV</w:t>
            </w:r>
          </w:p>
        </w:tc>
        <w:tc>
          <w:tcPr>
            <w:tcW w:w="28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523" w:lineRule="exact"/>
        <w:rPr>
          <w:sz w:val="20"/>
          <w:szCs w:val="20"/>
          <w:color w:val="auto"/>
        </w:rPr>
      </w:pPr>
    </w:p>
    <w:p>
      <w:pPr>
        <w:sectPr>
          <w:pgSz w:w="11900" w:h="16838" w:orient="portrait"/>
          <w:cols w:equalWidth="0" w:num="2">
            <w:col w:w="2720" w:space="260"/>
            <w:col w:w="8460"/>
          </w:cols>
          <w:pgMar w:left="240" w:top="132" w:right="219" w:bottom="1440" w:gutter="0" w:footer="0" w:header="0"/>
          <w:type w:val="continuous"/>
        </w:sectPr>
      </w:pPr>
    </w:p>
    <w:p>
      <w:pPr>
        <w:ind w:left="200"/>
        <w:spacing w:after="0"/>
        <w:tabs>
          <w:tab w:leader="none" w:pos="2960" w:val="left"/>
          <w:tab w:leader="none" w:pos="5760" w:val="left"/>
        </w:tabs>
        <w:rPr>
          <w:sz w:val="20"/>
          <w:szCs w:val="20"/>
          <w:color w:val="auto"/>
        </w:rPr>
      </w:pPr>
      <w:r>
        <w:rPr>
          <w:rFonts w:ascii="Arial" w:cs="Arial" w:eastAsia="Arial" w:hAnsi="Arial"/>
          <w:sz w:val="12"/>
          <w:szCs w:val="12"/>
          <w:color w:val="auto"/>
        </w:rPr>
        <w:t>Smoking cessation and relapse prevention (SEL-070)</w:t>
      </w:r>
      <w:r>
        <w:rPr>
          <w:sz w:val="20"/>
          <w:szCs w:val="20"/>
          <w:color w:val="auto"/>
        </w:rPr>
        <w:tab/>
      </w:r>
      <w:r>
        <w:rPr>
          <w:rFonts w:ascii="Arial" w:cs="Arial" w:eastAsia="Arial" w:hAnsi="Arial"/>
          <w:sz w:val="12"/>
          <w:szCs w:val="12"/>
          <w:color w:val="auto"/>
        </w:rPr>
        <w:t>SVP-adjuvant and SVP-nicotine</w:t>
      </w:r>
      <w:r>
        <w:rPr>
          <w:sz w:val="20"/>
          <w:szCs w:val="20"/>
          <w:color w:val="auto"/>
        </w:rPr>
        <w:tab/>
      </w:r>
      <w:r>
        <w:rPr>
          <w:rFonts w:ascii="Arial" w:cs="Arial" w:eastAsia="Arial" w:hAnsi="Arial"/>
          <w:sz w:val="10"/>
          <w:szCs w:val="10"/>
          <w:color w:val="auto"/>
        </w:rPr>
        <w:t>Good laboratory practice, or GLP, toxicology studies</w:t>
      </w:r>
    </w:p>
    <w:p>
      <w:pPr>
        <w:ind w:left="5780"/>
        <w:spacing w:after="0"/>
        <w:rPr>
          <w:sz w:val="20"/>
          <w:szCs w:val="20"/>
          <w:color w:val="auto"/>
        </w:rPr>
      </w:pPr>
      <w:r>
        <w:rPr>
          <w:rFonts w:ascii="Arial" w:cs="Arial" w:eastAsia="Arial" w:hAnsi="Arial"/>
          <w:sz w:val="12"/>
          <w:szCs w:val="12"/>
          <w:color w:val="auto"/>
        </w:rPr>
        <w:t>ongoing</w:t>
      </w:r>
    </w:p>
    <w:p>
      <w:pPr>
        <w:spacing w:after="0" w:line="188" w:lineRule="exact"/>
        <w:rPr>
          <w:sz w:val="20"/>
          <w:szCs w:val="20"/>
          <w:color w:val="auto"/>
        </w:rPr>
      </w:pPr>
    </w:p>
    <w:p>
      <w:pPr>
        <w:ind w:left="200"/>
        <w:spacing w:after="0"/>
        <w:tabs>
          <w:tab w:leader="none" w:pos="2960" w:val="left"/>
          <w:tab w:leader="none" w:pos="5760" w:val="left"/>
        </w:tabs>
        <w:rPr>
          <w:sz w:val="20"/>
          <w:szCs w:val="20"/>
          <w:color w:val="auto"/>
        </w:rPr>
      </w:pPr>
      <w:r>
        <w:rPr>
          <w:rFonts w:ascii="Arial" w:cs="Arial" w:eastAsia="Arial" w:hAnsi="Arial"/>
          <w:sz w:val="12"/>
          <w:szCs w:val="12"/>
          <w:color w:val="auto"/>
        </w:rPr>
        <w:t>HPV-associated cancer (SEL-701)</w:t>
      </w:r>
      <w:r>
        <w:rPr>
          <w:sz w:val="20"/>
          <w:szCs w:val="20"/>
          <w:color w:val="auto"/>
        </w:rPr>
        <w:tab/>
      </w:r>
      <w:r>
        <w:rPr>
          <w:rFonts w:ascii="Arial" w:cs="Arial" w:eastAsia="Arial" w:hAnsi="Arial"/>
          <w:sz w:val="12"/>
          <w:szCs w:val="12"/>
          <w:color w:val="auto"/>
        </w:rPr>
        <w:t>SVP-adjuvant and SVP-HPV antigen</w:t>
      </w:r>
      <w:r>
        <w:rPr>
          <w:sz w:val="20"/>
          <w:szCs w:val="20"/>
          <w:color w:val="auto"/>
        </w:rPr>
        <w:tab/>
      </w:r>
      <w:r>
        <w:rPr>
          <w:rFonts w:ascii="Arial" w:cs="Arial" w:eastAsia="Arial" w:hAnsi="Arial"/>
          <w:sz w:val="10"/>
          <w:szCs w:val="10"/>
          <w:color w:val="auto"/>
        </w:rPr>
        <w:t>Preclinical</w:t>
      </w:r>
    </w:p>
    <w:p>
      <w:pPr>
        <w:spacing w:after="0" w:line="20" w:lineRule="exact"/>
        <w:rPr>
          <w:sz w:val="20"/>
          <w:szCs w:val="20"/>
          <w:color w:val="auto"/>
        </w:rPr>
      </w:pPr>
      <w:r>
        <w:rPr>
          <w:sz w:val="20"/>
          <w:szCs w:val="20"/>
          <w:color w:val="auto"/>
        </w:rPr>
        <w:br w:type="column"/>
      </w:r>
    </w:p>
    <w:p>
      <w:pPr>
        <w:ind w:right="620"/>
        <w:spacing w:after="0" w:line="333" w:lineRule="auto"/>
        <w:rPr>
          <w:sz w:val="20"/>
          <w:szCs w:val="20"/>
          <w:color w:val="auto"/>
        </w:rPr>
      </w:pPr>
      <w:r>
        <w:rPr>
          <w:rFonts w:ascii="Arial" w:cs="Arial" w:eastAsia="Arial" w:hAnsi="Arial"/>
          <w:sz w:val="10"/>
          <w:szCs w:val="10"/>
          <w:color w:val="auto"/>
        </w:rPr>
        <w:t>Own development, with grant from the National Institute on Drug Abuse, or NIDA</w:t>
      </w:r>
    </w:p>
    <w:p>
      <w:pPr>
        <w:spacing w:after="0" w:line="144" w:lineRule="exact"/>
        <w:rPr>
          <w:sz w:val="20"/>
          <w:szCs w:val="20"/>
          <w:color w:val="auto"/>
        </w:rPr>
      </w:pPr>
    </w:p>
    <w:p>
      <w:pPr>
        <w:ind w:right="280"/>
        <w:spacing w:after="0" w:line="230" w:lineRule="auto"/>
        <w:rPr>
          <w:sz w:val="20"/>
          <w:szCs w:val="20"/>
          <w:color w:val="auto"/>
        </w:rPr>
      </w:pPr>
      <w:r>
        <w:rPr>
          <w:rFonts w:ascii="Arial" w:cs="Arial" w:eastAsia="Arial" w:hAnsi="Arial"/>
          <w:sz w:val="12"/>
          <w:szCs w:val="12"/>
          <w:color w:val="auto"/>
        </w:rPr>
        <w:t>Own development, with grant from the Russian-based Development Fund of New Technologies Development and Commercialization Center, or the Skolkovo Foundation</w:t>
      </w:r>
    </w:p>
    <w:p>
      <w:pPr>
        <w:spacing w:after="0" w:line="200" w:lineRule="exact"/>
        <w:rPr>
          <w:sz w:val="20"/>
          <w:szCs w:val="20"/>
          <w:color w:val="auto"/>
        </w:rPr>
      </w:pPr>
    </w:p>
    <w:p>
      <w:pPr>
        <w:sectPr>
          <w:pgSz w:w="11900" w:h="16838" w:orient="portrait"/>
          <w:cols w:equalWidth="0" w:num="2">
            <w:col w:w="8240" w:space="360"/>
            <w:col w:w="2840"/>
          </w:cols>
          <w:pgMar w:left="240" w:top="132"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380"/>
        <w:spacing w:after="0"/>
        <w:rPr>
          <w:sz w:val="20"/>
          <w:szCs w:val="20"/>
          <w:color w:val="auto"/>
        </w:rPr>
      </w:pP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8" w:name="page9"/>
    <w:bookmarkEnd w:id="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977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497713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discovery pipeline.</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3020" w:type="dxa"/>
            <w:vAlign w:val="bottom"/>
            <w:tcBorders>
              <w:bottom w:val="single" w:sz="8" w:color="auto"/>
            </w:tcBorders>
          </w:tcPr>
          <w:p>
            <w:pPr>
              <w:ind w:left="1680"/>
              <w:spacing w:after="0"/>
              <w:rPr>
                <w:sz w:val="20"/>
                <w:szCs w:val="20"/>
                <w:color w:val="auto"/>
              </w:rPr>
            </w:pPr>
            <w:r>
              <w:rPr>
                <w:rFonts w:ascii="Arial" w:cs="Arial" w:eastAsia="Arial" w:hAnsi="Arial"/>
                <w:sz w:val="12"/>
                <w:szCs w:val="12"/>
                <w:b w:val="1"/>
                <w:bCs w:val="1"/>
                <w:color w:val="auto"/>
              </w:rPr>
              <w:t>Description</w:t>
            </w:r>
          </w:p>
        </w:tc>
        <w:tc>
          <w:tcPr>
            <w:tcW w:w="2840" w:type="dxa"/>
            <w:vAlign w:val="bottom"/>
            <w:tcBorders>
              <w:bottom w:val="single" w:sz="8" w:color="auto"/>
            </w:tcBorders>
          </w:tcPr>
          <w:p>
            <w:pPr>
              <w:ind w:left="1200"/>
              <w:spacing w:after="0"/>
              <w:rPr>
                <w:sz w:val="20"/>
                <w:szCs w:val="20"/>
                <w:color w:val="auto"/>
              </w:rPr>
            </w:pPr>
            <w:r>
              <w:rPr>
                <w:rFonts w:ascii="Arial" w:cs="Arial" w:eastAsia="Arial" w:hAnsi="Arial"/>
                <w:sz w:val="12"/>
                <w:szCs w:val="12"/>
                <w:b w:val="1"/>
                <w:bCs w:val="1"/>
                <w:color w:val="auto"/>
              </w:rPr>
              <w:t>Development status</w:t>
            </w:r>
          </w:p>
        </w:tc>
        <w:tc>
          <w:tcPr>
            <w:tcW w:w="3100" w:type="dxa"/>
            <w:vAlign w:val="bottom"/>
            <w:tcBorders>
              <w:bottom w:val="single" w:sz="8" w:color="auto"/>
            </w:tcBorders>
          </w:tcPr>
          <w:p>
            <w:pPr>
              <w:ind w:left="124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0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3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327"/>
        </w:trPr>
        <w:tc>
          <w:tcPr>
            <w:tcW w:w="2080" w:type="dxa"/>
            <w:vAlign w:val="bottom"/>
          </w:tcPr>
          <w:p>
            <w:pPr>
              <w:spacing w:after="0"/>
              <w:rPr>
                <w:sz w:val="20"/>
                <w:szCs w:val="20"/>
                <w:color w:val="auto"/>
              </w:rPr>
            </w:pPr>
            <w:r>
              <w:rPr>
                <w:rFonts w:ascii="Arial" w:cs="Arial" w:eastAsia="Arial" w:hAnsi="Arial"/>
                <w:sz w:val="12"/>
                <w:szCs w:val="12"/>
                <w:color w:val="auto"/>
              </w:rPr>
              <w:t>Food allergy</w:t>
            </w:r>
          </w:p>
        </w:tc>
        <w:tc>
          <w:tcPr>
            <w:tcW w:w="3020" w:type="dxa"/>
            <w:vAlign w:val="bottom"/>
          </w:tcPr>
          <w:p>
            <w:pPr>
              <w:ind w:left="700"/>
              <w:spacing w:after="0"/>
              <w:rPr>
                <w:sz w:val="20"/>
                <w:szCs w:val="20"/>
                <w:color w:val="auto"/>
              </w:rPr>
            </w:pPr>
            <w:r>
              <w:rPr>
                <w:rFonts w:ascii="Arial" w:cs="Arial" w:eastAsia="Arial" w:hAnsi="Arial"/>
                <w:sz w:val="12"/>
                <w:szCs w:val="12"/>
                <w:color w:val="auto"/>
              </w:rPr>
              <w:t>SVP-adjuvant and SVP-food allergen</w:t>
            </w:r>
          </w:p>
        </w:tc>
        <w:tc>
          <w:tcPr>
            <w:tcW w:w="2840" w:type="dxa"/>
            <w:vAlign w:val="bottom"/>
          </w:tcPr>
          <w:p>
            <w:pPr>
              <w:ind w:left="480"/>
              <w:spacing w:after="0"/>
              <w:rPr>
                <w:sz w:val="20"/>
                <w:szCs w:val="20"/>
                <w:color w:val="auto"/>
              </w:rPr>
            </w:pPr>
            <w:r>
              <w:rPr>
                <w:rFonts w:ascii="Arial" w:cs="Arial" w:eastAsia="Arial" w:hAnsi="Arial"/>
                <w:sz w:val="12"/>
                <w:szCs w:val="12"/>
                <w:color w:val="auto"/>
              </w:rPr>
              <w:t>Discovery</w:t>
            </w:r>
          </w:p>
        </w:tc>
        <w:tc>
          <w:tcPr>
            <w:tcW w:w="3100" w:type="dxa"/>
            <w:vAlign w:val="bottom"/>
          </w:tcPr>
          <w:p>
            <w:pPr>
              <w:ind w:left="460"/>
              <w:spacing w:after="0"/>
              <w:rPr>
                <w:sz w:val="20"/>
                <w:szCs w:val="20"/>
                <w:color w:val="auto"/>
              </w:rPr>
            </w:pPr>
            <w:r>
              <w:rPr>
                <w:rFonts w:ascii="Arial" w:cs="Arial" w:eastAsia="Arial" w:hAnsi="Arial"/>
                <w:sz w:val="12"/>
                <w:szCs w:val="12"/>
                <w:color w:val="auto"/>
              </w:rPr>
              <w:t>Sanofi worldwide exclusive license</w:t>
            </w:r>
          </w:p>
        </w:tc>
      </w:tr>
      <w:tr>
        <w:trPr>
          <w:trHeight w:val="336"/>
        </w:trPr>
        <w:tc>
          <w:tcPr>
            <w:tcW w:w="2080" w:type="dxa"/>
            <w:vAlign w:val="bottom"/>
          </w:tcPr>
          <w:p>
            <w:pPr>
              <w:spacing w:after="0"/>
              <w:rPr>
                <w:sz w:val="20"/>
                <w:szCs w:val="20"/>
                <w:color w:val="auto"/>
              </w:rPr>
            </w:pPr>
            <w:r>
              <w:rPr>
                <w:rFonts w:ascii="Arial" w:cs="Arial" w:eastAsia="Arial" w:hAnsi="Arial"/>
                <w:sz w:val="12"/>
                <w:szCs w:val="12"/>
                <w:color w:val="auto"/>
              </w:rPr>
              <w:t>Celiac disease</w:t>
            </w:r>
          </w:p>
        </w:tc>
        <w:tc>
          <w:tcPr>
            <w:tcW w:w="3020" w:type="dxa"/>
            <w:vAlign w:val="bottom"/>
          </w:tcPr>
          <w:p>
            <w:pPr>
              <w:ind w:left="700"/>
              <w:spacing w:after="0"/>
              <w:rPr>
                <w:sz w:val="20"/>
                <w:szCs w:val="20"/>
                <w:color w:val="auto"/>
              </w:rPr>
            </w:pPr>
            <w:r>
              <w:rPr>
                <w:rFonts w:ascii="Arial" w:cs="Arial" w:eastAsia="Arial" w:hAnsi="Arial"/>
                <w:sz w:val="12"/>
                <w:szCs w:val="12"/>
                <w:color w:val="auto"/>
              </w:rPr>
              <w:t>SVP-Rapamycin and SVP-gluten</w:t>
            </w:r>
          </w:p>
        </w:tc>
        <w:tc>
          <w:tcPr>
            <w:tcW w:w="2840" w:type="dxa"/>
            <w:vAlign w:val="bottom"/>
          </w:tcPr>
          <w:p>
            <w:pPr>
              <w:ind w:left="480"/>
              <w:spacing w:after="0"/>
              <w:rPr>
                <w:sz w:val="20"/>
                <w:szCs w:val="20"/>
                <w:color w:val="auto"/>
              </w:rPr>
            </w:pPr>
            <w:r>
              <w:rPr>
                <w:rFonts w:ascii="Arial" w:cs="Arial" w:eastAsia="Arial" w:hAnsi="Arial"/>
                <w:sz w:val="12"/>
                <w:szCs w:val="12"/>
                <w:color w:val="auto"/>
              </w:rPr>
              <w:t>Discovery</w:t>
            </w:r>
          </w:p>
        </w:tc>
        <w:tc>
          <w:tcPr>
            <w:tcW w:w="3100" w:type="dxa"/>
            <w:vAlign w:val="bottom"/>
          </w:tcPr>
          <w:p>
            <w:pPr>
              <w:ind w:left="460"/>
              <w:spacing w:after="0"/>
              <w:rPr>
                <w:sz w:val="20"/>
                <w:szCs w:val="20"/>
                <w:color w:val="auto"/>
              </w:rPr>
            </w:pPr>
            <w:r>
              <w:rPr>
                <w:rFonts w:ascii="Arial" w:cs="Arial" w:eastAsia="Arial" w:hAnsi="Arial"/>
                <w:sz w:val="12"/>
                <w:szCs w:val="12"/>
                <w:color w:val="auto"/>
              </w:rPr>
              <w:t>Sanofi worldwide exclusive license</w:t>
            </w:r>
          </w:p>
        </w:tc>
      </w:tr>
      <w:tr>
        <w:trPr>
          <w:trHeight w:val="316"/>
        </w:trPr>
        <w:tc>
          <w:tcPr>
            <w:tcW w:w="2080" w:type="dxa"/>
            <w:vAlign w:val="bottom"/>
          </w:tcPr>
          <w:p>
            <w:pPr>
              <w:spacing w:after="0"/>
              <w:rPr>
                <w:sz w:val="20"/>
                <w:szCs w:val="20"/>
                <w:color w:val="auto"/>
              </w:rPr>
            </w:pPr>
            <w:r>
              <w:rPr>
                <w:rFonts w:ascii="Arial" w:cs="Arial" w:eastAsia="Arial" w:hAnsi="Arial"/>
                <w:sz w:val="12"/>
                <w:szCs w:val="12"/>
                <w:color w:val="auto"/>
              </w:rPr>
              <w:t>Type 1 diabetes</w:t>
            </w:r>
          </w:p>
        </w:tc>
        <w:tc>
          <w:tcPr>
            <w:tcW w:w="3020" w:type="dxa"/>
            <w:vAlign w:val="bottom"/>
          </w:tcPr>
          <w:p>
            <w:pPr>
              <w:ind w:left="700"/>
              <w:spacing w:after="0"/>
              <w:rPr>
                <w:sz w:val="20"/>
                <w:szCs w:val="20"/>
                <w:color w:val="auto"/>
              </w:rPr>
            </w:pPr>
            <w:r>
              <w:rPr>
                <w:rFonts w:ascii="Arial" w:cs="Arial" w:eastAsia="Arial" w:hAnsi="Arial"/>
                <w:sz w:val="12"/>
                <w:szCs w:val="12"/>
                <w:color w:val="auto"/>
              </w:rPr>
              <w:t>SVP-Rapamycin and SVP-insulin</w:t>
            </w:r>
          </w:p>
        </w:tc>
        <w:tc>
          <w:tcPr>
            <w:tcW w:w="2840" w:type="dxa"/>
            <w:vAlign w:val="bottom"/>
          </w:tcPr>
          <w:p>
            <w:pPr>
              <w:ind w:left="480"/>
              <w:spacing w:after="0"/>
              <w:rPr>
                <w:sz w:val="20"/>
                <w:szCs w:val="20"/>
                <w:color w:val="auto"/>
              </w:rPr>
            </w:pPr>
            <w:r>
              <w:rPr>
                <w:rFonts w:ascii="Arial" w:cs="Arial" w:eastAsia="Arial" w:hAnsi="Arial"/>
                <w:sz w:val="12"/>
                <w:szCs w:val="12"/>
                <w:color w:val="auto"/>
              </w:rPr>
              <w:t>Discovery</w:t>
            </w:r>
          </w:p>
        </w:tc>
        <w:tc>
          <w:tcPr>
            <w:tcW w:w="3100" w:type="dxa"/>
            <w:vAlign w:val="bottom"/>
          </w:tcPr>
          <w:p>
            <w:pPr>
              <w:ind w:left="460"/>
              <w:spacing w:after="0"/>
              <w:rPr>
                <w:sz w:val="20"/>
                <w:szCs w:val="20"/>
                <w:color w:val="auto"/>
              </w:rPr>
            </w:pPr>
            <w:r>
              <w:rPr>
                <w:rFonts w:ascii="Arial" w:cs="Arial" w:eastAsia="Arial" w:hAnsi="Arial"/>
                <w:sz w:val="12"/>
                <w:szCs w:val="12"/>
                <w:color w:val="auto"/>
                <w:w w:val="90"/>
              </w:rPr>
              <w:t>Sanofi and Juvenile Diabetes Research Foundation, or</w:t>
            </w:r>
          </w:p>
        </w:tc>
      </w:tr>
      <w:tr>
        <w:trPr>
          <w:trHeight w:val="147"/>
        </w:trPr>
        <w:tc>
          <w:tcPr>
            <w:tcW w:w="20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ind w:left="460"/>
              <w:spacing w:after="0"/>
              <w:rPr>
                <w:sz w:val="20"/>
                <w:szCs w:val="20"/>
                <w:color w:val="auto"/>
              </w:rPr>
            </w:pPr>
            <w:r>
              <w:rPr>
                <w:rFonts w:ascii="Arial" w:cs="Arial" w:eastAsia="Arial" w:hAnsi="Arial"/>
                <w:sz w:val="12"/>
                <w:szCs w:val="12"/>
                <w:color w:val="auto"/>
              </w:rPr>
              <w:t>JDRF, sponsored research program</w:t>
            </w:r>
          </w:p>
        </w:tc>
      </w:tr>
      <w:tr>
        <w:trPr>
          <w:trHeight w:val="336"/>
        </w:trPr>
        <w:tc>
          <w:tcPr>
            <w:tcW w:w="20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30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16"/>
        </w:trPr>
        <w:tc>
          <w:tcPr>
            <w:tcW w:w="2080" w:type="dxa"/>
            <w:vAlign w:val="bottom"/>
          </w:tcPr>
          <w:p>
            <w:pPr>
              <w:spacing w:after="0"/>
              <w:rPr>
                <w:sz w:val="20"/>
                <w:szCs w:val="20"/>
                <w:color w:val="auto"/>
              </w:rPr>
            </w:pPr>
            <w:r>
              <w:rPr>
                <w:rFonts w:ascii="Arial" w:cs="Arial" w:eastAsia="Arial" w:hAnsi="Arial"/>
                <w:sz w:val="12"/>
                <w:szCs w:val="12"/>
                <w:color w:val="auto"/>
              </w:rPr>
              <w:t>Malaria</w:t>
            </w:r>
          </w:p>
        </w:tc>
        <w:tc>
          <w:tcPr>
            <w:tcW w:w="3020" w:type="dxa"/>
            <w:vAlign w:val="bottom"/>
          </w:tcPr>
          <w:p>
            <w:pPr>
              <w:ind w:left="700"/>
              <w:spacing w:after="0"/>
              <w:rPr>
                <w:sz w:val="20"/>
                <w:szCs w:val="20"/>
                <w:color w:val="auto"/>
              </w:rPr>
            </w:pPr>
            <w:r>
              <w:rPr>
                <w:rFonts w:ascii="Arial" w:cs="Arial" w:eastAsia="Arial" w:hAnsi="Arial"/>
                <w:sz w:val="12"/>
                <w:szCs w:val="12"/>
                <w:color w:val="auto"/>
              </w:rPr>
              <w:t>SVP-adjuvant and SVP-malaria antigen</w:t>
            </w:r>
          </w:p>
        </w:tc>
        <w:tc>
          <w:tcPr>
            <w:tcW w:w="2840" w:type="dxa"/>
            <w:vAlign w:val="bottom"/>
          </w:tcPr>
          <w:p>
            <w:pPr>
              <w:ind w:left="480"/>
              <w:spacing w:after="0"/>
              <w:rPr>
                <w:sz w:val="20"/>
                <w:szCs w:val="20"/>
                <w:color w:val="auto"/>
              </w:rPr>
            </w:pPr>
            <w:r>
              <w:rPr>
                <w:rFonts w:ascii="Arial" w:cs="Arial" w:eastAsia="Arial" w:hAnsi="Arial"/>
                <w:sz w:val="12"/>
                <w:szCs w:val="12"/>
                <w:color w:val="auto"/>
              </w:rPr>
              <w:t>Discovery</w:t>
            </w:r>
          </w:p>
        </w:tc>
        <w:tc>
          <w:tcPr>
            <w:tcW w:w="3100" w:type="dxa"/>
            <w:vAlign w:val="bottom"/>
          </w:tcPr>
          <w:p>
            <w:pPr>
              <w:ind w:left="460"/>
              <w:spacing w:after="0"/>
              <w:rPr>
                <w:sz w:val="20"/>
                <w:szCs w:val="20"/>
                <w:color w:val="auto"/>
              </w:rPr>
            </w:pPr>
            <w:r>
              <w:rPr>
                <w:rFonts w:ascii="Arial" w:cs="Arial" w:eastAsia="Arial" w:hAnsi="Arial"/>
                <w:sz w:val="12"/>
                <w:szCs w:val="12"/>
                <w:color w:val="auto"/>
                <w:w w:val="98"/>
              </w:rPr>
              <w:t>The Bill and Melinda Gates Foundation sponsored</w:t>
            </w:r>
          </w:p>
        </w:tc>
      </w:tr>
      <w:tr>
        <w:trPr>
          <w:trHeight w:val="147"/>
        </w:trPr>
        <w:tc>
          <w:tcPr>
            <w:tcW w:w="20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ind w:left="460"/>
              <w:spacing w:after="0"/>
              <w:rPr>
                <w:sz w:val="20"/>
                <w:szCs w:val="20"/>
                <w:color w:val="auto"/>
              </w:rPr>
            </w:pPr>
            <w:r>
              <w:rPr>
                <w:rFonts w:ascii="Arial" w:cs="Arial" w:eastAsia="Arial" w:hAnsi="Arial"/>
                <w:sz w:val="12"/>
                <w:szCs w:val="12"/>
                <w:color w:val="auto"/>
              </w:rPr>
              <w:t>research program</w:t>
            </w:r>
          </w:p>
        </w:tc>
      </w:tr>
    </w:tbl>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SEL-212 FOR THE TREATMENT OF REFRACTORY AND CHRONIC TOPHACEOUS GOUT</w:t>
      </w:r>
    </w:p>
    <w:p>
      <w:pPr>
        <w:spacing w:after="0" w:line="195" w:lineRule="exact"/>
        <w:rPr>
          <w:sz w:val="20"/>
          <w:szCs w:val="20"/>
          <w:color w:val="auto"/>
        </w:rPr>
      </w:pPr>
    </w:p>
    <w:p>
      <w:pPr>
        <w:ind w:left="200" w:right="220"/>
        <w:spacing w:after="0" w:line="287" w:lineRule="auto"/>
        <w:rPr>
          <w:sz w:val="20"/>
          <w:szCs w:val="20"/>
          <w:color w:val="auto"/>
        </w:rPr>
      </w:pPr>
      <w:r>
        <w:rPr>
          <w:rFonts w:ascii="Arial" w:cs="Arial" w:eastAsia="Arial" w:hAnsi="Arial"/>
          <w:sz w:val="14"/>
          <w:szCs w:val="14"/>
          <w:color w:val="auto"/>
        </w:rPr>
        <w:t>Our lead product candidate, SEL-212, consists of SVP-Rapamycin co-administered with pegsiticase, our proprietary pegylated uricase, for the treatment of refractory and chronic tophaceous gout. Our preclinical data indicate that SVP-Rapamycin, when co-administered with pegsiticase, induces antigen-specific immune tolerance to pegsiticase and substantially reduces the formation of associated ADAs. We believe that our SEL-212 has the potential to offer a uniquely effective treatment for patients with refractory or chronic tophaceous gout, while also demonstrating the clinical effectiveness of our SVP technology. We completed the patient treatment portion of our Phase 1a trial in November 2015, initiated a Phase 1b trial in December 2015 and expect final data from both Phase 1 clinical trials in the second half of 2016.</w:t>
      </w:r>
    </w:p>
    <w:p>
      <w:pPr>
        <w:spacing w:after="0" w:line="149" w:lineRule="exact"/>
        <w:rPr>
          <w:sz w:val="20"/>
          <w:szCs w:val="20"/>
          <w:color w:val="auto"/>
        </w:rPr>
      </w:pPr>
    </w:p>
    <w:p>
      <w:pPr>
        <w:ind w:left="200"/>
        <w:spacing w:after="0" w:line="260" w:lineRule="auto"/>
        <w:rPr>
          <w:sz w:val="20"/>
          <w:szCs w:val="20"/>
          <w:color w:val="auto"/>
        </w:rPr>
      </w:pPr>
      <w:r>
        <w:rPr>
          <w:rFonts w:ascii="Arial" w:cs="Arial" w:eastAsia="Arial" w:hAnsi="Arial"/>
          <w:sz w:val="15"/>
          <w:szCs w:val="15"/>
          <w:color w:val="auto"/>
        </w:rPr>
        <w:t>Approximately 8.3 million and 10 million patients in the United States and the European Union, respectively, suffer from gout, which is caused by elevated levels of serum uric acid. Excessive uric acid levels result in harmful deposits of uric acid crystals in joints and tissues, causing joint damage and painful inflammation. High concentrations of serum uric acid also increase the risk for other conditions, including cardiovascular, cardiometabolic, joint and kidney disease. No treatment has been approved to remove uric acid deposits from joints and tissues. Approximately 50,000 patients in the United States have been diagnosed with chronic refractory gout, an orphan indication defined by uric acid levels that cannot be controlled by available oral therapies. The U.S. Food and Drug Administration, or FDA, may designate a product as an orphan product if it is intended to treat a rare disease or condition, which is generally defined as a disease or condition with a patient population of fewer than 200,000 individuals annually in the United States, or a patient population of greater than 200,000 individuals in the United States but for which there is no reasonable expectation that the cost of developing and making available in the United States the drug or biologic will be recovered from sales in the United States. Although we expect to seek orphan drug designation for one or more of our product candidates, we have not yet applied for or obtained such designation.</w:t>
      </w:r>
    </w:p>
    <w:p>
      <w:pPr>
        <w:spacing w:after="0" w:line="171" w:lineRule="exact"/>
        <w:rPr>
          <w:sz w:val="20"/>
          <w:szCs w:val="20"/>
          <w:color w:val="auto"/>
        </w:rPr>
      </w:pPr>
    </w:p>
    <w:p>
      <w:pPr>
        <w:jc w:val="both"/>
        <w:ind w:left="200" w:right="100"/>
        <w:spacing w:after="0" w:line="270" w:lineRule="auto"/>
        <w:rPr>
          <w:sz w:val="20"/>
          <w:szCs w:val="20"/>
          <w:color w:val="auto"/>
        </w:rPr>
      </w:pPr>
      <w:r>
        <w:rPr>
          <w:rFonts w:ascii="Arial" w:cs="Arial" w:eastAsia="Arial" w:hAnsi="Arial"/>
          <w:sz w:val="15"/>
          <w:szCs w:val="15"/>
          <w:color w:val="auto"/>
        </w:rPr>
        <w:t>In addition, approximately 500,000 patients in the United States suffer from chronic tophaceous gout in which patients develop nodular insoluble masses of uric acid crystals referred to as tophi, which can occur either in joints such as fingers, toes or elbows or in the tissues that make up organs such as the kidney and heart. Both refractory and chronic tophaceous gout are severe diseases that can cause pain,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020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402082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right="560"/>
        <w:spacing w:after="0" w:line="282" w:lineRule="auto"/>
        <w:rPr>
          <w:sz w:val="20"/>
          <w:szCs w:val="20"/>
          <w:color w:val="auto"/>
        </w:rPr>
      </w:pPr>
      <w:r>
        <w:rPr>
          <w:rFonts w:ascii="Arial" w:cs="Arial" w:eastAsia="Arial" w:hAnsi="Arial"/>
          <w:sz w:val="15"/>
          <w:szCs w:val="15"/>
          <w:color w:val="auto"/>
        </w:rPr>
        <w:t>arthritis and organ failure. Krystexxa, a pegylated uricase, is the only product approved by the FDA for the treatment of chronic refractory gout. There is no approved product for chronic tophaceous gout.</w:t>
      </w:r>
    </w:p>
    <w:p>
      <w:pPr>
        <w:spacing w:after="0" w:line="151" w:lineRule="exact"/>
        <w:rPr>
          <w:sz w:val="20"/>
          <w:szCs w:val="20"/>
          <w:color w:val="auto"/>
        </w:rPr>
      </w:pPr>
    </w:p>
    <w:p>
      <w:pPr>
        <w:ind w:left="200" w:right="480"/>
        <w:spacing w:after="0" w:line="310" w:lineRule="auto"/>
        <w:rPr>
          <w:sz w:val="20"/>
          <w:szCs w:val="20"/>
          <w:color w:val="auto"/>
        </w:rPr>
      </w:pPr>
      <w:r>
        <w:rPr>
          <w:rFonts w:ascii="Arial" w:cs="Arial" w:eastAsia="Arial" w:hAnsi="Arial"/>
          <w:sz w:val="13"/>
          <w:szCs w:val="13"/>
          <w:color w:val="auto"/>
        </w:rPr>
        <w:t>SEL-212 was designed specifically to overcome the challenges faced by Krystexxa. In clinical trials, Krystexxa demonstrated the ability to significantly reduce uric acid levels in serum upon initial dosing. However, despite these results, Krystexxa has not achieved broad commercial adoption. We believe this is primarily due to the product's undesired immunogenicity. The package insert information for Krystexxa indicates that during Phase 3 clinical trials, 92% of patients developed ADAs. The package insert information also indicates that during the drug's Phase 3 clinical trials, high Krystexxa-specific ADA levels in patients were associated with a failure to maintain normalization of uric acid levels. Similarly, in 2011, The Journal of the American Medical Association published the results of clinical trials finding that 58% of Krystexxa patients who received biweekly doses of Krystexxa were non-responders as measured by the high uric acid levels in patients, which was associated with the Krystexxa-specific ADA levels.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GENE THERAPY PROGRAMS</w:t>
      </w:r>
    </w:p>
    <w:p>
      <w:pPr>
        <w:spacing w:after="0" w:line="195" w:lineRule="exact"/>
        <w:rPr>
          <w:sz w:val="20"/>
          <w:szCs w:val="20"/>
          <w:color w:val="auto"/>
        </w:rPr>
      </w:pPr>
    </w:p>
    <w:p>
      <w:pPr>
        <w:ind w:left="200" w:right="220"/>
        <w:spacing w:after="0" w:line="308" w:lineRule="auto"/>
        <w:rPr>
          <w:sz w:val="20"/>
          <w:szCs w:val="20"/>
          <w:color w:val="auto"/>
        </w:rPr>
      </w:pPr>
      <w:r>
        <w:rPr>
          <w:rFonts w:ascii="Arial" w:cs="Arial" w:eastAsia="Arial" w:hAnsi="Arial"/>
          <w:sz w:val="13"/>
          <w:szCs w:val="13"/>
          <w:color w:val="auto"/>
        </w:rPr>
        <w:t>We are also applying our SVP technology to antigen-specific immune tolerance for gene therapy involving gene augmentation, replacement or editing. Gene therapies often use a viral vector, such as an AAV vector, to place corrective genetic material into cells to treat genetic diseases. One of the key hurdles for the gene therapy field is to overcome immunogenicity against the viral vector, which can manifest itself in three ways. First, pre-existing ADAs that were induced following a natural AAV infection can neutralize the viral vector and block gene transfer. Up to 50% of patients are ineligible for gene therapy due to the presence of pre-existing ADAs. Second, ADAs form in response to the first administration of a gene therapy vector and prevent effective subsequent doses of gene therapy. Subsequent doses are particularly necessary for pediatric indications due to cellular turnover in young patients. The ability to readminister gene therapies is also important for diseases where the goal is to transfect a high number of cells. Moreover, the third way in which immunogenicity can manifest itself against the viral vector is that the cellular immune system can respond to the transduced cells, which can reduce efficacy and pose safety concerns.</w:t>
      </w:r>
    </w:p>
    <w:p>
      <w:pPr>
        <w:spacing w:after="0" w:line="139" w:lineRule="exact"/>
        <w:rPr>
          <w:sz w:val="20"/>
          <w:szCs w:val="20"/>
          <w:color w:val="auto"/>
        </w:rPr>
      </w:pPr>
    </w:p>
    <w:p>
      <w:pPr>
        <w:ind w:left="200" w:right="220"/>
        <w:spacing w:after="0" w:line="281" w:lineRule="auto"/>
        <w:rPr>
          <w:sz w:val="20"/>
          <w:szCs w:val="20"/>
          <w:color w:val="auto"/>
        </w:rPr>
      </w:pPr>
      <w:r>
        <w:rPr>
          <w:rFonts w:ascii="Arial" w:cs="Arial" w:eastAsia="Arial" w:hAnsi="Arial"/>
          <w:sz w:val="14"/>
          <w:szCs w:val="14"/>
          <w:color w:val="auto"/>
        </w:rPr>
        <w:t>We have in-licensed Anc80 from the Massachusetts Eye and Ear Infirmary and The Schepens Eye Research Institute, Inc., collectively referred to as MEE. In preclinical studies, Anc80 has been observed to be a potent gene therapy vector that has demonstrated the capability of yielding superior gene expression levels in the liver compared to naturally occurring AAVs that are currently evaluated in clinical trials. As a synthetic vector, we believe Anc80 has limited cross-reactivity to naturally-occurring AAVs and therefore has the potential to treat patients with pre-existing AAV-specific ADAs. By combining SVP-Rapamycin and Anc80, we intend to develop highly differentiated gene therapies to address all three of the immunogenicity issues associated with the use of viral vectors. In collaboration with the clinical and gene therapy laboratory at the National Institutes of Health and MEE, we plan to develop a product candidate utilizing the Anc80 vector for the treatment of an ARM disorder resulting from an inborn error of metabolism. This ARM disorder can cause severe developmental defects and premature death as a result of an accumulation of toxic metabolites. Under our license agreement with MEE, we also have the option to develop gene therapies using Anc80 for several additional diseases including lysosomal storage, muscular and genetic metabolic diseases. We plan to develop another product candidate for the treatment of an XLM disorder, which is a metabolic disorder similar to ARM disorder. We are pursuing this second indication through collaborations with third parties with preclinical and clinical experience in this area.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741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47415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PROGRAMS FOR AUTOIMMUNE DISEASES, ALLERGIES AND MARKETED BIOLOGICS</w:t>
      </w:r>
    </w:p>
    <w:p>
      <w:pPr>
        <w:spacing w:after="0" w:line="195" w:lineRule="exact"/>
        <w:rPr>
          <w:sz w:val="20"/>
          <w:szCs w:val="20"/>
          <w:color w:val="auto"/>
        </w:rPr>
      </w:pPr>
    </w:p>
    <w:p>
      <w:pPr>
        <w:ind w:left="200" w:right="220"/>
        <w:spacing w:after="0" w:line="283" w:lineRule="auto"/>
        <w:rPr>
          <w:sz w:val="20"/>
          <w:szCs w:val="20"/>
          <w:color w:val="auto"/>
        </w:rPr>
      </w:pPr>
      <w:r>
        <w:rPr>
          <w:rFonts w:ascii="Arial" w:cs="Arial" w:eastAsia="Arial" w:hAnsi="Arial"/>
          <w:sz w:val="14"/>
          <w:szCs w:val="14"/>
          <w:color w:val="auto"/>
        </w:rPr>
        <w:t>We are also applying our SVP technology to the treatment of autoimmune diseases, allergies and marketed biologics. Currently, most autoimmune diseases are treated with broadly immunosuppressive therapies that indiscriminately affect the function of the entire immune system. Our SVP technology is designed to re-program the immune system to elicit tolerance to a specific antigen that is causing the autoimmune disease, without impacting the rest of the immune system. We believe that our preclinical data may support potential applications of SVP-Rapamycin to both marketed products, such as monoclonal antibodies against human tumor necrosis factor-alpha, or TNF-alpha, which are known to induce undesired immunogenicity, and novel biologic drugs that would otherwise be too immunogenic to develop. Since 2012, we have established three collaborations with Sanofi to research novel SVP products for the treatment of a life-threatening food allergy, celiac disease and type 1 diabetes. We intend to continue our strategy of out-licensing our SVP technology for antigen-specific immune tolerance for applications that are outside our areas of focus.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IMMUNE STIMULATION PROGRAMS</w:t>
      </w:r>
    </w:p>
    <w:p>
      <w:pPr>
        <w:spacing w:after="0" w:line="195" w:lineRule="exact"/>
        <w:rPr>
          <w:sz w:val="20"/>
          <w:szCs w:val="20"/>
          <w:color w:val="auto"/>
        </w:rPr>
      </w:pPr>
    </w:p>
    <w:p>
      <w:pPr>
        <w:jc w:val="both"/>
        <w:ind w:left="200" w:right="100"/>
        <w:spacing w:after="0" w:line="270" w:lineRule="auto"/>
        <w:rPr>
          <w:sz w:val="20"/>
          <w:szCs w:val="20"/>
          <w:color w:val="auto"/>
        </w:rPr>
      </w:pPr>
      <w:r>
        <w:rPr>
          <w:rFonts w:ascii="Arial" w:cs="Arial" w:eastAsia="Arial" w:hAnsi="Arial"/>
          <w:sz w:val="15"/>
          <w:szCs w:val="15"/>
          <w:color w:val="auto"/>
        </w:rPr>
        <w:t>We also believe our SVP technology, by encapsulating antigens and adjuvants,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We currently finance these programs primarily through grants.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ind w:left="200" w:right="20"/>
        <w:spacing w:after="0" w:line="270" w:lineRule="auto"/>
        <w:rPr>
          <w:sz w:val="20"/>
          <w:szCs w:val="20"/>
          <w:color w:val="auto"/>
        </w:rPr>
      </w:pPr>
      <w:r>
        <w:rPr>
          <w:rFonts w:ascii="Arial" w:cs="Arial" w:eastAsia="Arial" w:hAnsi="Arial"/>
          <w:sz w:val="15"/>
          <w:szCs w:val="15"/>
          <w:color w:val="auto"/>
        </w:rPr>
        <w:t>Our goal is to become the first biopharmaceutical company to develop and commercialize targeted therapies that are designed to modulate the immune system to effectively and safely treat rare and serious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82" w:lineRule="exact"/>
        <w:rPr>
          <w:sz w:val="20"/>
          <w:szCs w:val="20"/>
          <w:color w:val="auto"/>
        </w:rPr>
      </w:pPr>
    </w:p>
    <w:p>
      <w:pPr>
        <w:ind w:left="660" w:right="80" w:hanging="467"/>
        <w:spacing w:after="0" w:line="287"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Rapidly advance the development of our lead product candidate, SEL-212, for the treatment of refractory and chronic tophaceous gout</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believe SEL-212 has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potential to be the first biologic treatment for gout that durably controls uric acid in refractory gout and dissolves and removes harmful deposits of uric acid crystals in chronic tophaceous gout in a majority of patients. We are currently conducting a comprehensive Phase 1/2 clinical program, comprised of two Phase 1 clinical trials, for which we expect to receive final data in the second half of 2016, and a Phase 2 clinical trial, which we expect to initiate in the second half of 2016 and for which we expect to receive data in the first half of 2017. We plan to advance this program through regulatory approval and commercialization.</w:t>
      </w:r>
    </w:p>
    <w:p>
      <w:pPr>
        <w:spacing w:after="0" w:line="160" w:lineRule="exact"/>
        <w:rPr>
          <w:rFonts w:ascii="Arial" w:cs="Arial" w:eastAsia="Arial" w:hAnsi="Arial"/>
          <w:sz w:val="14"/>
          <w:szCs w:val="14"/>
          <w:color w:val="auto"/>
        </w:rPr>
      </w:pPr>
    </w:p>
    <w:p>
      <w:pPr>
        <w:ind w:left="660" w:hanging="467"/>
        <w:spacing w:after="0" w:line="263"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Leverage our SVP technology for immune tolerance to develop novel uses and classes of non-immunogenic biologics. </w:t>
      </w:r>
      <w:r>
        <w:rPr>
          <w:rFonts w:ascii="Arial" w:cs="Arial" w:eastAsia="Arial" w:hAnsi="Arial"/>
          <w:sz w:val="15"/>
          <w:szCs w:val="15"/>
          <w:color w:val="auto"/>
        </w:rPr>
        <w:t>We intend to use our SVP technology to develop gene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therapies designed to mitigate the formation of ADAs and therefore enable repeat administration and first-in-class non-immunogenic versions of therapeutic enzymes or proteins for human therapy. We have several programs in various stages of discovery and we plan to continue to identify opportunities to utilize with our technology. In addition, we intend to pursue opportunities to in-license proprietary enzymes that we can co-administer with SVP-Rapamycin to address the issues of immunogenicity and develop effective proprietary products.</w:t>
      </w:r>
    </w:p>
    <w:p>
      <w:pPr>
        <w:spacing w:after="0" w:line="178" w:lineRule="exact"/>
        <w:rPr>
          <w:rFonts w:ascii="Arial" w:cs="Arial" w:eastAsia="Arial" w:hAnsi="Arial"/>
          <w:sz w:val="15"/>
          <w:szCs w:val="15"/>
          <w:color w:val="auto"/>
        </w:rPr>
      </w:pPr>
    </w:p>
    <w:p>
      <w:pPr>
        <w:ind w:left="660" w:right="400" w:hanging="467"/>
        <w:spacing w:after="0" w:line="282"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Establish infrastructure and capabilities to commercialize our products in rare and orphan diseases. </w:t>
      </w:r>
      <w:r>
        <w:rPr>
          <w:rFonts w:ascii="Arial" w:cs="Arial" w:eastAsia="Arial" w:hAnsi="Arial"/>
          <w:sz w:val="15"/>
          <w:szCs w:val="15"/>
          <w:color w:val="auto"/>
        </w:rPr>
        <w:t>While we believe our SVP technology may be broadly applicable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disease areas, we</w:t>
      </w: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918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491807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60" w:right="320"/>
        <w:spacing w:after="0" w:line="297" w:lineRule="auto"/>
        <w:rPr>
          <w:sz w:val="20"/>
          <w:szCs w:val="20"/>
          <w:color w:val="auto"/>
        </w:rPr>
      </w:pPr>
      <w:r>
        <w:rPr>
          <w:rFonts w:ascii="Arial" w:cs="Arial" w:eastAsia="Arial" w:hAnsi="Arial"/>
          <w:sz w:val="14"/>
          <w:szCs w:val="14"/>
          <w:color w:val="auto"/>
        </w:rPr>
        <w:t>intend to focus our efforts on developing and commercializing proprietary SVP-enabled products for rare and serious diseases where there is high unmet medical need. Therapies for treating rare and serious diseases require 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67" w:lineRule="exact"/>
        <w:rPr>
          <w:sz w:val="20"/>
          <w:szCs w:val="20"/>
          <w:color w:val="auto"/>
        </w:rPr>
      </w:pPr>
    </w:p>
    <w:p>
      <w:pPr>
        <w:ind w:left="660" w:right="260" w:hanging="467"/>
        <w:spacing w:after="0" w:line="330"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Selectively pursue collaborations and maximize the value of our SVP programs for immune tolerance. </w:t>
      </w:r>
      <w:r>
        <w:rPr>
          <w:rFonts w:ascii="Arial" w:cs="Arial" w:eastAsia="Arial" w:hAnsi="Arial"/>
          <w:sz w:val="13"/>
          <w:szCs w:val="13"/>
          <w:color w:val="auto"/>
        </w:rPr>
        <w:t>In addition to our own proprietary product development efforts,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in discussions with potential collaborators and licensees to pursue novel gene therapies and are collaborating with Sanofi on programs for a food allergy, celiac disease and type 1 diabetes. We also intend to selectively pursue additional collaborations with biopharmaceutical companies to further leverage our SVP technology.</w:t>
      </w:r>
    </w:p>
    <w:p>
      <w:pPr>
        <w:spacing w:after="0" w:line="136" w:lineRule="exact"/>
        <w:rPr>
          <w:rFonts w:ascii="Arial" w:cs="Arial" w:eastAsia="Arial" w:hAnsi="Arial"/>
          <w:sz w:val="13"/>
          <w:szCs w:val="13"/>
          <w:color w:val="auto"/>
        </w:rPr>
      </w:pPr>
    </w:p>
    <w:p>
      <w:pPr>
        <w:ind w:left="660" w:right="360" w:hanging="467"/>
        <w:spacing w:after="0" w:line="313"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system 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relapse prevention on our own with grant funding from the Skolkovo Foundation for our HPV program and NIDA for our nicotine program. We are developing our malaria program under a sponsored research arrangement with The Bill and Melinda Gates Foundation.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RISKS FACTORS</w:t>
      </w:r>
    </w:p>
    <w:p>
      <w:pPr>
        <w:spacing w:after="0" w:line="195" w:lineRule="exact"/>
        <w:rPr>
          <w:sz w:val="20"/>
          <w:szCs w:val="20"/>
          <w:color w:val="auto"/>
        </w:rPr>
      </w:pPr>
    </w:p>
    <w:p>
      <w:pPr>
        <w:ind w:left="200" w:right="380"/>
        <w:spacing w:after="0" w:line="282"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Some of these risks are:</w:t>
      </w:r>
    </w:p>
    <w:p>
      <w:pPr>
        <w:spacing w:after="0" w:line="162" w:lineRule="exact"/>
        <w:rPr>
          <w:sz w:val="20"/>
          <w:szCs w:val="20"/>
          <w:color w:val="auto"/>
        </w:rPr>
      </w:pPr>
    </w:p>
    <w:p>
      <w:pPr>
        <w:ind w:left="660" w:right="300" w:hanging="467"/>
        <w:spacing w:after="0" w:line="28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are a development-stage company, have incurred significant losses since our inception, expect to incur losses for the foreseeable future and may never achieve or maintain profitability;</w:t>
      </w:r>
    </w:p>
    <w:p>
      <w:pPr>
        <w:spacing w:after="0" w:line="173" w:lineRule="exact"/>
        <w:rPr>
          <w:rFonts w:ascii="Arial" w:cs="Arial" w:eastAsia="Arial" w:hAnsi="Arial"/>
          <w:sz w:val="15"/>
          <w:szCs w:val="15"/>
          <w:color w:val="auto"/>
        </w:rPr>
      </w:pPr>
    </w:p>
    <w:p>
      <w:pPr>
        <w:ind w:left="660" w:right="400" w:hanging="467"/>
        <w:spacing w:after="0" w:line="362" w:lineRule="auto"/>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even if this offering is successful, we will need additional funding in order to complete development of our product candidates and commercialize our products, if approved, and if we are unable to raise capital when needed, we could be forced to delay, reduce or eliminate our product development programs or commercialization efforts;</w:t>
      </w:r>
    </w:p>
    <w:p>
      <w:pPr>
        <w:spacing w:after="0" w:line="116" w:lineRule="exact"/>
        <w:rPr>
          <w:rFonts w:ascii="Arial" w:cs="Arial" w:eastAsia="Arial" w:hAnsi="Arial"/>
          <w:sz w:val="13"/>
          <w:szCs w:val="13"/>
          <w:color w:val="auto"/>
        </w:rPr>
      </w:pPr>
    </w:p>
    <w:p>
      <w:pPr>
        <w:ind w:left="660" w:right="300" w:hanging="467"/>
        <w:spacing w:after="0" w:line="28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are very early in our clinical development efforts and may not be successful in our efforts to use our SVP technology to build a pipeline of product candidates and develop marketable drugs;</w:t>
      </w:r>
    </w:p>
    <w:p>
      <w:pPr>
        <w:spacing w:after="0" w:line="162" w:lineRule="exact"/>
        <w:rPr>
          <w:rFonts w:ascii="Arial" w:cs="Arial" w:eastAsia="Arial" w:hAnsi="Arial"/>
          <w:sz w:val="15"/>
          <w:szCs w:val="15"/>
          <w:color w:val="auto"/>
        </w:rPr>
      </w:pPr>
    </w:p>
    <w:p>
      <w:pPr>
        <w:ind w:left="660" w:right="320" w:hanging="467"/>
        <w:spacing w:after="0" w:line="28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product candidates are based on our SVP technology, which is an unproven approach designed to induce antigen-specific immune tolerance to biologic drugs or stimulate the immune system;</w:t>
      </w:r>
    </w:p>
    <w:p>
      <w:pPr>
        <w:spacing w:after="0" w:line="173" w:lineRule="exact"/>
        <w:rPr>
          <w:rFonts w:ascii="Arial" w:cs="Arial" w:eastAsia="Arial" w:hAnsi="Arial"/>
          <w:sz w:val="15"/>
          <w:szCs w:val="15"/>
          <w:color w:val="auto"/>
        </w:rPr>
      </w:pPr>
    </w:p>
    <w:p>
      <w:pPr>
        <w:ind w:left="660" w:right="540" w:hanging="467"/>
        <w:spacing w:after="0" w:line="28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clinical drug development involves a lengthy and expensive process, with an uncertain outcome, and we may incur additional costs or experience delays in completing, or ultimately be unable to complete, the development and commercialization of our product candidates;</w:t>
      </w:r>
    </w:p>
    <w:p>
      <w:pPr>
        <w:spacing w:after="0" w:line="162" w:lineRule="exact"/>
        <w:rPr>
          <w:rFonts w:ascii="Arial" w:cs="Arial" w:eastAsia="Arial" w:hAnsi="Arial"/>
          <w:sz w:val="15"/>
          <w:szCs w:val="15"/>
          <w:color w:val="auto"/>
        </w:rPr>
      </w:pPr>
    </w:p>
    <w:p>
      <w:pPr>
        <w:ind w:left="660" w:right="320" w:hanging="467"/>
        <w:spacing w:after="0" w:line="29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rely, and expect to continue to rely, on Shenyang Sunshine Pharmaceutical Co., Ltd., or 3SBio, in China for pegsiticase and other third parties for the manufacture of our product candidates for preclinical and clinical testing, which increases the risk that we will not have sufficient quantities of our product candidates or that such quantities may not be available at an acceptable cost, which could delay, prevent or impair our development or commercialization efforts;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374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1385" cy="53740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60" w:right="320" w:hanging="467"/>
        <w:spacing w:after="0" w:line="28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existing collaborations are important to our business and future licenses may also be important to us, and if we are unable to maintain any of these collaborations, or if these arrangements are not successful, our business could be adversely affected;</w:t>
      </w:r>
    </w:p>
    <w:p>
      <w:pPr>
        <w:spacing w:after="0" w:line="162" w:lineRule="exact"/>
        <w:rPr>
          <w:rFonts w:ascii="Arial" w:cs="Arial" w:eastAsia="Arial" w:hAnsi="Arial"/>
          <w:sz w:val="15"/>
          <w:szCs w:val="15"/>
          <w:color w:val="auto"/>
        </w:rPr>
      </w:pPr>
    </w:p>
    <w:p>
      <w:pPr>
        <w:ind w:left="660" w:right="300" w:hanging="467"/>
        <w:spacing w:after="0" w:line="28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if we are unable to adequately protect our proprietary technology, or obtain and maintain issued patents which are sufficient to protect our product candidates, others could compete against us more directly, which would negatively impact our business; and</w:t>
      </w:r>
    </w:p>
    <w:p>
      <w:pPr>
        <w:spacing w:after="0" w:line="162" w:lineRule="exact"/>
        <w:rPr>
          <w:rFonts w:ascii="Arial" w:cs="Arial" w:eastAsia="Arial" w:hAnsi="Arial"/>
          <w:sz w:val="15"/>
          <w:szCs w:val="15"/>
          <w:color w:val="auto"/>
        </w:rPr>
      </w:pPr>
    </w:p>
    <w:p>
      <w:pPr>
        <w:ind w:left="660" w:hanging="467"/>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future success depends on our ability to retain key executives and to attract, retain and motivate qualified personnel.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5" w:lineRule="exact"/>
        <w:rPr>
          <w:sz w:val="20"/>
          <w:szCs w:val="20"/>
          <w:color w:val="auto"/>
        </w:rPr>
      </w:pPr>
    </w:p>
    <w:p>
      <w:pPr>
        <w:ind w:left="200" w:right="20"/>
        <w:spacing w:after="0" w:line="270" w:lineRule="auto"/>
        <w:rPr>
          <w:sz w:val="20"/>
          <w:szCs w:val="20"/>
          <w:color w:val="auto"/>
        </w:rPr>
      </w:pPr>
      <w:r>
        <w:rPr>
          <w:rFonts w:ascii="Arial" w:cs="Arial" w:eastAsia="Arial" w:hAnsi="Arial"/>
          <w:sz w:val="15"/>
          <w:szCs w:val="15"/>
          <w:color w:val="auto"/>
        </w:rPr>
        <w:t>As a company with less than $1.0 billion in revenue during our last fiscal year, we qualify as an "emerging growth company" as defined in the Jumpstart Our Business Startups Act, or JOBS Act, enacted in April 2012. An "emerging growth company" may take advantage of reduced reporting requirements that are otherwise applicable to public companies. These provisions include, but are not limited to:</w:t>
      </w:r>
    </w:p>
    <w:p>
      <w:pPr>
        <w:spacing w:after="0" w:line="182" w:lineRule="exact"/>
        <w:rPr>
          <w:sz w:val="20"/>
          <w:szCs w:val="20"/>
          <w:color w:val="auto"/>
        </w:rPr>
      </w:pPr>
    </w:p>
    <w:p>
      <w:pPr>
        <w:ind w:left="660" w:right="40" w:hanging="467"/>
        <w:spacing w:after="0" w:line="282"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being permitted to present only two years of audited financial statements and only two years of related Management's discussion and analysis of financial condition and results of operations in this prospectus;</w:t>
      </w:r>
    </w:p>
    <w:p>
      <w:pPr>
        <w:spacing w:after="0" w:line="162" w:lineRule="exact"/>
        <w:rPr>
          <w:rFonts w:ascii="Arial" w:cs="Arial" w:eastAsia="Arial" w:hAnsi="Arial"/>
          <w:sz w:val="15"/>
          <w:szCs w:val="15"/>
          <w:color w:val="auto"/>
        </w:rPr>
      </w:pPr>
    </w:p>
    <w:p>
      <w:pPr>
        <w:ind w:left="660" w:hanging="467"/>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of Section 404 of the Sarbanes-Oxley Act of 2002, as amended;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proxy statements and registration statements; and</w:t>
      </w:r>
    </w:p>
    <w:p>
      <w:pPr>
        <w:spacing w:after="0" w:line="221" w:lineRule="exact"/>
        <w:rPr>
          <w:rFonts w:ascii="Arial" w:cs="Arial" w:eastAsia="Arial" w:hAnsi="Arial"/>
          <w:sz w:val="15"/>
          <w:szCs w:val="15"/>
          <w:color w:val="auto"/>
        </w:rPr>
      </w:pPr>
    </w:p>
    <w:p>
      <w:pPr>
        <w:ind w:left="660" w:right="600" w:hanging="467"/>
        <w:spacing w:after="0" w:line="282"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ind w:left="200" w:right="60"/>
        <w:spacing w:after="0" w:line="270" w:lineRule="auto"/>
        <w:rPr>
          <w:sz w:val="20"/>
          <w:szCs w:val="20"/>
          <w:color w:val="auto"/>
        </w:rPr>
      </w:pPr>
      <w:r>
        <w:rPr>
          <w:rFonts w:ascii="Arial" w:cs="Arial" w:eastAsia="Arial" w:hAnsi="Arial"/>
          <w:sz w:val="15"/>
          <w:szCs w:val="15"/>
          <w:color w:val="auto"/>
        </w:rPr>
        <w:t>We may take advantage of these provisions until the last day of our fiscal year following the fifth anniversary of the completion of this offering. However, if certain events occur prior to the end of such five-year period, including if we become a "large accelerated filer," our annual gross revenue exceeds $1.0 billion or we issue more than $1.0 billion of non-convertible debt in any three-year period, we will cease to be an emerging growth company prior to the end of such five-year period.</w:t>
      </w:r>
    </w:p>
    <w:p>
      <w:pPr>
        <w:spacing w:after="0" w:line="159" w:lineRule="exact"/>
        <w:rPr>
          <w:sz w:val="20"/>
          <w:szCs w:val="20"/>
          <w:color w:val="auto"/>
        </w:rPr>
      </w:pPr>
    </w:p>
    <w:p>
      <w:pPr>
        <w:ind w:left="200" w:right="240"/>
        <w:spacing w:after="0" w:line="270" w:lineRule="auto"/>
        <w:rPr>
          <w:sz w:val="20"/>
          <w:szCs w:val="20"/>
          <w:color w:val="auto"/>
        </w:rPr>
      </w:pPr>
      <w:r>
        <w:rPr>
          <w:rFonts w:ascii="Arial" w:cs="Arial" w:eastAsia="Arial" w:hAnsi="Arial"/>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59" w:lineRule="exact"/>
        <w:rPr>
          <w:sz w:val="20"/>
          <w:szCs w:val="20"/>
          <w:color w:val="auto"/>
        </w:rPr>
      </w:pPr>
    </w:p>
    <w:p>
      <w:pPr>
        <w:ind w:left="200" w:right="60"/>
        <w:spacing w:after="0" w:line="270"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CORPORATE INFORMATION</w:t>
      </w:r>
    </w:p>
    <w:p>
      <w:pPr>
        <w:spacing w:after="0" w:line="195" w:lineRule="exact"/>
        <w:rPr>
          <w:sz w:val="20"/>
          <w:szCs w:val="20"/>
          <w:color w:val="auto"/>
        </w:rPr>
      </w:pPr>
    </w:p>
    <w:p>
      <w:pPr>
        <w:ind w:left="200"/>
        <w:spacing w:after="0" w:line="270" w:lineRule="auto"/>
        <w:rPr>
          <w:sz w:val="20"/>
          <w:szCs w:val="20"/>
          <w:color w:val="auto"/>
        </w:rPr>
      </w:pPr>
      <w:r>
        <w:rPr>
          <w:rFonts w:ascii="Arial" w:cs="Arial" w:eastAsia="Arial" w:hAnsi="Arial"/>
          <w:sz w:val="15"/>
          <w:szCs w:val="15"/>
          <w:color w:val="auto"/>
        </w:rPr>
        <w:t xml:space="preserve">We were incorporated under the laws of the state of Delaware in 2007. Our principal executive offices are located at 480 Arsenal Street, Building One, Watertown, Massachusetts 02472 and our telephone number is (617) 923-1400. Our website address is </w:t>
      </w:r>
      <w:r>
        <w:rPr>
          <w:rFonts w:ascii="Arial" w:cs="Arial" w:eastAsia="Arial" w:hAnsi="Arial"/>
          <w:sz w:val="15"/>
          <w:szCs w:val="15"/>
          <w:i w:val="1"/>
          <w:iCs w:val="1"/>
          <w:color w:val="auto"/>
        </w:rPr>
        <w:t>www.selectabio.com</w:t>
      </w:r>
      <w:r>
        <w:rPr>
          <w:rFonts w:ascii="Arial" w:cs="Arial" w:eastAsia="Arial" w:hAnsi="Arial"/>
          <w:sz w:val="15"/>
          <w:szCs w:val="15"/>
          <w:color w:val="auto"/>
        </w:rPr>
        <w:t>. The information contained in, or accessible through, our website does not constitute a part of this prospectus.</w:t>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5425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542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The offering</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920" w:type="dxa"/>
            <w:vAlign w:val="bottom"/>
          </w:tcPr>
          <w:p>
            <w:pPr>
              <w:spacing w:after="0"/>
              <w:rPr>
                <w:sz w:val="20"/>
                <w:szCs w:val="20"/>
                <w:color w:val="auto"/>
              </w:rPr>
            </w:pPr>
            <w:r>
              <w:rPr>
                <w:rFonts w:ascii="Arial" w:cs="Arial" w:eastAsia="Arial" w:hAnsi="Arial"/>
                <w:sz w:val="15"/>
                <w:szCs w:val="15"/>
                <w:color w:val="auto"/>
              </w:rPr>
              <w:t>Common</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stock</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offered by</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90"/>
        </w:trPr>
        <w:tc>
          <w:tcPr>
            <w:tcW w:w="920" w:type="dxa"/>
            <w:vAlign w:val="bottom"/>
          </w:tcPr>
          <w:p>
            <w:pPr>
              <w:ind w:left="140"/>
              <w:spacing w:after="0"/>
              <w:rPr>
                <w:sz w:val="20"/>
                <w:szCs w:val="20"/>
                <w:color w:val="auto"/>
              </w:rPr>
            </w:pPr>
            <w:r>
              <w:rPr>
                <w:rFonts w:ascii="Arial" w:cs="Arial" w:eastAsia="Arial" w:hAnsi="Arial"/>
                <w:sz w:val="15"/>
                <w:szCs w:val="15"/>
                <w:color w:val="auto"/>
              </w:rPr>
              <w:t>us</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rPr>
              <w:t>4,250,000 shares (or 4,887,500 shares if the underwriters exercise their option to purchase additional shares in full).</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Common</w:t>
            </w:r>
          </w:p>
        </w:tc>
        <w:tc>
          <w:tcPr>
            <w:tcW w:w="3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stock to be</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w w:val="97"/>
              </w:rPr>
              <w:t>outstanding</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after this</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90"/>
        </w:trPr>
        <w:tc>
          <w:tcPr>
            <w:tcW w:w="920" w:type="dxa"/>
            <w:vAlign w:val="bottom"/>
          </w:tcPr>
          <w:p>
            <w:pPr>
              <w:ind w:left="140"/>
              <w:spacing w:after="0"/>
              <w:rPr>
                <w:sz w:val="20"/>
                <w:szCs w:val="20"/>
                <w:color w:val="auto"/>
              </w:rPr>
            </w:pPr>
            <w:r>
              <w:rPr>
                <w:rFonts w:ascii="Arial" w:cs="Arial" w:eastAsia="Arial" w:hAnsi="Arial"/>
                <w:sz w:val="15"/>
                <w:szCs w:val="15"/>
                <w:color w:val="auto"/>
              </w:rPr>
              <w:t>offering</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rPr>
              <w:t>16,914,048 shares (or 17,551,548 shares if the underwriters exercise their option to purchase additional shares in full).</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Use of</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8"/>
              </w:rPr>
              <w:t>We estimate that the net proceeds to us from this offering, after deducting underwriting discounts and estimated offering expenses payable by us, will be</w:t>
            </w: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proceeds</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2"/>
              </w:rPr>
              <w:t>approximately $55.4 million, or approximately $64.3 million if the underwriters exercise their option to purchase additional shares in full, based on an assumed initial</w:t>
            </w:r>
          </w:p>
        </w:tc>
      </w:tr>
      <w:tr>
        <w:trPr>
          <w:trHeight w:val="185"/>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3"/>
              </w:rPr>
              <w:t>public offering price of $15.00 per share, which is the midpoint of the price range set forth on the cover page of this prospectus. We expect that we will use the net</w:t>
            </w:r>
          </w:p>
        </w:tc>
      </w:tr>
      <w:tr>
        <w:trPr>
          <w:trHeight w:val="185"/>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6"/>
              </w:rPr>
              <w:t>proceeds from this offering to support the clinical development and manufacturing scale-up of SEL-212, advance the development of our other SVP product</w:t>
            </w:r>
          </w:p>
        </w:tc>
      </w:tr>
      <w:tr>
        <w:trPr>
          <w:trHeight w:val="190"/>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rPr>
              <w:t>candidates and for working capital and general corporate purposes. See "Use of proceeds" beginning on page 69.</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Directed</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5"/>
              </w:rPr>
              <w:t>At our request, the underwriters have reserved up to 5% of the common stock being offered by this prospectus for sale at the initial public offering price to our</w:t>
            </w: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share</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3"/>
              </w:rPr>
              <w:t>directors, officers, employees and other individuals associated with us and members of their families. These sales will be made by UBS Financial Services Inc., a</w:t>
            </w: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program</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2"/>
              </w:rPr>
              <w:t>selected dealer affiliated with UBS Securities LLC, an underwriter of this offering, through a directed share program. We do not know if these persons will choose to</w:t>
            </w:r>
          </w:p>
        </w:tc>
      </w:tr>
      <w:tr>
        <w:trPr>
          <w:trHeight w:val="185"/>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1"/>
              </w:rPr>
              <w:t>purchase all or any portion of these reserved shares, but any purchases they do make will reduce the number of shares available to the general public. Any reserved</w:t>
            </w:r>
          </w:p>
        </w:tc>
      </w:tr>
      <w:tr>
        <w:trPr>
          <w:trHeight w:val="185"/>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1"/>
              </w:rPr>
              <w:t>shares not so purchased will be offered by the underwriters to the general public on the same terms as the other shares of common stock. Participants in the directed</w:t>
            </w:r>
          </w:p>
        </w:tc>
      </w:tr>
      <w:tr>
        <w:trPr>
          <w:trHeight w:val="185"/>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1"/>
              </w:rPr>
              <w:t>share program who purchase more than $1,000,000 of shares shall be subject to a 25-day lock-up with respect to any shares sold to them pursuant to that program.</w:t>
            </w:r>
          </w:p>
        </w:tc>
      </w:tr>
      <w:tr>
        <w:trPr>
          <w:trHeight w:val="185"/>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2"/>
              </w:rPr>
              <w:t>Any shares sold in the directed share program to our directors or executive officers shall be subject to a 180-day lock-up. All of these lock-up agreements will have</w:t>
            </w:r>
          </w:p>
        </w:tc>
      </w:tr>
      <w:tr>
        <w:trPr>
          <w:trHeight w:val="190"/>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rPr>
              <w:t>similar restrictions to the lock-up agreements described herein. See "Shares eligible for future sale—Lock-up agreements."</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Risk factors</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6"/>
              </w:rPr>
              <w:t>See "Risk factors" beginning on page 15 and the other information included in this prospectus for a discussion of factors you should consider carefully before</w:t>
            </w:r>
          </w:p>
        </w:tc>
      </w:tr>
      <w:tr>
        <w:trPr>
          <w:trHeight w:val="190"/>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rPr>
              <w:t>deciding to invest in our common stock.</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Proposed</w:t>
            </w:r>
          </w:p>
        </w:tc>
        <w:tc>
          <w:tcPr>
            <w:tcW w:w="3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NASDAQ</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Global</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Market</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90"/>
        </w:trPr>
        <w:tc>
          <w:tcPr>
            <w:tcW w:w="920" w:type="dxa"/>
            <w:vAlign w:val="bottom"/>
          </w:tcPr>
          <w:p>
            <w:pPr>
              <w:ind w:left="140"/>
              <w:spacing w:after="0"/>
              <w:rPr>
                <w:sz w:val="20"/>
                <w:szCs w:val="20"/>
                <w:color w:val="auto"/>
              </w:rPr>
            </w:pPr>
            <w:r>
              <w:rPr>
                <w:rFonts w:ascii="Arial" w:cs="Arial" w:eastAsia="Arial" w:hAnsi="Arial"/>
                <w:sz w:val="15"/>
                <w:szCs w:val="15"/>
                <w:color w:val="auto"/>
              </w:rPr>
              <w:t>symbol</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rPr>
              <w:t>"SELB"</w:t>
            </w:r>
          </w:p>
        </w:tc>
      </w:tr>
      <w:tr>
        <w:trPr>
          <w:trHeight w:val="188"/>
        </w:trPr>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4040" w:type="dxa"/>
            <w:vAlign w:val="bottom"/>
          </w:tcPr>
          <w:p>
            <w:pPr>
              <w:spacing w:after="0"/>
              <w:rPr>
                <w:sz w:val="16"/>
                <w:szCs w:val="16"/>
                <w:color w:val="auto"/>
              </w:rPr>
            </w:pPr>
          </w:p>
        </w:tc>
      </w:tr>
    </w:tbl>
    <w:p>
      <w:pPr>
        <w:spacing w:after="0" w:line="200" w:lineRule="exact"/>
        <w:rPr>
          <w:sz w:val="20"/>
          <w:szCs w:val="20"/>
          <w:color w:val="auto"/>
        </w:rPr>
      </w:pPr>
    </w:p>
    <w:p>
      <w:pPr>
        <w:spacing w:after="0" w:line="256" w:lineRule="exact"/>
        <w:rPr>
          <w:sz w:val="20"/>
          <w:szCs w:val="20"/>
          <w:color w:val="auto"/>
        </w:rPr>
      </w:pPr>
    </w:p>
    <w:p>
      <w:pPr>
        <w:ind w:left="200" w:right="920"/>
        <w:spacing w:after="0" w:line="282" w:lineRule="auto"/>
        <w:rPr>
          <w:sz w:val="20"/>
          <w:szCs w:val="20"/>
          <w:color w:val="auto"/>
        </w:rPr>
      </w:pPr>
      <w:r>
        <w:rPr>
          <w:rFonts w:ascii="Arial" w:cs="Arial" w:eastAsia="Arial" w:hAnsi="Arial"/>
          <w:sz w:val="15"/>
          <w:szCs w:val="15"/>
          <w:color w:val="auto"/>
        </w:rPr>
        <w:t>Certain of our existing stockholders, including entities affiliated with certain of our directors and director nominee, have indicated an interest in purchasing an aggregate of approximately $40.0 million</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057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1385" cy="505777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left="200" w:right="20"/>
        <w:spacing w:after="0" w:line="266" w:lineRule="auto"/>
        <w:rPr>
          <w:sz w:val="20"/>
          <w:szCs w:val="20"/>
          <w:color w:val="auto"/>
        </w:rPr>
      </w:pPr>
      <w:r>
        <w:rPr>
          <w:rFonts w:ascii="Arial" w:cs="Arial" w:eastAsia="Arial" w:hAnsi="Arial"/>
          <w:sz w:val="15"/>
          <w:szCs w:val="15"/>
          <w:color w:val="auto"/>
        </w:rPr>
        <w:t>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162" w:lineRule="exact"/>
        <w:rPr>
          <w:sz w:val="20"/>
          <w:szCs w:val="20"/>
          <w:color w:val="auto"/>
        </w:rPr>
      </w:pPr>
    </w:p>
    <w:p>
      <w:pPr>
        <w:ind w:left="200" w:right="200"/>
        <w:spacing w:after="0" w:line="330" w:lineRule="auto"/>
        <w:rPr>
          <w:sz w:val="20"/>
          <w:szCs w:val="20"/>
          <w:color w:val="auto"/>
        </w:rPr>
      </w:pPr>
      <w:r>
        <w:rPr>
          <w:rFonts w:ascii="Arial" w:cs="Arial" w:eastAsia="Arial" w:hAnsi="Arial"/>
          <w:sz w:val="13"/>
          <w:szCs w:val="13"/>
          <w:color w:val="auto"/>
        </w:rPr>
        <w:t>The number of shares of our common stock to be outstanding after this offering is based on 2,773,468 shares of our common stock outstanding as of May 31, 2016, which included 4,415 shares of unvested restricted stock and gives effect to the conversion of our outstanding preferred stock into 9,890,580 shares of common stock, based on an assumed initial public offering price of $15.00 per share, the midpoint of the price range set forth on the cover of this prospectus, upon the closing of this offering, and excludes:</w:t>
      </w:r>
    </w:p>
    <w:p>
      <w:pPr>
        <w:spacing w:after="0" w:line="148" w:lineRule="exact"/>
        <w:rPr>
          <w:sz w:val="20"/>
          <w:szCs w:val="20"/>
          <w:color w:val="auto"/>
        </w:rPr>
      </w:pPr>
    </w:p>
    <w:p>
      <w:pPr>
        <w:ind w:left="660" w:hanging="467"/>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1,723,704 shares of common stock issuable upon exercise of stock options outstanding as of May 31, 2016, at a weighted average exercise price of $4.92 per share;</w:t>
      </w:r>
    </w:p>
    <w:p>
      <w:pPr>
        <w:spacing w:after="0" w:line="221" w:lineRule="exact"/>
        <w:rPr>
          <w:rFonts w:ascii="Arial" w:cs="Arial" w:eastAsia="Arial" w:hAnsi="Arial"/>
          <w:sz w:val="14"/>
          <w:szCs w:val="14"/>
          <w:color w:val="auto"/>
        </w:rPr>
      </w:pPr>
    </w:p>
    <w:p>
      <w:pPr>
        <w:ind w:left="660" w:right="120" w:hanging="467"/>
        <w:spacing w:after="0" w:line="319"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112,789 shares of common stock issuable upon the exercise of warrants outstanding as of May 31, 2016, including outstanding warrants to purchase shares of preferred stock that will become warrants to purchase common stock upon the closing of this offering, at a weighted average exercise price of $17.43 per share;</w:t>
      </w:r>
    </w:p>
    <w:p>
      <w:pPr>
        <w:spacing w:after="0" w:line="139" w:lineRule="exact"/>
        <w:rPr>
          <w:rFonts w:ascii="Arial" w:cs="Arial" w:eastAsia="Arial" w:hAnsi="Arial"/>
          <w:sz w:val="14"/>
          <w:szCs w:val="14"/>
          <w:color w:val="auto"/>
        </w:rPr>
      </w:pPr>
    </w:p>
    <w:p>
      <w:pPr>
        <w:ind w:left="660" w:hanging="467"/>
        <w:spacing w:after="0"/>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10,163 shares of our common stock reserved for future issuance under our 2008 Equity Incentive Plan;</w:t>
      </w:r>
    </w:p>
    <w:p>
      <w:pPr>
        <w:spacing w:after="0" w:line="221" w:lineRule="exact"/>
        <w:rPr>
          <w:rFonts w:ascii="Arial" w:cs="Arial" w:eastAsia="Arial" w:hAnsi="Arial"/>
          <w:sz w:val="15"/>
          <w:szCs w:val="15"/>
          <w:color w:val="auto"/>
        </w:rPr>
      </w:pPr>
    </w:p>
    <w:p>
      <w:pPr>
        <w:ind w:left="660" w:right="160" w:hanging="467"/>
        <w:spacing w:after="0" w:line="270"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390,796 shares of common stock issuable upon the exercise of stock options to be granted in connection with this offering under our 2016 Incentive Award Plan, or the 2016 Plan, which will become effective in connection with this offering, to some of our executive officers and employees, at an exercise price per share equal to the initial public offering price in this offering;</w:t>
      </w:r>
    </w:p>
    <w:p>
      <w:pPr>
        <w:spacing w:after="0" w:line="170" w:lineRule="exact"/>
        <w:rPr>
          <w:rFonts w:ascii="Arial" w:cs="Arial" w:eastAsia="Arial" w:hAnsi="Arial"/>
          <w:sz w:val="15"/>
          <w:szCs w:val="15"/>
          <w:color w:val="auto"/>
        </w:rPr>
      </w:pPr>
    </w:p>
    <w:p>
      <w:pPr>
        <w:ind w:left="660" w:right="60" w:hanging="467"/>
        <w:spacing w:after="0" w:line="270"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1,210,256 shares of our common stock reserved for future issuance under our 2016 Plan, which will become effective in connection with this offering, as well as shares of our common stock that become available pursuant to provisions in our 2016 Plan on January 1 of each subsequent calendar year as described in "Executive and director compensation—Incentive plans—2016 Incentive Award Plan"; and</w:t>
      </w:r>
    </w:p>
    <w:p>
      <w:pPr>
        <w:spacing w:after="0" w:line="170" w:lineRule="exact"/>
        <w:rPr>
          <w:rFonts w:ascii="Arial" w:cs="Arial" w:eastAsia="Arial" w:hAnsi="Arial"/>
          <w:sz w:val="15"/>
          <w:szCs w:val="15"/>
          <w:color w:val="auto"/>
        </w:rPr>
      </w:pPr>
    </w:p>
    <w:p>
      <w:pPr>
        <w:ind w:left="660" w:hanging="467"/>
        <w:spacing w:after="0" w:line="330"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173,076 shares of our common stock reserved for future issuance under our 2016 Employee Stock Purchase Plan, or the 2016 ESPP, which will become effective in connection with this offering, as well as shares of our common stock that become available pursuant to provisions in our 2016 ESPP that automatically increase the share reserve under our 2016 ESPP on January 1 of each subsequent calendar year as described in "Executive and director compensation—Incentive plans—2016 Employee Stock Purchase Plan."</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Unless otherwise indicated, this prospectus reflects and assumes the following:</w:t>
      </w:r>
    </w:p>
    <w:p>
      <w:pPr>
        <w:spacing w:after="0" w:line="221" w:lineRule="exact"/>
        <w:rPr>
          <w:sz w:val="20"/>
          <w:szCs w:val="20"/>
          <w:color w:val="auto"/>
        </w:rPr>
      </w:pPr>
    </w:p>
    <w:p>
      <w:pPr>
        <w:ind w:left="660" w:hanging="467"/>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1-for-3.9 reverse stock split of our common stock effected on June 7, 2016;</w:t>
      </w:r>
    </w:p>
    <w:p>
      <w:pPr>
        <w:spacing w:after="0" w:line="209" w:lineRule="exact"/>
        <w:rPr>
          <w:rFonts w:ascii="Arial" w:cs="Arial" w:eastAsia="Arial" w:hAnsi="Arial"/>
          <w:sz w:val="15"/>
          <w:szCs w:val="15"/>
          <w:color w:val="auto"/>
        </w:rPr>
      </w:pPr>
    </w:p>
    <w:p>
      <w:pPr>
        <w:ind w:left="660" w:right="140" w:hanging="467"/>
        <w:spacing w:after="0" w:line="362"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automatic conversion of all shares of our preferred stock outstanding into common stock upon closing of this offering, which, based on an assumed initial public offering price of $15.00 per share, the midpoint of the price range set forth on the cover of this prospectus, would result in the issuance of 9,890,580 shares of our common stock;</w:t>
      </w:r>
    </w:p>
    <w:p>
      <w:pPr>
        <w:spacing w:after="0" w:line="116" w:lineRule="exact"/>
        <w:rPr>
          <w:rFonts w:ascii="Arial" w:cs="Arial" w:eastAsia="Arial" w:hAnsi="Arial"/>
          <w:sz w:val="13"/>
          <w:szCs w:val="13"/>
          <w:color w:val="auto"/>
        </w:rPr>
      </w:pPr>
    </w:p>
    <w:p>
      <w:pPr>
        <w:ind w:left="660" w:right="300" w:hanging="467"/>
        <w:spacing w:after="0" w:line="270"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outstanding warrants to purchase shares of our series D preferred stock becoming warrants to purchase shares of our common stock upon the closing of this offering, and outstanding warrants to purchase shares of our series E preferred stock becoming warrants to purchase 14,088 shares of our common stock, at a weighted average exercise price of $17.55 per share of common stock, based 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3115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31159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an assumed initial public offering price of $15.00 per share, the midpoint of the price range set forth on the cover of this prospectus, upon the closing of this offering;</w:t>
      </w:r>
    </w:p>
    <w:p>
      <w:pPr>
        <w:spacing w:after="0" w:line="233" w:lineRule="exact"/>
        <w:rPr>
          <w:sz w:val="20"/>
          <w:szCs w:val="20"/>
          <w:color w:val="auto"/>
        </w:rPr>
      </w:pPr>
    </w:p>
    <w:p>
      <w:pPr>
        <w:ind w:left="660" w:hanging="467"/>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 exercise of outstanding options or warrants after May 31, 2016;</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filing of our restated certificate of incorporation and the adoption of our restated bylaws, which will occur upon the closing of this offering; and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additional shares of our common stock.</w:t>
      </w:r>
    </w:p>
    <w:p>
      <w:pPr>
        <w:spacing w:after="0" w:line="198" w:lineRule="exact"/>
        <w:rPr>
          <w:sz w:val="20"/>
          <w:szCs w:val="20"/>
          <w:color w:val="auto"/>
        </w:rPr>
      </w:pPr>
    </w:p>
    <w:p>
      <w:pPr>
        <w:ind w:left="200" w:right="260"/>
        <w:spacing w:after="0" w:line="283" w:lineRule="auto"/>
        <w:rPr>
          <w:sz w:val="20"/>
          <w:szCs w:val="20"/>
          <w:color w:val="auto"/>
        </w:rPr>
      </w:pPr>
      <w:r>
        <w:rPr>
          <w:rFonts w:ascii="Arial" w:cs="Arial" w:eastAsia="Arial" w:hAnsi="Arial"/>
          <w:sz w:val="14"/>
          <w:szCs w:val="14"/>
          <w:color w:val="auto"/>
        </w:rPr>
        <w:t>Upon the closing of this offering, our series E preferred stock will automatically convert into a number of shares of common stock determined, in part, by the initial public offering price for this offering. Assuming an initial public offering price of $15.00 per share, the midpoint of the price range set forth on the cover of this prospectus, our series E preferred stock will automatically convert into 3,297,480 shares of common stock upon closing of this offering. A $1.00, $2.00 and $3.00 increase in the assumed initial public offering price of $15.00 per share would decrease the number of shares of common stock issuable upon conversion of our series E preferred stock by 206,093 shares, 387,938 shares and 549,581 shares, respectively. A $1.00, $2.00 and $3.00 decrease in the assumed initial public offering price of $15.00 per share would increase the number of shares of common stock issued upon conversion of our series E preferred stock by 235,538 shares, 507,308 shares and 824,372 shares, respectively. Accordingly, the number of shares of our common stock issuable upon conversion of all of our preferred stock outstanding would correspondingly decrease or increase, as applicable.</w:t>
      </w:r>
    </w:p>
    <w:p>
      <w:pPr>
        <w:spacing w:after="0" w:line="154" w:lineRule="exact"/>
        <w:rPr>
          <w:sz w:val="20"/>
          <w:szCs w:val="20"/>
          <w:color w:val="auto"/>
        </w:rPr>
      </w:pPr>
    </w:p>
    <w:p>
      <w:pPr>
        <w:ind w:left="200" w:right="220"/>
        <w:spacing w:after="0" w:line="310" w:lineRule="auto"/>
        <w:rPr>
          <w:sz w:val="20"/>
          <w:szCs w:val="20"/>
          <w:color w:val="auto"/>
        </w:rPr>
      </w:pPr>
      <w:r>
        <w:rPr>
          <w:rFonts w:ascii="Arial" w:cs="Arial" w:eastAsia="Arial" w:hAnsi="Arial"/>
          <w:sz w:val="13"/>
          <w:szCs w:val="13"/>
          <w:color w:val="auto"/>
        </w:rPr>
        <w:t>Similarly, upon the closing of this offering, outstanding warrants to purchase shares of our series E preferred stock will become warrants to purchase a number of shares of our common stock determined, in part, by the initial public offering price for this offering. Assuming an initial public offering price of $15.00 per share, the midpoint of the price range set forth on the cover of this prospectus, warrants to purchase shares of our series E preferred stock will become warrants to purchase 14,088 shares of our common stock upon closing of this offering. A $1.00, $2.00 and $3.00 increase in the assumed initial public offering price of $15.00 per share would decrease the number of shares of common stock issuable upon the exercise of these warrants by 880 shares, 1,658 shares and 2,348 shares, respectively. A $1.00, $2.00 and $3.00 decrease in the assumed initial public offering price of $15.00 per share would increase the number of shares of common stock issuable upon the exercise of these warrants by 1,006 shares, 2,168 shares and 3,522 shares, respectively.</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1829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1385" cy="182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Summary consolidated financial data</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tables set forth, for the periods and as of the dates indicated, our summary consolidated financial data. You should read the following information together with the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more detailed information contained in "Selected consolidated financial data," "Management's discussion and analysis of financial condition and results of operations" and our</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consolidated financial statements and the related notes included elsewhere in this prospectus. We have derived the consolidated statements of operations data for the years ended</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December 31, 2014 and 2015 from our audited consolidated financial statements included elsewhere in this prospectus. The consolidated statement of operations data for the</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three months ended March 31, 2015 and 2016 and the consolidated balance sheet data as of March 31, 2016 have been derived from our unaudited condensed consolidated financial</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statements appearing at the end of this prospectus and have been prepared on the same basis as the audited consolidated financial statements. In the opinion of management, the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unaudited data reflects all adjustments, consisting only of normal recurring adjustments, necessary for a fair presentation of the financial information in those statements. Our</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historical results are not necessarily indicative of the results that should be expected in the future, and results for the three months ended March 31, 2016 are not necessarily indicative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of the results to be expected for the full year ending December 31, 2016.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80"/>
          </w:cols>
          <w:pgMar w:left="240" w:top="132" w:right="47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558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1385" cy="55581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192" w:lineRule="exact"/>
        <w:rPr>
          <w:sz w:val="20"/>
          <w:szCs w:val="20"/>
          <w:color w:val="auto"/>
        </w:rPr>
      </w:pPr>
    </w:p>
    <w:tbl>
      <w:tblPr>
        <w:tblLayout w:type="fixed"/>
        <w:tblInd w:w="130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Years ended 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right"/>
              <w:ind w:right="820"/>
              <w:spacing w:after="0"/>
              <w:rPr>
                <w:sz w:val="20"/>
                <w:szCs w:val="20"/>
                <w:color w:val="auto"/>
              </w:rPr>
            </w:pPr>
            <w:r>
              <w:rPr>
                <w:rFonts w:ascii="Arial" w:cs="Arial" w:eastAsia="Arial" w:hAnsi="Arial"/>
                <w:sz w:val="12"/>
                <w:szCs w:val="12"/>
                <w:b w:val="1"/>
                <w:bCs w:val="1"/>
                <w:color w:val="auto"/>
              </w:rPr>
              <w:t>March 31,</w:t>
            </w:r>
          </w:p>
        </w:tc>
      </w:tr>
      <w:tr>
        <w:trPr>
          <w:trHeight w:val="154"/>
        </w:trPr>
        <w:tc>
          <w:tcPr>
            <w:tcW w:w="82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08"/>
        </w:trPr>
        <w:tc>
          <w:tcPr>
            <w:tcW w:w="8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ind w:right="240"/>
              <w:spacing w:after="0" w:line="109" w:lineRule="exact"/>
              <w:rPr>
                <w:sz w:val="20"/>
                <w:szCs w:val="20"/>
                <w:color w:val="auto"/>
              </w:rPr>
            </w:pPr>
            <w:r>
              <w:rPr>
                <w:rFonts w:ascii="Arial" w:cs="Arial" w:eastAsia="Arial" w:hAnsi="Arial"/>
                <w:sz w:val="12"/>
                <w:szCs w:val="12"/>
                <w:b w:val="1"/>
                <w:bCs w:val="1"/>
                <w:color w:val="auto"/>
                <w:w w:val="91"/>
              </w:rPr>
              <w:t>(unaudited)</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right"/>
              <w:ind w:right="106"/>
              <w:spacing w:after="0" w:line="109"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9"/>
                <w:szCs w:val="9"/>
                <w:color w:val="auto"/>
              </w:rPr>
            </w:pPr>
          </w:p>
        </w:tc>
      </w:tr>
      <w:tr>
        <w:trPr>
          <w:trHeight w:val="138"/>
        </w:trPr>
        <w:tc>
          <w:tcPr>
            <w:tcW w:w="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60" w:type="dxa"/>
            <w:vAlign w:val="bottom"/>
            <w:gridSpan w:val="12"/>
          </w:tcPr>
          <w:p>
            <w:pPr>
              <w:jc w:val="right"/>
              <w:spacing w:after="0"/>
              <w:rPr>
                <w:sz w:val="20"/>
                <w:szCs w:val="20"/>
                <w:color w:val="auto"/>
              </w:rPr>
            </w:pPr>
            <w:r>
              <w:rPr>
                <w:rFonts w:ascii="Arial" w:cs="Arial" w:eastAsia="Arial" w:hAnsi="Arial"/>
                <w:sz w:val="12"/>
                <w:szCs w:val="12"/>
                <w:b w:val="1"/>
                <w:bCs w:val="1"/>
                <w:color w:val="auto"/>
              </w:rPr>
              <w:t>(in thousands, except share and per share data)</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5"/>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140" w:type="dxa"/>
            <w:vAlign w:val="bottom"/>
            <w:shd w:val="clear" w:color="auto" w:fill="CCEEFF"/>
          </w:tcPr>
          <w:p>
            <w:pPr>
              <w:spacing w:after="0"/>
              <w:rPr>
                <w:sz w:val="16"/>
                <w:szCs w:val="16"/>
                <w:color w:val="auto"/>
              </w:rPr>
            </w:pPr>
          </w:p>
        </w:tc>
      </w:tr>
      <w:tr>
        <w:trPr>
          <w:trHeight w:val="185"/>
        </w:trPr>
        <w:tc>
          <w:tcPr>
            <w:tcW w:w="462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w:t>
            </w:r>
          </w:p>
        </w:tc>
        <w:tc>
          <w:tcPr>
            <w:tcW w:w="140" w:type="dxa"/>
            <w:vAlign w:val="bottom"/>
            <w:shd w:val="clear" w:color="auto" w:fill="CCEEFF"/>
          </w:tcPr>
          <w:p>
            <w:pPr>
              <w:spacing w:after="0"/>
              <w:rPr>
                <w:sz w:val="16"/>
                <w:szCs w:val="16"/>
                <w:color w:val="auto"/>
              </w:rPr>
            </w:pPr>
          </w:p>
        </w:tc>
      </w:tr>
      <w:tr>
        <w:trPr>
          <w:trHeight w:val="185"/>
        </w:trPr>
        <w:tc>
          <w:tcPr>
            <w:tcW w:w="4620" w:type="dxa"/>
            <w:vAlign w:val="bottom"/>
            <w:gridSpan w:val="2"/>
          </w:tcPr>
          <w:p>
            <w:pPr>
              <w:spacing w:after="0"/>
              <w:rPr>
                <w:sz w:val="20"/>
                <w:szCs w:val="20"/>
                <w:color w:val="auto"/>
              </w:rPr>
            </w:pPr>
            <w:r>
              <w:rPr>
                <w:rFonts w:ascii="Arial" w:cs="Arial" w:eastAsia="Arial" w:hAnsi="Arial"/>
                <w:sz w:val="15"/>
                <w:szCs w:val="15"/>
                <w:color w:val="auto"/>
              </w:rPr>
              <w:t>General and administrative</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2,381</w:t>
            </w:r>
          </w:p>
        </w:tc>
        <w:tc>
          <w:tcPr>
            <w:tcW w:w="140" w:type="dxa"/>
            <w:vAlign w:val="bottom"/>
          </w:tcPr>
          <w:p>
            <w:pPr>
              <w:spacing w:after="0"/>
              <w:rPr>
                <w:sz w:val="16"/>
                <w:szCs w:val="16"/>
                <w:color w:val="auto"/>
              </w:rPr>
            </w:pPr>
          </w:p>
        </w:tc>
      </w:tr>
      <w:tr>
        <w:trPr>
          <w:trHeight w:val="177"/>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9,029</w:t>
            </w:r>
          </w:p>
        </w:tc>
        <w:tc>
          <w:tcPr>
            <w:tcW w:w="140" w:type="dxa"/>
            <w:vAlign w:val="bottom"/>
            <w:shd w:val="clear" w:color="auto" w:fill="CCEEFF"/>
          </w:tcPr>
          <w:p>
            <w:pPr>
              <w:spacing w:after="0"/>
              <w:rPr>
                <w:sz w:val="15"/>
                <w:szCs w:val="15"/>
                <w:color w:val="auto"/>
              </w:rPr>
            </w:pPr>
          </w:p>
        </w:tc>
      </w:tr>
      <w:tr>
        <w:trPr>
          <w:trHeight w:val="185"/>
        </w:trPr>
        <w:tc>
          <w:tcPr>
            <w:tcW w:w="462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(15,399)</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(25,304)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(5,810)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(6,941)</w:t>
            </w:r>
          </w:p>
        </w:tc>
      </w:tr>
      <w:tr>
        <w:trPr>
          <w:trHeight w:val="185"/>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620" w:type="dxa"/>
            <w:vAlign w:val="bottom"/>
            <w:gridSpan w:val="2"/>
          </w:tcPr>
          <w:p>
            <w:pPr>
              <w:spacing w:after="0"/>
              <w:rPr>
                <w:sz w:val="20"/>
                <w:szCs w:val="20"/>
                <w:color w:val="auto"/>
              </w:rPr>
            </w:pPr>
            <w:r>
              <w:rPr>
                <w:rFonts w:ascii="Arial" w:cs="Arial" w:eastAsia="Arial" w:hAnsi="Arial"/>
                <w:sz w:val="15"/>
                <w:szCs w:val="15"/>
                <w:color w:val="auto"/>
              </w:rPr>
              <w:t>Investment income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6"/>
                <w:szCs w:val="16"/>
                <w:color w:val="auto"/>
              </w:rPr>
            </w:pPr>
          </w:p>
        </w:tc>
      </w:tr>
      <w:tr>
        <w:trPr>
          <w:trHeight w:val="185"/>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(loss) gain</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(220)</w:t>
            </w:r>
          </w:p>
        </w:tc>
      </w:tr>
      <w:tr>
        <w:trPr>
          <w:trHeight w:val="185"/>
        </w:trPr>
        <w:tc>
          <w:tcPr>
            <w:tcW w:w="462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(552)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(948)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(179)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(310)</w:t>
            </w:r>
          </w:p>
        </w:tc>
      </w:tr>
      <w:tr>
        <w:trPr>
          <w:trHeight w:val="185"/>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expense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w:t>
            </w:r>
          </w:p>
        </w:tc>
      </w:tr>
      <w:tr>
        <w:trPr>
          <w:trHeight w:val="177"/>
        </w:trPr>
        <w:tc>
          <w:tcPr>
            <w:tcW w:w="4620" w:type="dxa"/>
            <w:vAlign w:val="bottom"/>
            <w:gridSpan w:val="2"/>
          </w:tcPr>
          <w:p>
            <w:pPr>
              <w:spacing w:after="0"/>
              <w:rPr>
                <w:sz w:val="20"/>
                <w:szCs w:val="20"/>
                <w:color w:val="auto"/>
              </w:rPr>
            </w:pPr>
            <w:r>
              <w:rPr>
                <w:rFonts w:ascii="Arial" w:cs="Arial" w:eastAsia="Arial" w:hAnsi="Arial"/>
                <w:sz w:val="15"/>
                <w:szCs w:val="15"/>
                <w:color w:val="auto"/>
              </w:rPr>
              <w:t>Total other income (expense), net</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(535)</w:t>
            </w:r>
          </w:p>
        </w:tc>
        <w:tc>
          <w:tcPr>
            <w:tcW w:w="140" w:type="dxa"/>
            <w:vAlign w:val="bottom"/>
          </w:tcPr>
          <w:p>
            <w:pPr>
              <w:spacing w:after="0"/>
              <w:rPr>
                <w:sz w:val="15"/>
                <w:szCs w:val="15"/>
                <w:color w:val="auto"/>
              </w:rPr>
            </w:pPr>
          </w:p>
        </w:tc>
      </w:tr>
      <w:tr>
        <w:trPr>
          <w:trHeight w:val="177"/>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(25,174)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(5,733)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(7,476)</w:t>
            </w:r>
          </w:p>
        </w:tc>
      </w:tr>
      <w:tr>
        <w:trPr>
          <w:trHeight w:val="185"/>
        </w:trPr>
        <w:tc>
          <w:tcPr>
            <w:tcW w:w="4620" w:type="dxa"/>
            <w:vAlign w:val="bottom"/>
            <w:gridSpan w:val="2"/>
          </w:tcPr>
          <w:p>
            <w:pPr>
              <w:spacing w:after="0"/>
              <w:rPr>
                <w:sz w:val="20"/>
                <w:szCs w:val="20"/>
                <w:color w:val="auto"/>
              </w:rPr>
            </w:pPr>
            <w:r>
              <w:rPr>
                <w:rFonts w:ascii="Arial" w:cs="Arial" w:eastAsia="Arial" w:hAnsi="Arial"/>
                <w:sz w:val="15"/>
                <w:szCs w:val="15"/>
                <w:color w:val="auto"/>
              </w:rPr>
              <w:t>Accretion of redeemable convertible preferred stock</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(7,335)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(1,561)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(2,356)</w:t>
            </w:r>
          </w:p>
        </w:tc>
      </w:tr>
      <w:tr>
        <w:trPr>
          <w:trHeight w:val="178"/>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effect of extinguishment of Series SRN redeemable convertible</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preferred stock</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4620" w:type="dxa"/>
            <w:vAlign w:val="bottom"/>
            <w:gridSpan w:val="2"/>
          </w:tcPr>
          <w:p>
            <w:pPr>
              <w:spacing w:after="0"/>
              <w:rPr>
                <w:sz w:val="20"/>
                <w:szCs w:val="20"/>
                <w:color w:val="auto"/>
              </w:rPr>
            </w:pPr>
            <w:r>
              <w:rPr>
                <w:rFonts w:ascii="Arial" w:cs="Arial" w:eastAsia="Arial" w:hAnsi="Arial"/>
                <w:sz w:val="15"/>
                <w:szCs w:val="15"/>
                <w:color w:val="auto"/>
              </w:rPr>
              <w:t>Net loss attributable to common stockholders</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(7,294)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(9,832)</w:t>
            </w:r>
          </w:p>
        </w:tc>
        <w:tc>
          <w:tcPr>
            <w:tcW w:w="14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6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62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(7.84)</w:t>
            </w:r>
          </w:p>
        </w:tc>
        <w:tc>
          <w:tcPr>
            <w:tcW w:w="22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(15.13)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(3.43)</w:t>
            </w: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(4.52)</w:t>
            </w: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6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62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2,090,677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2,150,422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2,126,878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2,175,037</w:t>
            </w:r>
          </w:p>
        </w:tc>
        <w:tc>
          <w:tcPr>
            <w:tcW w:w="14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62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Pro forma net loss per share attributable to common stockholders</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2"/>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(unaudited)</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620" w:type="dxa"/>
            <w:vAlign w:val="bottom"/>
            <w:gridSpan w:val="2"/>
          </w:tcPr>
          <w:p>
            <w:pPr>
              <w:ind w:left="160"/>
              <w:spacing w:after="0"/>
              <w:rPr>
                <w:sz w:val="20"/>
                <w:szCs w:val="20"/>
                <w:color w:val="auto"/>
              </w:rPr>
            </w:pPr>
            <w:r>
              <w:rPr>
                <w:rFonts w:ascii="Arial" w:cs="Arial" w:eastAsia="Arial" w:hAnsi="Arial"/>
                <w:sz w:val="15"/>
                <w:szCs w:val="15"/>
                <w:color w:val="auto"/>
              </w:rPr>
              <w:t>Basic and diluted(1)(2)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(2.53)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(0.59)</w:t>
            </w: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62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w w:val="92"/>
              </w:rPr>
              <w:t>Pro forma weighted average common shares of common stock outstanding</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2"/>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(unaudited)</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620" w:type="dxa"/>
            <w:vAlign w:val="bottom"/>
            <w:gridSpan w:val="2"/>
          </w:tcPr>
          <w:p>
            <w:pPr>
              <w:ind w:left="160"/>
              <w:spacing w:after="0"/>
              <w:rPr>
                <w:sz w:val="20"/>
                <w:szCs w:val="20"/>
                <w:color w:val="auto"/>
              </w:rPr>
            </w:pPr>
            <w:r>
              <w:rPr>
                <w:rFonts w:ascii="Arial" w:cs="Arial" w:eastAsia="Arial" w:hAnsi="Arial"/>
                <w:sz w:val="15"/>
                <w:szCs w:val="15"/>
                <w:color w:val="auto"/>
              </w:rPr>
              <w:t>Basic and diluted(1)(2)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9,980,469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12,632,923</w:t>
            </w:r>
          </w:p>
        </w:tc>
        <w:tc>
          <w:tcPr>
            <w:tcW w:w="14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820" w:type="dxa"/>
            <w:vAlign w:val="bottom"/>
            <w:tcBorders>
              <w:bottom w:val="single" w:sz="8" w:color="auto"/>
            </w:tcBorders>
          </w:tcPr>
          <w:p>
            <w:pPr>
              <w:spacing w:after="0"/>
              <w:rPr>
                <w:sz w:val="5"/>
                <w:szCs w:val="5"/>
                <w:color w:val="auto"/>
              </w:rPr>
            </w:pPr>
          </w:p>
        </w:tc>
        <w:tc>
          <w:tcPr>
            <w:tcW w:w="3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760" w:right="360" w:hanging="463"/>
        <w:spacing w:after="0" w:line="238" w:lineRule="auto"/>
        <w:tabs>
          <w:tab w:leader="none" w:pos="1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additional information regarding the method used to calculate the historical and pro forma basic and diluted net loss per common share and the number of shares used in the computation of the per share amounts.</w:t>
      </w:r>
    </w:p>
    <w:p>
      <w:pPr>
        <w:spacing w:after="0" w:line="96" w:lineRule="exact"/>
        <w:rPr>
          <w:rFonts w:ascii="Arial" w:cs="Arial" w:eastAsia="Arial" w:hAnsi="Arial"/>
          <w:sz w:val="12"/>
          <w:szCs w:val="12"/>
          <w:color w:val="auto"/>
        </w:rPr>
      </w:pPr>
    </w:p>
    <w:p>
      <w:pPr>
        <w:ind w:left="1760" w:right="240" w:hanging="463"/>
        <w:spacing w:after="0" w:line="275" w:lineRule="auto"/>
        <w:tabs>
          <w:tab w:leader="none" w:pos="1760" w:val="left"/>
        </w:tabs>
        <w:numPr>
          <w:ilvl w:val="0"/>
          <w:numId w:val="14"/>
        </w:numPr>
        <w:rPr>
          <w:rFonts w:ascii="Arial" w:cs="Arial" w:eastAsia="Arial" w:hAnsi="Arial"/>
          <w:sz w:val="10"/>
          <w:szCs w:val="10"/>
          <w:color w:val="auto"/>
        </w:rPr>
      </w:pPr>
      <w:r>
        <w:rPr>
          <w:rFonts w:ascii="Arial" w:cs="Arial" w:eastAsia="Arial" w:hAnsi="Arial"/>
          <w:sz w:val="10"/>
          <w:szCs w:val="10"/>
          <w:color w:val="auto"/>
        </w:rPr>
        <w:t>Pro forma basic and diluted net loss per common share and weighted average common shares outstanding give effect to: (i) the automatic conversion of all shares of our preferred stock into common stock upon closing of this offering, which, based on an assumed initial public offering price of $15.00 per share, the midpoint of the price range set forth on the cover of this prospectus, would result in the issuance of 9,890,580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14,088 shares of our common stock, at a weighted average exercise price of $17.55 per share of common stock, based on an assumed initial public offering price of $15.00 per share, the midpoint of the price range set forth on the cover of this prospectus, upon the closing of this offering and (iii) the automatic cashless exercise of warrants, or the series E common warrants, for 567,306 shares of our common stock. Upon the closing of this offering, (a) our series E preferred stock will automatically convert into a number of shares of common stock and (b) outstanding warrants to purchase shares of our series E preferred stock will become warrants to purchase a number of shares of our common stock, in each case, determined, in part, by the initial public offering price for this offering, which we have assumed to be $15.00 per share,</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152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415290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midpoint of the price range set forth on the cover page of this prospectus. See "Prospectus summary—The offering" for a related offering price per share sensitivity analysis.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Consolidated balance sheet data:</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As of March 31, 2016</w:t>
            </w: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9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gridSpan w:val="2"/>
          </w:tcPr>
          <w:p>
            <w:pPr>
              <w:jc w:val="center"/>
              <w:ind w:left="9"/>
              <w:spacing w:after="0" w:line="121" w:lineRule="exact"/>
              <w:rPr>
                <w:sz w:val="20"/>
                <w:szCs w:val="20"/>
                <w:color w:val="auto"/>
              </w:rPr>
            </w:pPr>
            <w:r>
              <w:rPr>
                <w:rFonts w:ascii="Arial" w:cs="Arial" w:eastAsia="Arial" w:hAnsi="Arial"/>
                <w:sz w:val="12"/>
                <w:szCs w:val="12"/>
                <w:b w:val="1"/>
                <w:bCs w:val="1"/>
                <w:color w:val="auto"/>
              </w:rPr>
              <w:t>Pro forma as</w:t>
            </w:r>
          </w:p>
        </w:tc>
        <w:tc>
          <w:tcPr>
            <w:tcW w:w="140" w:type="dxa"/>
            <w:vAlign w:val="bottom"/>
          </w:tcPr>
          <w:p>
            <w:pPr>
              <w:spacing w:after="0"/>
              <w:rPr>
                <w:sz w:val="10"/>
                <w:szCs w:val="10"/>
                <w:color w:val="auto"/>
              </w:rPr>
            </w:pPr>
          </w:p>
        </w:tc>
      </w:tr>
      <w:tr>
        <w:trPr>
          <w:trHeight w:val="167"/>
        </w:trPr>
        <w:tc>
          <w:tcPr>
            <w:tcW w:w="9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29"/>
              <w:spacing w:after="0"/>
              <w:rPr>
                <w:sz w:val="20"/>
                <w:szCs w:val="20"/>
                <w:color w:val="auto"/>
              </w:rPr>
            </w:pPr>
            <w:r>
              <w:rPr>
                <w:rFonts w:ascii="Arial" w:cs="Arial" w:eastAsia="Arial" w:hAnsi="Arial"/>
                <w:sz w:val="12"/>
                <w:szCs w:val="12"/>
                <w:b w:val="1"/>
                <w:bCs w:val="1"/>
                <w:color w:val="auto"/>
              </w:rPr>
              <w:t>Actual</w:t>
            </w:r>
          </w:p>
        </w:tc>
        <w:tc>
          <w:tcPr>
            <w:tcW w:w="940" w:type="dxa"/>
            <w:vAlign w:val="bottom"/>
            <w:gridSpan w:val="2"/>
          </w:tcPr>
          <w:p>
            <w:pPr>
              <w:jc w:val="right"/>
              <w:ind w:right="50"/>
              <w:spacing w:after="0"/>
              <w:rPr>
                <w:sz w:val="20"/>
                <w:szCs w:val="20"/>
                <w:color w:val="auto"/>
              </w:rPr>
            </w:pPr>
            <w:r>
              <w:rPr>
                <w:rFonts w:ascii="Arial" w:cs="Arial" w:eastAsia="Arial" w:hAnsi="Arial"/>
                <w:sz w:val="12"/>
                <w:szCs w:val="12"/>
                <w:b w:val="1"/>
                <w:bCs w:val="1"/>
                <w:color w:val="auto"/>
              </w:rPr>
              <w:t>Pro forma(1)</w:t>
            </w:r>
          </w:p>
        </w:tc>
        <w:tc>
          <w:tcPr>
            <w:tcW w:w="10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adjusted(2)</w:t>
            </w:r>
          </w:p>
        </w:tc>
      </w:tr>
      <w:tr>
        <w:trPr>
          <w:trHeight w:val="113"/>
        </w:trPr>
        <w:tc>
          <w:tcPr>
            <w:tcW w:w="900" w:type="dxa"/>
            <w:vAlign w:val="bottom"/>
            <w:tcBorders>
              <w:top w:val="single" w:sz="8" w:color="auto"/>
            </w:tcBorders>
          </w:tcPr>
          <w:p>
            <w:pPr>
              <w:spacing w:after="0"/>
              <w:rPr>
                <w:sz w:val="9"/>
                <w:szCs w:val="9"/>
                <w:color w:val="auto"/>
              </w:rPr>
            </w:pPr>
          </w:p>
        </w:tc>
        <w:tc>
          <w:tcPr>
            <w:tcW w:w="360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ind w:right="110"/>
              <w:spacing w:after="0" w:line="113" w:lineRule="exact"/>
              <w:rPr>
                <w:sz w:val="20"/>
                <w:szCs w:val="20"/>
                <w:color w:val="auto"/>
              </w:rPr>
            </w:pPr>
            <w:r>
              <w:rPr>
                <w:rFonts w:ascii="Arial" w:cs="Arial" w:eastAsia="Arial" w:hAnsi="Arial"/>
                <w:sz w:val="12"/>
                <w:szCs w:val="12"/>
                <w:b w:val="1"/>
                <w:bCs w:val="1"/>
                <w:color w:val="auto"/>
                <w:w w:val="91"/>
              </w:rPr>
              <w:t>(unaudited)</w:t>
            </w: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28"/>
              <w:spacing w:after="0" w:line="113"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9"/>
                <w:szCs w:val="9"/>
                <w:color w:val="auto"/>
              </w:rPr>
            </w:pPr>
          </w:p>
        </w:tc>
      </w:tr>
      <w:tr>
        <w:trPr>
          <w:trHeight w:val="138"/>
        </w:trPr>
        <w:tc>
          <w:tcPr>
            <w:tcW w:w="9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30"/>
              <w:spacing w:after="0"/>
              <w:rPr>
                <w:sz w:val="20"/>
                <w:szCs w:val="20"/>
                <w:color w:val="auto"/>
              </w:rPr>
            </w:pPr>
            <w:r>
              <w:rPr>
                <w:rFonts w:ascii="Arial" w:cs="Arial" w:eastAsia="Arial" w:hAnsi="Arial"/>
                <w:sz w:val="12"/>
                <w:szCs w:val="12"/>
                <w:b w:val="1"/>
                <w:bCs w:val="1"/>
                <w:color w:val="auto"/>
                <w:w w:val="82"/>
              </w:rPr>
              <w:t>(in thousands)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cash equivalents and short-term investments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25,979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81,367</w:t>
            </w:r>
          </w:p>
        </w:tc>
        <w:tc>
          <w:tcPr>
            <w:tcW w:w="140" w:type="dxa"/>
            <w:vAlign w:val="bottom"/>
            <w:shd w:val="clear" w:color="auto" w:fill="CCEEFF"/>
          </w:tcPr>
          <w:p>
            <w:pPr>
              <w:spacing w:after="0"/>
              <w:rPr>
                <w:sz w:val="16"/>
                <w:szCs w:val="16"/>
                <w:color w:val="auto"/>
              </w:rPr>
            </w:pPr>
          </w:p>
        </w:tc>
      </w:tr>
      <w:tr>
        <w:trPr>
          <w:trHeight w:val="185"/>
        </w:trPr>
        <w:tc>
          <w:tcPr>
            <w:tcW w:w="450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1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9"/>
              <w:spacing w:after="0"/>
              <w:rPr>
                <w:sz w:val="20"/>
                <w:szCs w:val="20"/>
                <w:color w:val="auto"/>
              </w:rPr>
            </w:pPr>
            <w:r>
              <w:rPr>
                <w:rFonts w:ascii="Arial" w:cs="Arial" w:eastAsia="Arial" w:hAnsi="Arial"/>
                <w:sz w:val="15"/>
                <w:szCs w:val="15"/>
                <w:color w:val="auto"/>
              </w:rPr>
              <w:t>34,723</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34,723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90,111</w:t>
            </w:r>
          </w:p>
        </w:tc>
        <w:tc>
          <w:tcPr>
            <w:tcW w:w="140" w:type="dxa"/>
            <w:vAlign w:val="bottom"/>
          </w:tcPr>
          <w:p>
            <w:pPr>
              <w:spacing w:after="0"/>
              <w:rPr>
                <w:sz w:val="16"/>
                <w:szCs w:val="16"/>
                <w:color w:val="auto"/>
              </w:rPr>
            </w:pPr>
          </w:p>
        </w:tc>
      </w:tr>
      <w:tr>
        <w:trPr>
          <w:trHeight w:val="18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Loan payables, net of current portion</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11,169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40" w:type="dxa"/>
            <w:vAlign w:val="bottom"/>
            <w:shd w:val="clear" w:color="auto" w:fill="CCEEFF"/>
          </w:tcPr>
          <w:p>
            <w:pPr>
              <w:spacing w:after="0"/>
              <w:rPr>
                <w:sz w:val="16"/>
                <w:szCs w:val="16"/>
                <w:color w:val="auto"/>
              </w:rPr>
            </w:pPr>
          </w:p>
        </w:tc>
      </w:tr>
      <w:tr>
        <w:trPr>
          <w:trHeight w:val="185"/>
        </w:trPr>
        <w:tc>
          <w:tcPr>
            <w:tcW w:w="4500" w:type="dxa"/>
            <w:vAlign w:val="bottom"/>
            <w:gridSpan w:val="2"/>
          </w:tcPr>
          <w:p>
            <w:pPr>
              <w:spacing w:after="0"/>
              <w:rPr>
                <w:sz w:val="20"/>
                <w:szCs w:val="20"/>
                <w:color w:val="auto"/>
              </w:rPr>
            </w:pPr>
            <w:r>
              <w:rPr>
                <w:rFonts w:ascii="Arial" w:cs="Arial" w:eastAsia="Arial" w:hAnsi="Arial"/>
                <w:sz w:val="15"/>
                <w:szCs w:val="15"/>
                <w:color w:val="auto"/>
              </w:rPr>
              <w:t>Redeemable convertible preferred stock</w:t>
            </w:r>
          </w:p>
        </w:tc>
        <w:tc>
          <w:tcPr>
            <w:tcW w:w="1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9"/>
              <w:spacing w:after="0"/>
              <w:rPr>
                <w:sz w:val="20"/>
                <w:szCs w:val="20"/>
                <w:color w:val="auto"/>
              </w:rPr>
            </w:pPr>
            <w:r>
              <w:rPr>
                <w:rFonts w:ascii="Arial" w:cs="Arial" w:eastAsia="Arial" w:hAnsi="Arial"/>
                <w:sz w:val="15"/>
                <w:szCs w:val="15"/>
                <w:color w:val="auto"/>
              </w:rPr>
              <w:t>139,837</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ind w:left="580"/>
              <w:spacing w:after="0"/>
              <w:rPr>
                <w:sz w:val="20"/>
                <w:szCs w:val="20"/>
                <w:color w:val="auto"/>
              </w:rPr>
            </w:pPr>
            <w:r>
              <w:rPr>
                <w:rFonts w:ascii="Arial" w:cs="Arial" w:eastAsia="Arial" w:hAnsi="Arial"/>
                <w:sz w:val="15"/>
                <w:szCs w:val="15"/>
                <w:color w:val="auto"/>
              </w:rPr>
              <w:t>—</w:t>
            </w:r>
          </w:p>
        </w:tc>
      </w:tr>
      <w:tr>
        <w:trPr>
          <w:trHeight w:val="18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stockholders' equity (deficit)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14,342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69,730</w:t>
            </w:r>
          </w:p>
        </w:tc>
        <w:tc>
          <w:tcPr>
            <w:tcW w:w="140" w:type="dxa"/>
            <w:vAlign w:val="bottom"/>
            <w:shd w:val="clear" w:color="auto" w:fill="CCEEFF"/>
          </w:tcPr>
          <w:p>
            <w:pPr>
              <w:spacing w:after="0"/>
              <w:rPr>
                <w:sz w:val="16"/>
                <w:szCs w:val="16"/>
                <w:color w:val="auto"/>
              </w:rPr>
            </w:pPr>
          </w:p>
        </w:tc>
      </w:tr>
      <w:tr>
        <w:trPr>
          <w:trHeight w:val="93"/>
        </w:trPr>
        <w:tc>
          <w:tcPr>
            <w:tcW w:w="90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760" w:hanging="463"/>
        <w:spacing w:after="0" w:line="274" w:lineRule="auto"/>
        <w:tabs>
          <w:tab w:leader="none" w:pos="1760"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The pro forma balance sheet data give effect to: (i) the automatic conversion of all shares of our preferred stock into common stock upon closing of this offering, which, based on an assumed initial public offering price of $15.00 per share, the midpoint of the price range set forth on the cover of this prospectus, would result in the issuance of 9,890,580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14,088 shares of our common stock, at a weighted average exercise price of $17.55 per share of common stock, based on an assumed initial public offering price of $15.00 per share, the midpoint of the price range set forth on the cover of this prospectus, upon the closing of this offering and (iii) the automatic cashless exercise of the series E common warrants for 567,306 shares of our common stock. Upon the closing of this offering, (a) our series E preferred stock will automatically convert into a number of shares of common stock and (b) outstanding warrants to purchase shares of our series E 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See "Prospectus summary—The offering" for a related offering price per share sensitivity analysis.</w:t>
      </w:r>
    </w:p>
    <w:p>
      <w:pPr>
        <w:spacing w:after="0" w:line="212" w:lineRule="exact"/>
        <w:rPr>
          <w:rFonts w:ascii="Arial" w:cs="Arial" w:eastAsia="Arial" w:hAnsi="Arial"/>
          <w:sz w:val="10"/>
          <w:szCs w:val="10"/>
          <w:color w:val="auto"/>
        </w:rPr>
      </w:pPr>
    </w:p>
    <w:p>
      <w:pPr>
        <w:ind w:left="1760" w:right="20" w:hanging="463"/>
        <w:spacing w:after="0" w:line="233" w:lineRule="auto"/>
        <w:tabs>
          <w:tab w:leader="none" w:pos="17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pro forma as adjusted consolidated balance sheet data give further effect to our issuance and sale of 4,250,000 shares of our common stock in this offering at an assumed initial public offering price of $15.00 per share, which is the midpoint of the price range set forth on the cover page of this prospectus, after deducting the estimated underwriting discounts and commissions and estimated offering expenses payable by us.</w:t>
      </w:r>
    </w:p>
    <w:p>
      <w:pPr>
        <w:spacing w:after="0" w:line="167" w:lineRule="exact"/>
        <w:rPr>
          <w:sz w:val="20"/>
          <w:szCs w:val="20"/>
          <w:color w:val="auto"/>
        </w:rPr>
      </w:pPr>
    </w:p>
    <w:p>
      <w:pPr>
        <w:ind w:left="200" w:right="20"/>
        <w:spacing w:after="0" w:line="261" w:lineRule="auto"/>
        <w:rPr>
          <w:sz w:val="20"/>
          <w:szCs w:val="20"/>
          <w:color w:val="auto"/>
        </w:rPr>
      </w:pPr>
      <w:r>
        <w:rPr>
          <w:rFonts w:ascii="Arial" w:cs="Arial" w:eastAsia="Arial" w:hAnsi="Arial"/>
          <w:sz w:val="15"/>
          <w:szCs w:val="15"/>
          <w:color w:val="auto"/>
        </w:rPr>
        <w:t>Each $1.00 increase (decrease) in the assumed initial public offering price of $15.00 per share, which is the midpoint of the price range set forth on the cover page of this prospectus, would increase (decrease) the pro forma as adjusted amount of each of cash and cash equivalents, total assets, additional paid-in capital and total stockholders' equity (deficit) by $4.0 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 us at the assumed initial public offering price of $15.00 per share would increase (decrease) each of cash and cash equivalents, total assets, additional paid-in capital and total stockholders' equity (deficit) by $14.0 million. The pro forma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19" w:name="page20"/>
    <w:bookmarkEnd w:id="1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Risk factors</w:t>
      </w:r>
    </w:p>
    <w:p>
      <w:pPr>
        <w:spacing w:after="0" w:line="183"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results of operations and financial condition,"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FINANCIAL POSITION AND NEED FOR ADDITIONAL CAPITAL</w:t>
      </w:r>
    </w:p>
    <w:p>
      <w:pPr>
        <w:spacing w:after="0" w:line="187" w:lineRule="exact"/>
        <w:rPr>
          <w:sz w:val="20"/>
          <w:szCs w:val="20"/>
          <w:color w:val="auto"/>
        </w:rPr>
      </w:pPr>
    </w:p>
    <w:p>
      <w:pPr>
        <w:ind w:left="7" w:right="200"/>
        <w:spacing w:after="0" w:line="277" w:lineRule="auto"/>
        <w:rPr>
          <w:sz w:val="20"/>
          <w:szCs w:val="20"/>
          <w:color w:val="auto"/>
        </w:rPr>
      </w:pPr>
      <w:r>
        <w:rPr>
          <w:rFonts w:ascii="Arial" w:cs="Arial" w:eastAsia="Arial" w:hAnsi="Arial"/>
          <w:sz w:val="15"/>
          <w:szCs w:val="15"/>
          <w:b w:val="1"/>
          <w:bCs w:val="1"/>
          <w:color w:val="auto"/>
        </w:rPr>
        <w:t>We are a development-stage company and have incurred significant losses since our inception. We expect to incur losses for the foreseeable future and may never achieve or maintain profitability.</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4"/>
          <w:szCs w:val="14"/>
          <w:color w:val="auto"/>
        </w:rPr>
        <w:t>Since inception, we have incurred significant operating losses. Our net loss was $12.9 million for the year ended December 31, 2014, $25.2 for the year ended December 31, 2015 and</w:t>
      </w:r>
    </w:p>
    <w:p>
      <w:pPr>
        <w:spacing w:after="0" w:line="29" w:lineRule="exact"/>
        <w:rPr>
          <w:sz w:val="20"/>
          <w:szCs w:val="20"/>
          <w:color w:val="auto"/>
        </w:rPr>
      </w:pPr>
    </w:p>
    <w:p>
      <w:pPr>
        <w:ind w:left="7" w:right="160"/>
        <w:spacing w:after="0" w:line="283" w:lineRule="auto"/>
        <w:rPr>
          <w:sz w:val="20"/>
          <w:szCs w:val="20"/>
          <w:color w:val="auto"/>
        </w:rPr>
      </w:pPr>
      <w:r>
        <w:rPr>
          <w:rFonts w:ascii="Arial" w:cs="Arial" w:eastAsia="Arial" w:hAnsi="Arial"/>
          <w:sz w:val="14"/>
          <w:szCs w:val="14"/>
          <w:color w:val="auto"/>
        </w:rPr>
        <w:t>$5.7 million and $7.5 million for the three months ended March 31, 2015 and 2016, respectively. As of March 31, 2016, we had an accumulated deficit of $121.1 million. To date, we have financed our operations primarily through issuances of preferred stock, debt, research grants and a research collaboration.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 therapies. We expect to continue to incur significant expenses and operating losses for the foreseeable future. We expect that our expenses will increase substantially as we:</w:t>
      </w:r>
    </w:p>
    <w:p>
      <w:pPr>
        <w:spacing w:after="0" w:line="165" w:lineRule="exact"/>
        <w:rPr>
          <w:sz w:val="20"/>
          <w:szCs w:val="20"/>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conduct additional clinical trials of SEL-212, our lead product candidate;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 including completing preclinical studies and commencing trials for such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seek to enhance our SVP technology and discover and develop additional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seek regulatory approvals for any product candidates that successfully complete clinical trials;</w:t>
      </w:r>
    </w:p>
    <w:p>
      <w:pPr>
        <w:spacing w:after="0" w:line="221" w:lineRule="exact"/>
        <w:rPr>
          <w:rFonts w:ascii="Arial" w:cs="Arial" w:eastAsia="Arial" w:hAnsi="Arial"/>
          <w:sz w:val="15"/>
          <w:szCs w:val="15"/>
          <w:color w:val="auto"/>
        </w:rPr>
      </w:pPr>
    </w:p>
    <w:p>
      <w:pPr>
        <w:ind w:left="467" w:right="440" w:hanging="467"/>
        <w:spacing w:after="0" w:line="282" w:lineRule="auto"/>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 up external manufacturing capabilities to commercialize any products for which we may obtain regulatory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 including through licensing arrangements;</w:t>
      </w:r>
    </w:p>
    <w:p>
      <w:pPr>
        <w:spacing w:after="0" w:line="209" w:lineRule="exact"/>
        <w:rPr>
          <w:rFonts w:ascii="Arial" w:cs="Arial" w:eastAsia="Arial" w:hAnsi="Arial"/>
          <w:sz w:val="15"/>
          <w:szCs w:val="15"/>
          <w:color w:val="auto"/>
        </w:rPr>
      </w:pPr>
    </w:p>
    <w:p>
      <w:pPr>
        <w:ind w:left="467" w:right="420" w:hanging="467"/>
        <w:spacing w:after="0" w:line="282" w:lineRule="auto"/>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experience any delays or encounter any issues with any of the above, including, but not limited to, failed studies, complex results, safety issues or other regulatory challenges.</w:t>
      </w:r>
    </w:p>
    <w:p>
      <w:pPr>
        <w:spacing w:after="0" w:line="210" w:lineRule="exact"/>
        <w:rPr>
          <w:sz w:val="20"/>
          <w:szCs w:val="20"/>
          <w:color w:val="auto"/>
        </w:rPr>
      </w:pPr>
    </w:p>
    <w:p>
      <w:pPr>
        <w:jc w:val="both"/>
        <w:ind w:left="7" w:right="100"/>
        <w:spacing w:after="0" w:line="270" w:lineRule="auto"/>
        <w:rPr>
          <w:sz w:val="20"/>
          <w:szCs w:val="20"/>
          <w:color w:val="auto"/>
        </w:rPr>
      </w:pPr>
      <w:r>
        <w:rPr>
          <w:rFonts w:ascii="Arial" w:cs="Arial" w:eastAsia="Arial" w:hAnsi="Arial"/>
          <w:sz w:val="15"/>
          <w:szCs w:val="15"/>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0" w:name="page21"/>
    <w:bookmarkEnd w:id="2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319" w:lineRule="auto"/>
        <w:rPr>
          <w:sz w:val="20"/>
          <w:szCs w:val="20"/>
          <w:color w:val="auto"/>
        </w:rPr>
      </w:pPr>
      <w:r>
        <w:rPr>
          <w:rFonts w:ascii="Arial" w:cs="Arial" w:eastAsia="Arial" w:hAnsi="Arial"/>
          <w:sz w:val="14"/>
          <w:szCs w:val="14"/>
          <w:color w:val="auto"/>
        </w:rPr>
        <w:t>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28"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62" w:lineRule="exact"/>
        <w:rPr>
          <w:sz w:val="20"/>
          <w:szCs w:val="20"/>
          <w:color w:val="auto"/>
        </w:rPr>
      </w:pPr>
    </w:p>
    <w:p>
      <w:pPr>
        <w:ind w:left="7" w:right="280"/>
        <w:spacing w:after="0" w:line="362" w:lineRule="auto"/>
        <w:rPr>
          <w:sz w:val="20"/>
          <w:szCs w:val="20"/>
          <w:color w:val="auto"/>
        </w:rPr>
      </w:pPr>
      <w:r>
        <w:rPr>
          <w:rFonts w:ascii="Arial" w:cs="Arial" w:eastAsia="Arial" w:hAnsi="Arial"/>
          <w:sz w:val="13"/>
          <w:szCs w:val="13"/>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05" w:lineRule="exact"/>
        <w:rPr>
          <w:sz w:val="20"/>
          <w:szCs w:val="20"/>
          <w:color w:val="auto"/>
        </w:rPr>
      </w:pPr>
    </w:p>
    <w:p>
      <w:pPr>
        <w:ind w:left="7" w:right="80"/>
        <w:spacing w:after="0" w:line="319" w:lineRule="auto"/>
        <w:rPr>
          <w:sz w:val="20"/>
          <w:szCs w:val="20"/>
          <w:color w:val="auto"/>
        </w:rPr>
      </w:pPr>
      <w:r>
        <w:rPr>
          <w:rFonts w:ascii="Arial" w:cs="Arial" w:eastAsia="Arial" w:hAnsi="Arial"/>
          <w:sz w:val="13"/>
          <w:szCs w:val="13"/>
          <w:color w:val="auto"/>
        </w:rPr>
        <w:t>In addition, we have recurring losses and negative cash flows from operations and will require additional capital to fund planned operations. There can be no assurance that we will be able to raise additional capital on reasonable terms, if at all, which could prevent us from continuing our operations. These conditions cast substantial doubt about our ability to continue as a going concern. In this regard, our independent registered public accounting firm's report on our December 31, 2014 and 2015 financial statements included an explanatory paragraph referring to our ability to continue as a going concern. Our financial statements do not include any adjustments that may result from the outcome of this uncertainty.</w:t>
      </w:r>
    </w:p>
    <w:p>
      <w:pPr>
        <w:spacing w:after="0" w:line="124" w:lineRule="exact"/>
        <w:rPr>
          <w:sz w:val="20"/>
          <w:szCs w:val="20"/>
          <w:color w:val="auto"/>
        </w:rPr>
      </w:pPr>
    </w:p>
    <w:p>
      <w:pPr>
        <w:ind w:left="7" w:right="220"/>
        <w:spacing w:after="0" w:line="259" w:lineRule="auto"/>
        <w:rPr>
          <w:sz w:val="20"/>
          <w:szCs w:val="20"/>
          <w:color w:val="auto"/>
        </w:rPr>
      </w:pPr>
      <w:r>
        <w:rPr>
          <w:rFonts w:ascii="Arial" w:cs="Arial" w:eastAsia="Arial" w:hAnsi="Arial"/>
          <w:sz w:val="15"/>
          <w:szCs w:val="15"/>
          <w:b w:val="1"/>
          <w:bCs w:val="1"/>
          <w:color w:val="auto"/>
        </w:rPr>
        <w:t>Even if this offering is successful, 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56"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We expect our expenses to increase in connection with our ongoing activities, particularly as we conduct our clinical trials of SEL-212,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148" w:lineRule="exact"/>
        <w:rPr>
          <w:sz w:val="20"/>
          <w:szCs w:val="20"/>
          <w:color w:val="auto"/>
        </w:rPr>
      </w:pPr>
    </w:p>
    <w:p>
      <w:pPr>
        <w:jc w:val="both"/>
        <w:ind w:left="7" w:right="80"/>
        <w:spacing w:after="0" w:line="330" w:lineRule="auto"/>
        <w:rPr>
          <w:sz w:val="20"/>
          <w:szCs w:val="20"/>
          <w:color w:val="auto"/>
        </w:rPr>
      </w:pPr>
      <w:r>
        <w:rPr>
          <w:rFonts w:ascii="Arial" w:cs="Arial" w:eastAsia="Arial" w:hAnsi="Arial"/>
          <w:sz w:val="13"/>
          <w:szCs w:val="13"/>
          <w:color w:val="auto"/>
        </w:rPr>
        <w:t>We believe that our existing cash, cash equivalents and investments, and funding that we expect to receive under our existing collaborations, together with the expected net proceeds from this offering, will enable us to fund our operating expenses and capital expenditure requirements through at least December 31, 2017. We have based this estimate on assumptions that may prove to be wrong, and we could use our capital resources sooner than we currently expect. Our future capital requirements will depend on many factors, including:</w:t>
      </w:r>
    </w:p>
    <w:p>
      <w:pPr>
        <w:spacing w:after="0" w:line="136" w:lineRule="exact"/>
        <w:rPr>
          <w:sz w:val="20"/>
          <w:szCs w:val="20"/>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collaboration agreements remaining in effect, our entering into additional collaboration agreements and our ability to achieve milestones under these agreements;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cost of manufacturing clinical supplies of our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21" w:name="page22"/>
    <w:bookmarkEnd w:id="2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21" w:lineRule="exact"/>
        <w:rPr>
          <w:rFonts w:ascii="Arial" w:cs="Arial" w:eastAsia="Arial" w:hAnsi="Arial"/>
          <w:sz w:val="15"/>
          <w:szCs w:val="15"/>
          <w:color w:val="auto"/>
        </w:rPr>
      </w:pPr>
    </w:p>
    <w:p>
      <w:pPr>
        <w:ind w:left="467" w:right="500" w:hanging="467"/>
        <w:spacing w:after="0" w:line="282" w:lineRule="auto"/>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09"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effect of competing technological and market developments;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 including entering into licensing or collaboration arrangements for product candidates.</w:t>
      </w:r>
    </w:p>
    <w:p>
      <w:pPr>
        <w:spacing w:after="0" w:line="210" w:lineRule="exact"/>
        <w:rPr>
          <w:sz w:val="20"/>
          <w:szCs w:val="20"/>
          <w:color w:val="auto"/>
        </w:rPr>
      </w:pPr>
    </w:p>
    <w:p>
      <w:pPr>
        <w:ind w:left="7" w:right="40"/>
        <w:spacing w:after="0" w:line="282" w:lineRule="auto"/>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54" w:lineRule="exact"/>
        <w:rPr>
          <w:sz w:val="20"/>
          <w:szCs w:val="20"/>
          <w:color w:val="auto"/>
        </w:rPr>
      </w:pPr>
    </w:p>
    <w:p>
      <w:pPr>
        <w:ind w:left="7" w:right="420"/>
        <w:spacing w:after="0" w:line="270" w:lineRule="auto"/>
        <w:rPr>
          <w:sz w:val="20"/>
          <w:szCs w:val="20"/>
          <w:color w:val="auto"/>
        </w:rPr>
      </w:pPr>
      <w:r>
        <w:rPr>
          <w:rFonts w:ascii="Arial" w:cs="Arial" w:eastAsia="Arial" w:hAnsi="Arial"/>
          <w:sz w:val="15"/>
          <w:szCs w:val="15"/>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limited operating history may make it difficult for you to evaluate the success of our business to date and to assess our future viability.</w:t>
      </w:r>
    </w:p>
    <w:p>
      <w:pPr>
        <w:spacing w:after="0" w:line="195" w:lineRule="exact"/>
        <w:rPr>
          <w:sz w:val="20"/>
          <w:szCs w:val="20"/>
          <w:color w:val="auto"/>
        </w:rPr>
      </w:pPr>
    </w:p>
    <w:p>
      <w:pPr>
        <w:ind w:left="7" w:right="40"/>
        <w:spacing w:after="0" w:line="308" w:lineRule="auto"/>
        <w:rPr>
          <w:sz w:val="20"/>
          <w:szCs w:val="20"/>
          <w:color w:val="auto"/>
        </w:rPr>
      </w:pPr>
      <w:r>
        <w:rPr>
          <w:rFonts w:ascii="Arial" w:cs="Arial" w:eastAsia="Arial" w:hAnsi="Arial"/>
          <w:sz w:val="13"/>
          <w:szCs w:val="13"/>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All but one of our product candidates, SEL-212, are still in preclinical development. We completed the patient treatment portion of our Phase 1a clinical trial of pegsiticase, a component of SEL-212, our lead product candidate, but have not yet completed any other clinical trials for SEL-212 or any other product candidates. We have not yet demonstrated our ability to successfully complete any Phase 2 clinical trial or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quarter-to-quarter and year-to-year due to a variety of factors, many of which are beyond our control. Consequently, any predictions you make about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6630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future success or viability may not be as accurate as they could be if we had a longer operating history.</w:t>
      </w:r>
    </w:p>
    <w:p>
      <w:pPr>
        <w:spacing w:after="0" w:line="190" w:lineRule="exact"/>
        <w:rPr>
          <w:sz w:val="20"/>
          <w:szCs w:val="20"/>
          <w:color w:val="auto"/>
        </w:rPr>
      </w:pPr>
    </w:p>
    <w:p>
      <w:pPr>
        <w:ind w:right="280"/>
        <w:spacing w:after="0" w:line="277" w:lineRule="auto"/>
        <w:rPr>
          <w:sz w:val="20"/>
          <w:szCs w:val="20"/>
          <w:color w:val="auto"/>
        </w:rPr>
      </w:pPr>
      <w:r>
        <w:rPr>
          <w:rFonts w:ascii="Arial" w:cs="Arial" w:eastAsia="Arial" w:hAnsi="Arial"/>
          <w:sz w:val="15"/>
          <w:szCs w:val="15"/>
          <w:b w:val="1"/>
          <w:bCs w:val="1"/>
          <w:color w:val="auto"/>
        </w:rPr>
        <w:t>The terms of our credit facility and subsidiary's charter place restrictions on our operating and financial flexibility. If we raise additional capital through debt financing, the terms of any new debt could further restrict our ability to operate our business.</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We have a $12.0 million credit facility with Oxford Finance LLC, or Oxford, and Pacific Western Bank, as successor in interest to Square 1 Bank, that is secured by a lien covering substantially all of our personal property, excluding intellectual property. As of March 31, 2016, the outstanding principal balance under the credit facility was $12.0 million. The credit facility contains customary affirmative and negative covenants and events of default applicable to us and our subsidiaries. The affirmative covenants include, among others, covenants requiring us (and us to cause our subsidiaries) to maintain our legal existence and governmental approvals, deliver certain financial reports and notifications, maintain proper books of record and account, timely file and pay tax returns, maintain inventory and insurance coverage, maintain unrestricted cash in a control account equal to or greater than the lesser of 105% of all outstanding amounts under the credit facility and 100% of the cash and cash equivalents of our company and our wholly-owned subsidiary, Selecta Biosciences Security Corporation, and protect material intellectual property. The negative covenants include, among others, restrictions on us and our subsidiaries transferring collateral, changing businesses, dissolving, liquidating, engaging in mergers or acquisitions, adding new offices or locations, making certain organizational changes, incurring additional indebtedness, encumbering collateral, paying cash dividends or making other distributions, making investments, selling assets, undergoing a change in control, engaging in certain non-ordinary course material transactions with affiliates, and making certain payments or transfers to our subsidiary Selecta (RUS) LLC, or Selecta RUS, in each case subject to certain exceptions. If we default under the credit facility, Oxford, as collateral agent for the lenders,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declare a default upon the occurrence of any event that they interpret as a material adverse effect as defined under the credit facility,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addition, the charter of our subsidiary, Selecta RUS, prohibits distributions to us in violation of Russian law or if, as a result of such distribution, Selecta RUS would be insolvent or its net assets would be less than its charter capital and statutory reserves. Selecta RUS held $4.2 million of total cash in Russian banks as of March 31, 2016, including $1.5 million of cash and cash equivalents, $2.0 million of short-term deposits and $0.7 million of restricted cash.</w:t>
      </w:r>
    </w:p>
    <w:p>
      <w:pPr>
        <w:spacing w:after="0" w:line="151" w:lineRule="exact"/>
        <w:rPr>
          <w:sz w:val="20"/>
          <w:szCs w:val="20"/>
          <w:color w:val="auto"/>
        </w:rPr>
      </w:pPr>
    </w:p>
    <w:p>
      <w:pPr>
        <w:ind w:right="500"/>
        <w:spacing w:after="0" w:line="277" w:lineRule="auto"/>
        <w:rPr>
          <w:sz w:val="20"/>
          <w:szCs w:val="20"/>
          <w:color w:val="auto"/>
        </w:rPr>
      </w:pPr>
      <w:r>
        <w:rPr>
          <w:rFonts w:ascii="Arial" w:cs="Arial" w:eastAsia="Arial" w:hAnsi="Arial"/>
          <w:sz w:val="15"/>
          <w:szCs w:val="15"/>
          <w:b w:val="1"/>
          <w:bCs w:val="1"/>
          <w:color w:val="auto"/>
        </w:rPr>
        <w:t>Our ability to use our net operating loss and research and development tax credit carryforwards to offset future taxable income may be subject to certain limitations.</w:t>
      </w:r>
    </w:p>
    <w:p>
      <w:pPr>
        <w:spacing w:after="0" w:line="143"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As of December 31, 2015, we had net operating loss carryforwards, or NOLs, for federal and state income tax purposes of $82.4 million and $76.3 million, respectively, which may be available to offset our future taxable income, if any, at various times through 2035. At December 31, 2015, we had available federal and state research and development income tax credits of approximately $1.6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 w:name="page24"/>
    <w:bookmarkEnd w:id="2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61" w:lineRule="auto"/>
        <w:rPr>
          <w:sz w:val="20"/>
          <w:szCs w:val="20"/>
          <w:color w:val="auto"/>
        </w:rPr>
      </w:pPr>
      <w:r>
        <w:rPr>
          <w:rFonts w:ascii="Arial" w:cs="Arial" w:eastAsia="Arial" w:hAnsi="Arial"/>
          <w:sz w:val="15"/>
          <w:szCs w:val="15"/>
          <w:color w:val="auto"/>
        </w:rPr>
        <w:t>and $1.1 million, respectively, which may be available to reduce future income taxes, if any, at various times through 2035. Our federal NOLs begin to expire in 2028. In general, under Sections 382 and 383 of the U.S. Internal Revenue Code of 1986, as amended, or the Code, a corporation that undergoes an "ownership change" is subject to limitations on its ability to use its pre-change NOLs to offset future taxable income. If the U.S. Internal Revenue Service, or IRS, challenges our analysis that 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For these reasons, we may not be able to use a material portion of the NOLs reflected on our balance sheet, even if we attain profitability.</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THE DISCOVERY, DEVELOPMENT AND REGULATORY APPROVAL OF OUR PRODUCT CANDIDATES</w:t>
      </w:r>
    </w:p>
    <w:p>
      <w:pPr>
        <w:spacing w:after="0" w:line="187" w:lineRule="exact"/>
        <w:rPr>
          <w:sz w:val="20"/>
          <w:szCs w:val="20"/>
          <w:color w:val="auto"/>
        </w:rPr>
      </w:pPr>
    </w:p>
    <w:p>
      <w:pPr>
        <w:ind w:left="7" w:right="720"/>
        <w:spacing w:after="0" w:line="277" w:lineRule="auto"/>
        <w:rPr>
          <w:sz w:val="20"/>
          <w:szCs w:val="20"/>
          <w:color w:val="auto"/>
        </w:rPr>
      </w:pPr>
      <w:r>
        <w:rPr>
          <w:rFonts w:ascii="Arial" w:cs="Arial" w:eastAsia="Arial" w:hAnsi="Arial"/>
          <w:sz w:val="15"/>
          <w:szCs w:val="15"/>
          <w:b w:val="1"/>
          <w:bCs w:val="1"/>
          <w:color w:val="auto"/>
        </w:rPr>
        <w:t>We are very early in our clinical development efforts and may not be successful in our efforts to use our SVP technology to build a pipeline of product candidates and develop marketable drugs.</w:t>
      </w:r>
    </w:p>
    <w:p>
      <w:pPr>
        <w:spacing w:after="0" w:line="143" w:lineRule="exact"/>
        <w:rPr>
          <w:sz w:val="20"/>
          <w:szCs w:val="20"/>
          <w:color w:val="auto"/>
        </w:rPr>
      </w:pPr>
    </w:p>
    <w:p>
      <w:pPr>
        <w:ind w:left="7" w:right="80"/>
        <w:spacing w:after="0" w:line="261" w:lineRule="auto"/>
        <w:rPr>
          <w:sz w:val="20"/>
          <w:szCs w:val="20"/>
          <w:color w:val="auto"/>
        </w:rPr>
      </w:pPr>
      <w:r>
        <w:rPr>
          <w:rFonts w:ascii="Arial" w:cs="Arial" w:eastAsia="Arial" w:hAnsi="Arial"/>
          <w:sz w:val="15"/>
          <w:szCs w:val="15"/>
          <w:color w:val="auto"/>
        </w:rPr>
        <w:t>We are primarily using our SVP technology to improve and enable biologics that treat rare and serious diseases, with an initial focus on developing SEL-212 for the treatment of refractory and chronic tophaceous gout. While we believe our preclinical and clinical data to date, together with our collaborative relationships, have validated our technology to a degree, we are at an early stage of development and our technology has not yet led to, and may never lead to, approvable or marketable drugs. We are developing additional product candidates to address the problem of anti-drug antibodies, or ADAs, and immunogenicity in biologic therapy and to treat cancer and other infectious diseases and conditions that are not responsive to currently available vaccines. We may have problems applying our technologies to these other areas, and our new product candidates may not be as effective as our initial product candidates.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79" w:lineRule="exact"/>
        <w:rPr>
          <w:sz w:val="20"/>
          <w:szCs w:val="20"/>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completion of preclinical studies and clinical trials with positive results;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receipt of marketing approvals from applicable regulatory authorities;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obtaining and maintaining patent and trade secret protection and regulatory exclusivity for our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making arrangements with third party manufacturers for, or establishing, commercial manufacturing capabilities, or establishing such capabilities ourselves;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launching commercial sales of our products, if and when approved, whether alone or in collaboration with others;</w:t>
      </w:r>
    </w:p>
    <w:p>
      <w:pPr>
        <w:spacing w:after="0" w:line="209" w:lineRule="exact"/>
        <w:rPr>
          <w:rFonts w:ascii="Arial" w:cs="Arial" w:eastAsia="Arial" w:hAnsi="Arial"/>
          <w:sz w:val="15"/>
          <w:szCs w:val="15"/>
          <w:color w:val="auto"/>
        </w:rPr>
      </w:pPr>
    </w:p>
    <w:p>
      <w:pPr>
        <w:ind w:left="467" w:right="440" w:hanging="467"/>
        <w:spacing w:after="0" w:line="282" w:lineRule="auto"/>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existing collaboration agreements remaining in effect and our entering into new collaborations throughout the development process as appropriate, from preclinical studies through to commercialization;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acceptance of our products, if and when approved, by patients and the medical community;</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effectively competing with other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4" w:name="page25"/>
    <w:bookmarkEnd w:id="2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obtaining and maintaining coverage and adequate reimbursement by third-party payors, including government payors, for our products, if approved;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protecting our rights in our intellectual property portfolio;</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operating without infringing or violating the valid and enforceable patents or other intellectual property of third parties;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maintaining an acceptable safety profile of our products following approval;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maintaining and growing an organization of scientists and business people who can develop and commercialize our product candidates and technology.</w:t>
      </w:r>
    </w:p>
    <w:p>
      <w:pPr>
        <w:spacing w:after="0" w:line="198" w:lineRule="exact"/>
        <w:rPr>
          <w:sz w:val="20"/>
          <w:szCs w:val="20"/>
          <w:color w:val="auto"/>
        </w:rPr>
      </w:pPr>
    </w:p>
    <w:p>
      <w:pPr>
        <w:ind w:left="7" w:right="500"/>
        <w:spacing w:after="0" w:line="282" w:lineRule="auto"/>
        <w:rPr>
          <w:sz w:val="20"/>
          <w:szCs w:val="20"/>
          <w:color w:val="auto"/>
        </w:rPr>
      </w:pPr>
      <w:r>
        <w:rPr>
          <w:rFonts w:ascii="Arial" w:cs="Arial" w:eastAsia="Arial" w:hAnsi="Arial"/>
          <w:sz w:val="15"/>
          <w:szCs w:val="15"/>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42" w:lineRule="exact"/>
        <w:rPr>
          <w:sz w:val="20"/>
          <w:szCs w:val="20"/>
          <w:color w:val="auto"/>
        </w:rPr>
      </w:pPr>
    </w:p>
    <w:p>
      <w:pPr>
        <w:ind w:left="7" w:right="200"/>
        <w:spacing w:after="0" w:line="277" w:lineRule="auto"/>
        <w:rPr>
          <w:sz w:val="20"/>
          <w:szCs w:val="20"/>
          <w:color w:val="auto"/>
        </w:rPr>
      </w:pPr>
      <w:r>
        <w:rPr>
          <w:rFonts w:ascii="Arial" w:cs="Arial" w:eastAsia="Arial" w:hAnsi="Arial"/>
          <w:sz w:val="15"/>
          <w:szCs w:val="15"/>
          <w:b w:val="1"/>
          <w:bCs w:val="1"/>
          <w:color w:val="auto"/>
        </w:rPr>
        <w:t>Our product candidates are based on our SVP technology, which is an unproven approach designed to induce antigen-specific immune tolerance to biologic drugs or stimulate the immune system.</w:t>
      </w:r>
    </w:p>
    <w:p>
      <w:pPr>
        <w:spacing w:after="0" w:line="143" w:lineRule="exact"/>
        <w:rPr>
          <w:sz w:val="20"/>
          <w:szCs w:val="20"/>
          <w:color w:val="auto"/>
        </w:rPr>
      </w:pPr>
    </w:p>
    <w:p>
      <w:pPr>
        <w:ind w:left="7" w:right="240"/>
        <w:spacing w:after="0" w:line="266" w:lineRule="auto"/>
        <w:rPr>
          <w:sz w:val="20"/>
          <w:szCs w:val="20"/>
          <w:color w:val="auto"/>
        </w:rPr>
      </w:pPr>
      <w:r>
        <w:rPr>
          <w:rFonts w:ascii="Arial" w:cs="Arial" w:eastAsia="Arial" w:hAnsi="Arial"/>
          <w:sz w:val="15"/>
          <w:szCs w:val="15"/>
          <w:color w:val="auto"/>
        </w:rPr>
        <w:t>All of our product candidates are derived from our SVP technology, which is an unproven approach to inducing antigen-specific tolerance or stimulating the immune system. In addition, SEL-212, our lead product candidate, uses pegsiticase, a biologic, which we source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a result, we cannot be certain that our approach, or our development of SEL-212, will lead to the development or approval of marketable products. In addition:</w:t>
      </w:r>
    </w:p>
    <w:p>
      <w:pPr>
        <w:spacing w:after="0" w:line="210" w:lineRule="exact"/>
        <w:rPr>
          <w:sz w:val="20"/>
          <w:szCs w:val="20"/>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due to the unproven nature of our SVP therapeutics, they may have different efficacy and safety rates in various indications;</w:t>
      </w:r>
    </w:p>
    <w:p>
      <w:pPr>
        <w:spacing w:after="0" w:line="209" w:lineRule="exact"/>
        <w:rPr>
          <w:rFonts w:ascii="Arial" w:cs="Arial" w:eastAsia="Arial" w:hAnsi="Arial"/>
          <w:sz w:val="15"/>
          <w:szCs w:val="15"/>
          <w:color w:val="auto"/>
        </w:rPr>
      </w:pPr>
    </w:p>
    <w:p>
      <w:pPr>
        <w:ind w:left="467" w:right="180" w:hanging="467"/>
        <w:spacing w:after="0" w:line="270" w:lineRule="auto"/>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FDA or other regulatory agencies may lack experience in evaluating the efficacy and safety of products based on SVP or a biologic sourced from China or other jurisdictions, which could result in a longer-than-expected regulatory review process, increase our expected development costs or delay or prevent commercialization of our product candidates; and</w:t>
      </w:r>
    </w:p>
    <w:p>
      <w:pPr>
        <w:spacing w:after="0" w:line="182" w:lineRule="exact"/>
        <w:rPr>
          <w:rFonts w:ascii="Arial" w:cs="Arial" w:eastAsia="Arial" w:hAnsi="Arial"/>
          <w:sz w:val="15"/>
          <w:szCs w:val="15"/>
          <w:color w:val="auto"/>
        </w:rPr>
      </w:pPr>
    </w:p>
    <w:p>
      <w:pPr>
        <w:ind w:left="467" w:right="300" w:hanging="467"/>
        <w:spacing w:after="0" w:line="362" w:lineRule="auto"/>
        <w:tabs>
          <w:tab w:leader="none" w:pos="467"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 the event of a biologics license application for SEL-212 or another product and a pre-approval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10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occurrence of any of the foregoing, would effectively prevent or delay approval of our lead and other product candidates.</w:t>
      </w:r>
    </w:p>
    <w:p>
      <w:pPr>
        <w:spacing w:after="0" w:line="190" w:lineRule="exact"/>
        <w:rPr>
          <w:sz w:val="20"/>
          <w:szCs w:val="20"/>
          <w:color w:val="auto"/>
        </w:rPr>
      </w:pPr>
    </w:p>
    <w:p>
      <w:pPr>
        <w:ind w:left="7" w:right="240"/>
        <w:spacing w:after="0" w:line="277" w:lineRule="auto"/>
        <w:rPr>
          <w:sz w:val="20"/>
          <w:szCs w:val="20"/>
          <w:color w:val="auto"/>
        </w:rPr>
      </w:pPr>
      <w:r>
        <w:rPr>
          <w:rFonts w:ascii="Arial" w:cs="Arial" w:eastAsia="Arial" w:hAnsi="Arial"/>
          <w:sz w:val="15"/>
          <w:szCs w:val="15"/>
          <w:b w:val="1"/>
          <w:b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143"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Because we have limited financial and management resources, we focus on a limited number of research programs and product candidates and are currently principally focused on SEL-212. As a result, we may forego or delay our pursuit of opportunities with other product candidates or for other indications that later prove to have greater commercial potential. Our resource-allocation decisions may cause us to fail to capitalize on viable commercial drugs or profitable market opportunities.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 collaboration, licensing or other arrangements, in cases in which it would have been more advantageous for us to retain sole development and commercialization rights.</w:t>
      </w:r>
    </w:p>
    <w:p>
      <w:pPr>
        <w:spacing w:after="0" w:line="154" w:lineRule="exact"/>
        <w:rPr>
          <w:sz w:val="20"/>
          <w:szCs w:val="20"/>
          <w:color w:val="auto"/>
        </w:rPr>
      </w:pPr>
    </w:p>
    <w:p>
      <w:pPr>
        <w:ind w:right="580"/>
        <w:spacing w:after="0" w:line="277" w:lineRule="auto"/>
        <w:rPr>
          <w:sz w:val="20"/>
          <w:szCs w:val="20"/>
          <w:color w:val="auto"/>
        </w:rPr>
      </w:pPr>
      <w:r>
        <w:rPr>
          <w:rFonts w:ascii="Arial" w:cs="Arial" w:eastAsia="Arial" w:hAnsi="Arial"/>
          <w:sz w:val="15"/>
          <w:szCs w:val="15"/>
          <w:b w:val="1"/>
          <w:b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3"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Aside from SEL-212,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SEL-212 is currently being evaluated in a Phase 1/2 clinical program that includes a Phase 1a and Phase 1b clinical trial. As of June 3, 2016, on a combined basis, we had dosed a total of 70 subjects with either SEL-212 (SVP-Rapamycin and pegsiticase), SVP-Rapamycin alone or pegsiticase alone in the Phase 1a and Phase 1b clinical trials. We expect to receive final data from both Phase 1 clinical trials in the second half of 2016. Based on preliminary results from the Phase 1 clinical trials, we have generally observed that SEL-212 and its components, SVP-Rapamycin and pegsiticase, have been well tolerated. There can be no assurance, however, that these preliminary results will be predictive of the final results of the trial. Moreover, the biological effect observed in this trial has been observed only in the subjects of the trial, and is not statistically significant and might not be observed in any other patients treated with SEL-212 or its components, SVP-Rapamycin and pegsiticase. As of June 3, 2016, there have been two serious adverse events, or SAEs, in the Phase 1 clinical trials. One SAE occurred in a</w:t>
      </w:r>
    </w:p>
    <w:p>
      <w:pPr>
        <w:spacing w:after="0" w:line="3"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62 year-old male who received a dose level of pegsiticase alone of 0.4 mg/kg. This subject developed atrial fibrillation 13 days after administration of pegsiticase. The subject was treated and the medical records from the principal investigator indicate that this subject has recovered. The principal investigator has deemed this SAE to not have been related to the study drug, pegsiticase. The second SAE occurred in a 59 year-old male who developed a pruritic rash on his lower extremities and joint pain approximately 12 days after being dosed with SEL-212, consisting of a dose level of SVP-Rapamycin of 0.1 mg/kg and a dose level of pegsiticase of 0.4 mg/kg. This subject was treated with steroids, analgesics, anti-nausea medications and topical antihistamine cream. Following treatment, the medical records from the principal investigator indicate that the rash and joint pain experienced by the subject have been resolved. The principal investigator classified this second SAE as having been possibly related to the study drug, SEL-212. We can provide no assurance that additional SAEs or similar events will not arise in the course of our development of SEL-212 or other product candidates.</w:t>
      </w:r>
    </w:p>
    <w:p>
      <w:pPr>
        <w:spacing w:after="0" w:line="153"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We had a prior SVP-nicotine product candidate, which entered clinical development after a promising preclinical program. However, results from a Phase 1 clinical trial conducted in smokers and non-smokers with this product candidate showed that nicotine-specific antibodies were induced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6" w:name="page27"/>
    <w:bookmarkEnd w:id="2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80"/>
        <w:spacing w:after="0" w:line="310" w:lineRule="auto"/>
        <w:rPr>
          <w:sz w:val="20"/>
          <w:szCs w:val="20"/>
          <w:color w:val="auto"/>
        </w:rPr>
      </w:pPr>
      <w:r>
        <w:rPr>
          <w:rFonts w:ascii="Arial" w:cs="Arial" w:eastAsia="Arial" w:hAnsi="Arial"/>
          <w:sz w:val="13"/>
          <w:szCs w:val="13"/>
          <w:color w:val="auto"/>
        </w:rPr>
        <w:t>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139"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We expect to conduct more than one Phase 3 trial for SEL-212 in the refractory gout indication in order to gain approval. Additional clinical trials could cause us to incur significant development costs, delay or prevent the commercialization of SEL-212 or otherwise adversely affect our business.</w:t>
      </w:r>
    </w:p>
    <w:p>
      <w:pPr>
        <w:spacing w:after="0" w:line="167"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We may experience numerous unforeseen events during, or as a result of, clinical trials that could delay or prevent our ability to receive marketing approval for, or commercialize, our product candidates, including:</w:t>
      </w:r>
    </w:p>
    <w:p>
      <w:pPr>
        <w:spacing w:after="0" w:line="162" w:lineRule="exact"/>
        <w:rPr>
          <w:sz w:val="20"/>
          <w:szCs w:val="20"/>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regulators or institutional review boards may not authorize us or our investigators to commence a clinical trial or conduct a clinical trial at a prospective trial site;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terms with contract research organizations, or CROs, or clinical trial sites;</w:t>
      </w:r>
    </w:p>
    <w:p>
      <w:pPr>
        <w:spacing w:after="0" w:line="209" w:lineRule="exact"/>
        <w:rPr>
          <w:rFonts w:ascii="Arial" w:cs="Arial" w:eastAsia="Arial" w:hAnsi="Arial"/>
          <w:sz w:val="15"/>
          <w:szCs w:val="15"/>
          <w:color w:val="auto"/>
        </w:rPr>
      </w:pPr>
    </w:p>
    <w:p>
      <w:pPr>
        <w:ind w:left="467" w:hanging="467"/>
        <w:spacing w:after="0" w:line="282" w:lineRule="auto"/>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third-party contractors may fail to comply with regulatory requirements or meet their contractual obligations to us in a timely manner, or at all;</w:t>
      </w:r>
    </w:p>
    <w:p>
      <w:pPr>
        <w:spacing w:after="0" w:line="221" w:lineRule="exact"/>
        <w:rPr>
          <w:rFonts w:ascii="Arial" w:cs="Arial" w:eastAsia="Arial" w:hAnsi="Arial"/>
          <w:sz w:val="15"/>
          <w:szCs w:val="15"/>
          <w:color w:val="auto"/>
        </w:rPr>
      </w:pPr>
    </w:p>
    <w:p>
      <w:pPr>
        <w:ind w:left="467" w:right="180" w:hanging="467"/>
        <w:spacing w:after="0" w:line="282" w:lineRule="auto"/>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may have to suspend or terminate clinical trials of our product candidates for various reasons, including a finding that the participants are being exposed to unacceptable health risks;</w:t>
      </w:r>
    </w:p>
    <w:p>
      <w:pPr>
        <w:spacing w:after="0" w:line="162" w:lineRule="exact"/>
        <w:rPr>
          <w:rFonts w:ascii="Arial" w:cs="Arial" w:eastAsia="Arial" w:hAnsi="Arial"/>
          <w:sz w:val="15"/>
          <w:szCs w:val="15"/>
          <w:color w:val="auto"/>
        </w:rPr>
      </w:pPr>
    </w:p>
    <w:p>
      <w:pPr>
        <w:ind w:left="467" w:right="300" w:hanging="467"/>
        <w:spacing w:after="0" w:line="319" w:lineRule="auto"/>
        <w:tabs>
          <w:tab w:leader="none" w:pos="467"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investigators, regulators, data safety monitoring boards or institutional review boards may require that we or our investigators suspend or terminate clinical research, or we may decide to do so 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pacing w:after="0" w:line="143" w:lineRule="exact"/>
        <w:rPr>
          <w:rFonts w:ascii="Arial" w:cs="Arial" w:eastAsia="Arial" w:hAnsi="Arial"/>
          <w:sz w:val="13"/>
          <w:szCs w:val="13"/>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cost of clinical trials of our product candidates may be greater than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7" w:name="page28"/>
    <w:bookmarkEnd w:id="2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supply or quality of our product candidates or other materials necessary to conduct clinical trials of our product candidates may be insufficient or inadequate;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regulators may revise the requirements for approving our product candidates, or such requirements may not be as we expect; and</w:t>
      </w:r>
    </w:p>
    <w:p>
      <w:pPr>
        <w:spacing w:after="0" w:line="209" w:lineRule="exact"/>
        <w:rPr>
          <w:rFonts w:ascii="Arial" w:cs="Arial" w:eastAsia="Arial" w:hAnsi="Arial"/>
          <w:sz w:val="15"/>
          <w:szCs w:val="15"/>
          <w:color w:val="auto"/>
        </w:rPr>
      </w:pPr>
    </w:p>
    <w:p>
      <w:pPr>
        <w:ind w:left="467" w:right="580" w:hanging="467"/>
        <w:spacing w:after="0" w:line="282" w:lineRule="auto"/>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51" w:lineRule="exact"/>
        <w:rPr>
          <w:sz w:val="20"/>
          <w:szCs w:val="20"/>
          <w:color w:val="auto"/>
        </w:rPr>
      </w:pPr>
    </w:p>
    <w:p>
      <w:pPr>
        <w:ind w:left="7" w:right="20"/>
        <w:spacing w:after="0" w:line="319"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40" w:lineRule="exact"/>
        <w:rPr>
          <w:sz w:val="20"/>
          <w:szCs w:val="20"/>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be delayed in obtaining marketing approval for our product candidates, if at all;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lose the support of collaborators, requiring us to bear more of the burden of research and development;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not obtain marketing approval at all;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 marketing approval in some countries and not in others;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 approval for indications or patient populations that are not as broad as intended or desired;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 approval with labeling that includes significant use or distribution restrictions or safety warnings;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be subject to additional post-marketing testing requirements;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have a product removed from the market after obtaining marketing approval.</w:t>
      </w:r>
    </w:p>
    <w:p>
      <w:pPr>
        <w:spacing w:after="0" w:line="198" w:lineRule="exact"/>
        <w:rPr>
          <w:sz w:val="20"/>
          <w:szCs w:val="20"/>
          <w:color w:val="auto"/>
        </w:rPr>
      </w:pPr>
    </w:p>
    <w:p>
      <w:pPr>
        <w:jc w:val="both"/>
        <w:ind w:left="7" w:right="20"/>
        <w:spacing w:after="0" w:line="266" w:lineRule="auto"/>
        <w:rPr>
          <w:sz w:val="20"/>
          <w:szCs w:val="20"/>
          <w:color w:val="auto"/>
        </w:rPr>
      </w:pPr>
      <w:r>
        <w:rPr>
          <w:rFonts w:ascii="Arial" w:cs="Arial" w:eastAsia="Arial" w:hAnsi="Arial"/>
          <w:sz w:val="15"/>
          <w:szCs w:val="15"/>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54" w:lineRule="exact"/>
        <w:rPr>
          <w:sz w:val="20"/>
          <w:szCs w:val="20"/>
          <w:color w:val="auto"/>
        </w:rPr>
      </w:pPr>
    </w:p>
    <w:p>
      <w:pPr>
        <w:ind w:left="7" w:right="780"/>
        <w:spacing w:after="0" w:line="277" w:lineRule="auto"/>
        <w:rPr>
          <w:sz w:val="20"/>
          <w:szCs w:val="20"/>
          <w:color w:val="auto"/>
        </w:rPr>
      </w:pPr>
      <w:r>
        <w:rPr>
          <w:rFonts w:ascii="Arial" w:cs="Arial" w:eastAsia="Arial" w:hAnsi="Arial"/>
          <w:sz w:val="15"/>
          <w:szCs w:val="15"/>
          <w:b w:val="1"/>
          <w:bCs w:val="1"/>
          <w:color w:val="auto"/>
        </w:rPr>
        <w:t>If we experience delays or difficulties in the enrollment of patients in clinical trials, our receipt of necessary regulatory approvals could be delayed or prevented.</w:t>
      </w:r>
    </w:p>
    <w:p>
      <w:pPr>
        <w:spacing w:after="0" w:line="143" w:lineRule="exact"/>
        <w:rPr>
          <w:sz w:val="20"/>
          <w:szCs w:val="20"/>
          <w:color w:val="auto"/>
        </w:rPr>
      </w:pPr>
    </w:p>
    <w:p>
      <w:pPr>
        <w:ind w:left="7"/>
        <w:spacing w:after="0" w:line="330" w:lineRule="auto"/>
        <w:rPr>
          <w:sz w:val="20"/>
          <w:szCs w:val="20"/>
          <w:color w:val="auto"/>
        </w:rPr>
      </w:pPr>
      <w:r>
        <w:rPr>
          <w:rFonts w:ascii="Arial" w:cs="Arial" w:eastAsia="Arial" w:hAnsi="Arial"/>
          <w:sz w:val="13"/>
          <w:szCs w:val="13"/>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25"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are initially developing our lead product candidate, SEL-212, for the treatment of chronic refractory gout, which affects approximately 50,000 patients in the United States. Accordingly, there is a limited number of patients who could enroll in our clinical studies.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to the size of the patient population, patient enrollment is also affected by other factors including:</w:t>
      </w:r>
    </w:p>
    <w:p>
      <w:pPr>
        <w:spacing w:after="0" w:line="210" w:lineRule="exact"/>
        <w:rPr>
          <w:sz w:val="20"/>
          <w:szCs w:val="20"/>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severity of the disease under investigation;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patient eligibility criteria for the study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8" w:name="page29"/>
    <w:bookmarkEnd w:id="2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perceived risks and benefits of the product candidate under study;</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availability of other treatments for the disease under investigation;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existence of competing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efforts to facilitate timely enrollment in clinical trials;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payments for participating in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patient referral practices of physicians;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nature of the trial protocol;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ability to monitor patients adequately during and after treatment;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proximity and availability of clinical trial sites for prospective patients.</w:t>
      </w:r>
    </w:p>
    <w:p>
      <w:pPr>
        <w:spacing w:after="0" w:line="198"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51" w:lineRule="exact"/>
        <w:rPr>
          <w:sz w:val="20"/>
          <w:szCs w:val="20"/>
          <w:color w:val="auto"/>
        </w:rPr>
      </w:pPr>
    </w:p>
    <w:p>
      <w:pPr>
        <w:ind w:left="7" w:right="120"/>
        <w:spacing w:after="0" w:line="277" w:lineRule="auto"/>
        <w:rPr>
          <w:sz w:val="20"/>
          <w:szCs w:val="20"/>
          <w:color w:val="auto"/>
        </w:rPr>
      </w:pPr>
      <w:r>
        <w:rPr>
          <w:rFonts w:ascii="Arial" w:cs="Arial" w:eastAsia="Arial" w:hAnsi="Arial"/>
          <w:sz w:val="15"/>
          <w:szCs w:val="15"/>
          <w:b w:val="1"/>
          <w:b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143" w:lineRule="exact"/>
        <w:rPr>
          <w:sz w:val="20"/>
          <w:szCs w:val="20"/>
          <w:color w:val="auto"/>
        </w:rPr>
      </w:pPr>
    </w:p>
    <w:p>
      <w:pPr>
        <w:ind w:left="7"/>
        <w:spacing w:after="0" w:line="281"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157" w:lineRule="exact"/>
        <w:rPr>
          <w:sz w:val="20"/>
          <w:szCs w:val="20"/>
          <w:color w:val="auto"/>
        </w:rPr>
      </w:pPr>
    </w:p>
    <w:p>
      <w:pPr>
        <w:ind w:left="7" w:right="120"/>
        <w:spacing w:after="0" w:line="308" w:lineRule="auto"/>
        <w:rPr>
          <w:sz w:val="20"/>
          <w:szCs w:val="20"/>
          <w:color w:val="auto"/>
        </w:rPr>
      </w:pPr>
      <w:r>
        <w:rPr>
          <w:rFonts w:ascii="Arial" w:cs="Arial" w:eastAsia="Arial" w:hAnsi="Arial"/>
          <w:sz w:val="13"/>
          <w:szCs w:val="13"/>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6630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Although the FDA and other regulatory authorities have approved nanotechnology-based therapeutics in the past, they are monitoring whether nanotechnology-based therapeutics pose any specific health and human safety risks. While they have not issued any regulations to date, it is possible that the FDA and other regulatory authorities could issue regulations in the future regarding nanotechnology-based therapeutics that could adversely affect our product candidates.</w:t>
      </w:r>
    </w:p>
    <w:p>
      <w:pPr>
        <w:spacing w:after="0" w:line="159"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42" w:lineRule="exact"/>
        <w:rPr>
          <w:sz w:val="20"/>
          <w:szCs w:val="20"/>
          <w:color w:val="auto"/>
        </w:rPr>
      </w:pPr>
    </w:p>
    <w:p>
      <w:pPr>
        <w:ind w:right="340"/>
        <w:spacing w:after="0" w:line="277" w:lineRule="auto"/>
        <w:rPr>
          <w:sz w:val="20"/>
          <w:szCs w:val="20"/>
          <w:color w:val="auto"/>
        </w:rPr>
      </w:pPr>
      <w:r>
        <w:rPr>
          <w:rFonts w:ascii="Arial" w:cs="Arial" w:eastAsia="Arial" w:hAnsi="Arial"/>
          <w:sz w:val="15"/>
          <w:szCs w:val="15"/>
          <w:b w:val="1"/>
          <w:b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Regulatory authorities in some jurisdictions, including the United States and Europe, may designate drugs for relatively small patient populations as orphan drugs. We expect to seek orphan drug designation for several of our product candidates, although we have not yet applied for or obtained such designation.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67"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In the United States, orphan designation entitles a party to financial incentives such as opportunities for grant funding towards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 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 Our competitors, including Horizon Pharma plc, may seek orphan drug status for the same biologic or drug for the same indication as our product candidates. In this regard, Krystexxa previously obtained orphan drug status for chronic refractory gout, although the exclusivity period has lapsed. However, Krystexxa could in the future obtain orphan drug status for chronic tophaceous gout, an indication we plan to pursue.</w:t>
      </w:r>
    </w:p>
    <w:p>
      <w:pPr>
        <w:spacing w:after="0" w:line="154" w:lineRule="exact"/>
        <w:rPr>
          <w:sz w:val="20"/>
          <w:szCs w:val="20"/>
          <w:color w:val="auto"/>
        </w:rPr>
      </w:pPr>
    </w:p>
    <w:p>
      <w:pPr>
        <w:ind w:right="400"/>
        <w:spacing w:after="0" w:line="282" w:lineRule="auto"/>
        <w:rPr>
          <w:sz w:val="20"/>
          <w:szCs w:val="20"/>
          <w:color w:val="auto"/>
        </w:rPr>
      </w:pPr>
      <w:r>
        <w:rPr>
          <w:rFonts w:ascii="Arial" w:cs="Arial" w:eastAsia="Arial" w:hAnsi="Arial"/>
          <w:sz w:val="15"/>
          <w:szCs w:val="15"/>
          <w:color w:val="auto"/>
        </w:rPr>
        <w:t>The applicable exclusivity period is ten years in Europe, but such exclusivity period can be reduced to six years if a product no longer meets the criteria for orphan designation or if the product is sufficiently profitable so that market exclusivity is no longer justified.</w:t>
      </w:r>
    </w:p>
    <w:p>
      <w:pPr>
        <w:spacing w:after="0" w:line="151"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0" w:name="page31"/>
    <w:bookmarkEnd w:id="3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right="40"/>
        <w:spacing w:after="0" w:line="277" w:lineRule="auto"/>
        <w:rPr>
          <w:sz w:val="20"/>
          <w:szCs w:val="20"/>
          <w:color w:val="auto"/>
        </w:rPr>
      </w:pPr>
      <w:r>
        <w:rPr>
          <w:rFonts w:ascii="Arial" w:cs="Arial" w:eastAsia="Arial" w:hAnsi="Arial"/>
          <w:sz w:val="15"/>
          <w:szCs w:val="15"/>
          <w:b w:val="1"/>
          <w:b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43" w:lineRule="exact"/>
        <w:rPr>
          <w:sz w:val="20"/>
          <w:szCs w:val="20"/>
          <w:color w:val="auto"/>
        </w:rPr>
      </w:pPr>
    </w:p>
    <w:p>
      <w:pPr>
        <w:jc w:val="both"/>
        <w:ind w:left="7" w:right="80"/>
        <w:spacing w:after="0" w:line="263" w:lineRule="auto"/>
        <w:rPr>
          <w:sz w:val="20"/>
          <w:szCs w:val="20"/>
          <w:color w:val="auto"/>
        </w:rPr>
      </w:pPr>
      <w:r>
        <w:rPr>
          <w:rFonts w:ascii="Arial" w:cs="Arial" w:eastAsia="Arial" w:hAnsi="Arial"/>
          <w:sz w:val="15"/>
          <w:szCs w:val="15"/>
          <w:color w:val="auto"/>
        </w:rPr>
        <w:t>We may in the future seek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7"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61" w:lineRule="exact"/>
        <w:rPr>
          <w:sz w:val="20"/>
          <w:szCs w:val="20"/>
          <w:color w:val="auto"/>
        </w:rPr>
      </w:pPr>
    </w:p>
    <w:p>
      <w:pPr>
        <w:ind w:left="7" w:right="40"/>
        <w:spacing w:after="0" w:line="277" w:lineRule="auto"/>
        <w:rPr>
          <w:sz w:val="20"/>
          <w:szCs w:val="20"/>
          <w:color w:val="auto"/>
        </w:rPr>
      </w:pPr>
      <w:r>
        <w:rPr>
          <w:rFonts w:ascii="Arial" w:cs="Arial" w:eastAsia="Arial" w:hAnsi="Arial"/>
          <w:sz w:val="15"/>
          <w:szCs w:val="15"/>
          <w:b w:val="1"/>
          <w:b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3" w:lineRule="exact"/>
        <w:rPr>
          <w:sz w:val="20"/>
          <w:szCs w:val="20"/>
          <w:color w:val="auto"/>
        </w:rPr>
      </w:pPr>
    </w:p>
    <w:p>
      <w:pPr>
        <w:ind w:left="7" w:right="100"/>
        <w:spacing w:after="0" w:line="310" w:lineRule="auto"/>
        <w:rPr>
          <w:sz w:val="20"/>
          <w:szCs w:val="20"/>
          <w:color w:val="auto"/>
        </w:rPr>
      </w:pPr>
      <w:r>
        <w:rPr>
          <w:rFonts w:ascii="Arial" w:cs="Arial" w:eastAsia="Arial" w:hAnsi="Arial"/>
          <w:sz w:val="13"/>
          <w:szCs w:val="13"/>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139"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regulatory authorities may withdraw approvals of such product;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regulatory authorities may require additional warnings on the product's label;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31" w:name="page32"/>
    <w:bookmarkEnd w:id="3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may be required to create a medication guide outlining the risks of such side effects for distribution to patients;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could be sued and held liable for harm caused to patients;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reputation may suffer.</w:t>
      </w:r>
    </w:p>
    <w:p>
      <w:pPr>
        <w:spacing w:after="0" w:line="198"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Any of these events could prevent us from achieving or maintaining market acceptance of the particular product candidate, if approved, and could significantly harm our business, results of operations and prospects.</w:t>
      </w:r>
    </w:p>
    <w:p>
      <w:pPr>
        <w:spacing w:after="0" w:line="151"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risk-benefit perspective, any of which would harm our business.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DEPENDENCE ON THIRD PARTIES AND MANUFACTURING</w:t>
      </w:r>
    </w:p>
    <w:p>
      <w:pPr>
        <w:spacing w:after="0" w:line="187" w:lineRule="exact"/>
        <w:rPr>
          <w:sz w:val="20"/>
          <w:szCs w:val="20"/>
          <w:color w:val="auto"/>
        </w:rPr>
      </w:pPr>
    </w:p>
    <w:p>
      <w:pPr>
        <w:ind w:left="7" w:right="160"/>
        <w:spacing w:after="0" w:line="253" w:lineRule="auto"/>
        <w:rPr>
          <w:sz w:val="20"/>
          <w:szCs w:val="20"/>
          <w:color w:val="auto"/>
        </w:rPr>
      </w:pPr>
      <w:r>
        <w:rPr>
          <w:rFonts w:ascii="Arial" w:cs="Arial" w:eastAsia="Arial" w:hAnsi="Arial"/>
          <w:sz w:val="15"/>
          <w:szCs w:val="15"/>
          <w:b w:val="1"/>
          <w:bCs w:val="1"/>
          <w:color w:val="auto"/>
        </w:rPr>
        <w:t>We rely on 3SBio in China as our sole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161"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We obtain the biologic pegsiticase, a component of SEL-212, our lead product candidate, from 3SBio in China. Under our license agreement with 3SBio, we are not permitted to manufacture pegisticase and, as a result, expect to continue to rely on 3SBio for our supply of pegsiticase for the foreseeable future. Although we intend to seek to secure a backup supplier outside of China, we cannot assure you that we will be able to do so on acceptable terms.</w:t>
      </w:r>
    </w:p>
    <w:p>
      <w:pPr>
        <w:spacing w:after="0" w:line="159" w:lineRule="exact"/>
        <w:rPr>
          <w:sz w:val="20"/>
          <w:szCs w:val="20"/>
          <w:color w:val="auto"/>
        </w:rPr>
      </w:pPr>
    </w:p>
    <w:p>
      <w:pPr>
        <w:ind w:left="7"/>
        <w:spacing w:after="0" w:line="305" w:lineRule="auto"/>
        <w:rPr>
          <w:sz w:val="20"/>
          <w:szCs w:val="20"/>
          <w:color w:val="auto"/>
        </w:rPr>
      </w:pPr>
      <w:r>
        <w:rPr>
          <w:rFonts w:ascii="Arial" w:cs="Arial" w:eastAsia="Arial" w:hAnsi="Arial"/>
          <w:sz w:val="13"/>
          <w:szCs w:val="13"/>
          <w:color w:val="auto"/>
        </w:rPr>
        <w:t>Any disruption in production or inability of 3SBio in China to produce adequate quantities of pegsiticase to meet our needs, whether as a result of a natural disaster or other causes, could impair our ability to operate our business on a day-to-day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43" w:lineRule="exact"/>
        <w:rPr>
          <w:sz w:val="20"/>
          <w:szCs w:val="20"/>
          <w:color w:val="auto"/>
        </w:rPr>
      </w:pPr>
    </w:p>
    <w:p>
      <w:pPr>
        <w:ind w:left="7" w:right="40"/>
        <w:spacing w:after="0" w:line="282" w:lineRule="auto"/>
        <w:rPr>
          <w:sz w:val="20"/>
          <w:szCs w:val="20"/>
          <w:color w:val="auto"/>
        </w:rPr>
      </w:pPr>
      <w:r>
        <w:rPr>
          <w:rFonts w:ascii="Arial" w:cs="Arial" w:eastAsia="Arial" w:hAnsi="Arial"/>
          <w:sz w:val="15"/>
          <w:szCs w:val="15"/>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2" w:name="page33"/>
    <w:bookmarkEnd w:id="3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51" w:lineRule="exact"/>
        <w:rPr>
          <w:sz w:val="20"/>
          <w:szCs w:val="20"/>
          <w:color w:val="auto"/>
        </w:rPr>
      </w:pPr>
    </w:p>
    <w:p>
      <w:pPr>
        <w:ind w:left="7" w:right="400"/>
        <w:spacing w:after="0" w:line="282" w:lineRule="auto"/>
        <w:rPr>
          <w:sz w:val="20"/>
          <w:szCs w:val="20"/>
          <w:color w:val="auto"/>
        </w:rPr>
      </w:pPr>
      <w:r>
        <w:rPr>
          <w:rFonts w:ascii="Arial" w:cs="Arial" w:eastAsia="Arial" w:hAnsi="Arial"/>
          <w:sz w:val="15"/>
          <w:szCs w:val="15"/>
          <w:color w:val="auto"/>
        </w:rPr>
        <w:t>We may be unable to establish any agreements with third-party manufacturers on acceptable terms or at all. Even if we are able to establish agreements with third-party manufacturers, reliance on third-party manufacturers entails additional risks, including the:</w:t>
      </w:r>
    </w:p>
    <w:p>
      <w:pPr>
        <w:spacing w:after="0" w:line="162" w:lineRule="exact"/>
        <w:rPr>
          <w:sz w:val="20"/>
          <w:szCs w:val="20"/>
          <w:color w:val="auto"/>
        </w:rPr>
      </w:pPr>
    </w:p>
    <w:p>
      <w:pPr>
        <w:ind w:left="467" w:right="280" w:hanging="467"/>
        <w:spacing w:after="0" w:line="282"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inability, failure or unwillingness of third-party manufacturers to comply with regulatory requirements, maintain quality assurance, meet our needs, specifications or schedules or continue to supply products to 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reduced control we have over product development, including with respect to our lead product candidate, due to our reliance on such third-party manufacturers,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breach of manufacturing agreements by the third-party manufacturers;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misappropriation or disclosure of our proprietary information, including our trade secrets and know-how;</w:t>
      </w:r>
    </w:p>
    <w:p>
      <w:pPr>
        <w:spacing w:after="0" w:line="221" w:lineRule="exact"/>
        <w:rPr>
          <w:rFonts w:ascii="Arial" w:cs="Arial" w:eastAsia="Arial" w:hAnsi="Arial"/>
          <w:sz w:val="15"/>
          <w:szCs w:val="15"/>
          <w:color w:val="auto"/>
        </w:rPr>
      </w:pPr>
    </w:p>
    <w:p>
      <w:pPr>
        <w:jc w:val="both"/>
        <w:ind w:left="467" w:right="80" w:hanging="467"/>
        <w:spacing w:after="0" w:line="270"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cost-effective; and</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termination or nonrenewal of agreements by third-party manufacturers at times that are costly or inconvenient for us.</w:t>
      </w:r>
    </w:p>
    <w:p>
      <w:pPr>
        <w:spacing w:after="0" w:line="198" w:lineRule="exact"/>
        <w:rPr>
          <w:sz w:val="20"/>
          <w:szCs w:val="20"/>
          <w:color w:val="auto"/>
        </w:rPr>
      </w:pPr>
    </w:p>
    <w:p>
      <w:pPr>
        <w:ind w:left="7" w:right="20"/>
        <w:spacing w:after="0" w:line="282" w:lineRule="auto"/>
        <w:rPr>
          <w:sz w:val="20"/>
          <w:szCs w:val="20"/>
          <w:color w:val="auto"/>
        </w:rPr>
      </w:pPr>
      <w:r>
        <w:rPr>
          <w:rFonts w:ascii="Arial" w:cs="Arial" w:eastAsia="Arial" w:hAnsi="Arial"/>
          <w:sz w:val="14"/>
          <w:szCs w:val="14"/>
          <w:color w:val="auto"/>
        </w:rPr>
        <w:t>Third-party manufacturers may not be able to comply with current Good Manufacturing Practices, or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contract manufacturer is unable to comply with cGMP regulations or if the FDA does not approve their facility upon a pre-approval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54"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contract manufacturer to produce multiple product components. For instance, one of our contract manufacturers produces polymers used in our SVP technology. If our current contract manufacturers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33" w:name="page34"/>
    <w:bookmarkEnd w:id="3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right="860"/>
        <w:spacing w:after="0" w:line="277" w:lineRule="auto"/>
        <w:rPr>
          <w:sz w:val="20"/>
          <w:szCs w:val="20"/>
          <w:color w:val="auto"/>
        </w:rPr>
      </w:pPr>
      <w:r>
        <w:rPr>
          <w:rFonts w:ascii="Arial" w:cs="Arial" w:eastAsia="Arial" w:hAnsi="Arial"/>
          <w:sz w:val="15"/>
          <w:szCs w:val="15"/>
          <w:b w:val="1"/>
          <w:b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43" w:lineRule="exact"/>
        <w:rPr>
          <w:sz w:val="20"/>
          <w:szCs w:val="20"/>
          <w:color w:val="auto"/>
        </w:rPr>
      </w:pPr>
    </w:p>
    <w:p>
      <w:pPr>
        <w:ind w:left="7" w:right="100"/>
        <w:spacing w:after="0" w:line="263" w:lineRule="auto"/>
        <w:rPr>
          <w:sz w:val="20"/>
          <w:szCs w:val="20"/>
          <w:color w:val="auto"/>
        </w:rPr>
      </w:pPr>
      <w:r>
        <w:rPr>
          <w:rFonts w:ascii="Arial" w:cs="Arial" w:eastAsia="Arial" w:hAnsi="Arial"/>
          <w:sz w:val="15"/>
          <w:szCs w:val="15"/>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Our collaboration and license agreements include those with Sanofi, Massachusetts Institute of Technology, or MIT, 3SBio, BIND Therapeutics, Inc. and the Massachusetts Eye and Ear Infirmary and The Schepens Eye Research Institute, Inc. Our collaborations with Sanofi also provided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78" w:lineRule="exact"/>
        <w:rPr>
          <w:sz w:val="20"/>
          <w:szCs w:val="20"/>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have significant discretion in determining the efforts and resources that they will apply to these collaborations;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may not perform their obligations as expected;</w:t>
      </w:r>
    </w:p>
    <w:p>
      <w:pPr>
        <w:spacing w:after="0" w:line="209" w:lineRule="exact"/>
        <w:rPr>
          <w:rFonts w:ascii="Arial" w:cs="Arial" w:eastAsia="Arial" w:hAnsi="Arial"/>
          <w:sz w:val="15"/>
          <w:szCs w:val="15"/>
          <w:color w:val="auto"/>
        </w:rPr>
      </w:pPr>
    </w:p>
    <w:p>
      <w:pPr>
        <w:jc w:val="both"/>
        <w:ind w:left="467" w:right="120" w:hanging="467"/>
        <w:spacing w:after="0" w:line="270" w:lineRule="auto"/>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70" w:lineRule="exact"/>
        <w:rPr>
          <w:rFonts w:ascii="Arial" w:cs="Arial" w:eastAsia="Arial" w:hAnsi="Arial"/>
          <w:sz w:val="15"/>
          <w:szCs w:val="15"/>
          <w:color w:val="auto"/>
        </w:rPr>
      </w:pPr>
    </w:p>
    <w:p>
      <w:pPr>
        <w:ind w:left="467" w:right="320" w:hanging="467"/>
        <w:spacing w:after="0" w:line="282" w:lineRule="auto"/>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5"/>
          <w:szCs w:val="15"/>
          <w:color w:val="auto"/>
        </w:rPr>
      </w:pPr>
    </w:p>
    <w:p>
      <w:pPr>
        <w:ind w:left="467" w:right="340" w:hanging="467"/>
        <w:spacing w:after="0" w:line="270" w:lineRule="auto"/>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70" w:lineRule="exact"/>
        <w:rPr>
          <w:rFonts w:ascii="Arial" w:cs="Arial" w:eastAsia="Arial" w:hAnsi="Arial"/>
          <w:sz w:val="15"/>
          <w:szCs w:val="15"/>
          <w:color w:val="auto"/>
        </w:rPr>
      </w:pPr>
    </w:p>
    <w:p>
      <w:pPr>
        <w:ind w:left="467" w:right="100" w:hanging="467"/>
        <w:spacing w:after="0" w:line="282" w:lineRule="auto"/>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2" w:lineRule="exact"/>
        <w:rPr>
          <w:rFonts w:ascii="Arial" w:cs="Arial" w:eastAsia="Arial" w:hAnsi="Arial"/>
          <w:sz w:val="15"/>
          <w:szCs w:val="15"/>
          <w:color w:val="auto"/>
        </w:rPr>
      </w:pPr>
    </w:p>
    <w:p>
      <w:pPr>
        <w:ind w:left="467" w:right="140" w:hanging="467"/>
        <w:spacing w:after="0" w:line="270" w:lineRule="auto"/>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2" w:lineRule="exact"/>
        <w:rPr>
          <w:rFonts w:ascii="Arial" w:cs="Arial" w:eastAsia="Arial" w:hAnsi="Arial"/>
          <w:sz w:val="15"/>
          <w:szCs w:val="15"/>
          <w:color w:val="auto"/>
        </w:rPr>
      </w:pPr>
    </w:p>
    <w:p>
      <w:pPr>
        <w:ind w:left="467" w:right="80" w:hanging="467"/>
        <w:spacing w:after="0" w:line="282" w:lineRule="auto"/>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may infringe the intellectual property rights of third parties, which may expose us to litigation and potential liability;</w:t>
      </w:r>
    </w:p>
    <w:p>
      <w:pPr>
        <w:spacing w:after="0" w:line="209" w:lineRule="exact"/>
        <w:rPr>
          <w:rFonts w:ascii="Arial" w:cs="Arial" w:eastAsia="Arial" w:hAnsi="Arial"/>
          <w:sz w:val="15"/>
          <w:szCs w:val="15"/>
          <w:color w:val="auto"/>
        </w:rPr>
      </w:pPr>
    </w:p>
    <w:p>
      <w:pPr>
        <w:ind w:left="467" w:right="140" w:hanging="467"/>
        <w:spacing w:after="0" w:line="282" w:lineRule="auto"/>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collaborations may be terminated for the convenience of the collaborator and, if terminated, we would potentially lose the right to pursue further development or commercialization of the applicable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4" w:name="page35"/>
    <w:bookmarkEnd w:id="3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may learn about our technology and use this knowledge to compete with us in the future;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there may be conflicts between different collaborators that could negatively affect those collaborations and potentially others;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number and type of our collaborations could adversely affect our attractiveness to future collaborators or acquirers; and</w:t>
      </w:r>
    </w:p>
    <w:p>
      <w:pPr>
        <w:spacing w:after="0" w:line="209" w:lineRule="exact"/>
        <w:rPr>
          <w:rFonts w:ascii="Arial" w:cs="Arial" w:eastAsia="Arial" w:hAnsi="Arial"/>
          <w:sz w:val="15"/>
          <w:szCs w:val="15"/>
          <w:color w:val="auto"/>
        </w:rPr>
      </w:pPr>
    </w:p>
    <w:p>
      <w:pPr>
        <w:ind w:left="467" w:right="80" w:hanging="467"/>
        <w:spacing w:after="0" w:line="282"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currently have, and in the future may have, a limited number of collaborations and the loss of, or a disruption in our relationship with, any one or more of such collaborators may could harm our business.</w:t>
      </w:r>
    </w:p>
    <w:p>
      <w:pPr>
        <w:spacing w:after="0" w:line="151" w:lineRule="exact"/>
        <w:rPr>
          <w:sz w:val="20"/>
          <w:szCs w:val="20"/>
          <w:color w:val="auto"/>
        </w:rPr>
      </w:pPr>
    </w:p>
    <w:p>
      <w:pPr>
        <w:ind w:left="7" w:right="160"/>
        <w:spacing w:after="0" w:line="287" w:lineRule="auto"/>
        <w:rPr>
          <w:sz w:val="20"/>
          <w:szCs w:val="20"/>
          <w:color w:val="auto"/>
        </w:rPr>
      </w:pPr>
      <w:r>
        <w:rPr>
          <w:rFonts w:ascii="Arial" w:cs="Arial" w:eastAsia="Arial" w:hAnsi="Arial"/>
          <w:sz w:val="14"/>
          <w:szCs w:val="14"/>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prospectus also apply to the activities of our therapeutic program collaborators and there can be no assurance that our collaborations will produce positive results or successful products on a timely basis or at all.</w:t>
      </w:r>
    </w:p>
    <w:p>
      <w:pPr>
        <w:spacing w:after="0" w:line="149"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48" w:lineRule="exact"/>
        <w:rPr>
          <w:sz w:val="20"/>
          <w:szCs w:val="20"/>
          <w:color w:val="auto"/>
        </w:rPr>
      </w:pPr>
    </w:p>
    <w:p>
      <w:pPr>
        <w:ind w:left="7" w:right="60"/>
        <w:spacing w:after="0" w:line="305" w:lineRule="auto"/>
        <w:rPr>
          <w:sz w:val="20"/>
          <w:szCs w:val="20"/>
          <w:color w:val="auto"/>
        </w:rPr>
      </w:pPr>
      <w:r>
        <w:rPr>
          <w:rFonts w:ascii="Arial" w:cs="Arial" w:eastAsia="Arial" w:hAnsi="Arial"/>
          <w:sz w:val="13"/>
          <w:szCs w:val="13"/>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630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140"/>
        <w:spacing w:after="0" w:line="277" w:lineRule="auto"/>
        <w:rPr>
          <w:sz w:val="20"/>
          <w:szCs w:val="20"/>
          <w:color w:val="auto"/>
        </w:rPr>
      </w:pPr>
      <w:r>
        <w:rPr>
          <w:rFonts w:ascii="Arial" w:cs="Arial" w:eastAsia="Arial" w:hAnsi="Arial"/>
          <w:sz w:val="15"/>
          <w:szCs w:val="15"/>
          <w:b w:val="1"/>
          <w:b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43"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We expect to continue to rely on third parties, such as CROs, clinical data management organizations, medical institutions and clinical investigators, to conduct and manage our clinical trials, including our Phase 1b clinical trial of SEL-212.</w:t>
      </w:r>
    </w:p>
    <w:p>
      <w:pPr>
        <w:spacing w:after="0" w:line="151"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government-sponsored database, </w:t>
      </w:r>
      <w:r>
        <w:rPr>
          <w:rFonts w:ascii="Arial" w:cs="Arial" w:eastAsia="Arial" w:hAnsi="Arial"/>
          <w:sz w:val="14"/>
          <w:szCs w:val="14"/>
          <w:i w:val="1"/>
          <w:iCs w:val="1"/>
          <w:color w:val="auto"/>
        </w:rPr>
        <w:t>ClinicalTrials.gov</w:t>
      </w:r>
      <w:r>
        <w:rPr>
          <w:rFonts w:ascii="Arial" w:cs="Arial" w:eastAsia="Arial" w:hAnsi="Arial"/>
          <w:sz w:val="14"/>
          <w:szCs w:val="14"/>
          <w:color w:val="auto"/>
        </w:rPr>
        <w:t>, within specified timeframes. Failure to do so can result in fines, adverse publicity and civil and criminal sanctions.</w:t>
      </w:r>
    </w:p>
    <w:p>
      <w:pPr>
        <w:spacing w:after="0" w:line="154"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67" w:lineRule="exact"/>
        <w:rPr>
          <w:sz w:val="20"/>
          <w:szCs w:val="20"/>
          <w:color w:val="auto"/>
        </w:rPr>
      </w:pPr>
    </w:p>
    <w:p>
      <w:pPr>
        <w:ind w:right="220"/>
        <w:spacing w:after="0" w:line="362" w:lineRule="auto"/>
        <w:rPr>
          <w:sz w:val="20"/>
          <w:szCs w:val="20"/>
          <w:color w:val="auto"/>
        </w:rPr>
      </w:pPr>
      <w:r>
        <w:rPr>
          <w:rFonts w:ascii="Arial" w:cs="Arial" w:eastAsia="Arial" w:hAnsi="Arial"/>
          <w:sz w:val="13"/>
          <w:szCs w:val="13"/>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97" w:lineRule="exact"/>
        <w:rPr>
          <w:sz w:val="20"/>
          <w:szCs w:val="20"/>
          <w:color w:val="auto"/>
        </w:rPr>
      </w:pPr>
    </w:p>
    <w:p>
      <w:pPr>
        <w:jc w:val="both"/>
        <w:ind w:right="320"/>
        <w:spacing w:after="0" w:line="259" w:lineRule="auto"/>
        <w:rPr>
          <w:sz w:val="20"/>
          <w:szCs w:val="20"/>
          <w:color w:val="auto"/>
        </w:rPr>
      </w:pPr>
      <w:r>
        <w:rPr>
          <w:rFonts w:ascii="Arial" w:cs="Arial" w:eastAsia="Arial" w:hAnsi="Arial"/>
          <w:sz w:val="15"/>
          <w:szCs w:val="15"/>
          <w:b w:val="1"/>
          <w:b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56"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We have a pilot manufacturing facility at our Watertown, Massachusetts location where we conduct process development, scale-up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lead-time to replace our manufacturing capabilities. In such event, we would be forced to identify and rely entirely on alternative third-party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149"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In addition, the FDA and other comparable foreign regulatory agencies must, pursuant to inspections that are conducted after submitting a BLA or relevant foreign marketing submission, confirm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6" w:name="page37"/>
    <w:bookmarkEnd w:id="3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color w:val="auto"/>
        </w:rPr>
        <w:t>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51"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We may choose to establish a manufacturing facility for our product candidates for production at a commercial scale. However, we have no experience in commercial-scale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62" w:lineRule="exact"/>
        <w:rPr>
          <w:sz w:val="20"/>
          <w:szCs w:val="20"/>
          <w:color w:val="auto"/>
        </w:rPr>
      </w:pPr>
    </w:p>
    <w:p>
      <w:pPr>
        <w:ind w:left="7" w:right="540"/>
        <w:spacing w:after="0" w:line="362" w:lineRule="auto"/>
        <w:rPr>
          <w:sz w:val="20"/>
          <w:szCs w:val="20"/>
          <w:color w:val="auto"/>
        </w:rPr>
      </w:pPr>
      <w:r>
        <w:rPr>
          <w:rFonts w:ascii="Arial" w:cs="Arial" w:eastAsia="Arial" w:hAnsi="Arial"/>
          <w:sz w:val="13"/>
          <w:szCs w:val="13"/>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COMMERCIALIZATION OF OUR PRODUCT CANDIDATES AND OTHER LEGAL COMPLIANCE MATTERS</w:t>
      </w:r>
    </w:p>
    <w:p>
      <w:pPr>
        <w:spacing w:after="0" w:line="187" w:lineRule="exact"/>
        <w:rPr>
          <w:sz w:val="20"/>
          <w:szCs w:val="20"/>
          <w:color w:val="auto"/>
        </w:rPr>
      </w:pPr>
    </w:p>
    <w:p>
      <w:pPr>
        <w:ind w:left="7" w:right="180"/>
        <w:spacing w:after="0" w:line="277" w:lineRule="auto"/>
        <w:rPr>
          <w:sz w:val="20"/>
          <w:szCs w:val="20"/>
          <w:color w:val="auto"/>
        </w:rPr>
      </w:pPr>
      <w:r>
        <w:rPr>
          <w:rFonts w:ascii="Arial" w:cs="Arial" w:eastAsia="Arial" w:hAnsi="Arial"/>
          <w:sz w:val="15"/>
          <w:szCs w:val="15"/>
          <w:b w:val="1"/>
          <w:b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43"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171" w:lineRule="exact"/>
        <w:rPr>
          <w:sz w:val="20"/>
          <w:szCs w:val="20"/>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their efficacy, safety and other potential advantages compared to alternative treatments;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clinical indications for which our product candidates are approved;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offer them for sale at competitive prices;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their convenience and ease of administration compared to alternative treatments;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strength of marketing and distribution support;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availability of third-party coverage and adequate reimbursement for our product candidates;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prevalence and severity of their side effects and their overall safety profiles;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restrictions on the use of our product candidates together with other medications;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interactions of our product candidates with other medicines patients are taking;</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create awareness with patients and physicians about the harmful effects of uric acid deposits;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inability of certain types of patients to take our product candidates;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their ability to remain attractive in the event of changing treatment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37" w:name="page38"/>
    <w:bookmarkEnd w:id="3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300"/>
        <w:spacing w:after="0" w:line="263" w:lineRule="auto"/>
        <w:rPr>
          <w:sz w:val="20"/>
          <w:szCs w:val="20"/>
          <w:color w:val="auto"/>
        </w:rPr>
      </w:pPr>
      <w:r>
        <w:rPr>
          <w:rFonts w:ascii="Arial" w:cs="Arial" w:eastAsia="Arial" w:hAnsi="Arial"/>
          <w:sz w:val="15"/>
          <w:szCs w:val="15"/>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 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159" w:lineRule="exact"/>
        <w:rPr>
          <w:sz w:val="20"/>
          <w:szCs w:val="20"/>
          <w:color w:val="auto"/>
        </w:rPr>
      </w:pPr>
    </w:p>
    <w:p>
      <w:pPr>
        <w:ind w:left="7" w:right="380"/>
        <w:spacing w:after="0" w:line="277" w:lineRule="auto"/>
        <w:rPr>
          <w:sz w:val="20"/>
          <w:szCs w:val="20"/>
          <w:color w:val="auto"/>
        </w:rPr>
      </w:pPr>
      <w:r>
        <w:rPr>
          <w:rFonts w:ascii="Arial" w:cs="Arial" w:eastAsia="Arial" w:hAnsi="Arial"/>
          <w:sz w:val="15"/>
          <w:szCs w:val="15"/>
          <w:b w:val="1"/>
          <w:b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43"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59"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In the future,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Factors that may inhibit our efforts to commercialize our product candidates on our own include:</w:t>
      </w:r>
    </w:p>
    <w:p>
      <w:pPr>
        <w:spacing w:after="0" w:line="210" w:lineRule="exact"/>
        <w:rPr>
          <w:sz w:val="20"/>
          <w:szCs w:val="20"/>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inability to recruit, train and retain adequate numbers of effective sales and marketing personnel;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inability of sales personnel to obtain access to or educate physicians on the benefits of our products;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lack of complementary products to be offered by sales personnel, which may put us at a competitive disadvantage relative to companies with more extensive product lines;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inability to obtain sufficient coverage and reimbursement from third-party payors and governmental agencies for our product candidates.</w:t>
      </w:r>
    </w:p>
    <w:p>
      <w:pPr>
        <w:spacing w:after="0" w:line="198" w:lineRule="exact"/>
        <w:rPr>
          <w:sz w:val="20"/>
          <w:szCs w:val="20"/>
          <w:color w:val="auto"/>
        </w:rPr>
      </w:pPr>
    </w:p>
    <w:p>
      <w:pPr>
        <w:ind w:left="7" w:right="160"/>
        <w:spacing w:after="0" w:line="290" w:lineRule="auto"/>
        <w:rPr>
          <w:sz w:val="20"/>
          <w:szCs w:val="20"/>
          <w:color w:val="auto"/>
        </w:rPr>
      </w:pPr>
      <w:r>
        <w:rPr>
          <w:rFonts w:ascii="Arial" w:cs="Arial" w:eastAsia="Arial" w:hAnsi="Arial"/>
          <w:sz w:val="14"/>
          <w:szCs w:val="14"/>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capabilities successfully, either on our own or in collaboration with third parties, we will not be successful in commercializing our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product candidates, if approved, may fail to offer material commercial advantages over other treatments.</w:t>
      </w:r>
    </w:p>
    <w:p>
      <w:pPr>
        <w:spacing w:after="0" w:line="195"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SEL-212 for the treatment of refractory and chronic tophaceous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b w:val="1"/>
          <w:bCs w:val="1"/>
          <w:color w:val="auto"/>
        </w:rPr>
        <w:t>We face substantial competition, which may result in others discovering, developing or commercializing competing products before or more successfully than we do.</w:t>
      </w:r>
    </w:p>
    <w:p>
      <w:pPr>
        <w:spacing w:after="0" w:line="14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 protected by such intellectual property rights, they will be protected from competition for the life of the applicable patents. However, many companies offer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69"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In this regard, SEL-212 may compete with Krystexxa, recently acquired by affiliates of Horizon Pharma plc, which contains a pegylated uricase similar to the pegsiticase component of SEL-212 and is indicated for the treatment of refractory gout. Large companies with active research to prevent the formation of ADAs and treat allergies and autoimmune diseases include Sanofi, Pfizer Inc., or Pfizer, and Merck &amp; Co., Inc., or Merck. Small early-stage biopharmaceutical companies active in the research for new technologies to achieve antigen-specific tolerance include Anokion SA, Cour Pharmaceutical Development Company, Inc., or Cour Pharmaceutical, Apitope International NV, Evotec AG and Dendright International, Inc. Large pharmaceutical companies, including Astra Zeneca PLC, or Astra Zeneca, Roche Holding AG, Pfizer, Merck, Bristol-Myers Squibb Company, and Amgen Inc., as well as smaller biopharmaceutical companies, including Immune Design Corp., are active in the research and development of cancer vaccines. Clinical stage companies with vaccine approaches to treating HPV-associated cancer include VGX3100 from Inovio Pharmaceuticals, Inc., or Inovio, ISA-101 from ISA Pharmaceuticals B.V., GTL001 from Genticel, INO-3112 licensed by Astra Zeneca from Inovio, and others. Some of these competitive products and therapies are based on scientific approaches that are the same as or similar to our approach, and others may be based on entirely different approaches. For example, Anokion SA targets to induce antigen-specific tolerance by attaching an antigen to red blood cells and Cour Pharmaceutical is working on a nanoparticle encapsulating antigen without any immunomodulator to treat celiac disease.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26630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51"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159" w:lineRule="exact"/>
        <w:rPr>
          <w:sz w:val="20"/>
          <w:szCs w:val="20"/>
          <w:color w:val="auto"/>
        </w:rPr>
      </w:pPr>
    </w:p>
    <w:p>
      <w:pPr>
        <w:ind w:right="220"/>
        <w:spacing w:after="0" w:line="277" w:lineRule="auto"/>
        <w:rPr>
          <w:sz w:val="20"/>
          <w:szCs w:val="20"/>
          <w:color w:val="auto"/>
        </w:rPr>
      </w:pPr>
      <w:r>
        <w:rPr>
          <w:rFonts w:ascii="Arial" w:cs="Arial" w:eastAsia="Arial" w:hAnsi="Arial"/>
          <w:sz w:val="15"/>
          <w:szCs w:val="15"/>
          <w:b w:val="1"/>
          <w:bCs w:val="1"/>
          <w:color w:val="auto"/>
        </w:rPr>
        <w:t>Even if we are able to commercialize any product candidates, the products may become subject to unfavorable pricing regulations or third-party coverage or reimbursement policies, any of which would harm our business.</w:t>
      </w:r>
    </w:p>
    <w:p>
      <w:pPr>
        <w:spacing w:after="0" w:line="143"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62" w:lineRule="exact"/>
        <w:rPr>
          <w:sz w:val="20"/>
          <w:szCs w:val="20"/>
          <w:color w:val="auto"/>
        </w:rPr>
      </w:pPr>
    </w:p>
    <w:p>
      <w:pPr>
        <w:ind w:right="20"/>
        <w:spacing w:after="0" w:line="304" w:lineRule="auto"/>
        <w:rPr>
          <w:sz w:val="20"/>
          <w:szCs w:val="20"/>
          <w:color w:val="auto"/>
        </w:rPr>
      </w:pPr>
      <w:r>
        <w:rPr>
          <w:rFonts w:ascii="Arial" w:cs="Arial" w:eastAsia="Arial" w:hAnsi="Arial"/>
          <w:sz w:val="13"/>
          <w:szCs w:val="13"/>
          <w:color w:val="auto"/>
        </w:rPr>
        <w:t>Obtaining and maintaining adequate reimbursement for our products may be difficult. The process for determining whether a third-party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adequate reimbursement for the product.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726630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0" w:name="page41"/>
    <w:bookmarkEnd w:id="4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82" w:lineRule="auto"/>
        <w:rPr>
          <w:sz w:val="20"/>
          <w:szCs w:val="20"/>
          <w:color w:val="auto"/>
        </w:rPr>
      </w:pPr>
      <w:r>
        <w:rPr>
          <w:rFonts w:ascii="Arial" w:cs="Arial" w:eastAsia="Arial" w:hAnsi="Arial"/>
          <w:sz w:val="14"/>
          <w:szCs w:val="14"/>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54" w:lineRule="exact"/>
        <w:rPr>
          <w:sz w:val="20"/>
          <w:szCs w:val="20"/>
          <w:color w:val="auto"/>
        </w:rPr>
      </w:pPr>
    </w:p>
    <w:p>
      <w:pPr>
        <w:ind w:left="7" w:right="20"/>
        <w:spacing w:after="0" w:line="282" w:lineRule="auto"/>
        <w:rPr>
          <w:sz w:val="20"/>
          <w:szCs w:val="20"/>
          <w:color w:val="auto"/>
        </w:rPr>
      </w:pPr>
      <w:r>
        <w:rPr>
          <w:rFonts w:ascii="Arial" w:cs="Arial" w:eastAsia="Arial" w:hAnsi="Arial"/>
          <w:sz w:val="14"/>
          <w:szCs w:val="14"/>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Product liability lawsuits against us could cause us to incur substantial liabilities and limit commercialization of any products that we may develop.</w:t>
      </w:r>
    </w:p>
    <w:p>
      <w:pPr>
        <w:spacing w:after="0" w:line="195"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71" w:lineRule="exact"/>
        <w:rPr>
          <w:sz w:val="20"/>
          <w:szCs w:val="20"/>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regulatory investigations, product recalls or withdrawals, or labeling, marketing or promotional restrictions;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decreased demand for any product candidates or products that we may develop;</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injury to our reputation and significant negative media attention;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significant costs to defend the related litigation;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substantial monetary awards to trial participants 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41" w:name="page42"/>
    <w:bookmarkEnd w:id="4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loss of revenue;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reduced resources of our management to pursue our business strategy;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inability to commercialize any products that we may develop.</w:t>
      </w:r>
    </w:p>
    <w:p>
      <w:pPr>
        <w:spacing w:after="0" w:line="198" w:lineRule="exact"/>
        <w:rPr>
          <w:sz w:val="20"/>
          <w:szCs w:val="20"/>
          <w:color w:val="auto"/>
        </w:rPr>
      </w:pPr>
    </w:p>
    <w:p>
      <w:pPr>
        <w:jc w:val="both"/>
        <w:ind w:left="7" w:right="80"/>
        <w:spacing w:after="0" w:line="297" w:lineRule="auto"/>
        <w:rPr>
          <w:sz w:val="20"/>
          <w:szCs w:val="20"/>
          <w:color w:val="auto"/>
        </w:rPr>
      </w:pPr>
      <w:r>
        <w:rPr>
          <w:rFonts w:ascii="Arial" w:cs="Arial" w:eastAsia="Arial" w:hAnsi="Arial"/>
          <w:sz w:val="14"/>
          <w:szCs w:val="14"/>
          <w:color w:val="auto"/>
        </w:rPr>
        <w:t>We currently hold $10 million in product liability insurance coverage in the aggregate, with no per occurrence limit,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Failure to obtain marketing approval in international jurisdictions would prevent our product candidates from being marketed abroad.</w:t>
      </w:r>
    </w:p>
    <w:p>
      <w:pPr>
        <w:spacing w:after="0" w:line="195" w:lineRule="exact"/>
        <w:rPr>
          <w:sz w:val="20"/>
          <w:szCs w:val="20"/>
          <w:color w:val="auto"/>
        </w:rPr>
      </w:pPr>
    </w:p>
    <w:p>
      <w:pPr>
        <w:ind w:left="7" w:right="60"/>
        <w:spacing w:after="0" w:line="260" w:lineRule="auto"/>
        <w:rPr>
          <w:sz w:val="20"/>
          <w:szCs w:val="20"/>
          <w:color w:val="auto"/>
        </w:rPr>
      </w:pPr>
      <w:r>
        <w:rPr>
          <w:rFonts w:ascii="Arial" w:cs="Arial" w:eastAsia="Arial" w:hAnsi="Arial"/>
          <w:sz w:val="15"/>
          <w:szCs w:val="15"/>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162" w:lineRule="exact"/>
        <w:rPr>
          <w:sz w:val="20"/>
          <w:szCs w:val="20"/>
          <w:color w:val="auto"/>
        </w:rPr>
      </w:pPr>
    </w:p>
    <w:p>
      <w:pPr>
        <w:ind w:left="7" w:right="380"/>
        <w:spacing w:after="0" w:line="253" w:lineRule="auto"/>
        <w:rPr>
          <w:sz w:val="20"/>
          <w:szCs w:val="20"/>
          <w:color w:val="auto"/>
        </w:rPr>
      </w:pPr>
      <w:r>
        <w:rPr>
          <w:rFonts w:ascii="Arial" w:cs="Arial" w:eastAsia="Arial" w:hAnsi="Arial"/>
          <w:sz w:val="15"/>
          <w:szCs w:val="15"/>
          <w:b w:val="1"/>
          <w:bCs w:val="1"/>
          <w:color w:val="auto"/>
        </w:rPr>
        <w:t>Although we are not currently marketing our product candidates, including to healthcare providers, if and when we do, our relationships with healthcare providers, customers and third-party payors may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1" w:lineRule="exact"/>
        <w:rPr>
          <w:sz w:val="20"/>
          <w:szCs w:val="20"/>
          <w:color w:val="auto"/>
        </w:rPr>
      </w:pPr>
    </w:p>
    <w:p>
      <w:pPr>
        <w:ind w:left="7" w:right="140"/>
        <w:spacing w:after="0" w:line="266" w:lineRule="auto"/>
        <w:rPr>
          <w:sz w:val="20"/>
          <w:szCs w:val="20"/>
          <w:color w:val="auto"/>
        </w:rPr>
      </w:pPr>
      <w:r>
        <w:rPr>
          <w:rFonts w:ascii="Arial" w:cs="Arial" w:eastAsia="Arial" w:hAnsi="Arial"/>
          <w:sz w:val="15"/>
          <w:szCs w:val="15"/>
          <w:color w:val="auto"/>
        </w:rPr>
        <w:t>Healthcare providers, customers and third-party payors will play a primary role in the recommendation and prescription of any product candidates for which we may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may include the following:</w:t>
      </w:r>
    </w:p>
    <w:p>
      <w:pPr>
        <w:spacing w:after="0" w:line="173" w:lineRule="exact"/>
        <w:rPr>
          <w:sz w:val="20"/>
          <w:szCs w:val="20"/>
          <w:color w:val="auto"/>
        </w:rPr>
      </w:pPr>
    </w:p>
    <w:p>
      <w:pPr>
        <w:ind w:left="467" w:right="160" w:hanging="467"/>
        <w:spacing w:after="0" w:line="282"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2" w:name="page43"/>
    <w:bookmarkEnd w:id="4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467" w:right="40"/>
        <w:spacing w:after="0" w:line="266" w:lineRule="auto"/>
        <w:rPr>
          <w:sz w:val="20"/>
          <w:szCs w:val="20"/>
          <w:color w:val="auto"/>
        </w:rPr>
      </w:pPr>
      <w:r>
        <w:rPr>
          <w:rFonts w:ascii="Arial" w:cs="Arial" w:eastAsia="Arial" w:hAnsi="Arial"/>
          <w:sz w:val="15"/>
          <w:szCs w:val="15"/>
          <w:color w:val="auto"/>
        </w:rPr>
        <w:t>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73" w:lineRule="exact"/>
        <w:rPr>
          <w:sz w:val="20"/>
          <w:szCs w:val="20"/>
          <w:color w:val="auto"/>
        </w:rPr>
      </w:pPr>
    </w:p>
    <w:p>
      <w:pPr>
        <w:jc w:val="both"/>
        <w:ind w:left="467" w:right="260" w:hanging="467"/>
        <w:spacing w:after="0" w:line="270"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2" w:lineRule="exact"/>
        <w:rPr>
          <w:rFonts w:ascii="Arial" w:cs="Arial" w:eastAsia="Arial" w:hAnsi="Arial"/>
          <w:sz w:val="15"/>
          <w:szCs w:val="15"/>
          <w:color w:val="auto"/>
        </w:rPr>
      </w:pPr>
    </w:p>
    <w:p>
      <w:pPr>
        <w:ind w:left="467" w:right="40" w:hanging="467"/>
        <w:spacing w:after="0" w:line="270"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70" w:lineRule="exact"/>
        <w:rPr>
          <w:rFonts w:ascii="Arial" w:cs="Arial" w:eastAsia="Arial" w:hAnsi="Arial"/>
          <w:sz w:val="15"/>
          <w:szCs w:val="15"/>
          <w:color w:val="auto"/>
        </w:rPr>
      </w:pPr>
    </w:p>
    <w:p>
      <w:pPr>
        <w:jc w:val="both"/>
        <w:ind w:left="467" w:right="160" w:hanging="467"/>
        <w:spacing w:after="0" w:line="270"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70" w:lineRule="exact"/>
        <w:rPr>
          <w:rFonts w:ascii="Arial" w:cs="Arial" w:eastAsia="Arial" w:hAnsi="Arial"/>
          <w:sz w:val="15"/>
          <w:szCs w:val="15"/>
          <w:color w:val="auto"/>
        </w:rPr>
      </w:pPr>
    </w:p>
    <w:p>
      <w:pPr>
        <w:ind w:left="467" w:right="220" w:hanging="467"/>
        <w:spacing w:after="0" w:line="263"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189" w:lineRule="exact"/>
        <w:rPr>
          <w:rFonts w:ascii="Arial" w:cs="Arial" w:eastAsia="Arial" w:hAnsi="Arial"/>
          <w:sz w:val="15"/>
          <w:szCs w:val="15"/>
          <w:color w:val="auto"/>
        </w:rPr>
      </w:pPr>
    </w:p>
    <w:p>
      <w:pPr>
        <w:ind w:left="467" w:right="60" w:hanging="467"/>
        <w:spacing w:after="0" w:line="262"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43" w:name="page44"/>
    <w:bookmarkEnd w:id="4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159" w:lineRule="exact"/>
        <w:rPr>
          <w:sz w:val="20"/>
          <w:szCs w:val="20"/>
          <w:color w:val="auto"/>
        </w:rPr>
      </w:pPr>
    </w:p>
    <w:p>
      <w:pPr>
        <w:ind w:left="7" w:right="200"/>
        <w:spacing w:after="0" w:line="277" w:lineRule="auto"/>
        <w:rPr>
          <w:sz w:val="20"/>
          <w:szCs w:val="20"/>
          <w:color w:val="auto"/>
        </w:rPr>
      </w:pPr>
      <w:r>
        <w:rPr>
          <w:rFonts w:ascii="Arial" w:cs="Arial" w:eastAsia="Arial" w:hAnsi="Arial"/>
          <w:sz w:val="15"/>
          <w:szCs w:val="15"/>
          <w:b w:val="1"/>
          <w:bCs w:val="1"/>
          <w:color w:val="auto"/>
        </w:rPr>
        <w:t>Recently enacted and future legislation may increase the difficulty and cost for us to obtain marketing approval of and commercialize our product candidates and affect the prices we may obtain.</w:t>
      </w:r>
    </w:p>
    <w:p>
      <w:pPr>
        <w:spacing w:after="0" w:line="143"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59" w:lineRule="exact"/>
        <w:rPr>
          <w:sz w:val="20"/>
          <w:szCs w:val="20"/>
          <w:color w:val="auto"/>
        </w:rPr>
      </w:pPr>
    </w:p>
    <w:p>
      <w:pPr>
        <w:jc w:val="both"/>
        <w:ind w:left="7" w:right="140"/>
        <w:spacing w:after="0" w:line="330" w:lineRule="auto"/>
        <w:rPr>
          <w:sz w:val="20"/>
          <w:szCs w:val="20"/>
          <w:color w:val="auto"/>
        </w:rPr>
      </w:pPr>
      <w:r>
        <w:rPr>
          <w:rFonts w:ascii="Arial" w:cs="Arial" w:eastAsia="Arial" w:hAnsi="Arial"/>
          <w:sz w:val="13"/>
          <w:szCs w:val="13"/>
          <w:color w:val="auto"/>
        </w:rPr>
        <w:t>For example, in the United States, in 2010, President Obama signed into law the Patient Protection and Affordable Care Act, as amended by the Health Care and Education Reconciliation Act, or collectively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5"/>
          <w:szCs w:val="15"/>
          <w:color w:val="auto"/>
        </w:rPr>
        <w:t>Among the provisions of the PPACA of importance to our potential product candidates are the following:</w:t>
      </w:r>
    </w:p>
    <w:p>
      <w:pPr>
        <w:spacing w:after="0" w:line="210" w:lineRule="exact"/>
        <w:rPr>
          <w:sz w:val="20"/>
          <w:szCs w:val="20"/>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an annual, nondeductible fee payable by any entity that manufactures or imports specified branded prescription drugs and biologic agents;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an increase in the statutory minimum rebates a manufacturer must pay under the Medicaid Drug Rebate Program;</w:t>
      </w:r>
    </w:p>
    <w:p>
      <w:pPr>
        <w:spacing w:after="0" w:line="209" w:lineRule="exact"/>
        <w:rPr>
          <w:rFonts w:ascii="Arial" w:cs="Arial" w:eastAsia="Arial" w:hAnsi="Arial"/>
          <w:sz w:val="15"/>
          <w:szCs w:val="15"/>
          <w:color w:val="auto"/>
        </w:rPr>
      </w:pPr>
    </w:p>
    <w:p>
      <w:pPr>
        <w:ind w:left="467" w:right="380" w:hanging="467"/>
        <w:spacing w:after="0" w:line="282" w:lineRule="auto"/>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new methodology by which rebates owed by manufacturers under the Medicaid Drug Rebate Program are calculated for drugs that are inhaled, infused, instilled, implanted or injected;</w:t>
      </w:r>
    </w:p>
    <w:p>
      <w:pPr>
        <w:spacing w:after="0" w:line="162" w:lineRule="exact"/>
        <w:rPr>
          <w:rFonts w:ascii="Arial" w:cs="Arial" w:eastAsia="Arial" w:hAnsi="Arial"/>
          <w:sz w:val="15"/>
          <w:szCs w:val="15"/>
          <w:color w:val="auto"/>
        </w:rPr>
      </w:pPr>
    </w:p>
    <w:p>
      <w:pPr>
        <w:ind w:left="467" w:right="260" w:hanging="467"/>
        <w:spacing w:after="0" w:line="319" w:lineRule="auto"/>
        <w:tabs>
          <w:tab w:leader="none" w:pos="467"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50% point-of-sale discounts off negotiated prices of applicable brand drugs to eligible beneficiaries under their coverage gap period, as a condition for the manufacturer's outpatient drugs to be covered under Medicare Part D;</w:t>
      </w:r>
    </w:p>
    <w:p>
      <w:pPr>
        <w:spacing w:after="0" w:line="151" w:lineRule="exact"/>
        <w:rPr>
          <w:rFonts w:ascii="Arial" w:cs="Arial" w:eastAsia="Arial" w:hAnsi="Arial"/>
          <w:sz w:val="14"/>
          <w:szCs w:val="14"/>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extension of manufacturers' Medicaid rebate liability to individuals enrolled in Medicaid managed care organizations;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expansion of eligibility criteria for Medicaid programs;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expansion of the entities eligible for discounts under the Public Health Service pharmaceutical pricing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4" w:name="page45"/>
    <w:bookmarkEnd w:id="4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new requirement to annually report drug samples that manufacturers and distributors provide to physicians;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new Patient-Centered Outcomes Research Institute to oversee, identify priorities in, and conduct comparative clinical effectiveness research, along with funding for such research.</w:t>
      </w:r>
    </w:p>
    <w:p>
      <w:pPr>
        <w:spacing w:after="0" w:line="221" w:lineRule="exact"/>
        <w:rPr>
          <w:sz w:val="20"/>
          <w:szCs w:val="20"/>
          <w:color w:val="auto"/>
        </w:rPr>
      </w:pPr>
    </w:p>
    <w:p>
      <w:pPr>
        <w:ind w:left="7" w:right="60"/>
        <w:spacing w:after="0" w:line="263" w:lineRule="auto"/>
        <w:rPr>
          <w:sz w:val="20"/>
          <w:szCs w:val="20"/>
          <w:color w:val="auto"/>
        </w:rPr>
      </w:pPr>
      <w:r>
        <w:rPr>
          <w:rFonts w:ascii="Arial" w:cs="Arial" w:eastAsia="Arial" w:hAnsi="Arial"/>
          <w:sz w:val="15"/>
          <w:szCs w:val="15"/>
          <w:color w:val="auto"/>
        </w:rPr>
        <w:t>In addition, other legislative changes have been proposed and adopted since the PPACA was enacted. These changes included aggregate reductions to Medicare payments to providers of up to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67"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We expect that the PPACA,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8" w:lineRule="exact"/>
        <w:rPr>
          <w:sz w:val="20"/>
          <w:szCs w:val="20"/>
          <w:color w:val="auto"/>
        </w:rPr>
      </w:pPr>
    </w:p>
    <w:p>
      <w:pPr>
        <w:ind w:left="7" w:right="160"/>
        <w:spacing w:after="0" w:line="290" w:lineRule="auto"/>
        <w:rPr>
          <w:sz w:val="20"/>
          <w:szCs w:val="20"/>
          <w:color w:val="auto"/>
        </w:rPr>
      </w:pPr>
      <w:r>
        <w:rPr>
          <w:rFonts w:ascii="Arial" w:cs="Arial" w:eastAsia="Arial" w:hAnsi="Arial"/>
          <w:sz w:val="14"/>
          <w:szCs w:val="14"/>
          <w:color w:val="auto"/>
        </w:rPr>
        <w:t>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40" w:lineRule="exact"/>
        <w:rPr>
          <w:sz w:val="20"/>
          <w:szCs w:val="20"/>
          <w:color w:val="auto"/>
        </w:rPr>
      </w:pPr>
    </w:p>
    <w:p>
      <w:pPr>
        <w:jc w:val="both"/>
        <w:ind w:left="7" w:right="140"/>
        <w:spacing w:after="0" w:line="259" w:lineRule="auto"/>
        <w:rPr>
          <w:sz w:val="20"/>
          <w:szCs w:val="20"/>
          <w:color w:val="auto"/>
        </w:rPr>
      </w:pPr>
      <w:r>
        <w:rPr>
          <w:rFonts w:ascii="Arial" w:cs="Arial" w:eastAsia="Arial" w:hAnsi="Arial"/>
          <w:sz w:val="15"/>
          <w:szCs w:val="15"/>
          <w:b w:val="1"/>
          <w:bCs w:val="1"/>
          <w:color w:val="auto"/>
        </w:rPr>
        <w:t>Any product candidate for which we obtain marketing approval could be subject to post-marketing restrictions or withdrawal from the market, and we may be subject to penalties if we fail to comply with regulatory requirements or if we experience unexpected problems with our products, when and if any of them are approved.</w:t>
      </w:r>
    </w:p>
    <w:p>
      <w:pPr>
        <w:spacing w:after="0" w:line="156"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67"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45" w:name="page46"/>
    <w:bookmarkEnd w:id="4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80"/>
        <w:spacing w:after="0" w:line="282" w:lineRule="auto"/>
        <w:rPr>
          <w:sz w:val="20"/>
          <w:szCs w:val="20"/>
          <w:color w:val="auto"/>
        </w:rPr>
      </w:pPr>
      <w:r>
        <w:rPr>
          <w:rFonts w:ascii="Arial" w:cs="Arial" w:eastAsia="Arial" w:hAnsi="Arial"/>
          <w:sz w:val="15"/>
          <w:szCs w:val="15"/>
          <w:color w:val="auto"/>
        </w:rPr>
        <w:t>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51" w:lineRule="exact"/>
        <w:rPr>
          <w:sz w:val="20"/>
          <w:szCs w:val="20"/>
          <w:color w:val="auto"/>
        </w:rPr>
      </w:pPr>
    </w:p>
    <w:p>
      <w:pPr>
        <w:ind w:left="7" w:right="200"/>
        <w:spacing w:after="0" w:line="287" w:lineRule="auto"/>
        <w:rPr>
          <w:sz w:val="20"/>
          <w:szCs w:val="20"/>
          <w:color w:val="auto"/>
        </w:rPr>
      </w:pPr>
      <w:r>
        <w:rPr>
          <w:rFonts w:ascii="Arial" w:cs="Arial" w:eastAsia="Arial" w:hAnsi="Arial"/>
          <w:sz w:val="14"/>
          <w:szCs w:val="14"/>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149" w:lineRule="exact"/>
        <w:rPr>
          <w:sz w:val="20"/>
          <w:szCs w:val="20"/>
          <w:color w:val="auto"/>
        </w:rPr>
      </w:pPr>
    </w:p>
    <w:p>
      <w:pPr>
        <w:ind w:left="7" w:right="440"/>
        <w:spacing w:after="0" w:line="297" w:lineRule="auto"/>
        <w:rPr>
          <w:sz w:val="20"/>
          <w:szCs w:val="20"/>
          <w:color w:val="auto"/>
        </w:rPr>
      </w:pPr>
      <w:r>
        <w:rPr>
          <w:rFonts w:ascii="Arial" w:cs="Arial" w:eastAsia="Arial" w:hAnsi="Arial"/>
          <w:sz w:val="14"/>
          <w:szCs w:val="14"/>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55" w:lineRule="exact"/>
        <w:rPr>
          <w:sz w:val="20"/>
          <w:szCs w:val="20"/>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litigation involving patients taking our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restrictions on such products, manufacturers or manufacturing processes;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restrictions on the labeling or marketing of a product;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restrictions on product distribution or use;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requirements to conduct post-marketing studies or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warning letters;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withdrawal of products from the market;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suspension or termination of ongoing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refusal to approve pending applications or supplements to approved applications that we submit;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recall of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fines, restitution or disgorgement of profits or revenues;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suspension or withdrawal of marketing approvals;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damage to relationships with existing and potential collaborators;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unfavorable press coverage and damage to our reputation;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refusal to permit the import or export of our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product seizure or detention;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injunctions;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imposition of civil or criminal penalties.</w:t>
      </w:r>
    </w:p>
    <w:p>
      <w:pPr>
        <w:spacing w:after="0" w:line="198"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Noncompliance with other requirements in foreign jurisdictions regarding safety monitoring or pharmacovigilance can also result in significant financial penalties. Similarly, failure to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auto"/>
        </w:rPr>
        <w:t>U.S. and foreign regulatory requirements regarding the development of products for pediatric populations and the protection of personal health information can also lead to significant penalties and sanctions.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59"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b w:val="1"/>
          <w:b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5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Governments outside the United States tend to impose strict price controls, which may adversely affect our revenues, if any.</w:t>
      </w:r>
    </w:p>
    <w:p>
      <w:pPr>
        <w:spacing w:after="0" w:line="195"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40"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b w:val="1"/>
          <w:b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43" w:lineRule="exact"/>
        <w:rPr>
          <w:sz w:val="20"/>
          <w:szCs w:val="20"/>
          <w:color w:val="auto"/>
        </w:rPr>
      </w:pPr>
    </w:p>
    <w:p>
      <w:pPr>
        <w:ind w:right="200"/>
        <w:spacing w:after="0" w:line="262" w:lineRule="auto"/>
        <w:rPr>
          <w:sz w:val="20"/>
          <w:szCs w:val="20"/>
          <w:color w:val="auto"/>
        </w:rPr>
      </w:pPr>
      <w:r>
        <w:rPr>
          <w:rFonts w:ascii="Arial" w:cs="Arial" w:eastAsia="Arial" w:hAnsi="Arial"/>
          <w:sz w:val="15"/>
          <w:szCs w:val="15"/>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ind w:right="80"/>
        <w:spacing w:after="0" w:line="319"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20" w:lineRule="exact"/>
        <w:rPr>
          <w:sz w:val="20"/>
          <w:szCs w:val="20"/>
          <w:color w:val="auto"/>
        </w:rPr>
      </w:pPr>
    </w:p>
    <w:p>
      <w:pPr>
        <w:ind w:right="240"/>
        <w:spacing w:after="0" w:line="277" w:lineRule="auto"/>
        <w:rPr>
          <w:sz w:val="20"/>
          <w:szCs w:val="20"/>
          <w:color w:val="auto"/>
        </w:rPr>
      </w:pPr>
      <w:r>
        <w:rPr>
          <w:rFonts w:ascii="Arial" w:cs="Arial" w:eastAsia="Arial" w:hAnsi="Arial"/>
          <w:sz w:val="15"/>
          <w:szCs w:val="15"/>
          <w:b w:val="1"/>
          <w:b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4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testing or approval of our product candidates, stricter labeling requirements for those product candidates that are approved and a decrease in demand for any such product candidates.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43" w:lineRule="exact"/>
        <w:rPr>
          <w:sz w:val="20"/>
          <w:szCs w:val="20"/>
          <w:color w:val="auto"/>
        </w:rPr>
      </w:pPr>
    </w:p>
    <w:p>
      <w:pPr>
        <w:ind w:right="140"/>
        <w:spacing w:after="0" w:line="297" w:lineRule="auto"/>
        <w:rPr>
          <w:sz w:val="20"/>
          <w:szCs w:val="20"/>
          <w:color w:val="auto"/>
        </w:rPr>
      </w:pPr>
      <w:r>
        <w:rPr>
          <w:rFonts w:ascii="Arial" w:cs="Arial" w:eastAsia="Arial" w:hAnsi="Arial"/>
          <w:sz w:val="14"/>
          <w:szCs w:val="14"/>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4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w:t>
      </w:r>
    </w:p>
    <w:p>
      <w:pPr>
        <w:spacing w:after="0" w:line="157" w:lineRule="exact"/>
        <w:rPr>
          <w:sz w:val="20"/>
          <w:szCs w:val="20"/>
          <w:color w:val="auto"/>
        </w:rPr>
      </w:pPr>
    </w:p>
    <w:p>
      <w:pPr>
        <w:ind w:right="120"/>
        <w:spacing w:after="0" w:line="319" w:lineRule="auto"/>
        <w:rPr>
          <w:sz w:val="20"/>
          <w:szCs w:val="20"/>
          <w:color w:val="auto"/>
        </w:rPr>
      </w:pPr>
      <w:r>
        <w:rPr>
          <w:rFonts w:ascii="Arial" w:cs="Arial" w:eastAsia="Arial" w:hAnsi="Arial"/>
          <w:sz w:val="13"/>
          <w:szCs w:val="13"/>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32"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We currently own nine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 should they issue.</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Moreover, other parties may have developed technologies that may be related or competitive to our approach, and may have filed or may file patent applications, and may have received or may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59"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9" w:lineRule="exact"/>
        <w:rPr>
          <w:sz w:val="20"/>
          <w:szCs w:val="20"/>
          <w:color w:val="auto"/>
        </w:rPr>
      </w:pPr>
    </w:p>
    <w:p>
      <w:pPr>
        <w:ind w:right="40"/>
        <w:spacing w:after="0" w:line="308" w:lineRule="auto"/>
        <w:rPr>
          <w:sz w:val="20"/>
          <w:szCs w:val="20"/>
          <w:color w:val="auto"/>
        </w:rPr>
      </w:pPr>
      <w:r>
        <w:rPr>
          <w:rFonts w:ascii="Arial" w:cs="Arial" w:eastAsia="Arial" w:hAnsi="Arial"/>
          <w:sz w:val="13"/>
          <w:szCs w:val="13"/>
          <w:color w:val="auto"/>
        </w:rPr>
        <w:t>We may be subject to a third-party preissuance submission of prior art to the U.S. Patent and Trademark Office, or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39"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49"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0" w:name="page51"/>
    <w:bookmarkEnd w:id="5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Intellectual property rights do not prevent all potential threats to competitive advantages we may have.</w:t>
      </w:r>
    </w:p>
    <w:p>
      <w:pPr>
        <w:spacing w:after="0" w:line="195" w:lineRule="exact"/>
        <w:rPr>
          <w:sz w:val="20"/>
          <w:szCs w:val="20"/>
          <w:color w:val="auto"/>
        </w:rPr>
      </w:pPr>
    </w:p>
    <w:p>
      <w:pPr>
        <w:ind w:left="7" w:right="600"/>
        <w:spacing w:after="0" w:line="282" w:lineRule="auto"/>
        <w:rPr>
          <w:sz w:val="20"/>
          <w:szCs w:val="20"/>
          <w:color w:val="auto"/>
        </w:rPr>
      </w:pPr>
      <w:r>
        <w:rPr>
          <w:rFonts w:ascii="Arial" w:cs="Arial" w:eastAsia="Arial" w:hAnsi="Arial"/>
          <w:sz w:val="15"/>
          <w:szCs w:val="15"/>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examples are illustrative:</w:t>
      </w:r>
    </w:p>
    <w:p>
      <w:pPr>
        <w:spacing w:after="0" w:line="210" w:lineRule="exact"/>
        <w:rPr>
          <w:sz w:val="20"/>
          <w:szCs w:val="20"/>
          <w:color w:val="auto"/>
        </w:rPr>
      </w:pPr>
    </w:p>
    <w:p>
      <w:pPr>
        <w:ind w:left="467" w:right="80" w:hanging="467"/>
        <w:spacing w:after="0" w:line="282" w:lineRule="auto"/>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others may be able to make compounds that are the same as or similar to our current or future product candidates but that are not covered by the claims of the patents that we own or have exclusively licensed;</w:t>
      </w:r>
    </w:p>
    <w:p>
      <w:pPr>
        <w:spacing w:after="0" w:line="173"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make the inventions covered by the patents or pending patent applications that we own or have exclusively licensed;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file patent applications covering certain of our inventions;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 without infringing our intellectual property rights;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prosecution of our pending patent applications may not result in granted patents;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3"/>
          <w:szCs w:val="13"/>
          <w:color w:val="auto"/>
        </w:rPr>
      </w:pPr>
      <w:r>
        <w:rPr>
          <w:rFonts w:ascii="Arial" w:cs="Arial" w:eastAsia="Arial" w:hAnsi="Arial"/>
          <w:sz w:val="13"/>
          <w:szCs w:val="13"/>
          <w:color w:val="auto"/>
        </w:rPr>
        <w:t>granted patents that we own or have licensed may not cover our products or may be held not infringed, invalid or unenforceable, as a result of legal challenges by our competitors;</w:t>
      </w:r>
    </w:p>
    <w:p>
      <w:pPr>
        <w:spacing w:after="0" w:line="232" w:lineRule="exact"/>
        <w:rPr>
          <w:rFonts w:ascii="Arial" w:cs="Arial" w:eastAsia="Arial" w:hAnsi="Arial"/>
          <w:sz w:val="13"/>
          <w:szCs w:val="13"/>
          <w:color w:val="auto"/>
        </w:rPr>
      </w:pPr>
    </w:p>
    <w:p>
      <w:pPr>
        <w:ind w:left="467" w:right="60" w:hanging="467"/>
        <w:spacing w:after="0" w:line="282" w:lineRule="auto"/>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with respect to granted patents that we own or have licensed, especially patents that we either acquire or in-license, if certain information was withheld from or misrepresented to the patent examiner, such patents might be held to be unenforceable;</w:t>
      </w:r>
    </w:p>
    <w:p>
      <w:pPr>
        <w:spacing w:after="0" w:line="173"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patent protection on our product candidates may expire before we are able to develop and commercialize the product, or before we are able to recover our investment in the product candidates;</w:t>
      </w:r>
    </w:p>
    <w:p>
      <w:pPr>
        <w:spacing w:after="0" w:line="162" w:lineRule="exact"/>
        <w:rPr>
          <w:rFonts w:ascii="Arial" w:cs="Arial" w:eastAsia="Arial" w:hAnsi="Arial"/>
          <w:sz w:val="15"/>
          <w:szCs w:val="15"/>
          <w:color w:val="auto"/>
        </w:rPr>
      </w:pPr>
    </w:p>
    <w:p>
      <w:pPr>
        <w:ind w:left="467" w:right="300" w:hanging="467"/>
        <w:spacing w:after="0" w:line="270" w:lineRule="auto"/>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we may not develop additional proprietary technologies that are patentable;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patents of others may have an adverse effect on our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51" w:name="page52"/>
    <w:bookmarkEnd w:id="5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580" w:hanging="467"/>
        <w:spacing w:after="0" w:line="282"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we may choose not to file a patent application for certain technologies, trade secrets or know-how, and a third party may subsequently file a patent covering such intellectual property.</w:t>
      </w:r>
    </w:p>
    <w:p>
      <w:pPr>
        <w:spacing w:after="0" w:line="142" w:lineRule="exact"/>
        <w:rPr>
          <w:sz w:val="20"/>
          <w:szCs w:val="20"/>
          <w:color w:val="auto"/>
        </w:rPr>
      </w:pPr>
    </w:p>
    <w:p>
      <w:pPr>
        <w:ind w:left="7" w:right="460"/>
        <w:spacing w:after="0" w:line="277" w:lineRule="auto"/>
        <w:rPr>
          <w:sz w:val="20"/>
          <w:szCs w:val="20"/>
          <w:color w:val="auto"/>
        </w:rPr>
      </w:pPr>
      <w:r>
        <w:rPr>
          <w:rFonts w:ascii="Arial" w:cs="Arial" w:eastAsia="Arial" w:hAnsi="Arial"/>
          <w:sz w:val="15"/>
          <w:szCs w:val="15"/>
          <w:b w:val="1"/>
          <w:bCs w:val="1"/>
          <w:color w:val="auto"/>
        </w:rPr>
        <w:t>We may not identify relevant patents or may incorrectly interpret the relevance, scope or expiration of a patent, which might adversely affect our ability to develop and market our product candidates.</w:t>
      </w:r>
    </w:p>
    <w:p>
      <w:pPr>
        <w:spacing w:after="0" w:line="143" w:lineRule="exact"/>
        <w:rPr>
          <w:sz w:val="20"/>
          <w:szCs w:val="20"/>
          <w:color w:val="auto"/>
        </w:rPr>
      </w:pPr>
    </w:p>
    <w:p>
      <w:pPr>
        <w:ind w:left="7" w:right="320"/>
        <w:spacing w:after="0" w:line="270" w:lineRule="auto"/>
        <w:rPr>
          <w:sz w:val="20"/>
          <w:szCs w:val="20"/>
          <w:color w:val="auto"/>
        </w:rPr>
      </w:pPr>
      <w:r>
        <w:rPr>
          <w:rFonts w:ascii="Arial" w:cs="Arial" w:eastAsia="Arial" w:hAnsi="Arial"/>
          <w:sz w:val="15"/>
          <w:szCs w:val="15"/>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59" w:lineRule="exact"/>
        <w:rPr>
          <w:sz w:val="20"/>
          <w:szCs w:val="20"/>
          <w:color w:val="auto"/>
        </w:rPr>
      </w:pPr>
    </w:p>
    <w:p>
      <w:pPr>
        <w:ind w:left="7" w:right="240"/>
        <w:spacing w:after="0" w:line="270" w:lineRule="auto"/>
        <w:rPr>
          <w:sz w:val="20"/>
          <w:szCs w:val="20"/>
          <w:color w:val="auto"/>
        </w:rPr>
      </w:pPr>
      <w:r>
        <w:rPr>
          <w:rFonts w:ascii="Arial" w:cs="Arial" w:eastAsia="Arial" w:hAnsi="Arial"/>
          <w:sz w:val="15"/>
          <w:szCs w:val="15"/>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 candidates are not covered by a third-party patent.</w:t>
      </w:r>
    </w:p>
    <w:p>
      <w:pPr>
        <w:spacing w:after="0" w:line="159" w:lineRule="exact"/>
        <w:rPr>
          <w:sz w:val="20"/>
          <w:szCs w:val="20"/>
          <w:color w:val="auto"/>
        </w:rPr>
      </w:pPr>
    </w:p>
    <w:p>
      <w:pPr>
        <w:ind w:left="7" w:right="180"/>
        <w:spacing w:after="0" w:line="263" w:lineRule="auto"/>
        <w:rPr>
          <w:sz w:val="20"/>
          <w:szCs w:val="20"/>
          <w:color w:val="auto"/>
        </w:rPr>
      </w:pPr>
      <w:r>
        <w:rPr>
          <w:rFonts w:ascii="Arial" w:cs="Arial" w:eastAsia="Arial" w:hAnsi="Arial"/>
          <w:sz w:val="15"/>
          <w:szCs w:val="15"/>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failure to identify and correctly interpret relevant patents may negatively impact our ability to develop and market our product candidates.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If we are unable to protect the confidentiality of our trade secrets and know-how, our business and competitive position would be harmed.</w:t>
      </w:r>
    </w:p>
    <w:p>
      <w:pPr>
        <w:spacing w:after="0" w:line="195" w:lineRule="exact"/>
        <w:rPr>
          <w:sz w:val="20"/>
          <w:szCs w:val="20"/>
          <w:color w:val="auto"/>
        </w:rPr>
      </w:pPr>
    </w:p>
    <w:p>
      <w:pPr>
        <w:ind w:left="7" w:right="60"/>
        <w:spacing w:after="0" w:line="260" w:lineRule="auto"/>
        <w:rPr>
          <w:sz w:val="20"/>
          <w:szCs w:val="20"/>
          <w:color w:val="auto"/>
        </w:rPr>
      </w:pPr>
      <w:r>
        <w:rPr>
          <w:rFonts w:ascii="Arial" w:cs="Arial" w:eastAsia="Arial" w:hAnsi="Arial"/>
          <w:sz w:val="15"/>
          <w:szCs w:val="15"/>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6630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U.S. patent law could diminish the value of patents in general, thereby impairing our ability to protect our product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is the case with other biotechnology companies, our success is heavily dependent on intellectual property, particularly patents. Obtaining and enforcing patents in the biotechnology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industry involves both technological and legal complexity, and is therefore costly, time-consuming and inherently uncertain. In addition, recent patent reform legislation could further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increase the uncertainties and costs surrounding the prosecution of our patent applications and the enforcement or defense of our issued patents. On September 16, 2011, the Leahy-Smith</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America Invents Act, or the Leahy-Smith Act, was signed into law. The Leahy-Smith Act includes a number of significant changes to U.S. patent law. These include provisions that affect</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the way patent applications are prosecuted and may also affect patent litigation. The USPTO recently developed new regulations and procedures to govern administration of the Leahy-Smith</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Act, and many of the substantive changes to patent law associated with the Leahy-Smith Act, in particular the first to file provisions, became effective on March 16, 2013. A third party that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files a patent application in the USPTO after that date but before us could therefore be awarded a patent covering an invention of ours even if we had made the invention before it was made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by the third party. This requires us to be cognizant of the time from invention to filing of a patent application. Thus, for our U.S. patent applications containing a priority claim after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March 16, 2013, there is a greater level of uncertainty in the patent law. Moreover, some of the patent applications in our portfolio will be subject to examination under the pre-Leahy-Smith</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Act law and regulations, while other patents applications in our portfolio will be subject to examination under the law and regulations, as amended by the Leahy-Smith Act. This introduces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additional complexities into the prosecution and management of our portfolio.</w:t>
      </w:r>
    </w:p>
    <w:p>
      <w:pPr>
        <w:spacing w:after="0" w:line="193"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162"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59"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b w:val="1"/>
          <w:bCs w:val="1"/>
          <w:color w:val="auto"/>
        </w:rPr>
        <w:t>We may become involved in lawsuits to protect or enforce our patents or other intellectual property, which could be expensive, time-consuming and ultimately unsuccessful.</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149"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b w:val="1"/>
          <w:b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162" w:lineRule="exact"/>
        <w:rPr>
          <w:sz w:val="20"/>
          <w:szCs w:val="20"/>
          <w:color w:val="auto"/>
        </w:rPr>
      </w:pPr>
    </w:p>
    <w:p>
      <w:pPr>
        <w:ind w:right="140"/>
        <w:spacing w:after="0" w:line="313" w:lineRule="auto"/>
        <w:rPr>
          <w:sz w:val="20"/>
          <w:szCs w:val="20"/>
          <w:color w:val="auto"/>
        </w:rPr>
      </w:pPr>
      <w:r>
        <w:rPr>
          <w:rFonts w:ascii="Arial" w:cs="Arial" w:eastAsia="Arial" w:hAnsi="Arial"/>
          <w:sz w:val="13"/>
          <w:szCs w:val="13"/>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26630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4" w:name="page55"/>
    <w:bookmarkEnd w:id="5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7" w:right="100"/>
        <w:spacing w:after="0" w:line="290" w:lineRule="auto"/>
        <w:rPr>
          <w:sz w:val="20"/>
          <w:szCs w:val="20"/>
          <w:color w:val="auto"/>
        </w:rPr>
      </w:pPr>
      <w:r>
        <w:rPr>
          <w:rFonts w:ascii="Arial" w:cs="Arial" w:eastAsia="Arial" w:hAnsi="Arial"/>
          <w:sz w:val="14"/>
          <w:szCs w:val="14"/>
          <w:color w:val="auto"/>
        </w:rPr>
        <w:t>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48" w:lineRule="exact"/>
        <w:rPr>
          <w:sz w:val="20"/>
          <w:szCs w:val="20"/>
          <w:color w:val="auto"/>
        </w:rPr>
      </w:pPr>
    </w:p>
    <w:p>
      <w:pPr>
        <w:ind w:left="7" w:right="140"/>
        <w:spacing w:after="0" w:line="261" w:lineRule="auto"/>
        <w:rPr>
          <w:sz w:val="20"/>
          <w:szCs w:val="20"/>
          <w:color w:val="auto"/>
        </w:rPr>
      </w:pPr>
      <w:r>
        <w:rPr>
          <w:rFonts w:ascii="Arial" w:cs="Arial" w:eastAsia="Arial" w:hAnsi="Arial"/>
          <w:sz w:val="15"/>
          <w:szCs w:val="15"/>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67"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54"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intellectual property litigation or claims could force us to do one or more of the following:</w:t>
      </w:r>
    </w:p>
    <w:p>
      <w:pPr>
        <w:spacing w:after="0" w:line="210" w:lineRule="exact"/>
        <w:rPr>
          <w:sz w:val="20"/>
          <w:szCs w:val="20"/>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cease developing, selling or otherwise commercializing our product candidates;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pay substantial damages for past use of the asserted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55" w:name="page56"/>
    <w:bookmarkEnd w:id="5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obtain a license from the holder of the asserted intellectual property, which license may not be available on reasonable terms, if at all; and</w:t>
      </w:r>
    </w:p>
    <w:p>
      <w:pPr>
        <w:spacing w:after="0" w:line="221" w:lineRule="exact"/>
        <w:rPr>
          <w:rFonts w:ascii="Arial" w:cs="Arial" w:eastAsia="Arial" w:hAnsi="Arial"/>
          <w:sz w:val="15"/>
          <w:szCs w:val="15"/>
          <w:color w:val="auto"/>
        </w:rPr>
      </w:pPr>
    </w:p>
    <w:p>
      <w:pPr>
        <w:ind w:left="467" w:right="220" w:hanging="467"/>
        <w:spacing w:after="0" w:line="282" w:lineRule="auto"/>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51" w:lineRule="exact"/>
        <w:rPr>
          <w:sz w:val="20"/>
          <w:szCs w:val="20"/>
          <w:color w:val="auto"/>
        </w:rPr>
      </w:pPr>
    </w:p>
    <w:p>
      <w:pPr>
        <w:jc w:val="both"/>
        <w:ind w:left="7" w:right="220"/>
        <w:spacing w:after="0" w:line="270" w:lineRule="auto"/>
        <w:rPr>
          <w:sz w:val="20"/>
          <w:szCs w:val="20"/>
          <w:color w:val="auto"/>
        </w:rPr>
      </w:pPr>
      <w:r>
        <w:rPr>
          <w:rFonts w:ascii="Arial" w:cs="Arial" w:eastAsia="Arial" w:hAnsi="Arial"/>
          <w:sz w:val="15"/>
          <w:szCs w:val="15"/>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risks coming to fruition could harm our business.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Issued patents covering our product candidates could be found invalid or unenforceable or could be interpreted narrowly if challenged in court.</w:t>
      </w:r>
    </w:p>
    <w:p>
      <w:pPr>
        <w:spacing w:after="0" w:line="195" w:lineRule="exact"/>
        <w:rPr>
          <w:sz w:val="20"/>
          <w:szCs w:val="20"/>
          <w:color w:val="auto"/>
        </w:rPr>
      </w:pPr>
    </w:p>
    <w:p>
      <w:pPr>
        <w:ind w:left="7" w:right="20"/>
        <w:spacing w:after="0" w:line="279" w:lineRule="auto"/>
        <w:rPr>
          <w:sz w:val="20"/>
          <w:szCs w:val="20"/>
          <w:color w:val="auto"/>
        </w:rPr>
      </w:pPr>
      <w:r>
        <w:rPr>
          <w:rFonts w:ascii="Arial" w:cs="Arial" w:eastAsia="Arial" w:hAnsi="Arial"/>
          <w:sz w:val="14"/>
          <w:szCs w:val="14"/>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153" w:lineRule="exact"/>
        <w:rPr>
          <w:sz w:val="20"/>
          <w:szCs w:val="20"/>
          <w:color w:val="auto"/>
        </w:rPr>
      </w:pPr>
    </w:p>
    <w:p>
      <w:pPr>
        <w:ind w:left="7" w:right="120"/>
        <w:spacing w:after="0" w:line="277" w:lineRule="auto"/>
        <w:rPr>
          <w:sz w:val="20"/>
          <w:szCs w:val="20"/>
          <w:color w:val="auto"/>
        </w:rPr>
      </w:pPr>
      <w:r>
        <w:rPr>
          <w:rFonts w:ascii="Arial" w:cs="Arial" w:eastAsia="Arial" w:hAnsi="Arial"/>
          <w:sz w:val="15"/>
          <w:szCs w:val="15"/>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3"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subject to claims challenging the inventorship or ownership of our patents and other intellectual property.</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67" w:lineRule="exact"/>
        <w:rPr>
          <w:sz w:val="20"/>
          <w:szCs w:val="20"/>
          <w:color w:val="auto"/>
        </w:rPr>
      </w:pPr>
    </w:p>
    <w:p>
      <w:pPr>
        <w:ind w:right="240"/>
        <w:spacing w:after="0" w:line="330"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16" w:lineRule="exact"/>
        <w:rPr>
          <w:sz w:val="20"/>
          <w:szCs w:val="20"/>
          <w:color w:val="auto"/>
        </w:rPr>
      </w:pPr>
    </w:p>
    <w:p>
      <w:pPr>
        <w:ind w:right="700"/>
        <w:spacing w:after="0" w:line="277" w:lineRule="auto"/>
        <w:rPr>
          <w:sz w:val="20"/>
          <w:szCs w:val="20"/>
          <w:color w:val="auto"/>
        </w:rPr>
      </w:pPr>
      <w:r>
        <w:rPr>
          <w:rFonts w:ascii="Arial" w:cs="Arial" w:eastAsia="Arial" w:hAnsi="Arial"/>
          <w:sz w:val="15"/>
          <w:szCs w:val="15"/>
          <w:b w:val="1"/>
          <w:bCs w:val="1"/>
          <w:color w:val="auto"/>
        </w:rPr>
        <w:t>If we fail to comply with our obligations in our intellectual property licenses and funding arrangements with third parties, we could lose rights that are important to our business.</w:t>
      </w:r>
    </w:p>
    <w:p>
      <w:pPr>
        <w:spacing w:after="0" w:line="14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For example, we currently rely on certain intellectual property rights licensed to us from MIT, and have licensed additional intellectual property rights under agreements with 3SBio, BIND Therapeutics, Inc. and The Massachusetts Eye and Ear Infirmary and the Schepens Eye Research Institute, Inc.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80"/>
        <w:spacing w:after="0" w:line="297" w:lineRule="auto"/>
        <w:rPr>
          <w:sz w:val="20"/>
          <w:szCs w:val="20"/>
          <w:color w:val="auto"/>
        </w:rPr>
      </w:pPr>
      <w:r>
        <w:rPr>
          <w:rFonts w:ascii="Arial" w:cs="Arial" w:eastAsia="Arial" w:hAnsi="Arial"/>
          <w:sz w:val="14"/>
          <w:szCs w:val="14"/>
          <w:color w:val="auto"/>
        </w:rPr>
        <w:t>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 For more information on our license agreements and associated obligations, please see "Business—Licenses and collaborations."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successful in obtaining or maintaining necessary rights to our product candidates through acquisitions and in-licenses.</w:t>
      </w:r>
    </w:p>
    <w:p>
      <w:pPr>
        <w:spacing w:after="0" w:line="195"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39" w:lineRule="exact"/>
        <w:rPr>
          <w:sz w:val="20"/>
          <w:szCs w:val="20"/>
          <w:color w:val="auto"/>
        </w:rPr>
      </w:pPr>
    </w:p>
    <w:p>
      <w:pPr>
        <w:ind w:right="540"/>
        <w:spacing w:after="0" w:line="282" w:lineRule="auto"/>
        <w:rPr>
          <w:sz w:val="20"/>
          <w:szCs w:val="20"/>
          <w:color w:val="auto"/>
        </w:rPr>
      </w:pPr>
      <w:r>
        <w:rPr>
          <w:rFonts w:ascii="Arial" w:cs="Arial" w:eastAsia="Arial" w:hAnsi="Arial"/>
          <w:sz w:val="15"/>
          <w:szCs w:val="15"/>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43"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67"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5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42"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b w:val="1"/>
          <w:b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ind w:right="60"/>
        <w:spacing w:after="0" w:line="308" w:lineRule="auto"/>
        <w:rPr>
          <w:sz w:val="20"/>
          <w:szCs w:val="20"/>
          <w:color w:val="auto"/>
        </w:rPr>
      </w:pPr>
      <w:r>
        <w:rPr>
          <w:rFonts w:ascii="Arial" w:cs="Arial" w:eastAsia="Arial" w:hAnsi="Arial"/>
          <w:sz w:val="13"/>
          <w:szCs w:val="13"/>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31" w:lineRule="exact"/>
        <w:rPr>
          <w:sz w:val="20"/>
          <w:szCs w:val="20"/>
          <w:color w:val="auto"/>
        </w:rPr>
      </w:pPr>
    </w:p>
    <w:p>
      <w:pPr>
        <w:ind w:right="660"/>
        <w:spacing w:after="0" w:line="277" w:lineRule="auto"/>
        <w:rPr>
          <w:sz w:val="20"/>
          <w:szCs w:val="20"/>
          <w:color w:val="auto"/>
        </w:rPr>
      </w:pPr>
      <w:r>
        <w:rPr>
          <w:rFonts w:ascii="Arial" w:cs="Arial" w:eastAsia="Arial" w:hAnsi="Arial"/>
          <w:sz w:val="15"/>
          <w:szCs w:val="15"/>
          <w:b w:val="1"/>
          <w:bCs w:val="1"/>
          <w:color w:val="auto"/>
        </w:rPr>
        <w:t>We will need to obtain FDA approval for any proposed product names, and any failure or delay associated with such approval may adversely affect our business.</w:t>
      </w:r>
    </w:p>
    <w:p>
      <w:pPr>
        <w:spacing w:after="0" w:line="143"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45"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43"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Filing, prosecuting and defending patents on product candidates in all countries and jurisdictions throughout the world would be prohibitively expensive, and our intellectual property rights in 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306" w:lineRule="auto"/>
        <w:rPr>
          <w:sz w:val="20"/>
          <w:szCs w:val="20"/>
          <w:color w:val="auto"/>
        </w:rPr>
      </w:pPr>
      <w:r>
        <w:rPr>
          <w:rFonts w:ascii="Arial" w:cs="Arial" w:eastAsia="Arial" w:hAnsi="Arial"/>
          <w:sz w:val="13"/>
          <w:szCs w:val="13"/>
          <w:color w:val="auto"/>
        </w:rPr>
        <w:t>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43"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2"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54"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151" w:lineRule="exact"/>
        <w:rPr>
          <w:sz w:val="20"/>
          <w:szCs w:val="20"/>
          <w:color w:val="auto"/>
        </w:rPr>
      </w:pPr>
    </w:p>
    <w:p>
      <w:pPr>
        <w:ind w:right="620"/>
        <w:spacing w:after="0" w:line="277" w:lineRule="auto"/>
        <w:rPr>
          <w:sz w:val="20"/>
          <w:szCs w:val="20"/>
          <w:color w:val="auto"/>
        </w:rPr>
      </w:pPr>
      <w:r>
        <w:rPr>
          <w:rFonts w:ascii="Arial" w:cs="Arial" w:eastAsia="Arial" w:hAnsi="Arial"/>
          <w:sz w:val="15"/>
          <w:szCs w:val="15"/>
          <w:b w:val="1"/>
          <w:bCs w:val="1"/>
          <w:color w:val="auto"/>
        </w:rPr>
        <w:t>If we do not obtain additional protection under the Hatch-Waxman Act and similar foreign legislation extending the terms of our patents for our product candidates, our business may be harmed.</w:t>
      </w:r>
    </w:p>
    <w:p>
      <w:pPr>
        <w:spacing w:after="0" w:line="143"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151"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face competition from biosimilars, which may have a material adverse effect on the future commercial prospects of our product candidates.</w:t>
      </w:r>
    </w:p>
    <w:p>
      <w:pPr>
        <w:spacing w:after="0" w:line="195" w:lineRule="exact"/>
        <w:rPr>
          <w:sz w:val="20"/>
          <w:szCs w:val="20"/>
          <w:color w:val="auto"/>
        </w:rPr>
      </w:pPr>
    </w:p>
    <w:p>
      <w:pPr>
        <w:ind w:right="40"/>
        <w:spacing w:after="0" w:line="304" w:lineRule="auto"/>
        <w:rPr>
          <w:sz w:val="20"/>
          <w:szCs w:val="20"/>
          <w:color w:val="auto"/>
        </w:rPr>
      </w:pPr>
      <w:r>
        <w:rPr>
          <w:rFonts w:ascii="Arial" w:cs="Arial" w:eastAsia="Arial" w:hAnsi="Arial"/>
          <w:sz w:val="13"/>
          <w:szCs w:val="13"/>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In his proposed budget for fiscal year 2017, President Obama proposed to cut this 12-year period of exclusivity down to seven years. He also proposed to prohibit additional periods of exclusivity due to minor changes in product formulations, a practice often referred to as "evergreening." While President Obama has proposed these measures in previous years without success, it is possible that Congress may take these or other measures to reduce or eliminate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 by the FDA, any such processes could have a material adverse effect on the future commercial prospects for our product candidates.</w:t>
      </w:r>
    </w:p>
    <w:p>
      <w:pPr>
        <w:spacing w:after="0" w:line="137" w:lineRule="exact"/>
        <w:rPr>
          <w:sz w:val="20"/>
          <w:szCs w:val="20"/>
          <w:color w:val="auto"/>
        </w:rPr>
      </w:pPr>
    </w:p>
    <w:p>
      <w:pPr>
        <w:jc w:val="both"/>
        <w:ind w:right="2760"/>
        <w:spacing w:after="0" w:line="541" w:lineRule="auto"/>
        <w:rPr>
          <w:sz w:val="20"/>
          <w:szCs w:val="20"/>
          <w:color w:val="auto"/>
        </w:rPr>
      </w:pPr>
      <w:r>
        <w:rPr>
          <w:rFonts w:ascii="Arial" w:cs="Arial" w:eastAsia="Arial" w:hAnsi="Arial"/>
          <w:sz w:val="14"/>
          <w:szCs w:val="14"/>
          <w:b w:val="1"/>
          <w:bCs w:val="1"/>
          <w:color w:val="auto"/>
        </w:rPr>
        <w:t>RISKS RELATED TO EMPLOYEE MATTERS AND MANAGING GROWTH AND OTHER RISKS RELATED TO OUR BUSINESS Our future success depends on our ability to retain key executives and to attract, retain and motivate qualified personnel.</w:t>
      </w:r>
    </w:p>
    <w:p>
      <w:pPr>
        <w:ind w:right="100"/>
        <w:spacing w:after="0" w:line="270" w:lineRule="auto"/>
        <w:rPr>
          <w:sz w:val="20"/>
          <w:szCs w:val="20"/>
          <w:color w:val="auto"/>
        </w:rPr>
      </w:pPr>
      <w:r>
        <w:rPr>
          <w:rFonts w:ascii="Arial" w:cs="Arial" w:eastAsia="Arial" w:hAnsi="Arial"/>
          <w:sz w:val="15"/>
          <w:szCs w:val="15"/>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Recruiting and retaining qualified scientific, clinical, manufacturing and sales and marketing personnel will also be critical to our success. The loss of the services of our executive officers or other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1" w:name="page62"/>
    <w:bookmarkEnd w:id="6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82" w:lineRule="auto"/>
        <w:rPr>
          <w:sz w:val="20"/>
          <w:szCs w:val="20"/>
          <w:color w:val="auto"/>
        </w:rPr>
      </w:pPr>
      <w:r>
        <w:rPr>
          <w:rFonts w:ascii="Arial" w:cs="Arial" w:eastAsia="Arial" w:hAnsi="Arial"/>
          <w:sz w:val="14"/>
          <w:szCs w:val="14"/>
          <w:color w:val="auto"/>
        </w:rPr>
        <w:t>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46" w:lineRule="exact"/>
        <w:rPr>
          <w:sz w:val="20"/>
          <w:szCs w:val="20"/>
          <w:color w:val="auto"/>
        </w:rPr>
      </w:pPr>
    </w:p>
    <w:p>
      <w:pPr>
        <w:ind w:left="7" w:right="160"/>
        <w:spacing w:after="0" w:line="277" w:lineRule="auto"/>
        <w:rPr>
          <w:sz w:val="20"/>
          <w:szCs w:val="20"/>
          <w:color w:val="auto"/>
        </w:rPr>
      </w:pPr>
      <w:r>
        <w:rPr>
          <w:rFonts w:ascii="Arial" w:cs="Arial" w:eastAsia="Arial" w:hAnsi="Arial"/>
          <w:sz w:val="15"/>
          <w:szCs w:val="15"/>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43" w:lineRule="exact"/>
        <w:rPr>
          <w:sz w:val="20"/>
          <w:szCs w:val="20"/>
          <w:color w:val="auto"/>
        </w:rPr>
      </w:pPr>
    </w:p>
    <w:p>
      <w:pPr>
        <w:ind w:left="7" w:right="40"/>
        <w:spacing w:after="0" w:line="284" w:lineRule="auto"/>
        <w:rPr>
          <w:sz w:val="20"/>
          <w:szCs w:val="20"/>
          <w:color w:val="auto"/>
        </w:rPr>
      </w:pPr>
      <w:r>
        <w:rPr>
          <w:rFonts w:ascii="Arial" w:cs="Arial" w:eastAsia="Arial" w:hAnsi="Arial"/>
          <w:sz w:val="14"/>
          <w:szCs w:val="14"/>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 variety of risks associated with operating in Russia and internationally could adversely affect our business.</w:t>
      </w:r>
    </w:p>
    <w:p>
      <w:pPr>
        <w:spacing w:after="0" w:line="195" w:lineRule="exact"/>
        <w:rPr>
          <w:sz w:val="20"/>
          <w:szCs w:val="20"/>
          <w:color w:val="auto"/>
        </w:rPr>
      </w:pPr>
    </w:p>
    <w:p>
      <w:pPr>
        <w:ind w:left="7" w:right="220"/>
        <w:spacing w:after="0" w:line="287" w:lineRule="auto"/>
        <w:rPr>
          <w:sz w:val="20"/>
          <w:szCs w:val="20"/>
          <w:color w:val="auto"/>
        </w:rPr>
      </w:pPr>
      <w:r>
        <w:rPr>
          <w:rFonts w:ascii="Arial" w:cs="Arial" w:eastAsia="Arial" w:hAnsi="Arial"/>
          <w:sz w:val="14"/>
          <w:szCs w:val="14"/>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 pricing and reimbursement, legal, political, tax and labor conditions, which could harm our business. For example, one of our principal shareholders, RUSNANO, is a Russian Federation controlled entity and, according to press reports, in 2015 and 2016 several current and former RUSNANO managers were under investigation for embezzlement. While we and our officers and directors were not accused of any wrongdoing, further investigations or other accusations could adversely affect us.</w:t>
      </w:r>
    </w:p>
    <w:p>
      <w:pPr>
        <w:spacing w:after="0" w:line="14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We may also rely on collaborators to commercialize any approved product candidates outside of the United States. Doing business in Russia and internationally involves a number of risks, including but not limited to:</w:t>
      </w:r>
    </w:p>
    <w:p>
      <w:pPr>
        <w:spacing w:after="0" w:line="162" w:lineRule="exact"/>
        <w:rPr>
          <w:sz w:val="20"/>
          <w:szCs w:val="20"/>
          <w:color w:val="auto"/>
        </w:rPr>
      </w:pPr>
    </w:p>
    <w:p>
      <w:pPr>
        <w:ind w:left="467" w:right="220" w:hanging="467"/>
        <w:spacing w:after="0" w:line="282" w:lineRule="auto"/>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privacy regulations, tax laws, export and import restrictions, employment laws, regulatory requirements and other governmental approvals, permits and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2" w:name="page63"/>
    <w:bookmarkEnd w:id="6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failure by us to obtain and maintain regulatory approvals for the use of our product candidates in various countries;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additional potentially relevant third-party patent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complexities and difficulties in obtaining protection of and enforcing our intellectual property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difficulties in staffing and managing foreign operations;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complexities associated with managing multiple-payor reimbursement regimes, government payors or patient self-pay systems;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limits on our ability to penetrate international markets;</w:t>
      </w:r>
    </w:p>
    <w:p>
      <w:pPr>
        <w:spacing w:after="0" w:line="209" w:lineRule="exact"/>
        <w:rPr>
          <w:rFonts w:ascii="Arial" w:cs="Arial" w:eastAsia="Arial" w:hAnsi="Arial"/>
          <w:sz w:val="15"/>
          <w:szCs w:val="15"/>
          <w:color w:val="auto"/>
        </w:rPr>
      </w:pPr>
    </w:p>
    <w:p>
      <w:pPr>
        <w:ind w:left="467" w:right="260" w:hanging="467"/>
        <w:spacing w:after="0" w:line="319" w:lineRule="auto"/>
        <w:tabs>
          <w:tab w:leader="none" w:pos="467" w:val="left"/>
        </w:tabs>
        <w:numPr>
          <w:ilvl w:val="0"/>
          <w:numId w:val="46"/>
        </w:numPr>
        <w:rPr>
          <w:rFonts w:ascii="Arial" w:cs="Arial" w:eastAsia="Arial" w:hAnsi="Arial"/>
          <w:sz w:val="14"/>
          <w:szCs w:val="14"/>
          <w:color w:val="auto"/>
        </w:rPr>
      </w:pPr>
      <w:r>
        <w:rPr>
          <w:rFonts w:ascii="Arial" w:cs="Arial" w:eastAsia="Arial" w:hAnsi="Arial"/>
          <w:sz w:val="14"/>
          <w:szCs w:val="14"/>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51" w:lineRule="exact"/>
        <w:rPr>
          <w:rFonts w:ascii="Arial" w:cs="Arial" w:eastAsia="Arial" w:hAnsi="Arial"/>
          <w:sz w:val="14"/>
          <w:szCs w:val="14"/>
          <w:color w:val="auto"/>
        </w:rPr>
      </w:pPr>
    </w:p>
    <w:p>
      <w:pPr>
        <w:ind w:left="467" w:right="240" w:hanging="467"/>
        <w:spacing w:after="0" w:line="282" w:lineRule="auto"/>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changes in diplomatic and trade relationships;</w:t>
      </w:r>
    </w:p>
    <w:p>
      <w:pPr>
        <w:spacing w:after="0" w:line="209" w:lineRule="exact"/>
        <w:rPr>
          <w:rFonts w:ascii="Arial" w:cs="Arial" w:eastAsia="Arial" w:hAnsi="Arial"/>
          <w:sz w:val="15"/>
          <w:szCs w:val="15"/>
          <w:color w:val="auto"/>
        </w:rPr>
      </w:pPr>
    </w:p>
    <w:p>
      <w:pPr>
        <w:ind w:left="467" w:right="200" w:hanging="467"/>
        <w:spacing w:after="0" w:line="282" w:lineRule="auto"/>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challenges in enforcing our contractual and intellectual property rights, especially in those foreign countries that do not respect and protect intellectual property rights to the same extent as the United States;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certain expenses including, among others, expenses for travel, translation and insurance;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legal risks, including use of the legal system by the government to benefit itself or affiliated entities at our expense, including expropriation of property; and</w:t>
      </w:r>
    </w:p>
    <w:p>
      <w:pPr>
        <w:spacing w:after="0" w:line="209" w:lineRule="exact"/>
        <w:rPr>
          <w:rFonts w:ascii="Arial" w:cs="Arial" w:eastAsia="Arial" w:hAnsi="Arial"/>
          <w:sz w:val="15"/>
          <w:szCs w:val="15"/>
          <w:color w:val="auto"/>
        </w:rPr>
      </w:pPr>
    </w:p>
    <w:p>
      <w:pPr>
        <w:ind w:left="467" w:right="360" w:hanging="467"/>
        <w:spacing w:after="0" w:line="282" w:lineRule="auto"/>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regulatory and compliance risks that relate to maintaining accurate information and control over sales and activities that may fall within the purview of the FCPA its books and records provisions, or its anti-bribery provisions.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results of operations.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Sanctions against Russia, and Russia's response to those sanctions, could adversely affect our business.</w:t>
      </w:r>
    </w:p>
    <w:p>
      <w:pPr>
        <w:spacing w:after="0" w:line="195" w:lineRule="exact"/>
        <w:rPr>
          <w:sz w:val="20"/>
          <w:szCs w:val="20"/>
          <w:color w:val="auto"/>
        </w:rPr>
      </w:pPr>
    </w:p>
    <w:p>
      <w:pPr>
        <w:ind w:left="7"/>
        <w:spacing w:after="0" w:line="284" w:lineRule="auto"/>
        <w:rPr>
          <w:sz w:val="20"/>
          <w:szCs w:val="20"/>
          <w:color w:val="auto"/>
        </w:rPr>
      </w:pPr>
      <w:r>
        <w:rPr>
          <w:rFonts w:ascii="Arial" w:cs="Arial" w:eastAsia="Arial" w:hAnsi="Arial"/>
          <w:sz w:val="14"/>
          <w:szCs w:val="14"/>
          <w:color w:val="auto"/>
        </w:rPr>
        <w:t>Due to Russia's recent military intervention in Ukraine, the United States and the European Union have imposed sanctions on certain individuals and six financial institutions in Russia and have proposed the use of broader economic sanctions. In response, Russia has imposed entry bans on certain U.S. lawmakers and officials. Our wholly owned subsidiary, Selecta RUS, held $4.2 million of total cash in Russian banks as of March 31, 2016, including $1.5 million of cash and cash equivalents, $2.0 million of short-term deposits and $0.7 million of restricted cash. If the United States and European Union were to impose sanctions on Russian businesses, or if Russia were to take retaliatory action against U.S. companies operating in Russia, our research and development activities with respect to our program for HPV-associated cancers currently conducted by Selecta RUS, or any other research and development activities with respect to our other immune stimulation programs conducted by Selecta RUS in the future,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63" w:name="page64"/>
    <w:bookmarkEnd w:id="6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business and operations would suffer in the event of system failures.</w:t>
      </w:r>
    </w:p>
    <w:p>
      <w:pPr>
        <w:spacing w:after="0" w:line="195" w:lineRule="exact"/>
        <w:rPr>
          <w:sz w:val="20"/>
          <w:szCs w:val="20"/>
          <w:color w:val="auto"/>
        </w:rPr>
      </w:pPr>
    </w:p>
    <w:p>
      <w:pPr>
        <w:ind w:left="7" w:right="60"/>
        <w:spacing w:after="0" w:line="308" w:lineRule="auto"/>
        <w:rPr>
          <w:sz w:val="20"/>
          <w:szCs w:val="20"/>
          <w:color w:val="auto"/>
        </w:rPr>
      </w:pPr>
      <w:r>
        <w:rPr>
          <w:rFonts w:ascii="Arial" w:cs="Arial" w:eastAsia="Arial" w:hAnsi="Arial"/>
          <w:sz w:val="13"/>
          <w:szCs w:val="13"/>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31" w:lineRule="exact"/>
        <w:rPr>
          <w:sz w:val="20"/>
          <w:szCs w:val="20"/>
          <w:color w:val="auto"/>
        </w:rPr>
      </w:pPr>
    </w:p>
    <w:p>
      <w:pPr>
        <w:ind w:left="7" w:right="300"/>
        <w:spacing w:after="0" w:line="277" w:lineRule="auto"/>
        <w:rPr>
          <w:sz w:val="20"/>
          <w:szCs w:val="20"/>
          <w:color w:val="auto"/>
        </w:rPr>
      </w:pPr>
      <w:r>
        <w:rPr>
          <w:rFonts w:ascii="Arial" w:cs="Arial" w:eastAsia="Arial" w:hAnsi="Arial"/>
          <w:sz w:val="15"/>
          <w:szCs w:val="15"/>
          <w:b w:val="1"/>
          <w:b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pacing w:after="0" w:line="143" w:lineRule="exact"/>
        <w:rPr>
          <w:sz w:val="20"/>
          <w:szCs w:val="20"/>
          <w:color w:val="auto"/>
        </w:rPr>
      </w:pPr>
    </w:p>
    <w:p>
      <w:pPr>
        <w:jc w:val="both"/>
        <w:ind w:left="7" w:right="220"/>
        <w:spacing w:after="0" w:line="300" w:lineRule="auto"/>
        <w:rPr>
          <w:sz w:val="20"/>
          <w:szCs w:val="20"/>
          <w:color w:val="auto"/>
        </w:rPr>
      </w:pPr>
      <w:r>
        <w:rPr>
          <w:rFonts w:ascii="Arial" w:cs="Arial" w:eastAsia="Arial" w:hAnsi="Arial"/>
          <w:sz w:val="13"/>
          <w:szCs w:val="13"/>
          <w:color w:val="auto"/>
        </w:rPr>
        <w:t>We are exposed to the risk that our employees, independent contractors, principal investigators, CROs, consultants, commercial partners and vendors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w:t>
      </w:r>
    </w:p>
    <w:p>
      <w:pPr>
        <w:ind w:left="7" w:right="60" w:hanging="7"/>
        <w:spacing w:after="0" w:line="280" w:lineRule="auto"/>
        <w:tabs>
          <w:tab w:leader="none" w:pos="221" w:val="left"/>
        </w:tabs>
        <w:numPr>
          <w:ilvl w:val="0"/>
          <w:numId w:val="47"/>
        </w:numPr>
        <w:rPr>
          <w:rFonts w:ascii="Arial" w:cs="Arial" w:eastAsia="Arial" w:hAnsi="Arial"/>
          <w:sz w:val="14"/>
          <w:szCs w:val="14"/>
          <w:color w:val="auto"/>
        </w:rPr>
      </w:pPr>
      <w:r>
        <w:rPr>
          <w:rFonts w:ascii="Arial" w:cs="Arial" w:eastAsia="Arial" w:hAnsi="Arial"/>
          <w:sz w:val="14"/>
          <w:szCs w:val="14"/>
          <w:color w:val="auto"/>
        </w:rPr>
        <w:t>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Acquisitions or joint ventures could disrupt our business, cause dilution to our stockholders and otherwise harm our business.</w:t>
      </w:r>
    </w:p>
    <w:p>
      <w:pPr>
        <w:spacing w:after="0" w:line="195"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4" w:name="page65"/>
    <w:bookmarkEnd w:id="6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transactions could be material to our financial condition and operating results and expose us to many risks, including:</w:t>
      </w:r>
    </w:p>
    <w:p>
      <w:pPr>
        <w:spacing w:after="0" w:line="210" w:lineRule="exact"/>
        <w:rPr>
          <w:sz w:val="20"/>
          <w:szCs w:val="20"/>
          <w:color w:val="auto"/>
        </w:rPr>
      </w:pPr>
    </w:p>
    <w:p>
      <w:pPr>
        <w:ind w:left="467" w:hanging="467"/>
        <w:spacing w:after="0"/>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disruption in our relationships with future customers or with current or future distributors or suppliers as a result of such a transaction;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unexpected liabilities related to acquired companies;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difficulties integrating acquired personnel, technologies and operations into our existing business;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diversion of management time and focus from operating our business to acquisition integration challenges;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increases in our expenses and reductions in our cash available for operations and other uses;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possible write-offs or impairment charges relating to acquired businesses;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inability to develop a sales force for any additional product candidates.</w:t>
      </w:r>
    </w:p>
    <w:p>
      <w:pPr>
        <w:spacing w:after="0" w:line="198"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51"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COMMON STOCK AND THIS OFFERING</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An active trading market for our common stock may not develop.</w:t>
      </w:r>
    </w:p>
    <w:p>
      <w:pPr>
        <w:spacing w:after="0" w:line="195" w:lineRule="exact"/>
        <w:rPr>
          <w:sz w:val="20"/>
          <w:szCs w:val="20"/>
          <w:color w:val="auto"/>
        </w:rPr>
      </w:pPr>
    </w:p>
    <w:p>
      <w:pPr>
        <w:ind w:left="7" w:right="180"/>
        <w:spacing w:after="0" w:line="266"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for our common stock will be determined through negotiations with the underwriters. Although we have applied to have our common stock approved for listing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154" w:lineRule="exact"/>
        <w:rPr>
          <w:sz w:val="20"/>
          <w:szCs w:val="20"/>
          <w:color w:val="auto"/>
        </w:rPr>
      </w:pPr>
    </w:p>
    <w:p>
      <w:pPr>
        <w:ind w:left="7"/>
        <w:spacing w:after="0" w:line="277" w:lineRule="auto"/>
        <w:rPr>
          <w:sz w:val="20"/>
          <w:szCs w:val="20"/>
          <w:color w:val="auto"/>
        </w:rPr>
      </w:pPr>
      <w:r>
        <w:rPr>
          <w:rFonts w:ascii="Arial" w:cs="Arial" w:eastAsia="Arial" w:hAnsi="Arial"/>
          <w:sz w:val="15"/>
          <w:szCs w:val="15"/>
          <w:b w:val="1"/>
          <w:bCs w:val="1"/>
          <w:color w:val="auto"/>
        </w:rPr>
        <w:t>The market price of our common stock may be volatile and fluctuate substantially, which could result in substantial losses for purchasers of our common stock in this offering.</w:t>
      </w:r>
    </w:p>
    <w:p>
      <w:pPr>
        <w:spacing w:after="0" w:line="143"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82" w:lineRule="exact"/>
        <w:rPr>
          <w:sz w:val="20"/>
          <w:szCs w:val="20"/>
          <w:color w:val="auto"/>
        </w:rPr>
      </w:pPr>
    </w:p>
    <w:p>
      <w:pPr>
        <w:ind w:left="467" w:hanging="467"/>
        <w:spacing w:after="0"/>
        <w:tabs>
          <w:tab w:leader="none" w:pos="467"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success of competitive products or technologies;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9"/>
        </w:numPr>
        <w:rPr>
          <w:rFonts w:ascii="Arial" w:cs="Arial" w:eastAsia="Arial" w:hAnsi="Arial"/>
          <w:sz w:val="15"/>
          <w:szCs w:val="15"/>
          <w:color w:val="auto"/>
        </w:rPr>
      </w:pPr>
      <w:r>
        <w:rPr>
          <w:rFonts w:ascii="Arial" w:cs="Arial" w:eastAsia="Arial" w:hAnsi="Arial"/>
          <w:sz w:val="15"/>
          <w:szCs w:val="15"/>
          <w:color w:val="auto"/>
        </w:rPr>
        <w:t>actual or expected changes in our growth rate relative to our competitors;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results of clinical trials of our product candidates or those of our competitors;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9"/>
        </w:numPr>
        <w:rPr>
          <w:rFonts w:ascii="Arial" w:cs="Arial" w:eastAsia="Arial" w:hAnsi="Arial"/>
          <w:sz w:val="15"/>
          <w:szCs w:val="15"/>
          <w:color w:val="auto"/>
        </w:rPr>
      </w:pPr>
      <w:r>
        <w:rPr>
          <w:rFonts w:ascii="Arial" w:cs="Arial" w:eastAsia="Arial" w:hAnsi="Arial"/>
          <w:sz w:val="15"/>
          <w:szCs w:val="15"/>
          <w:color w:val="auto"/>
        </w:rPr>
        <w:t>developments related to our existing or any future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65" w:name="page66"/>
    <w:bookmarkEnd w:id="6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development of new product candidates that may address our markets and make our product candidates less attractive;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changes in physician, hospital or healthcare provider practices that may make our product candidates less useful;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announcements by us, our partners or our competitors of significant acquisitions, strategic partnerships, joint ventures, collaborations or capital commitments;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developments or disputes concerning patent applications, issued patents or other proprietary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recruitment or departure of key personnel;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level of expenses related to any of our product candidates or clinical development programs;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failure to meet or exceed financial estimates and projections of the investment community or that we provide to the public;</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results of our efforts to discover, develop, acquire or in-license additional product candidates or products;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actual or expected changes in estimates as to financial results, development timelines or recommendations by securities analysts;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variations in our financial results or those of companies that are perceived to be similar to us;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changes in the structure of healthcare payment systems;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market conditions in the pharmaceutical and biotechnology sectors;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general economic, industry and market conditions;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other factors described in this "Risk factors" section and elsewhere in this prospectus.</w:t>
      </w:r>
    </w:p>
    <w:p>
      <w:pPr>
        <w:spacing w:after="0" w:line="190" w:lineRule="exact"/>
        <w:rPr>
          <w:sz w:val="20"/>
          <w:szCs w:val="20"/>
          <w:color w:val="auto"/>
        </w:rPr>
      </w:pPr>
    </w:p>
    <w:p>
      <w:pPr>
        <w:ind w:left="7" w:right="440"/>
        <w:spacing w:after="0" w:line="277" w:lineRule="auto"/>
        <w:rPr>
          <w:sz w:val="20"/>
          <w:szCs w:val="20"/>
          <w:color w:val="auto"/>
        </w:rPr>
      </w:pPr>
      <w:r>
        <w:rPr>
          <w:rFonts w:ascii="Arial" w:cs="Arial" w:eastAsia="Arial" w:hAnsi="Arial"/>
          <w:sz w:val="15"/>
          <w:szCs w:val="15"/>
          <w:b w:val="1"/>
          <w:bCs w:val="1"/>
          <w:color w:val="auto"/>
        </w:rPr>
        <w:t>After this offering, our executive officers, directors and principal stockholders, if they choose to act together, will continue to have the ability to control or significantly influence all matters submitted to stockholders for approval.</w:t>
      </w:r>
    </w:p>
    <w:p>
      <w:pPr>
        <w:spacing w:after="0" w:line="143" w:lineRule="exact"/>
        <w:rPr>
          <w:sz w:val="20"/>
          <w:szCs w:val="20"/>
          <w:color w:val="auto"/>
        </w:rPr>
      </w:pPr>
    </w:p>
    <w:p>
      <w:pPr>
        <w:ind w:left="7" w:right="80"/>
        <w:spacing w:after="0" w:line="262" w:lineRule="auto"/>
        <w:rPr>
          <w:sz w:val="20"/>
          <w:szCs w:val="20"/>
          <w:color w:val="auto"/>
        </w:rPr>
      </w:pPr>
      <w:r>
        <w:rPr>
          <w:rFonts w:ascii="Arial" w:cs="Arial" w:eastAsia="Arial" w:hAnsi="Arial"/>
          <w:sz w:val="15"/>
          <w:szCs w:val="15"/>
          <w:color w:val="auto"/>
        </w:rPr>
        <w:t>Upon the closing of this offering, based on the number of shares of common stock outstanding as of May 31, 2016, our executive officers, directors and stockholders who owned more than 5% of our outstanding common stock before this offering and their respective affiliates will, in the aggregate, hold shares representing approximately 45% of our outstanding voting stock, which does not take into account any potential participation by such parties in this offering. See "Certain relationships and related person transactions—Participation in this offering."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If you purchase shares of common stock in this offering, you will suffer immediate dilution of your investment.</w:t>
      </w:r>
    </w:p>
    <w:p>
      <w:pPr>
        <w:spacing w:after="0" w:line="195"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color w:val="auto"/>
        </w:rPr>
        <w:t>The initial public offering price of our common stock will be substantially higher than the net tangible book value per share of our common stock. Therefore, if you purchase shares of our common stock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this offering, you will pay a price per share that substantially exceeds our net tangible book value per share after this offering. To the extent shares subsequently are issued under outstanding options or warrants, you will incur further dilution. Based on an assumed initial public offering price of $15.00 per share, which is the midpoint of the price range set forth on the cover page of this prospectus, you will experience immediate dilution of $10.88 per share as of March 31, 2016, representing the difference between our pro forma as adjusted net tangible book value per share, after giving effect to this offering, and the assumed initial public offering price. In addition, purchasers of common stock in this offering will have contributed approximately 35.0% of the aggregate price paid by all purchasers of our stock but will own only approximately 25.0% of our common stock outstanding after this offering.</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Upon the closing of this offering, (i) our series E preferred stock will automatically convert into a number of shares of common stock and (ii) outstanding warrants to purchase shares of our series E 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Accordingly, the number of shares of our common stock issuable upon conversion of all of our preferred stock and exercise of our warrants outstanding would correspondingly increase or decrease, as applicable, in the event of any change in the initial public offering price per share. See "Prospectus summary—The offering."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broad discretion in the use of the net proceeds from this offering and may not use them effectively.</w:t>
      </w:r>
    </w:p>
    <w:p>
      <w:pPr>
        <w:spacing w:after="0" w:line="195"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Our management will have broad discretion in the application of the net proceeds from this offering and could spend the proceeds in ways that do not improve our results of operations or enhance the value of our common stock. We expect that we will use the net proceeds of this offering to support the clinical development of SEL-212, conduct preclinical studies of our other SVP product candidates in order to advance such product candidates into clinical development and for working capital and general corporate purposes. However, our use of these proceeds may differ substantially from our current plans.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159" w:lineRule="exact"/>
        <w:rPr>
          <w:sz w:val="20"/>
          <w:szCs w:val="20"/>
          <w:color w:val="auto"/>
        </w:rPr>
      </w:pPr>
    </w:p>
    <w:p>
      <w:pPr>
        <w:ind w:right="600"/>
        <w:spacing w:after="0" w:line="277" w:lineRule="auto"/>
        <w:rPr>
          <w:sz w:val="20"/>
          <w:szCs w:val="20"/>
          <w:color w:val="auto"/>
        </w:rPr>
      </w:pPr>
      <w:r>
        <w:rPr>
          <w:rFonts w:ascii="Arial" w:cs="Arial" w:eastAsia="Arial" w:hAnsi="Arial"/>
          <w:sz w:val="15"/>
          <w:szCs w:val="15"/>
          <w:b w:val="1"/>
          <w:b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43"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in the market that the holders of a large number of shares intend to sell shares, could reduce the market price of our common stock. After this offering, we will have outstanding 16,914,048 shares of common stock based on the number of shares outstanding as of May 31, 2016. This includes the 4,250,000 shares that we are selling in this offering, which may be resold in the public market immediately without restriction, unless purchased by our affiliates, existing stockholders that are required to file reports pursuant to Section 16 of the Securities Exchange Act of 1934, as amended, or the Exchange Act, or participants in our directed share program who purchase more than $1,000,000 of shares. See "Prospectus summary—Directed share program" and "Shares eligible for future sale." The remaining 12,664,048 shares are currently restricted as a result of securities laws or lock-up agreements but will become eligible to be sold at various times beginning 180 days after this offering, unless held by one of our affiliates, in which case the resale of those securities will be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67" w:name="page68"/>
    <w:bookmarkEnd w:id="6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80"/>
        <w:spacing w:after="0" w:line="313" w:lineRule="auto"/>
        <w:rPr>
          <w:sz w:val="20"/>
          <w:szCs w:val="20"/>
          <w:color w:val="auto"/>
        </w:rPr>
      </w:pPr>
      <w:r>
        <w:rPr>
          <w:rFonts w:ascii="Arial" w:cs="Arial" w:eastAsia="Arial" w:hAnsi="Arial"/>
          <w:sz w:val="13"/>
          <w:szCs w:val="13"/>
          <w:color w:val="auto"/>
        </w:rPr>
        <w:t>volume limitations under Rule 144 of the Securities Act of 1933, as amended, or Rule 144. Moreover, after this offering, holders of 12,016,162 shares of our common stock will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29" w:lineRule="exact"/>
        <w:rPr>
          <w:sz w:val="20"/>
          <w:szCs w:val="20"/>
          <w:color w:val="auto"/>
        </w:rPr>
      </w:pPr>
    </w:p>
    <w:p>
      <w:pPr>
        <w:ind w:left="7" w:right="60"/>
        <w:spacing w:after="0" w:line="277" w:lineRule="auto"/>
        <w:rPr>
          <w:sz w:val="20"/>
          <w:szCs w:val="20"/>
          <w:color w:val="auto"/>
        </w:rPr>
      </w:pPr>
      <w:r>
        <w:rPr>
          <w:rFonts w:ascii="Arial" w:cs="Arial" w:eastAsia="Arial" w:hAnsi="Arial"/>
          <w:sz w:val="15"/>
          <w:szCs w:val="15"/>
          <w:b w:val="1"/>
          <w:bCs w:val="1"/>
          <w:color w:val="auto"/>
        </w:rPr>
        <w:t>We are an "emerging growth company," and the reduced disclosure requirements applicable to emerging growth companies may make our common stock less attractive to investors.</w:t>
      </w:r>
    </w:p>
    <w:p>
      <w:pPr>
        <w:spacing w:after="0" w:line="143"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color w:val="auto"/>
        </w:rPr>
        <w:t>We are an "emerging growth company," as defined in the Jumpstart Our Business Startups Act of 2012, or the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61" w:lineRule="exact"/>
        <w:rPr>
          <w:sz w:val="20"/>
          <w:szCs w:val="20"/>
          <w:color w:val="auto"/>
        </w:rPr>
      </w:pPr>
    </w:p>
    <w:p>
      <w:pPr>
        <w:ind w:left="467" w:right="680" w:hanging="467"/>
        <w:spacing w:after="0" w:line="282" w:lineRule="auto"/>
        <w:tabs>
          <w:tab w:leader="none" w:pos="467" w:val="left"/>
        </w:tabs>
        <w:numPr>
          <w:ilvl w:val="0"/>
          <w:numId w:val="51"/>
        </w:numPr>
        <w:rPr>
          <w:rFonts w:ascii="Arial" w:cs="Arial" w:eastAsia="Arial" w:hAnsi="Arial"/>
          <w:sz w:val="15"/>
          <w:szCs w:val="15"/>
          <w:color w:val="auto"/>
        </w:rPr>
      </w:pPr>
      <w:r>
        <w:rPr>
          <w:rFonts w:ascii="Arial" w:cs="Arial" w:eastAsia="Arial" w:hAnsi="Arial"/>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51"/>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in the assessment of our internal control over financial reporting;</w:t>
      </w:r>
    </w:p>
    <w:p>
      <w:pPr>
        <w:spacing w:after="0" w:line="209" w:lineRule="exact"/>
        <w:rPr>
          <w:rFonts w:ascii="Arial" w:cs="Arial" w:eastAsia="Arial" w:hAnsi="Arial"/>
          <w:sz w:val="15"/>
          <w:szCs w:val="15"/>
          <w:color w:val="auto"/>
        </w:rPr>
      </w:pPr>
    </w:p>
    <w:p>
      <w:pPr>
        <w:ind w:left="467" w:right="720" w:hanging="467"/>
        <w:spacing w:after="0" w:line="282" w:lineRule="auto"/>
        <w:tabs>
          <w:tab w:leader="none" w:pos="467" w:val="left"/>
        </w:tabs>
        <w:numPr>
          <w:ilvl w:val="0"/>
          <w:numId w:val="51"/>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and</w:t>
      </w:r>
    </w:p>
    <w:p>
      <w:pPr>
        <w:spacing w:after="0" w:line="221" w:lineRule="exact"/>
        <w:rPr>
          <w:rFonts w:ascii="Arial" w:cs="Arial" w:eastAsia="Arial" w:hAnsi="Arial"/>
          <w:sz w:val="15"/>
          <w:szCs w:val="15"/>
          <w:color w:val="auto"/>
        </w:rPr>
      </w:pPr>
    </w:p>
    <w:p>
      <w:pPr>
        <w:ind w:left="467" w:right="320" w:hanging="467"/>
        <w:spacing w:after="0" w:line="282" w:lineRule="auto"/>
        <w:tabs>
          <w:tab w:leader="none" w:pos="467" w:val="left"/>
        </w:tabs>
        <w:numPr>
          <w:ilvl w:val="0"/>
          <w:numId w:val="51"/>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shareholder approval of any golden parachute payments not previously approved.</w:t>
      </w:r>
    </w:p>
    <w:p>
      <w:pPr>
        <w:spacing w:after="0" w:line="151" w:lineRule="exact"/>
        <w:rPr>
          <w:sz w:val="20"/>
          <w:szCs w:val="20"/>
          <w:color w:val="auto"/>
        </w:rPr>
      </w:pPr>
    </w:p>
    <w:p>
      <w:pPr>
        <w:ind w:left="7" w:right="220"/>
        <w:spacing w:after="0" w:line="284" w:lineRule="auto"/>
        <w:rPr>
          <w:sz w:val="20"/>
          <w:szCs w:val="20"/>
          <w:color w:val="auto"/>
        </w:rPr>
      </w:pPr>
      <w:r>
        <w:rPr>
          <w:rFonts w:ascii="Arial" w:cs="Arial" w:eastAsia="Arial" w:hAnsi="Arial"/>
          <w:sz w:val="14"/>
          <w:szCs w:val="14"/>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8" w:name="page69"/>
    <w:bookmarkEnd w:id="6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this exemption and, therefore, we will be subject to the same new or revised accounting standards as other public companies that are not emerging growth companies.</w:t>
      </w:r>
    </w:p>
    <w:p>
      <w:pPr>
        <w:spacing w:after="0" w:line="190"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b w:val="1"/>
          <w:bCs w:val="1"/>
          <w:color w:val="auto"/>
        </w:rPr>
        <w:t>We will incur increased costs as a result of operating as a public company, and our management will be required to devote substantial time to new compliance initiatives and corporate governance practices.</w:t>
      </w:r>
    </w:p>
    <w:p>
      <w:pPr>
        <w:spacing w:after="0" w:line="14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69" w:lineRule="exact"/>
        <w:rPr>
          <w:sz w:val="20"/>
          <w:szCs w:val="20"/>
          <w:color w:val="auto"/>
        </w:rPr>
      </w:pPr>
    </w:p>
    <w:p>
      <w:pPr>
        <w:ind w:right="80"/>
        <w:spacing w:after="0" w:line="330" w:lineRule="auto"/>
        <w:rPr>
          <w:sz w:val="20"/>
          <w:szCs w:val="20"/>
          <w:color w:val="auto"/>
        </w:rPr>
      </w:pPr>
      <w:r>
        <w:rPr>
          <w:rFonts w:ascii="Arial" w:cs="Arial" w:eastAsia="Arial" w:hAnsi="Arial"/>
          <w:sz w:val="13"/>
          <w:szCs w:val="13"/>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5" w:lineRule="exact"/>
        <w:rPr>
          <w:sz w:val="20"/>
          <w:szCs w:val="20"/>
          <w:color w:val="auto"/>
        </w:rPr>
      </w:pPr>
    </w:p>
    <w:p>
      <w:pPr>
        <w:ind w:right="80"/>
        <w:spacing w:after="0" w:line="306" w:lineRule="auto"/>
        <w:rPr>
          <w:sz w:val="20"/>
          <w:szCs w:val="20"/>
          <w:color w:val="auto"/>
        </w:rPr>
      </w:pPr>
      <w:r>
        <w:rPr>
          <w:rFonts w:ascii="Arial" w:cs="Arial" w:eastAsia="Arial" w:hAnsi="Arial"/>
          <w:sz w:val="13"/>
          <w:szCs w:val="13"/>
          <w:color w:val="auto"/>
        </w:rPr>
        <w:t>Pursuant to Section 404 of the Sarbanes-Oxley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35" w:lineRule="exact"/>
        <w:rPr>
          <w:sz w:val="20"/>
          <w:szCs w:val="20"/>
          <w:color w:val="auto"/>
        </w:rPr>
      </w:pPr>
    </w:p>
    <w:p>
      <w:pPr>
        <w:ind w:right="120"/>
        <w:spacing w:after="0" w:line="277" w:lineRule="auto"/>
        <w:rPr>
          <w:sz w:val="20"/>
          <w:szCs w:val="20"/>
          <w:color w:val="auto"/>
        </w:rPr>
      </w:pPr>
      <w:r>
        <w:rPr>
          <w:rFonts w:ascii="Arial" w:cs="Arial" w:eastAsia="Arial" w:hAnsi="Arial"/>
          <w:sz w:val="15"/>
          <w:szCs w:val="15"/>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143"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9" w:name="page70"/>
    <w:bookmarkEnd w:id="6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330" w:lineRule="auto"/>
        <w:rPr>
          <w:sz w:val="20"/>
          <w:szCs w:val="20"/>
          <w:color w:val="auto"/>
        </w:rPr>
      </w:pPr>
      <w:r>
        <w:rPr>
          <w:rFonts w:ascii="Arial" w:cs="Arial" w:eastAsia="Arial" w:hAnsi="Arial"/>
          <w:sz w:val="13"/>
          <w:szCs w:val="13"/>
          <w:color w:val="auto"/>
        </w:rPr>
        <w:t>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16" w:lineRule="exact"/>
        <w:rPr>
          <w:sz w:val="20"/>
          <w:szCs w:val="20"/>
          <w:color w:val="auto"/>
        </w:rPr>
      </w:pPr>
    </w:p>
    <w:p>
      <w:pPr>
        <w:ind w:left="7" w:right="240"/>
        <w:spacing w:after="0" w:line="277" w:lineRule="auto"/>
        <w:rPr>
          <w:sz w:val="20"/>
          <w:szCs w:val="20"/>
          <w:color w:val="auto"/>
        </w:rPr>
      </w:pPr>
      <w:r>
        <w:rPr>
          <w:rFonts w:ascii="Arial" w:cs="Arial" w:eastAsia="Arial" w:hAnsi="Arial"/>
          <w:sz w:val="15"/>
          <w:szCs w:val="15"/>
          <w:b w:val="1"/>
          <w:b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43" w:lineRule="exact"/>
        <w:rPr>
          <w:sz w:val="20"/>
          <w:szCs w:val="20"/>
          <w:color w:val="auto"/>
        </w:rPr>
      </w:pPr>
    </w:p>
    <w:p>
      <w:pPr>
        <w:ind w:left="7" w:right="140"/>
        <w:spacing w:after="0" w:line="262" w:lineRule="auto"/>
        <w:rPr>
          <w:sz w:val="20"/>
          <w:szCs w:val="20"/>
          <w:color w:val="auto"/>
        </w:rPr>
      </w:pPr>
      <w:r>
        <w:rPr>
          <w:rFonts w:ascii="Arial" w:cs="Arial" w:eastAsia="Arial" w:hAnsi="Arial"/>
          <w:sz w:val="15"/>
          <w:szCs w:val="15"/>
          <w:color w:val="auto"/>
        </w:rPr>
        <w:t>Provisions in our restated certificate of incorporation and our restated bylaws, which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79" w:lineRule="exact"/>
        <w:rPr>
          <w:sz w:val="20"/>
          <w:szCs w:val="20"/>
          <w:color w:val="auto"/>
        </w:rPr>
      </w:pPr>
    </w:p>
    <w:p>
      <w:pPr>
        <w:ind w:left="467" w:hanging="467"/>
        <w:spacing w:after="0"/>
        <w:tabs>
          <w:tab w:leader="none" w:pos="467" w:val="left"/>
        </w:tabs>
        <w:numPr>
          <w:ilvl w:val="0"/>
          <w:numId w:val="52"/>
        </w:numPr>
        <w:rPr>
          <w:rFonts w:ascii="Arial" w:cs="Arial" w:eastAsia="Arial" w:hAnsi="Arial"/>
          <w:sz w:val="14"/>
          <w:szCs w:val="14"/>
          <w:color w:val="auto"/>
        </w:rPr>
      </w:pPr>
      <w:r>
        <w:rPr>
          <w:rFonts w:ascii="Arial" w:cs="Arial" w:eastAsia="Arial" w:hAnsi="Arial"/>
          <w:sz w:val="14"/>
          <w:szCs w:val="14"/>
          <w:color w:val="auto"/>
        </w:rPr>
        <w:t>a classified board of directors with three-year staggered terms, which may delay the ability of stockholders to change the membership of a majority of our board of directors;</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no cumulative voting in the election of directors, which limits the ability of minority stockholders to elect director candidates;</w:t>
      </w:r>
    </w:p>
    <w:p>
      <w:pPr>
        <w:spacing w:after="0" w:line="209" w:lineRule="exact"/>
        <w:rPr>
          <w:rFonts w:ascii="Arial" w:cs="Arial" w:eastAsia="Arial" w:hAnsi="Arial"/>
          <w:sz w:val="15"/>
          <w:szCs w:val="15"/>
          <w:color w:val="auto"/>
        </w:rPr>
      </w:pPr>
    </w:p>
    <w:p>
      <w:pPr>
        <w:ind w:left="467" w:right="260" w:hanging="467"/>
        <w:spacing w:after="0" w:line="282" w:lineRule="auto"/>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2"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ability of our board of directors to alter our bylaws without obtaining stockholder approval;</w:t>
      </w:r>
    </w:p>
    <w:p>
      <w:pPr>
        <w:spacing w:after="0" w:line="209"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221"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62" w:lineRule="exact"/>
        <w:rPr>
          <w:rFonts w:ascii="Arial" w:cs="Arial" w:eastAsia="Arial" w:hAnsi="Arial"/>
          <w:sz w:val="15"/>
          <w:szCs w:val="15"/>
          <w:color w:val="auto"/>
        </w:rPr>
      </w:pPr>
    </w:p>
    <w:p>
      <w:pPr>
        <w:ind w:left="467" w:right="340" w:hanging="467"/>
        <w:spacing w:after="0" w:line="282" w:lineRule="auto"/>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advance notice procedures that stockholders must comply with in order to nominate candidates to our board of directors or to propose matters to be acted upon at a stockholders' meeting,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0" w:name="page71"/>
    <w:bookmarkEnd w:id="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may discourage or deter a potential acquirer from conducting a solicitation of proxies to elect the acquirer's own slate of directors or otherwise attempting to obtain control of us.</w:t>
      </w:r>
    </w:p>
    <w:p>
      <w:pPr>
        <w:spacing w:after="0" w:line="210" w:lineRule="exact"/>
        <w:rPr>
          <w:sz w:val="20"/>
          <w:szCs w:val="20"/>
          <w:color w:val="auto"/>
        </w:rPr>
      </w:pPr>
    </w:p>
    <w:p>
      <w:pPr>
        <w:jc w:val="both"/>
        <w:ind w:right="200"/>
        <w:spacing w:after="0" w:line="270"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1" w:lineRule="exact"/>
        <w:rPr>
          <w:sz w:val="20"/>
          <w:szCs w:val="20"/>
          <w:color w:val="auto"/>
        </w:rPr>
      </w:pPr>
    </w:p>
    <w:p>
      <w:pPr>
        <w:jc w:val="both"/>
        <w:ind w:right="60"/>
        <w:spacing w:after="0" w:line="259" w:lineRule="auto"/>
        <w:rPr>
          <w:sz w:val="20"/>
          <w:szCs w:val="20"/>
          <w:color w:val="auto"/>
        </w:rPr>
      </w:pPr>
      <w:r>
        <w:rPr>
          <w:rFonts w:ascii="Arial" w:cs="Arial" w:eastAsia="Arial" w:hAnsi="Arial"/>
          <w:sz w:val="15"/>
          <w:szCs w:val="15"/>
          <w:b w:val="1"/>
          <w:bCs w:val="1"/>
          <w:color w:val="auto"/>
        </w:rPr>
        <w:t>Our restated certificate of incorporation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56"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Because we do not expect paying any cash dividends on our capital stock in the foreseeable future, capital appreciation, if any, will be your sole source of gain.</w:t>
      </w:r>
    </w:p>
    <w:p>
      <w:pPr>
        <w:spacing w:after="0" w:line="195"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of our future earnings, if any, to finance the growth and development of our business. In addition, our credit facility with Oxford and Pacific Western Bank currently prohibits us from paying cash dividends on our equity securities, and any future debt agreements may likewise preclude us from paying dividends. As a result, capital appreciation, if any, of our common stock will be your sole source of gain for the foreseeable future.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could be subject to securities class action litigation.</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Special note regarding forward-looking statements</w:t>
      </w:r>
    </w:p>
    <w:p>
      <w:pPr>
        <w:spacing w:after="0" w:line="183"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This prospectus contains forward-looking statements. All statements other than statements of historical facts contained in this prospectus, including statements regarding our future results of operations and financial position, business strategy, prospective products and product candidates, product approvals, research and development costs, timing and likelihood of success, plans and objectives of management for future operations and future results of expected products and product candidates,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ind w:right="20"/>
        <w:spacing w:after="0" w:line="304" w:lineRule="auto"/>
        <w:rPr>
          <w:sz w:val="20"/>
          <w:szCs w:val="20"/>
          <w:color w:val="auto"/>
        </w:rPr>
      </w:pPr>
      <w:r>
        <w:rPr>
          <w:rFonts w:ascii="Arial" w:cs="Arial" w:eastAsia="Arial" w:hAnsi="Arial"/>
          <w:sz w:val="13"/>
          <w:szCs w:val="13"/>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factors,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726630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2" w:name="page73"/>
    <w:bookmarkEnd w:id="72"/>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0910" cy="7620"/>
                    </a:xfrm>
                    <a:prstGeom prst="rect">
                      <a:avLst/>
                    </a:prstGeom>
                    <a:noFill/>
                  </pic:spPr>
                </pic:pic>
              </a:graphicData>
            </a:graphic>
          </wp:anchor>
        </w:drawing>
        <w:t>Industry and other data</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We obtained the industry, market and competitive position data in this prospectus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frequently involve a number of assumptions and limitations and therefore do not guarantee the accuracy or completeness of such information. Our estimates also involve risks and uncertainties and are subject to change based on various factors, including those discussed under the headings "Risk factors," "Special note regarding forward-looking statements" and "Management's discussion and analysis of financial condition and results of operations" in this prospectus.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Trademarks, service marks and tradenames</w:t>
      </w:r>
    </w:p>
    <w:p>
      <w:pPr>
        <w:spacing w:after="0" w:line="183"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We own or have rights to use a number of registered and common law trademarks, service marks and trade names in connection with our business in the United States and in certain foreign jurisdictions, including, but not limited to, "SELECTA."</w:t>
      </w:r>
    </w:p>
    <w:p>
      <w:pPr>
        <w:spacing w:after="0" w:line="151"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Solely for convenience, the trademarks, service marks, logos and trade names referred to in this prospectus are included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or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73" w:name="page74"/>
    <w:bookmarkEnd w:id="73"/>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0910" cy="7620"/>
                    </a:xfrm>
                    <a:prstGeom prst="rect">
                      <a:avLst/>
                    </a:prstGeom>
                    <a:noFill/>
                  </pic:spPr>
                </pic:pic>
              </a:graphicData>
            </a:graphic>
          </wp:anchor>
        </w:drawing>
        <w:t>Use of proceeds</w:t>
      </w:r>
    </w:p>
    <w:p>
      <w:pPr>
        <w:spacing w:after="0" w:line="183" w:lineRule="exact"/>
        <w:rPr>
          <w:sz w:val="20"/>
          <w:szCs w:val="20"/>
          <w:color w:val="auto"/>
        </w:rPr>
      </w:pPr>
    </w:p>
    <w:p>
      <w:pPr>
        <w:ind w:left="7" w:right="60"/>
        <w:spacing w:after="0" w:line="282" w:lineRule="auto"/>
        <w:rPr>
          <w:sz w:val="20"/>
          <w:szCs w:val="20"/>
          <w:color w:val="auto"/>
        </w:rPr>
      </w:pPr>
      <w:r>
        <w:rPr>
          <w:rFonts w:ascii="Arial" w:cs="Arial" w:eastAsia="Arial" w:hAnsi="Arial"/>
          <w:sz w:val="14"/>
          <w:szCs w:val="14"/>
          <w:color w:val="auto"/>
        </w:rPr>
        <w:t>We estimate that the net proceeds from our sale of 4,250,000 shares of our common stock in this offering will be approximately $55.4 million, assuming an initial public offering price of $15.00 per share, which is the midpoint of the price range set forth on the cover page of this prospectus, and after deducting the estimated underwriting discounts and commissions and estimated offering expenses payable by us. If the underwriters' option to purchase additional shares from us is exercised in full, we estimate that our net proceeds will be $64.3 million. Each $1.00 increase (decrease) in the assumed initial public offering price of $15.00 per share would increase (decrease) the net proceeds to us from this offering by approximately $4.0 million, assuming the number of shares offered by us, as set forth on the cover page of this prospectus, remains the same and after deducting the estimated underwriting discounts and commissions and estimated offering expenses payable by us. Each increase (decrease) of 1.0 million in the number of shares we are offering would increase (decrease) the net proceeds to us from this offering, after deducting the estimated underwriting discounts and commissions and estimated offering expenses payable by us, by $14.0 million, assuming the assumed initial public offering price stays the same.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expect that we will use the net proceeds from this offering for the following purposes:</w:t>
      </w:r>
    </w:p>
    <w:p>
      <w:pPr>
        <w:spacing w:after="0" w:line="210" w:lineRule="exact"/>
        <w:rPr>
          <w:sz w:val="20"/>
          <w:szCs w:val="20"/>
          <w:color w:val="auto"/>
        </w:rPr>
      </w:pPr>
    </w:p>
    <w:p>
      <w:pPr>
        <w:ind w:left="467" w:hanging="467"/>
        <w:spacing w:after="0"/>
        <w:tabs>
          <w:tab w:leader="none" w:pos="4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approximately $23 million to support the clinical development and manufacturing scale-up of SEL-212, including SEL-212's Phase 2 clinical trial;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approximately $10 million to fund the start of a Phase 1 clinical trial and manufacturing scale-up of our first gene therapy program; and</w:t>
      </w:r>
    </w:p>
    <w:p>
      <w:pPr>
        <w:spacing w:after="0" w:line="209" w:lineRule="exact"/>
        <w:rPr>
          <w:rFonts w:ascii="Arial" w:cs="Arial" w:eastAsia="Arial" w:hAnsi="Arial"/>
          <w:sz w:val="15"/>
          <w:szCs w:val="15"/>
          <w:color w:val="auto"/>
        </w:rPr>
      </w:pPr>
    </w:p>
    <w:p>
      <w:pPr>
        <w:ind w:left="467" w:right="120" w:hanging="467"/>
        <w:spacing w:after="0" w:line="362" w:lineRule="auto"/>
        <w:tabs>
          <w:tab w:leader="none" w:pos="467"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remainder, if any, to fund preparations for the Phase 3 clinical trial of SEL-212 and the further advancement of our second gene therapy program as well as other potential future development programs, early-stage research and development and continued development of our SVP technologies, and for working capital and general corporate purposes.</w:t>
      </w:r>
    </w:p>
    <w:p>
      <w:pPr>
        <w:spacing w:after="0" w:line="105" w:lineRule="exact"/>
        <w:rPr>
          <w:sz w:val="20"/>
          <w:szCs w:val="20"/>
          <w:color w:val="auto"/>
        </w:rPr>
      </w:pPr>
    </w:p>
    <w:p>
      <w:pPr>
        <w:ind w:left="7" w:right="80"/>
        <w:spacing w:after="0" w:line="282" w:lineRule="auto"/>
        <w:rPr>
          <w:sz w:val="20"/>
          <w:szCs w:val="20"/>
          <w:color w:val="auto"/>
        </w:rPr>
      </w:pPr>
      <w:r>
        <w:rPr>
          <w:rFonts w:ascii="Arial" w:cs="Arial" w:eastAsia="Arial" w:hAnsi="Arial"/>
          <w:sz w:val="14"/>
          <w:szCs w:val="14"/>
          <w:color w:val="auto"/>
        </w:rPr>
        <w:t>The expected use of the net proceeds from this offering represents our intentions based upon our current plans and business conditions.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we expect that we will need additional funds to complete the development of SEL-212 and any other product candidates we identify.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54"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333" w:right="219" w:bottom="1440" w:gutter="0" w:footer="0" w:header="0"/>
        </w:sectPr>
      </w:pPr>
    </w:p>
    <w:bookmarkStart w:id="74" w:name="page75"/>
    <w:bookmarkEnd w:id="74"/>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0910" cy="7620"/>
                    </a:xfrm>
                    <a:prstGeom prst="rect">
                      <a:avLst/>
                    </a:prstGeom>
                    <a:noFill/>
                  </pic:spPr>
                </pic:pic>
              </a:graphicData>
            </a:graphic>
          </wp:anchor>
        </w:drawing>
        <w:t>Dividend policy</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75" w:name="page76"/>
    <w:bookmarkEnd w:id="7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Capitalization</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table sets forth our cash and cash equivalents and capitalization as of March 31, 2016, as follows:</w:t>
      </w:r>
    </w:p>
    <w:p>
      <w:pPr>
        <w:spacing w:after="0" w:line="210" w:lineRule="exact"/>
        <w:rPr>
          <w:sz w:val="20"/>
          <w:szCs w:val="20"/>
          <w:color w:val="auto"/>
        </w:rPr>
      </w:pPr>
    </w:p>
    <w:p>
      <w:pPr>
        <w:ind w:left="467" w:hanging="467"/>
        <w:spacing w:after="0"/>
        <w:tabs>
          <w:tab w:leader="none" w:pos="467" w:val="left"/>
        </w:tabs>
        <w:numPr>
          <w:ilvl w:val="0"/>
          <w:numId w:val="54"/>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221" w:lineRule="exact"/>
        <w:rPr>
          <w:rFonts w:ascii="Arial" w:cs="Arial" w:eastAsia="Arial" w:hAnsi="Arial"/>
          <w:sz w:val="15"/>
          <w:szCs w:val="15"/>
          <w:color w:val="auto"/>
        </w:rPr>
      </w:pPr>
    </w:p>
    <w:p>
      <w:pPr>
        <w:ind w:left="467" w:right="200" w:hanging="467"/>
        <w:spacing w:after="0" w:line="261" w:lineRule="auto"/>
        <w:tabs>
          <w:tab w:leader="none" w:pos="467" w:val="left"/>
        </w:tabs>
        <w:numPr>
          <w:ilvl w:val="0"/>
          <w:numId w:val="54"/>
        </w:numPr>
        <w:rPr>
          <w:rFonts w:ascii="Arial" w:cs="Arial" w:eastAsia="Arial" w:hAnsi="Arial"/>
          <w:sz w:val="15"/>
          <w:szCs w:val="15"/>
          <w:color w:val="auto"/>
        </w:rPr>
      </w:pPr>
      <w:r>
        <w:rPr>
          <w:rFonts w:ascii="Arial" w:cs="Arial" w:eastAsia="Arial" w:hAnsi="Arial"/>
          <w:sz w:val="15"/>
          <w:szCs w:val="15"/>
          <w:color w:val="auto"/>
        </w:rPr>
        <w:t>on a pro forma basis to reflect the (i) the automatic conversion of all shares of our preferred stock into common stock upon closing of this offering, which, based on an assumed initial public offering price of $15.00 per share, the midpoint of the price range set forth on the cover of this prospectus, would result in the issuance of 9,890,580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14,088 shares of our common stock, at a weighted average exercise price of $17.55 per share of common stock, based on an assumed initial public offering price of $15.00 per share, the midpoint of the price range set forth on the cover of this prospectus, upon the closing of this offering, (iii) the automatic cashless exercise of the series E common warrants for 567,306 shares of our common stock and (iv) the filing of our restated certificate of incorporation; and</w:t>
      </w:r>
    </w:p>
    <w:p>
      <w:pPr>
        <w:spacing w:after="0" w:line="181" w:lineRule="exact"/>
        <w:rPr>
          <w:rFonts w:ascii="Arial" w:cs="Arial" w:eastAsia="Arial" w:hAnsi="Arial"/>
          <w:sz w:val="15"/>
          <w:szCs w:val="15"/>
          <w:color w:val="auto"/>
        </w:rPr>
      </w:pPr>
    </w:p>
    <w:p>
      <w:pPr>
        <w:ind w:left="467" w:hanging="467"/>
        <w:spacing w:after="0"/>
        <w:tabs>
          <w:tab w:leader="none" w:pos="467" w:val="left"/>
        </w:tabs>
        <w:numPr>
          <w:ilvl w:val="0"/>
          <w:numId w:val="54"/>
        </w:numPr>
        <w:rPr>
          <w:rFonts w:ascii="Arial" w:cs="Arial" w:eastAsia="Arial" w:hAnsi="Arial"/>
          <w:sz w:val="14"/>
          <w:szCs w:val="14"/>
          <w:color w:val="auto"/>
        </w:rPr>
      </w:pPr>
      <w:r>
        <w:rPr>
          <w:rFonts w:ascii="Arial" w:cs="Arial" w:eastAsia="Arial" w:hAnsi="Arial"/>
          <w:sz w:val="14"/>
          <w:szCs w:val="14"/>
          <w:color w:val="auto"/>
        </w:rPr>
        <w:t>on a pro forma as adjusted basis to give further effect to our issuance and sale of 4,250,000 shares of common stock in this offering at an assumed initial public offering price of</w:t>
      </w:r>
    </w:p>
    <w:p>
      <w:pPr>
        <w:spacing w:after="0" w:line="29" w:lineRule="exact"/>
        <w:rPr>
          <w:rFonts w:ascii="Arial" w:cs="Arial" w:eastAsia="Arial" w:hAnsi="Arial"/>
          <w:sz w:val="14"/>
          <w:szCs w:val="14"/>
          <w:color w:val="auto"/>
        </w:rPr>
      </w:pPr>
    </w:p>
    <w:p>
      <w:pPr>
        <w:ind w:left="467" w:right="200"/>
        <w:spacing w:after="0" w:line="275" w:lineRule="auto"/>
        <w:rPr>
          <w:rFonts w:ascii="Arial" w:cs="Arial" w:eastAsia="Arial" w:hAnsi="Arial"/>
          <w:sz w:val="14"/>
          <w:szCs w:val="14"/>
          <w:color w:val="auto"/>
        </w:rPr>
      </w:pPr>
      <w:r>
        <w:rPr>
          <w:rFonts w:ascii="Arial" w:cs="Arial" w:eastAsia="Arial" w:hAnsi="Arial"/>
          <w:sz w:val="15"/>
          <w:szCs w:val="15"/>
          <w:color w:val="auto"/>
        </w:rPr>
        <w:t>$15.00 per share, which is the midpoint of the price range set forth on the cover page of this prospectus, after deducting the estimated underwriting discounts and commissions and estimated offering expenses payable by us.</w:t>
      </w:r>
    </w:p>
    <w:p>
      <w:pPr>
        <w:spacing w:after="0" w:line="156" w:lineRule="exact"/>
        <w:rPr>
          <w:sz w:val="20"/>
          <w:szCs w:val="20"/>
          <w:color w:val="auto"/>
        </w:rPr>
      </w:pPr>
    </w:p>
    <w:p>
      <w:pPr>
        <w:ind w:left="7" w:right="280"/>
        <w:spacing w:after="0" w:line="282" w:lineRule="auto"/>
        <w:rPr>
          <w:sz w:val="20"/>
          <w:szCs w:val="20"/>
          <w:color w:val="auto"/>
        </w:rPr>
      </w:pPr>
      <w:r>
        <w:rPr>
          <w:rFonts w:ascii="Arial" w:cs="Arial" w:eastAsia="Arial" w:hAnsi="Arial"/>
          <w:sz w:val="15"/>
          <w:szCs w:val="15"/>
          <w:color w:val="auto"/>
        </w:rPr>
        <w:t>Our capitalization following the closing of this offering will be adjusted based on the actual initial public offering price and other terms of this offering determined at pricing. You should read this information in conjunction with our consolidated financial statements and the related notes appearing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6" w:name="page77"/>
    <w:bookmarkEnd w:id="7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480"/>
        <w:spacing w:after="0" w:line="282" w:lineRule="auto"/>
        <w:rPr>
          <w:sz w:val="20"/>
          <w:szCs w:val="20"/>
          <w:color w:val="auto"/>
        </w:rPr>
      </w:pPr>
      <w:r>
        <w:rPr>
          <w:rFonts w:ascii="Arial" w:cs="Arial" w:eastAsia="Arial" w:hAnsi="Arial"/>
          <w:sz w:val="15"/>
          <w:szCs w:val="15"/>
          <w:color w:val="auto"/>
        </w:rPr>
        <w:t>at the end of this prospectus and the "Management's discussion and analysis of financial condition and results of operations" section and other financial information contained in this prospectus.</w:t>
      </w:r>
    </w:p>
    <w:p>
      <w:pPr>
        <w:spacing w:after="0" w:line="183" w:lineRule="exact"/>
        <w:rPr>
          <w:sz w:val="20"/>
          <w:szCs w:val="20"/>
          <w:color w:val="auto"/>
        </w:rPr>
      </w:pPr>
    </w:p>
    <w:tbl>
      <w:tblPr>
        <w:tblLayout w:type="fixed"/>
        <w:tblInd w:w="1147" w:type="dxa"/>
        <w:tblCellMar>
          <w:top w:w="0" w:type="dxa"/>
          <w:left w:w="0" w:type="dxa"/>
          <w:bottom w:w="0" w:type="dxa"/>
          <w:right w:w="0" w:type="dxa"/>
        </w:tblCellMar>
      </w:tblPr>
      <w:tr>
        <w:trPr>
          <w:trHeight w:val="149"/>
        </w:trPr>
        <w:tc>
          <w:tcPr>
            <w:tcW w:w="6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8"/>
          </w:tcPr>
          <w:p>
            <w:pPr>
              <w:jc w:val="center"/>
              <w:ind w:left="529"/>
              <w:spacing w:after="0"/>
              <w:rPr>
                <w:sz w:val="20"/>
                <w:szCs w:val="20"/>
                <w:color w:val="auto"/>
              </w:rPr>
            </w:pPr>
            <w:r>
              <w:rPr>
                <w:rFonts w:ascii="Arial" w:cs="Arial" w:eastAsia="Arial" w:hAnsi="Arial"/>
                <w:sz w:val="12"/>
                <w:szCs w:val="12"/>
                <w:b w:val="1"/>
                <w:bCs w:val="1"/>
                <w:color w:val="auto"/>
              </w:rPr>
              <w:t>As of March 31, 2016</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7"/>
              <w:spacing w:after="0" w:line="121" w:lineRule="exact"/>
              <w:rPr>
                <w:sz w:val="20"/>
                <w:szCs w:val="20"/>
                <w:color w:val="auto"/>
              </w:rPr>
            </w:pPr>
            <w:r>
              <w:rPr>
                <w:rFonts w:ascii="Arial" w:cs="Arial" w:eastAsia="Arial" w:hAnsi="Arial"/>
                <w:sz w:val="12"/>
                <w:szCs w:val="12"/>
                <w:b w:val="1"/>
                <w:bCs w:val="1"/>
                <w:color w:val="auto"/>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Actual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Pro forma</w:t>
            </w:r>
          </w:p>
        </w:tc>
        <w:tc>
          <w:tcPr>
            <w:tcW w:w="6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as adjusted</w:t>
            </w:r>
          </w:p>
        </w:tc>
        <w:tc>
          <w:tcPr>
            <w:tcW w:w="0" w:type="dxa"/>
            <w:vAlign w:val="bottom"/>
          </w:tcPr>
          <w:p>
            <w:pPr>
              <w:spacing w:after="0"/>
              <w:rPr>
                <w:sz w:val="1"/>
                <w:szCs w:val="1"/>
                <w:color w:val="auto"/>
              </w:rPr>
            </w:pPr>
          </w:p>
        </w:tc>
      </w:tr>
      <w:tr>
        <w:trPr>
          <w:trHeight w:val="114"/>
        </w:trPr>
        <w:tc>
          <w:tcPr>
            <w:tcW w:w="63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ind w:right="200"/>
              <w:spacing w:after="0" w:line="114" w:lineRule="exact"/>
              <w:rPr>
                <w:sz w:val="20"/>
                <w:szCs w:val="20"/>
                <w:color w:val="auto"/>
              </w:rPr>
            </w:pPr>
            <w:r>
              <w:rPr>
                <w:rFonts w:ascii="Arial" w:cs="Arial" w:eastAsia="Arial" w:hAnsi="Arial"/>
                <w:sz w:val="12"/>
                <w:szCs w:val="12"/>
                <w:b w:val="1"/>
                <w:bCs w:val="1"/>
                <w:color w:val="auto"/>
                <w:w w:val="85"/>
              </w:rPr>
              <w:t>(unaudited)</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w w:val="88"/>
              </w:rPr>
              <w:t>(unaudited)</w:t>
            </w: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7"/>
              <w:spacing w:after="0" w:line="11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10"/>
          </w:tcPr>
          <w:p>
            <w:pPr>
              <w:jc w:val="center"/>
              <w:ind w:right="280"/>
              <w:spacing w:after="0"/>
              <w:rPr>
                <w:sz w:val="20"/>
                <w:szCs w:val="20"/>
                <w:color w:val="auto"/>
              </w:rPr>
            </w:pPr>
            <w:r>
              <w:rPr>
                <w:rFonts w:ascii="Arial" w:cs="Arial" w:eastAsia="Arial" w:hAnsi="Arial"/>
                <w:sz w:val="12"/>
                <w:szCs w:val="12"/>
                <w:b w:val="1"/>
                <w:bCs w:val="1"/>
                <w:color w:val="auto"/>
              </w:rPr>
              <w:t>(in thousands, except for share data)</w:t>
            </w:r>
          </w:p>
        </w:tc>
        <w:tc>
          <w:tcPr>
            <w:tcW w:w="0" w:type="dxa"/>
            <w:vAlign w:val="bottom"/>
          </w:tcPr>
          <w:p>
            <w:pPr>
              <w:spacing w:after="0"/>
              <w:rPr>
                <w:sz w:val="1"/>
                <w:szCs w:val="1"/>
                <w:color w:val="auto"/>
              </w:rPr>
            </w:pPr>
          </w:p>
        </w:tc>
      </w:tr>
      <w:tr>
        <w:trPr>
          <w:trHeight w:val="185"/>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and short-term investments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81,367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5"/>
                <w:szCs w:val="15"/>
                <w:color w:val="auto"/>
              </w:rPr>
              <w:t>Other long-term liabilities</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60" w:lineRule="exact"/>
              <w:rPr>
                <w:sz w:val="20"/>
                <w:szCs w:val="20"/>
                <w:color w:val="auto"/>
              </w:rPr>
            </w:pPr>
            <w:r>
              <w:rPr>
                <w:rFonts w:ascii="Arial" w:cs="Arial" w:eastAsia="Arial" w:hAnsi="Arial"/>
                <w:sz w:val="15"/>
                <w:szCs w:val="15"/>
                <w:color w:val="auto"/>
              </w:rPr>
              <w:t>310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Loans payable, net of current portion</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340" w:type="dxa"/>
            <w:vAlign w:val="bottom"/>
          </w:tcPr>
          <w:p>
            <w:pPr>
              <w:spacing w:after="0"/>
              <w:rPr>
                <w:sz w:val="20"/>
                <w:szCs w:val="20"/>
                <w:color w:val="auto"/>
              </w:rPr>
            </w:pPr>
            <w:r>
              <w:rPr>
                <w:rFonts w:ascii="Arial" w:cs="Arial" w:eastAsia="Arial" w:hAnsi="Arial"/>
                <w:sz w:val="15"/>
                <w:szCs w:val="15"/>
                <w:color w:val="auto"/>
                <w:w w:val="93"/>
              </w:rPr>
              <w:t>Redeemable convertible preferred stock (Series A, B, C, D, E and SRN), par value $0.0001 per share;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20"/>
              <w:spacing w:after="0"/>
              <w:rPr>
                <w:sz w:val="20"/>
                <w:szCs w:val="20"/>
                <w:color w:val="auto"/>
              </w:rPr>
            </w:pPr>
            <w:r>
              <w:rPr>
                <w:rFonts w:ascii="Arial" w:cs="Arial" w:eastAsia="Arial" w:hAnsi="Arial"/>
                <w:sz w:val="15"/>
                <w:szCs w:val="15"/>
                <w:color w:val="auto"/>
                <w:w w:val="89"/>
              </w:rPr>
              <w:t>37,835,623 shares authorized, 34,127,186 shares issued and outstanding, actual; no shares authorized,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40" w:type="dxa"/>
            <w:vAlign w:val="bottom"/>
          </w:tcPr>
          <w:p>
            <w:pPr>
              <w:ind w:left="120"/>
              <w:spacing w:after="0"/>
              <w:rPr>
                <w:sz w:val="20"/>
                <w:szCs w:val="20"/>
                <w:color w:val="auto"/>
              </w:rPr>
            </w:pPr>
            <w:r>
              <w:rPr>
                <w:rFonts w:ascii="Arial" w:cs="Arial" w:eastAsia="Arial" w:hAnsi="Arial"/>
                <w:sz w:val="15"/>
                <w:szCs w:val="15"/>
                <w:color w:val="auto"/>
              </w:rPr>
              <w:t>issued or outstanding, pro forma and pro forma as adjusted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139,837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0"/>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w w:val="97"/>
              </w:rPr>
              <w:t>Preferred stock, par value $0.0001 per share; no shares authorized, issued or outstanding, actual;</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34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7"/>
              </w:rPr>
              <w:t>10,000,000 shares authorized and no shares issued or outstanding, pro forma and pro forma as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adjusted</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6340" w:type="dxa"/>
            <w:vAlign w:val="bottom"/>
          </w:tcPr>
          <w:p>
            <w:pPr>
              <w:spacing w:after="0"/>
              <w:rPr>
                <w:sz w:val="20"/>
                <w:szCs w:val="20"/>
                <w:color w:val="auto"/>
              </w:rPr>
            </w:pPr>
            <w:r>
              <w:rPr>
                <w:rFonts w:ascii="Arial" w:cs="Arial" w:eastAsia="Arial" w:hAnsi="Arial"/>
                <w:sz w:val="15"/>
                <w:szCs w:val="15"/>
                <w:color w:val="auto"/>
                <w:w w:val="89"/>
              </w:rPr>
              <w:t>Common stock, par value $0.0001 per share; 62,164,377 shares authorized, 2,183,541 shares issued and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20"/>
              <w:spacing w:after="0"/>
              <w:rPr>
                <w:sz w:val="20"/>
                <w:szCs w:val="20"/>
                <w:color w:val="auto"/>
              </w:rPr>
            </w:pPr>
            <w:r>
              <w:rPr>
                <w:rFonts w:ascii="Arial" w:cs="Arial" w:eastAsia="Arial" w:hAnsi="Arial"/>
                <w:sz w:val="15"/>
                <w:szCs w:val="15"/>
                <w:color w:val="auto"/>
                <w:w w:val="97"/>
              </w:rPr>
              <w:t>2,177,858 shares outstanding (5,683 shares subject to repurchase), actual; 200,000,000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20"/>
              <w:spacing w:after="0"/>
              <w:rPr>
                <w:sz w:val="20"/>
                <w:szCs w:val="20"/>
                <w:color w:val="auto"/>
              </w:rPr>
            </w:pPr>
            <w:r>
              <w:rPr>
                <w:rFonts w:ascii="Arial" w:cs="Arial" w:eastAsia="Arial" w:hAnsi="Arial"/>
                <w:sz w:val="15"/>
                <w:szCs w:val="15"/>
                <w:color w:val="auto"/>
                <w:w w:val="94"/>
              </w:rPr>
              <w:t>authorized, pro forma and pro forma as adjusted; 12,641,402 shares issued and 12,635,719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20"/>
              <w:spacing w:after="0"/>
              <w:rPr>
                <w:sz w:val="20"/>
                <w:szCs w:val="20"/>
                <w:color w:val="auto"/>
              </w:rPr>
            </w:pPr>
            <w:r>
              <w:rPr>
                <w:rFonts w:ascii="Arial" w:cs="Arial" w:eastAsia="Arial" w:hAnsi="Arial"/>
                <w:sz w:val="15"/>
                <w:szCs w:val="15"/>
                <w:color w:val="auto"/>
                <w:w w:val="93"/>
              </w:rPr>
              <w:t>outstanding, pro forma; 16,891,402 shares issued and 16,885,719 shares outstanding, pro forma as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40" w:type="dxa"/>
            <w:vAlign w:val="bottom"/>
          </w:tcPr>
          <w:p>
            <w:pPr>
              <w:ind w:left="120"/>
              <w:spacing w:after="0"/>
              <w:rPr>
                <w:sz w:val="20"/>
                <w:szCs w:val="20"/>
                <w:color w:val="auto"/>
              </w:rPr>
            </w:pPr>
            <w:r>
              <w:rPr>
                <w:rFonts w:ascii="Arial" w:cs="Arial" w:eastAsia="Arial" w:hAnsi="Arial"/>
                <w:sz w:val="15"/>
                <w:szCs w:val="15"/>
                <w:color w:val="auto"/>
              </w:rPr>
              <w:t>adjusted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 in capital</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140,147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195,535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40" w:type="dxa"/>
            <w:vAlign w:val="bottom"/>
          </w:tcPr>
          <w:p>
            <w:pPr>
              <w:spacing w:after="0"/>
              <w:rPr>
                <w:sz w:val="20"/>
                <w:szCs w:val="20"/>
                <w:color w:val="auto"/>
              </w:rPr>
            </w:pPr>
            <w:r>
              <w:rPr>
                <w:rFonts w:ascii="Arial" w:cs="Arial" w:eastAsia="Arial" w:hAnsi="Arial"/>
                <w:sz w:val="15"/>
                <w:szCs w:val="15"/>
                <w:color w:val="auto"/>
              </w:rPr>
              <w:t>Accumulated deficit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(121,051)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(121,051)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(121,051)</w:t>
            </w:r>
          </w:p>
        </w:tc>
        <w:tc>
          <w:tcPr>
            <w:tcW w:w="0" w:type="dxa"/>
            <w:vAlign w:val="bottom"/>
          </w:tcPr>
          <w:p>
            <w:pPr>
              <w:spacing w:after="0"/>
              <w:rPr>
                <w:sz w:val="1"/>
                <w:szCs w:val="1"/>
                <w:color w:val="auto"/>
              </w:rPr>
            </w:pPr>
          </w:p>
        </w:tc>
      </w:tr>
      <w:tr>
        <w:trPr>
          <w:trHeight w:val="185"/>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loss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(4,755)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(4,755)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(4,755)</w:t>
            </w:r>
          </w:p>
        </w:tc>
        <w:tc>
          <w:tcPr>
            <w:tcW w:w="0" w:type="dxa"/>
            <w:vAlign w:val="bottom"/>
          </w:tcPr>
          <w:p>
            <w:pPr>
              <w:spacing w:after="0"/>
              <w:rPr>
                <w:sz w:val="1"/>
                <w:szCs w:val="1"/>
                <w:color w:val="auto"/>
              </w:rPr>
            </w:pPr>
          </w:p>
        </w:tc>
      </w:tr>
      <w:tr>
        <w:trPr>
          <w:trHeight w:val="177"/>
        </w:trPr>
        <w:tc>
          <w:tcPr>
            <w:tcW w:w="6340" w:type="dxa"/>
            <w:vAlign w:val="bottom"/>
          </w:tcPr>
          <w:p>
            <w:pPr>
              <w:ind w:left="120"/>
              <w:spacing w:after="0"/>
              <w:rPr>
                <w:sz w:val="20"/>
                <w:szCs w:val="20"/>
                <w:color w:val="auto"/>
              </w:rPr>
            </w:pPr>
            <w:r>
              <w:rPr>
                <w:rFonts w:ascii="Arial" w:cs="Arial" w:eastAsia="Arial" w:hAnsi="Arial"/>
                <w:sz w:val="15"/>
                <w:szCs w:val="15"/>
                <w:color w:val="auto"/>
              </w:rPr>
              <w:t>Total stockholders' equity (deficit)</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(125,805)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14,342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69,730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Total capitalization</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25,511</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25,511</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80,899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number of shares in the table above does not include:</w:t>
      </w:r>
    </w:p>
    <w:p>
      <w:pPr>
        <w:spacing w:after="0" w:line="210" w:lineRule="exact"/>
        <w:rPr>
          <w:sz w:val="20"/>
          <w:szCs w:val="20"/>
          <w:color w:val="auto"/>
        </w:rPr>
      </w:pPr>
    </w:p>
    <w:p>
      <w:pPr>
        <w:ind w:left="467" w:hanging="467"/>
        <w:spacing w:after="0"/>
        <w:tabs>
          <w:tab w:leader="none" w:pos="467" w:val="left"/>
        </w:tabs>
        <w:numPr>
          <w:ilvl w:val="0"/>
          <w:numId w:val="55"/>
        </w:numPr>
        <w:rPr>
          <w:rFonts w:ascii="Arial" w:cs="Arial" w:eastAsia="Arial" w:hAnsi="Arial"/>
          <w:sz w:val="14"/>
          <w:szCs w:val="14"/>
          <w:color w:val="auto"/>
        </w:rPr>
      </w:pPr>
      <w:r>
        <w:rPr>
          <w:rFonts w:ascii="Arial" w:cs="Arial" w:eastAsia="Arial" w:hAnsi="Arial"/>
          <w:sz w:val="14"/>
          <w:szCs w:val="14"/>
          <w:color w:val="auto"/>
        </w:rPr>
        <w:t>1,736,682 shares of common stock issuable upon exercise of stock options outstanding as of March 31, 2016, at a weighted average exercise price of $4.84 per share;</w:t>
      </w:r>
    </w:p>
    <w:p>
      <w:pPr>
        <w:spacing w:after="0" w:line="232" w:lineRule="exact"/>
        <w:rPr>
          <w:rFonts w:ascii="Arial" w:cs="Arial" w:eastAsia="Arial" w:hAnsi="Arial"/>
          <w:sz w:val="14"/>
          <w:szCs w:val="14"/>
          <w:color w:val="auto"/>
        </w:rPr>
      </w:pPr>
    </w:p>
    <w:p>
      <w:pPr>
        <w:ind w:left="467" w:right="80" w:hanging="467"/>
        <w:spacing w:after="0" w:line="282" w:lineRule="auto"/>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112,789 shares of common stock issuable upon the exercise of warrants outstanding as of March 31, 2016, including outstanding warrants to purchase shares of preferred stock that will become warrants to purchase common stock upon the closing of this offering, at a weighted average exercise price of $17.43 per share;</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7,092 shares of our common stock reserved for future issuance under our 2008 Equity Incentive Plan;</w:t>
      </w:r>
    </w:p>
    <w:p>
      <w:pPr>
        <w:spacing w:after="0" w:line="209" w:lineRule="exact"/>
        <w:rPr>
          <w:rFonts w:ascii="Arial" w:cs="Arial" w:eastAsia="Arial" w:hAnsi="Arial"/>
          <w:sz w:val="15"/>
          <w:szCs w:val="15"/>
          <w:color w:val="auto"/>
        </w:rPr>
      </w:pPr>
    </w:p>
    <w:p>
      <w:pPr>
        <w:ind w:left="467" w:right="340" w:hanging="467"/>
        <w:spacing w:after="0" w:line="362" w:lineRule="auto"/>
        <w:tabs>
          <w:tab w:leader="none" w:pos="467" w:val="left"/>
        </w:tabs>
        <w:numPr>
          <w:ilvl w:val="0"/>
          <w:numId w:val="55"/>
        </w:numPr>
        <w:rPr>
          <w:rFonts w:ascii="Arial" w:cs="Arial" w:eastAsia="Arial" w:hAnsi="Arial"/>
          <w:sz w:val="13"/>
          <w:szCs w:val="13"/>
          <w:color w:val="auto"/>
        </w:rPr>
      </w:pPr>
      <w:r>
        <w:rPr>
          <w:rFonts w:ascii="Arial" w:cs="Arial" w:eastAsia="Arial" w:hAnsi="Arial"/>
          <w:sz w:val="13"/>
          <w:szCs w:val="13"/>
          <w:color w:val="auto"/>
        </w:rPr>
        <w:t>390,796 shares of common stock issuable upon the exercise of stock options to be granted in connection with this offering under our 2016 Plan, which will become effective in connection with this offering, to some of our executive officers and employees, at an exercise price per share equal to the initial public offering price in this offering;</w:t>
      </w:r>
    </w:p>
    <w:p>
      <w:pPr>
        <w:spacing w:after="0" w:line="128" w:lineRule="exact"/>
        <w:rPr>
          <w:rFonts w:ascii="Arial" w:cs="Arial" w:eastAsia="Arial" w:hAnsi="Arial"/>
          <w:sz w:val="13"/>
          <w:szCs w:val="13"/>
          <w:color w:val="auto"/>
        </w:rPr>
      </w:pPr>
    </w:p>
    <w:p>
      <w:pPr>
        <w:ind w:left="467" w:hanging="467"/>
        <w:spacing w:after="0" w:line="270" w:lineRule="auto"/>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1,210,256 shares of our common stock reserved for future issuance under our 2016 Plan, which will become effective in connection with this offering, as well as shares of our common stock that become available pursuant to provisions in our 2016 Plan on January 1 of each subsequent calendar year as described in "Executive and director compensation— Incentive plans—2016 Incentive Award Plan"; and</w:t>
      </w:r>
    </w:p>
    <w:p>
      <w:pPr>
        <w:spacing w:after="0" w:line="170" w:lineRule="exact"/>
        <w:rPr>
          <w:rFonts w:ascii="Arial" w:cs="Arial" w:eastAsia="Arial" w:hAnsi="Arial"/>
          <w:sz w:val="15"/>
          <w:szCs w:val="15"/>
          <w:color w:val="auto"/>
        </w:rPr>
      </w:pPr>
    </w:p>
    <w:p>
      <w:pPr>
        <w:ind w:left="467" w:right="460" w:hanging="467"/>
        <w:spacing w:after="0" w:line="282" w:lineRule="auto"/>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173,076 shares of our common stock reserved for future issuance under our 2016 ESPP, which will become effective in connection with this offering, as well as shares of our common stock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460" w:right="400"/>
        <w:spacing w:after="0" w:line="282" w:lineRule="auto"/>
        <w:rPr>
          <w:sz w:val="20"/>
          <w:szCs w:val="20"/>
          <w:color w:val="auto"/>
        </w:rPr>
      </w:pPr>
      <w:r>
        <w:rPr>
          <w:rFonts w:ascii="Arial" w:cs="Arial" w:eastAsia="Arial" w:hAnsi="Arial"/>
          <w:sz w:val="15"/>
          <w:szCs w:val="15"/>
          <w:color w:val="auto"/>
        </w:rPr>
        <w:t>become available pursuant to provisions in our 2016 ESPP that automatically increase the share reserve under our 2016 ESPP on January 1 of each subsequent calendar year as described in "Executive and director compensation—Incentive plans—2016 Employee Stock Purchase Plan."</w:t>
      </w:r>
    </w:p>
    <w:p>
      <w:pPr>
        <w:spacing w:after="0" w:line="151"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In addition, upon the closing of this offering, (i) our series E preferred stock will automatically convert into a number of shares of common stock and (ii) outstanding warrants to purchase shares of our series E 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Accordingly, the number of shares of our common stock issuable upon conversion of all of our preferred stock and exercise of our warrants outstanding would correspondingly increase or decrease, as applicable, in the event of any change in the initial public offering price per share. See "Prospectus summary—The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Dilution</w:t>
      </w:r>
    </w:p>
    <w:p>
      <w:pPr>
        <w:spacing w:after="0" w:line="183"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51"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As of March 31, 2016, we had a historical net tangible book value (deficit) of $(125.8) million, or $(57.76) per share of common stock. Our historical net tangible book value per share is the amount of our total tangible assets less our total liabilities and redeemable convertible preferred stock, which is not included within stockholders' equity (deficit), divided by the number of shares of our common stock outstanding as of March 31, 2016.</w:t>
      </w:r>
    </w:p>
    <w:p>
      <w:pPr>
        <w:spacing w:after="0" w:line="159"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Our pro forma net tangible book value as of March 31, 2016 was $14.3 million, or $1.13 per share. Pro forma net tangible book value is the amount of our total tangible assets less our total liabilities and redeemable convertible preferred stock, which is not included within stockholders' equity (deficit), after giving effect to the (i) the automatic conversion of all shares of our preferred stock into common stock upon closing of this offering, which, based on an assumed initial public offering price of $15.00 per share, the midpoint of the price range set forth on the cover of this prospectus, would result in the issuance of 9,890,580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14,088 shares of our common stock, at a weighted average exercise price of $17.55 per share of common stock, based on an assumed initial public offering price of $15.00 per share, the midpoint of the price range set forth on the cover of this prospectus, upon the closing of this offering, (iii) the automatic cashless exercise of the series E common warrants for 567,306 shares of our common stock and (iv) the filing of our restated certificate of incorporation; and the pro forma net tangible book value per share represents our pro forma net tangible book value divided by the total number of shares outstanding as of March 31, 2016, after giving effect to the pro forma adjustments described above as if they had occurred on such date.</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After giving further effect to the sale of 4,250,000 shares of common stock in this offering at an assumed initial public offering price of $15.00 per share, which is the midpoint of the price range set forth on the cover page of this prospectus, and after deducting the estimated underwriting discounts and commissions and estimated offering expenses payable by us, our pro forma as adjusted net tangible book value as of March 31, 2016 would have been approximately $69.7 million, or approximately $4.12 per share. This amount represents an immediate increase in pro forma net tangible book value of $2.99 per share to our existing stockholders and an immediate dilution of approximately $10.88 per share to new investors participating in this offering. We determine dilution by subtracting the pro forma as adjusted net tangible book value per share after this offering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9" w:name="page80"/>
    <w:bookmarkEnd w:id="7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gridSpan w:val="2"/>
          </w:tcPr>
          <w:p>
            <w:pPr>
              <w:spacing w:after="0"/>
              <w:rPr>
                <w:sz w:val="20"/>
                <w:szCs w:val="20"/>
                <w:color w:val="auto"/>
              </w:rPr>
            </w:pPr>
            <w:r>
              <w:rPr>
                <w:rFonts w:ascii="Arial" w:cs="Arial" w:eastAsia="Arial" w:hAnsi="Arial"/>
                <w:sz w:val="15"/>
                <w:szCs w:val="15"/>
                <w:color w:val="auto"/>
              </w:rPr>
              <w:t>amount of cash that a new investor paid for a share of common stock. The following table illustrates this dilution: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vMerge w:val="continue"/>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40" w:type="dxa"/>
            <w:vAlign w:val="bottom"/>
          </w:tcPr>
          <w:p>
            <w:pPr>
              <w:ind w:left="160"/>
              <w:spacing w:after="0"/>
              <w:rPr>
                <w:sz w:val="20"/>
                <w:szCs w:val="20"/>
                <w:color w:val="auto"/>
              </w:rPr>
            </w:pPr>
            <w:r>
              <w:rPr>
                <w:rFonts w:ascii="Arial" w:cs="Arial" w:eastAsia="Arial" w:hAnsi="Arial"/>
                <w:sz w:val="15"/>
                <w:szCs w:val="15"/>
                <w:color w:val="auto"/>
              </w:rPr>
              <w:t>Historical net tangible book value (deficit) per share as of March 31, 2016</w:t>
            </w: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(57.76)</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Increase per share attributable to the conversion of our preferred stock and cashless exercise of our series E common</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74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warrants</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40" w:type="dxa"/>
            <w:vAlign w:val="bottom"/>
          </w:tcPr>
          <w:p>
            <w:pPr>
              <w:ind w:left="160"/>
              <w:spacing w:after="0"/>
              <w:rPr>
                <w:sz w:val="20"/>
                <w:szCs w:val="20"/>
                <w:color w:val="auto"/>
              </w:rPr>
            </w:pPr>
            <w:r>
              <w:rPr>
                <w:rFonts w:ascii="Arial" w:cs="Arial" w:eastAsia="Arial" w:hAnsi="Arial"/>
                <w:sz w:val="15"/>
                <w:szCs w:val="15"/>
                <w:color w:val="auto"/>
              </w:rPr>
              <w:t>Pro forma net tangible book value per share as of March 31, 2016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Increase per share attributable to this offering</w:t>
            </w: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580" w:type="dxa"/>
            <w:vAlign w:val="bottom"/>
            <w:gridSpan w:val="2"/>
          </w:tcPr>
          <w:p>
            <w:pPr>
              <w:ind w:left="1140"/>
              <w:spacing w:after="0"/>
              <w:rPr>
                <w:sz w:val="20"/>
                <w:szCs w:val="20"/>
                <w:color w:val="auto"/>
              </w:rPr>
            </w:pPr>
            <w:r>
              <w:rPr>
                <w:rFonts w:ascii="Arial" w:cs="Arial" w:eastAsia="Arial" w:hAnsi="Arial"/>
                <w:sz w:val="15"/>
                <w:szCs w:val="15"/>
                <w:color w:val="auto"/>
              </w:rPr>
              <w:t>Pro forma as adjusted net tangible book value per share after this offering</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Dilution per share to new investors in this offering</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40"/>
        <w:spacing w:after="0" w:line="303" w:lineRule="auto"/>
        <w:rPr>
          <w:sz w:val="20"/>
          <w:szCs w:val="20"/>
          <w:color w:val="auto"/>
        </w:rPr>
      </w:pPr>
      <w:r>
        <w:rPr>
          <w:rFonts w:ascii="Arial" w:cs="Arial" w:eastAsia="Arial" w:hAnsi="Arial"/>
          <w:sz w:val="13"/>
          <w:szCs w:val="13"/>
          <w:color w:val="auto"/>
        </w:rPr>
        <w:t>A $1.00, $2.00 and $3.00 increase in the assumed initial public offering price of $15.00 per share, which is the midpoint of the price range set forth on the cover page of this prospectus, would, in each case, increase the pro forma as adjusted net tangible book value per share after this offering by $0.24 and increase dilution per share to new investors participating in this offering by $0.76, assuming that the number of shares offered by us, as set forth on the cover page of this prospectus, remains the same and after deducting estimated underwriting discounts and commissions and estimated offering expenses payable by us. A $1.00, $2.00 and $3.00 decrease in the assumed initial public offering price of $15.00 per share, which is the midpoint of the price range set forth on the cover page of this prospectus, would decrease the pro forma as adjusted net tangible book value per share after this offering by $0.23, $0.23 and $0.22 and decrease dilution per share to new investors by $0.77, $0.77 and $0.78, respectively, assuming that the number of shares offered by us, as set forth on the cover page of this prospectus, remains the same and after deducting estimated underwriting discounts and commissions and estimated offering expenses payable by us. Each increase of 1.0 million shares in the number of shares offered by us would increase our pro forma as adjusted net tangible book value per share after this offering by $0.78 per share and decrease the dilution to new investors by $0.78 per share, assuming that the assumed initial public offering price remains the same, and after deducting the estimated underwriting discounts and commissions and the estimated offering expenses payable by us. Each decrease of 1.0 million shares in the number of shares offered by us, as set forth on the cover page of this prospectus, would decrease the pro forma as adjusted net tangible book value per share after this offering by approximately $0.88 and increase the dilution per share to new investors participating in this offering by approximately $0.88, assuming no change in the assumed initial public offering price and after deducting the estimated underwriting discounts and commissions and estimated offering expenses payable by us.</w:t>
      </w:r>
    </w:p>
    <w:p>
      <w:pPr>
        <w:spacing w:after="0" w:line="144"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If the underwriters exercise their option to purchase additional shares of our common stock in full, the pro forma as adjusted net tangible book value after this offering would be $4.52 per share, the increase in pro forma net tangible book value per share would be $0.40 and the dilution per share to new investors would be $10.48 per share, in each case assuming an initial public offering price of $15.00 per share, which is the midpoint of the price range set forth on the cover page of this prospectus.</w:t>
      </w:r>
    </w:p>
    <w:p>
      <w:pPr>
        <w:spacing w:after="0" w:line="159"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The following table summarizes on the pro forma as adjusted basis described above, as of March 31, 2016, the differences between the number of shares purchased from us, the total consideration paid to us in cash and the average price per share that existing stockholders and new investors paid. The calculation below is based on an assumed initial public offering price of $15.00 per share, which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0" w:name="page81"/>
    <w:bookmarkEnd w:id="8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midpoint of the price range set forth on the cover page of this prospectus, before deducting the estimated underwriting discounts and commissions and estimated offering expenses payable by us.</w:t>
      </w:r>
    </w:p>
    <w:p>
      <w:pPr>
        <w:spacing w:after="0" w:line="356"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left="411"/>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171"/>
              <w:spacing w:after="0" w:line="129" w:lineRule="exact"/>
              <w:rPr>
                <w:sz w:val="20"/>
                <w:szCs w:val="20"/>
                <w:color w:val="auto"/>
              </w:rPr>
            </w:pPr>
            <w:r>
              <w:rPr>
                <w:rFonts w:ascii="Arial" w:cs="Arial" w:eastAsia="Arial" w:hAnsi="Arial"/>
                <w:sz w:val="12"/>
                <w:szCs w:val="12"/>
                <w:b w:val="1"/>
                <w:bCs w:val="1"/>
                <w:color w:val="auto"/>
              </w:rPr>
              <w:t>Shares purchased</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center"/>
              <w:ind w:left="91"/>
              <w:spacing w:after="0" w:line="129" w:lineRule="exact"/>
              <w:rPr>
                <w:sz w:val="20"/>
                <w:szCs w:val="20"/>
                <w:color w:val="auto"/>
              </w:rPr>
            </w:pPr>
            <w:r>
              <w:rPr>
                <w:rFonts w:ascii="Arial" w:cs="Arial" w:eastAsia="Arial" w:hAnsi="Arial"/>
                <w:sz w:val="12"/>
                <w:szCs w:val="12"/>
                <w:b w:val="1"/>
                <w:bCs w:val="1"/>
                <w:color w:val="auto"/>
              </w:rPr>
              <w:t>consideration</w:t>
            </w:r>
          </w:p>
        </w:tc>
        <w:tc>
          <w:tcPr>
            <w:tcW w:w="3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rPr>
              <w:t>Average price</w:t>
            </w:r>
          </w:p>
        </w:tc>
      </w:t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tcPr>
          <w:p>
            <w:pPr>
              <w:jc w:val="right"/>
              <w:ind w:right="150"/>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w w:val="99"/>
              </w:rPr>
              <w:t>Percent</w:t>
            </w:r>
          </w:p>
        </w:tc>
        <w:tc>
          <w:tcPr>
            <w:tcW w:w="860" w:type="dxa"/>
            <w:vAlign w:val="bottom"/>
          </w:tcPr>
          <w:p>
            <w:pPr>
              <w:jc w:val="right"/>
              <w:ind w:right="231"/>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9"/>
              </w:rPr>
              <w:t>Percent</w:t>
            </w:r>
          </w:p>
        </w:tc>
        <w:tc>
          <w:tcPr>
            <w:tcW w:w="12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per share</w:t>
            </w:r>
          </w:p>
        </w:tc>
      </w:tr>
      <w:tr>
        <w:trPr>
          <w:trHeight w:val="177"/>
        </w:trPr>
        <w:tc>
          <w:tcPr>
            <w:tcW w:w="20" w:type="dxa"/>
            <w:vAlign w:val="bottom"/>
          </w:tcPr>
          <w:p>
            <w:pPr>
              <w:spacing w:after="0"/>
              <w:rPr>
                <w:sz w:val="15"/>
                <w:szCs w:val="15"/>
                <w:color w:val="auto"/>
              </w:rPr>
            </w:pPr>
          </w:p>
        </w:tc>
        <w:tc>
          <w:tcPr>
            <w:tcW w:w="4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Existing stockholders(1)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12,641,402</w:t>
            </w:r>
          </w:p>
        </w:tc>
        <w:tc>
          <w:tcPr>
            <w:tcW w:w="980" w:type="dxa"/>
            <w:vAlign w:val="bottom"/>
            <w:tcBorders>
              <w:top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75%$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118,547,735</w:t>
            </w: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9.38</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Arial" w:cs="Arial" w:eastAsia="Arial" w:hAnsi="Arial"/>
                <w:sz w:val="15"/>
                <w:szCs w:val="15"/>
                <w:color w:val="auto"/>
              </w:rPr>
              <w:t>New investors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4,250,000</w:t>
            </w:r>
          </w:p>
        </w:tc>
        <w:tc>
          <w:tcPr>
            <w:tcW w:w="14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63,750,000</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15.00</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16,891,402</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100%$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182,297,735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7" w:right="100" w:hanging="463"/>
        <w:spacing w:after="0" w:line="233" w:lineRule="auto"/>
        <w:tabs>
          <w:tab w:leader="none" w:pos="1607" w:val="left"/>
        </w:tabs>
        <w:numPr>
          <w:ilvl w:val="0"/>
          <w:numId w:val="56"/>
        </w:numPr>
        <w:rPr>
          <w:rFonts w:ascii="Arial" w:cs="Arial" w:eastAsia="Arial" w:hAnsi="Arial"/>
          <w:sz w:val="12"/>
          <w:szCs w:val="12"/>
          <w:color w:val="auto"/>
        </w:rPr>
      </w:pPr>
      <w:r>
        <w:rPr>
          <w:rFonts w:ascii="Arial" w:cs="Arial" w:eastAsia="Arial" w:hAnsi="Arial"/>
          <w:sz w:val="12"/>
          <w:szCs w:val="12"/>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The presentation in this table regarding ownership by existing stockholders does not give effect to any purchases in this offering by such stockholders.</w:t>
      </w:r>
    </w:p>
    <w:p>
      <w:pPr>
        <w:spacing w:after="0" w:line="167"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The foregoing tables and calculations are based on 2,183,541 shares of our common stock outstanding as of March 31, 2016, which included 5,683 shares of unvested restricted stock, reflect the issuance of 567,306 shares of common stock issued in connection with the automatic cashless exercise of the series E common warrants on May 24, 2016, and give effect to the conversion of our outstanding preferred stock into 9,890,580 shares of common stock, based on an assumed initial public offering price of $15.00 per share, the midpoint of the price range set forth on the cover of this prospectus, upon the closing of this offering, and exclude:</w:t>
      </w:r>
    </w:p>
    <w:p>
      <w:pPr>
        <w:spacing w:after="0" w:line="173" w:lineRule="exact"/>
        <w:rPr>
          <w:sz w:val="20"/>
          <w:szCs w:val="20"/>
          <w:color w:val="auto"/>
        </w:rPr>
      </w:pPr>
    </w:p>
    <w:p>
      <w:pPr>
        <w:ind w:left="467" w:hanging="467"/>
        <w:spacing w:after="0"/>
        <w:tabs>
          <w:tab w:leader="none" w:pos="467" w:val="left"/>
        </w:tabs>
        <w:numPr>
          <w:ilvl w:val="0"/>
          <w:numId w:val="57"/>
        </w:numPr>
        <w:rPr>
          <w:rFonts w:ascii="Arial" w:cs="Arial" w:eastAsia="Arial" w:hAnsi="Arial"/>
          <w:sz w:val="14"/>
          <w:szCs w:val="14"/>
          <w:color w:val="auto"/>
        </w:rPr>
      </w:pPr>
      <w:r>
        <w:rPr>
          <w:rFonts w:ascii="Arial" w:cs="Arial" w:eastAsia="Arial" w:hAnsi="Arial"/>
          <w:sz w:val="14"/>
          <w:szCs w:val="14"/>
          <w:color w:val="auto"/>
        </w:rPr>
        <w:t>1,736,682 shares of common stock issuable upon exercise of stock options outstanding as of March 31, 2016, at a weighted average exercise price of $4.92 per share;</w:t>
      </w:r>
    </w:p>
    <w:p>
      <w:pPr>
        <w:spacing w:after="0" w:line="232" w:lineRule="exact"/>
        <w:rPr>
          <w:rFonts w:ascii="Arial" w:cs="Arial" w:eastAsia="Arial" w:hAnsi="Arial"/>
          <w:sz w:val="14"/>
          <w:szCs w:val="14"/>
          <w:color w:val="auto"/>
        </w:rPr>
      </w:pPr>
    </w:p>
    <w:p>
      <w:pPr>
        <w:ind w:left="467" w:right="140" w:hanging="467"/>
        <w:spacing w:after="0" w:line="282" w:lineRule="auto"/>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112,789 shares of common stock issuable upon the exercise of warrants outstanding as of March 31, 2016, including outstanding warrants to purchase shares of preferred stock that will become warrants to purchase common stock upon the closing of this offering, at a weighted average exercise price of $17.43 per share;</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7,092 shares of our common stock reserved for future issuance under our 2008 Equity Incentive Plan;</w:t>
      </w:r>
    </w:p>
    <w:p>
      <w:pPr>
        <w:spacing w:after="0" w:line="209" w:lineRule="exact"/>
        <w:rPr>
          <w:rFonts w:ascii="Arial" w:cs="Arial" w:eastAsia="Arial" w:hAnsi="Arial"/>
          <w:sz w:val="15"/>
          <w:szCs w:val="15"/>
          <w:color w:val="auto"/>
        </w:rPr>
      </w:pPr>
    </w:p>
    <w:p>
      <w:pPr>
        <w:ind w:left="467" w:right="400" w:hanging="467"/>
        <w:spacing w:after="0" w:line="362" w:lineRule="auto"/>
        <w:tabs>
          <w:tab w:leader="none" w:pos="467" w:val="left"/>
        </w:tabs>
        <w:numPr>
          <w:ilvl w:val="0"/>
          <w:numId w:val="57"/>
        </w:numPr>
        <w:rPr>
          <w:rFonts w:ascii="Arial" w:cs="Arial" w:eastAsia="Arial" w:hAnsi="Arial"/>
          <w:sz w:val="13"/>
          <w:szCs w:val="13"/>
          <w:color w:val="auto"/>
        </w:rPr>
      </w:pPr>
      <w:r>
        <w:rPr>
          <w:rFonts w:ascii="Arial" w:cs="Arial" w:eastAsia="Arial" w:hAnsi="Arial"/>
          <w:sz w:val="13"/>
          <w:szCs w:val="13"/>
          <w:color w:val="auto"/>
        </w:rPr>
        <w:t>390,796 shares of common stock issuable upon the exercise of stock options to be granted in connection with this offering under our 2016 Plan, which will become effective in connection with this offering, to some of our executive officers and employees, at an exercise price per share equal to the initial public offering price in this offering;</w:t>
      </w:r>
    </w:p>
    <w:p>
      <w:pPr>
        <w:spacing w:after="0" w:line="128" w:lineRule="exact"/>
        <w:rPr>
          <w:rFonts w:ascii="Arial" w:cs="Arial" w:eastAsia="Arial" w:hAnsi="Arial"/>
          <w:sz w:val="13"/>
          <w:szCs w:val="13"/>
          <w:color w:val="auto"/>
        </w:rPr>
      </w:pPr>
    </w:p>
    <w:p>
      <w:pPr>
        <w:ind w:left="467" w:right="60" w:hanging="467"/>
        <w:spacing w:after="0" w:line="270" w:lineRule="auto"/>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1,210,256 shares of our common stock reserved for future issuance under our 2016 Plan, which will become effective in connection with this offering, as well as shares of our common stock that become available pursuant to provisions in our 2016 Plan on January 1 of each subsequent calendar year as described in "Executive and director compensation— Incentive plans—2016 Incentive Award Plan"; and</w:t>
      </w:r>
    </w:p>
    <w:p>
      <w:pPr>
        <w:spacing w:after="0" w:line="170" w:lineRule="exact"/>
        <w:rPr>
          <w:rFonts w:ascii="Arial" w:cs="Arial" w:eastAsia="Arial" w:hAnsi="Arial"/>
          <w:sz w:val="15"/>
          <w:szCs w:val="15"/>
          <w:color w:val="auto"/>
        </w:rPr>
      </w:pPr>
    </w:p>
    <w:p>
      <w:pPr>
        <w:ind w:left="467" w:right="220" w:hanging="467"/>
        <w:spacing w:after="0" w:line="270" w:lineRule="auto"/>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173,076 shares of our common stock reserved for future issuance under our 2016 ESPP, which will become effective in connection with this offering, as well as shares of our common stock that become available pursuant to provisions in our 2016 ESPP that automatically increase the share reserve under our 2016 ESPP on January 1 of each subsequent calendar year as described in "Executive and director compensation—Incentive plans—2016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81" w:name="page82"/>
    <w:bookmarkEnd w:id="8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319" w:lineRule="auto"/>
        <w:rPr>
          <w:sz w:val="20"/>
          <w:szCs w:val="20"/>
          <w:color w:val="auto"/>
        </w:rPr>
      </w:pPr>
      <w:r>
        <w:rPr>
          <w:rFonts w:ascii="Arial" w:cs="Arial" w:eastAsia="Arial" w:hAnsi="Arial"/>
          <w:sz w:val="14"/>
          <w:szCs w:val="14"/>
          <w:color w:val="auto"/>
        </w:rPr>
        <w:t>To the extent any of these outstanding options or warrants is exercised, there will be further dilution to new investors. If all of such outstanding options and warrants had been exercised as of March 31, 2016, the pro forma as adjusted net tangible book value per share after this offering would be $4.12, and total dilution per share to new investors would be $10.88.</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5"/>
          <w:szCs w:val="15"/>
          <w:color w:val="auto"/>
        </w:rPr>
        <w:t>If the underwriters exercise their option to purchase additional shares of our common stock in full:</w:t>
      </w:r>
    </w:p>
    <w:p>
      <w:pPr>
        <w:spacing w:after="0" w:line="210" w:lineRule="exact"/>
        <w:rPr>
          <w:sz w:val="20"/>
          <w:szCs w:val="20"/>
          <w:color w:val="auto"/>
        </w:rPr>
      </w:pPr>
    </w:p>
    <w:p>
      <w:pPr>
        <w:ind w:left="467" w:right="60" w:hanging="467"/>
        <w:spacing w:after="0" w:line="282" w:lineRule="auto"/>
        <w:tabs>
          <w:tab w:leader="none" w:pos="467"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percentage of shares of common stock held by existing stockholders will decrease to approximately 72% of the total number of shares of our common stock outstanding after this offering;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number of shares held by new investors will increase to 4,887,500, or approximately 28% of the total number of shares of our common stock outstanding after this offering.</w:t>
      </w:r>
    </w:p>
    <w:p>
      <w:pPr>
        <w:spacing w:after="0" w:line="210"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In addition, upon the closing of this offering, (i) our series E preferred stock will automatically convert into a number of shares of common stock and (ii) outstanding warrants to purchase shares of our series E 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See "Prospectus summary—The offering" for a related offering price per share sensitivity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82" w:name="page83"/>
    <w:bookmarkEnd w:id="8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Selected consolidated financial data</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You should read the following selected consolidated financial data together with our consolidated financial statements and the related notes appearing elsewhere in this prospectus and the "Management's discussion and analysis of financial condition and results of operations" section of this prospectus. We have derived the consolidated statement of operations and comprehensive loss data for the years ended December 31, 2014 and 2015 and the consolidated balance sheet data as of December 31, 2014 and 2015 from our audited consolidated financial statements appearing elsewhere in this prospectus. The consolidated statement of operations data for the three months ended March 31, 2015 and 2016 and the consolidated balance sheet data as of March 31, 2016 have been derived from our unaudited condensed consolidated financial statements appearing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results for the three months ended March 31, 2016 are not necessarily indicative of the results to be expected for the full year ending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26630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3" w:name="page84"/>
    <w:bookmarkEnd w:id="8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6"/>
          </w:tcPr>
          <w:p>
            <w:pPr>
              <w:jc w:val="right"/>
              <w:ind w:right="680"/>
              <w:spacing w:after="0"/>
              <w:rPr>
                <w:sz w:val="20"/>
                <w:szCs w:val="20"/>
                <w:color w:val="auto"/>
              </w:rPr>
            </w:pPr>
            <w:r>
              <w:rPr>
                <w:rFonts w:ascii="Arial" w:cs="Arial" w:eastAsia="Arial" w:hAnsi="Arial"/>
                <w:sz w:val="12"/>
                <w:szCs w:val="12"/>
                <w:b w:val="1"/>
                <w:bCs w:val="1"/>
                <w:color w:val="auto"/>
              </w:rPr>
              <w:t>Years 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6"/>
          </w:tcPr>
          <w:p>
            <w:pPr>
              <w:jc w:val="right"/>
              <w:ind w:right="64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right"/>
              <w:ind w:right="820"/>
              <w:spacing w:after="0"/>
              <w:rPr>
                <w:sz w:val="20"/>
                <w:szCs w:val="20"/>
                <w:color w:val="auto"/>
              </w:rPr>
            </w:pPr>
            <w:r>
              <w:rPr>
                <w:rFonts w:ascii="Arial" w:cs="Arial" w:eastAsia="Arial" w:hAnsi="Arial"/>
                <w:sz w:val="12"/>
                <w:szCs w:val="12"/>
                <w:b w:val="1"/>
                <w:bCs w:val="1"/>
                <w:color w:val="auto"/>
              </w:rPr>
              <w:t>March 31,</w:t>
            </w:r>
          </w:p>
        </w:tc>
      </w:tr>
      <w:tr>
        <w:trPr>
          <w:trHeight w:val="154"/>
        </w:trPr>
        <w:tc>
          <w:tcPr>
            <w:tcW w:w="860" w:type="dxa"/>
            <w:vAlign w:val="bottom"/>
            <w:tcBorders>
              <w:bottom w:val="single" w:sz="8" w:color="auto"/>
            </w:tcBorders>
          </w:tcPr>
          <w:p>
            <w:pPr>
              <w:spacing w:after="0"/>
              <w:rPr>
                <w:sz w:val="13"/>
                <w:szCs w:val="13"/>
                <w:color w:val="auto"/>
              </w:rPr>
            </w:pPr>
          </w:p>
        </w:tc>
        <w:tc>
          <w:tcPr>
            <w:tcW w:w="4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21"/>
        </w:trPr>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20"/>
              <w:spacing w:after="0" w:line="121" w:lineRule="exact"/>
              <w:rPr>
                <w:sz w:val="20"/>
                <w:szCs w:val="20"/>
                <w:color w:val="auto"/>
              </w:rPr>
            </w:pPr>
            <w:r>
              <w:rPr>
                <w:rFonts w:ascii="Arial" w:cs="Arial" w:eastAsia="Arial" w:hAnsi="Arial"/>
                <w:sz w:val="12"/>
                <w:szCs w:val="12"/>
                <w:b w:val="1"/>
                <w:bCs w:val="1"/>
                <w:color w:val="auto"/>
                <w:w w:val="97"/>
              </w:rPr>
              <w:t>(unaudited)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66"/>
              <w:spacing w:after="0" w:line="12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r>
      <w:tr>
        <w:trPr>
          <w:trHeight w:val="149"/>
        </w:trPr>
        <w:tc>
          <w:tcPr>
            <w:tcW w:w="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gridSpan w:val="14"/>
          </w:tcPr>
          <w:p>
            <w:pPr>
              <w:jc w:val="right"/>
              <w:ind w:right="740"/>
              <w:spacing w:after="0"/>
              <w:rPr>
                <w:sz w:val="20"/>
                <w:szCs w:val="20"/>
                <w:color w:val="auto"/>
              </w:rPr>
            </w:pPr>
            <w:r>
              <w:rPr>
                <w:rFonts w:ascii="Arial" w:cs="Arial" w:eastAsia="Arial" w:hAnsi="Arial"/>
                <w:sz w:val="12"/>
                <w:szCs w:val="12"/>
                <w:b w:val="1"/>
                <w:bCs w:val="1"/>
                <w:color w:val="auto"/>
              </w:rPr>
              <w:t>(in thousands, except share and per share data)</w:t>
            </w:r>
          </w:p>
        </w:tc>
      </w:tr>
      <w:tr>
        <w:trPr>
          <w:trHeight w:val="185"/>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140" w:type="dxa"/>
            <w:vAlign w:val="bottom"/>
            <w:shd w:val="clear" w:color="auto" w:fill="CCEEFF"/>
          </w:tcPr>
          <w:p>
            <w:pPr>
              <w:spacing w:after="0"/>
              <w:rPr>
                <w:sz w:val="16"/>
                <w:szCs w:val="16"/>
                <w:color w:val="auto"/>
              </w:rPr>
            </w:pPr>
          </w:p>
        </w:tc>
      </w:tr>
      <w:tr>
        <w:trPr>
          <w:trHeight w:val="185"/>
        </w:trPr>
        <w:tc>
          <w:tcPr>
            <w:tcW w:w="486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w:t>
            </w:r>
          </w:p>
        </w:tc>
        <w:tc>
          <w:tcPr>
            <w:tcW w:w="140" w:type="dxa"/>
            <w:vAlign w:val="bottom"/>
            <w:shd w:val="clear" w:color="auto" w:fill="CCEEFF"/>
          </w:tcPr>
          <w:p>
            <w:pPr>
              <w:spacing w:after="0"/>
              <w:rPr>
                <w:sz w:val="16"/>
                <w:szCs w:val="16"/>
                <w:color w:val="auto"/>
              </w:rPr>
            </w:pPr>
          </w:p>
        </w:tc>
      </w:tr>
      <w:tr>
        <w:trPr>
          <w:trHeight w:val="185"/>
        </w:trPr>
        <w:tc>
          <w:tcPr>
            <w:tcW w:w="4860" w:type="dxa"/>
            <w:vAlign w:val="bottom"/>
            <w:gridSpan w:val="2"/>
          </w:tcPr>
          <w:p>
            <w:pPr>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2,381</w:t>
            </w:r>
          </w:p>
        </w:tc>
        <w:tc>
          <w:tcPr>
            <w:tcW w:w="140" w:type="dxa"/>
            <w:vAlign w:val="bottom"/>
          </w:tcPr>
          <w:p>
            <w:pPr>
              <w:spacing w:after="0"/>
              <w:rPr>
                <w:sz w:val="16"/>
                <w:szCs w:val="16"/>
                <w:color w:val="auto"/>
              </w:rPr>
            </w:pPr>
          </w:p>
        </w:tc>
      </w:tr>
      <w:tr>
        <w:trPr>
          <w:trHeight w:val="177"/>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9,029</w:t>
            </w:r>
          </w:p>
        </w:tc>
        <w:tc>
          <w:tcPr>
            <w:tcW w:w="140" w:type="dxa"/>
            <w:vAlign w:val="bottom"/>
            <w:shd w:val="clear" w:color="auto" w:fill="CCEEFF"/>
          </w:tcPr>
          <w:p>
            <w:pPr>
              <w:spacing w:after="0"/>
              <w:rPr>
                <w:sz w:val="15"/>
                <w:szCs w:val="15"/>
                <w:color w:val="auto"/>
              </w:rPr>
            </w:pPr>
          </w:p>
        </w:tc>
      </w:tr>
      <w:tr>
        <w:trPr>
          <w:trHeight w:val="185"/>
        </w:trPr>
        <w:tc>
          <w:tcPr>
            <w:tcW w:w="486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(15,399)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(25,304)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(5,810)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(6,941)</w:t>
            </w:r>
          </w:p>
        </w:tc>
      </w:tr>
      <w:tr>
        <w:trPr>
          <w:trHeight w:val="185"/>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860" w:type="dxa"/>
            <w:vAlign w:val="bottom"/>
            <w:gridSpan w:val="2"/>
          </w:tcPr>
          <w:p>
            <w:pPr>
              <w:spacing w:after="0"/>
              <w:rPr>
                <w:sz w:val="20"/>
                <w:szCs w:val="20"/>
                <w:color w:val="auto"/>
              </w:rPr>
            </w:pPr>
            <w:r>
              <w:rPr>
                <w:rFonts w:ascii="Arial" w:cs="Arial" w:eastAsia="Arial" w:hAnsi="Arial"/>
                <w:sz w:val="15"/>
                <w:szCs w:val="15"/>
                <w:color w:val="auto"/>
              </w:rPr>
              <w:t>Investment income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6"/>
                <w:szCs w:val="16"/>
                <w:color w:val="auto"/>
              </w:rPr>
            </w:pPr>
          </w:p>
        </w:tc>
      </w:tr>
      <w:tr>
        <w:trPr>
          <w:trHeight w:val="185"/>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(loss) gain</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(220)</w:t>
            </w:r>
          </w:p>
        </w:tc>
      </w:tr>
      <w:tr>
        <w:trPr>
          <w:trHeight w:val="185"/>
        </w:trPr>
        <w:tc>
          <w:tcPr>
            <w:tcW w:w="486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(552)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(948)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(179)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(310)</w:t>
            </w:r>
          </w:p>
        </w:tc>
      </w:tr>
      <w:tr>
        <w:trPr>
          <w:trHeight w:val="185"/>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expense</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w:t>
            </w:r>
          </w:p>
        </w:tc>
      </w:tr>
      <w:tr>
        <w:trPr>
          <w:trHeight w:val="177"/>
        </w:trPr>
        <w:tc>
          <w:tcPr>
            <w:tcW w:w="4860" w:type="dxa"/>
            <w:vAlign w:val="bottom"/>
            <w:gridSpan w:val="2"/>
          </w:tcPr>
          <w:p>
            <w:pPr>
              <w:spacing w:after="0"/>
              <w:rPr>
                <w:sz w:val="20"/>
                <w:szCs w:val="20"/>
                <w:color w:val="auto"/>
              </w:rPr>
            </w:pPr>
            <w:r>
              <w:rPr>
                <w:rFonts w:ascii="Arial" w:cs="Arial" w:eastAsia="Arial" w:hAnsi="Arial"/>
                <w:sz w:val="15"/>
                <w:szCs w:val="15"/>
                <w:color w:val="auto"/>
              </w:rPr>
              <w:t>Total other income (expense), net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(535)</w:t>
            </w:r>
          </w:p>
        </w:tc>
        <w:tc>
          <w:tcPr>
            <w:tcW w:w="140" w:type="dxa"/>
            <w:vAlign w:val="bottom"/>
          </w:tcPr>
          <w:p>
            <w:pPr>
              <w:spacing w:after="0"/>
              <w:rPr>
                <w:sz w:val="15"/>
                <w:szCs w:val="15"/>
                <w:color w:val="auto"/>
              </w:rPr>
            </w:pPr>
          </w:p>
        </w:tc>
      </w:tr>
      <w:tr>
        <w:trPr>
          <w:trHeight w:val="177"/>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(25,174)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(5,733)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(7,476)</w:t>
            </w:r>
          </w:p>
        </w:tc>
      </w:tr>
      <w:tr>
        <w:trPr>
          <w:trHeight w:val="185"/>
        </w:trPr>
        <w:tc>
          <w:tcPr>
            <w:tcW w:w="4860" w:type="dxa"/>
            <w:vAlign w:val="bottom"/>
            <w:gridSpan w:val="2"/>
          </w:tcPr>
          <w:p>
            <w:pPr>
              <w:spacing w:after="0"/>
              <w:rPr>
                <w:sz w:val="20"/>
                <w:szCs w:val="20"/>
                <w:color w:val="auto"/>
              </w:rPr>
            </w:pPr>
            <w:r>
              <w:rPr>
                <w:rFonts w:ascii="Arial" w:cs="Arial" w:eastAsia="Arial" w:hAnsi="Arial"/>
                <w:sz w:val="15"/>
                <w:szCs w:val="15"/>
                <w:color w:val="auto"/>
              </w:rPr>
              <w:t>Accretion of redeemable convertible preferred stock</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(7,335)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(1,561)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(2,356)</w:t>
            </w:r>
          </w:p>
        </w:tc>
      </w:tr>
      <w:tr>
        <w:trPr>
          <w:trHeight w:val="178"/>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4"/>
              </w:rPr>
              <w:t>Net effect of extinguishment of Series SRN redeemable convertible preferred</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4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stock</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4860" w:type="dxa"/>
            <w:vAlign w:val="bottom"/>
            <w:gridSpan w:val="2"/>
          </w:tcPr>
          <w:p>
            <w:pPr>
              <w:spacing w:after="0"/>
              <w:rPr>
                <w:sz w:val="20"/>
                <w:szCs w:val="20"/>
                <w:color w:val="auto"/>
              </w:rPr>
            </w:pPr>
            <w:r>
              <w:rPr>
                <w:rFonts w:ascii="Arial" w:cs="Arial" w:eastAsia="Arial" w:hAnsi="Arial"/>
                <w:sz w:val="15"/>
                <w:szCs w:val="15"/>
                <w:color w:val="auto"/>
              </w:rPr>
              <w:t>Net loss attributable to common stockholders</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(7,294)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(9,832)</w:t>
            </w:r>
          </w:p>
        </w:tc>
        <w:tc>
          <w:tcPr>
            <w:tcW w:w="14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8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8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40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(7.84)</w:t>
            </w: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(15.12)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(3.43)</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(4.52)</w:t>
            </w:r>
          </w:p>
        </w:tc>
      </w:tr>
      <w:tr>
        <w:trPr>
          <w:trHeight w:val="20"/>
        </w:trPr>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8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8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2,090,677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2,150,422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2,126,878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2,175,037</w:t>
            </w:r>
          </w:p>
        </w:tc>
        <w:tc>
          <w:tcPr>
            <w:tcW w:w="1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8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w w:val="94"/>
              </w:rPr>
              <w:t>Pro forma net loss per share attributable to common stockholders (unaudited)</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860" w:type="dxa"/>
            <w:vAlign w:val="bottom"/>
            <w:gridSpan w:val="2"/>
          </w:tcPr>
          <w:p>
            <w:pPr>
              <w:ind w:left="160"/>
              <w:spacing w:after="0"/>
              <w:rPr>
                <w:sz w:val="20"/>
                <w:szCs w:val="20"/>
                <w:color w:val="auto"/>
              </w:rPr>
            </w:pPr>
            <w:r>
              <w:rPr>
                <w:rFonts w:ascii="Arial" w:cs="Arial" w:eastAsia="Arial" w:hAnsi="Arial"/>
                <w:sz w:val="15"/>
                <w:szCs w:val="15"/>
                <w:color w:val="auto"/>
              </w:rPr>
              <w:t>Basic and diluted(1)(2)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(2.53)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(0.59)</w:t>
            </w:r>
          </w:p>
        </w:tc>
      </w:tr>
      <w:tr>
        <w:trPr>
          <w:trHeight w:val="20"/>
        </w:trPr>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86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w w:val="97"/>
              </w:rPr>
              <w:t>Pro forma weighted average common shares of common stock outstanding</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2"/>
        </w:trPr>
        <w:tc>
          <w:tcPr>
            <w:tcW w:w="4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(unaudited)</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860" w:type="dxa"/>
            <w:vAlign w:val="bottom"/>
            <w:gridSpan w:val="2"/>
          </w:tcPr>
          <w:p>
            <w:pPr>
              <w:ind w:left="160"/>
              <w:spacing w:after="0"/>
              <w:rPr>
                <w:sz w:val="20"/>
                <w:szCs w:val="20"/>
                <w:color w:val="auto"/>
              </w:rPr>
            </w:pPr>
            <w:r>
              <w:rPr>
                <w:rFonts w:ascii="Arial" w:cs="Arial" w:eastAsia="Arial" w:hAnsi="Arial"/>
                <w:sz w:val="15"/>
                <w:szCs w:val="15"/>
                <w:color w:val="auto"/>
              </w:rPr>
              <w:t>Basic and diluted(1)(2)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9,980,469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12,632,923</w:t>
            </w:r>
          </w:p>
        </w:tc>
        <w:tc>
          <w:tcPr>
            <w:tcW w:w="1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860" w:type="dxa"/>
            <w:vAlign w:val="bottom"/>
            <w:tcBorders>
              <w:bottom w:val="single" w:sz="8" w:color="auto"/>
            </w:tcBorders>
          </w:tcPr>
          <w:p>
            <w:pPr>
              <w:spacing w:after="0"/>
              <w:rPr>
                <w:sz w:val="5"/>
                <w:szCs w:val="5"/>
                <w:color w:val="auto"/>
              </w:rPr>
            </w:pPr>
          </w:p>
        </w:tc>
        <w:tc>
          <w:tcPr>
            <w:tcW w:w="4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140" w:hanging="463"/>
        <w:spacing w:after="0" w:line="238" w:lineRule="auto"/>
        <w:tabs>
          <w:tab w:leader="none" w:pos="16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additional information regarding the method used to calculate the historical and pro forma basic and diluted net loss per common share and the number of shares used in the computation of the per share amounts.</w:t>
      </w:r>
    </w:p>
    <w:p>
      <w:pPr>
        <w:spacing w:after="0" w:line="96" w:lineRule="exact"/>
        <w:rPr>
          <w:rFonts w:ascii="Arial" w:cs="Arial" w:eastAsia="Arial" w:hAnsi="Arial"/>
          <w:sz w:val="12"/>
          <w:szCs w:val="12"/>
          <w:color w:val="auto"/>
        </w:rPr>
      </w:pPr>
    </w:p>
    <w:p>
      <w:pPr>
        <w:ind w:left="1600" w:hanging="463"/>
        <w:spacing w:after="0" w:line="269" w:lineRule="auto"/>
        <w:tabs>
          <w:tab w:leader="none" w:pos="1600" w:val="left"/>
        </w:tabs>
        <w:numPr>
          <w:ilvl w:val="0"/>
          <w:numId w:val="59"/>
        </w:numPr>
        <w:rPr>
          <w:rFonts w:ascii="Arial" w:cs="Arial" w:eastAsia="Arial" w:hAnsi="Arial"/>
          <w:sz w:val="10"/>
          <w:szCs w:val="10"/>
          <w:color w:val="auto"/>
        </w:rPr>
      </w:pPr>
      <w:r>
        <w:rPr>
          <w:rFonts w:ascii="Arial" w:cs="Arial" w:eastAsia="Arial" w:hAnsi="Arial"/>
          <w:sz w:val="10"/>
          <w:szCs w:val="10"/>
          <w:color w:val="auto"/>
        </w:rPr>
        <w:t>Pro forma basic and diluted net loss per common share and weighted average common shares outstanding give effect to: (i) the automatic conversion of all shares of our preferred stock into common stock upon closing of this offering, which, based on an assumed initial public offering price of $15.00 per share, the midpoint of the price range set forth on the cover of this prospectus, would result in the issuance of 9,890,580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14,088 shares of our common stock, at a weighted average exercise price of $17.55 per share of common stock, based on an assumed initial public offering price of $15.00 per share, the midpoint of the price range set forth on the cover of this prospectus, upon the closing of this offering and (iii) the automatic cashless exercise of the series E common warrants for 567,306 shares of our common stock. Upon the closing of this offering, (a) our series E preferred stock will automatically convert into a number of shares of common stock and</w:t>
      </w:r>
    </w:p>
    <w:p>
      <w:pPr>
        <w:spacing w:after="0" w:line="1" w:lineRule="exact"/>
        <w:rPr>
          <w:rFonts w:ascii="Arial" w:cs="Arial" w:eastAsia="Arial" w:hAnsi="Arial"/>
          <w:sz w:val="10"/>
          <w:szCs w:val="10"/>
          <w:color w:val="auto"/>
        </w:rPr>
      </w:pPr>
    </w:p>
    <w:p>
      <w:pPr>
        <w:ind w:left="1600"/>
        <w:spacing w:after="0"/>
        <w:rPr>
          <w:rFonts w:ascii="Arial" w:cs="Arial" w:eastAsia="Arial" w:hAnsi="Arial"/>
          <w:sz w:val="10"/>
          <w:szCs w:val="10"/>
          <w:color w:val="auto"/>
        </w:rPr>
      </w:pPr>
      <w:r>
        <w:rPr>
          <w:rFonts w:ascii="Arial" w:cs="Arial" w:eastAsia="Arial" w:hAnsi="Arial"/>
          <w:sz w:val="12"/>
          <w:szCs w:val="12"/>
          <w:color w:val="auto"/>
        </w:rPr>
        <w:t>(b) outstanding warrants to purchase shares of our series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4" w:name="page85"/>
    <w:bookmarkEnd w:id="8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7" w:lineRule="exact"/>
        <w:rPr>
          <w:sz w:val="20"/>
          <w:szCs w:val="20"/>
          <w:color w:val="auto"/>
        </w:rPr>
      </w:pPr>
    </w:p>
    <w:p>
      <w:pPr>
        <w:ind w:left="1600"/>
        <w:spacing w:after="0" w:line="333" w:lineRule="auto"/>
        <w:rPr>
          <w:sz w:val="20"/>
          <w:szCs w:val="20"/>
          <w:color w:val="auto"/>
        </w:rPr>
      </w:pPr>
      <w:r>
        <w:rPr>
          <w:rFonts w:ascii="Arial" w:cs="Arial" w:eastAsia="Arial" w:hAnsi="Arial"/>
          <w:sz w:val="10"/>
          <w:szCs w:val="10"/>
          <w:color w:val="auto"/>
        </w:rPr>
        <w:t>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See "Prospectus summary—The offering" for a related offering price per share sensitivity analysis.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balance sheet data:</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As of 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54"/>
        </w:trPr>
        <w:tc>
          <w:tcPr>
            <w:tcW w:w="47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2014</w:t>
            </w:r>
          </w:p>
        </w:tc>
        <w:tc>
          <w:tcPr>
            <w:tcW w:w="2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7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and short-term investments</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16,592</w:t>
            </w:r>
          </w:p>
        </w:tc>
        <w:tc>
          <w:tcPr>
            <w:tcW w:w="22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36,462</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20"/>
                <w:szCs w:val="20"/>
                <w:color w:val="auto"/>
              </w:rPr>
            </w:pPr>
            <w:r>
              <w:rPr>
                <w:rFonts w:ascii="Arial" w:cs="Arial" w:eastAsia="Arial" w:hAnsi="Arial"/>
                <w:sz w:val="15"/>
                <w:szCs w:val="15"/>
                <w:color w:val="auto"/>
              </w:rPr>
              <w:t>Total assets</w:t>
            </w:r>
          </w:p>
        </w:tc>
        <w:tc>
          <w:tcPr>
            <w:tcW w:w="18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9"/>
              <w:spacing w:after="0"/>
              <w:rPr>
                <w:sz w:val="20"/>
                <w:szCs w:val="20"/>
                <w:color w:val="auto"/>
              </w:rPr>
            </w:pPr>
            <w:r>
              <w:rPr>
                <w:rFonts w:ascii="Arial" w:cs="Arial" w:eastAsia="Arial" w:hAnsi="Arial"/>
                <w:sz w:val="15"/>
                <w:szCs w:val="15"/>
                <w:color w:val="auto"/>
              </w:rPr>
              <w:t>22,228</w:t>
            </w:r>
          </w:p>
        </w:tc>
        <w:tc>
          <w:tcPr>
            <w:tcW w:w="220" w:type="dxa"/>
            <w:vAlign w:val="bottom"/>
          </w:tcPr>
          <w:p>
            <w:pPr>
              <w:ind w:left="6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42,824</w:t>
            </w: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34,723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Loan payables, net of current portion</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4,824</w:t>
            </w:r>
          </w:p>
        </w:tc>
        <w:tc>
          <w:tcPr>
            <w:tcW w:w="22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11,855</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20"/>
                <w:szCs w:val="20"/>
                <w:color w:val="auto"/>
              </w:rPr>
            </w:pPr>
            <w:r>
              <w:rPr>
                <w:rFonts w:ascii="Arial" w:cs="Arial" w:eastAsia="Arial" w:hAnsi="Arial"/>
                <w:sz w:val="15"/>
                <w:szCs w:val="15"/>
                <w:color w:val="auto"/>
              </w:rPr>
              <w:t>Redeemable convertible preferred stock</w:t>
            </w:r>
          </w:p>
        </w:tc>
        <w:tc>
          <w:tcPr>
            <w:tcW w:w="18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9"/>
              <w:spacing w:after="0"/>
              <w:rPr>
                <w:sz w:val="20"/>
                <w:szCs w:val="20"/>
                <w:color w:val="auto"/>
              </w:rPr>
            </w:pPr>
            <w:r>
              <w:rPr>
                <w:rFonts w:ascii="Arial" w:cs="Arial" w:eastAsia="Arial" w:hAnsi="Arial"/>
                <w:sz w:val="15"/>
                <w:szCs w:val="15"/>
                <w:color w:val="auto"/>
              </w:rPr>
              <w:t>94,033</w:t>
            </w:r>
          </w:p>
        </w:tc>
        <w:tc>
          <w:tcPr>
            <w:tcW w:w="220" w:type="dxa"/>
            <w:vAlign w:val="bottom"/>
          </w:tcPr>
          <w:p>
            <w:pPr>
              <w:ind w:left="6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137,482</w:t>
            </w: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139,837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 (deficit)</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(87,755)</w:t>
            </w:r>
          </w:p>
        </w:tc>
        <w:tc>
          <w:tcPr>
            <w:tcW w:w="22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(116,493)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(125,805)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80"/>
          </w:cols>
          <w:pgMar w:left="240" w:top="132" w:right="479" w:bottom="1440" w:gutter="0" w:footer="0" w:header="0"/>
        </w:sectPr>
      </w:pPr>
    </w:p>
    <w:bookmarkStart w:id="85" w:name="page86"/>
    <w:bookmarkEnd w:id="8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Management's discussion and analysis of financial condition and results of operations</w:t>
      </w:r>
    </w:p>
    <w:p>
      <w:pPr>
        <w:spacing w:after="0" w:line="183"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"Selected consolidated financial data" and our consolidated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right="60"/>
        <w:spacing w:after="0" w:line="304" w:lineRule="auto"/>
        <w:rPr>
          <w:sz w:val="20"/>
          <w:szCs w:val="20"/>
          <w:color w:val="auto"/>
        </w:rPr>
      </w:pPr>
      <w:r>
        <w:rPr>
          <w:rFonts w:ascii="Arial" w:cs="Arial" w:eastAsia="Arial" w:hAnsi="Arial"/>
          <w:sz w:val="13"/>
          <w:szCs w:val="13"/>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antigen-specific immune tolerance to mitigate the formation of anti-drug antibodies, or ADAs,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ummet medical need. SEL-212 is currently in a comprehensive Phase 1/2 clinical program. The Phase 1/2 clinical program is comprised of two Phase 1 clinical trials and a Phase 2 clinical trial, and is designed to evaluate the ability of SEL-212 to control uric acid levels and mitigate the formation of ADAs. Based on preliminary data from our ongoing Phase 1b clinical trial, we believe that SEL-212 has the potential to control serum uric acid levels for at least 30 days after a single dose by mitigating the formation of ADAs in response to the therapeutic enzyme. We expect to receive final data from both Phase 1 clinical trials and initiate the Phase 2 clinical trial in the second half of 2016.</w:t>
      </w:r>
    </w:p>
    <w:p>
      <w:pPr>
        <w:spacing w:after="0" w:line="145"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color w:val="auto"/>
        </w:rPr>
        <w:t>We were incorporated in 2007 under the laws of the State of Delaware and our corporate headquarters is in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Since our inception and through March 31, 2016, we have raised an aggregate of $151.6 million to fund our operations, of which $118.5 million was from the sale of preferred stock,</w:t>
      </w:r>
    </w:p>
    <w:p>
      <w:pPr>
        <w:spacing w:after="0" w:line="29" w:lineRule="exact"/>
        <w:rPr>
          <w:sz w:val="20"/>
          <w:szCs w:val="20"/>
          <w:color w:val="auto"/>
        </w:rPr>
      </w:pPr>
    </w:p>
    <w:p>
      <w:pPr>
        <w:ind w:right="140"/>
        <w:spacing w:after="0" w:line="275" w:lineRule="auto"/>
        <w:rPr>
          <w:sz w:val="20"/>
          <w:szCs w:val="20"/>
          <w:color w:val="auto"/>
        </w:rPr>
      </w:pPr>
      <w:r>
        <w:rPr>
          <w:rFonts w:ascii="Arial" w:cs="Arial" w:eastAsia="Arial" w:hAnsi="Arial"/>
          <w:sz w:val="15"/>
          <w:szCs w:val="15"/>
          <w:color w:val="auto"/>
        </w:rPr>
        <w:t>$7.8 million was from government grants, $14.3 million was from the issuance of debt securities and $11.0 million was from grants and collaboration arrangements. As of March 31, 2016, we had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6" w:name="page87"/>
    <w:bookmarkEnd w:id="8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totaling $17.1 million, of which $1.5 million of such cash and cash equivalents was held by our wholly owned Russian subsidiary and designated solely for use in its operations.</w:t>
      </w:r>
    </w:p>
    <w:p>
      <w:pPr>
        <w:spacing w:after="0" w:line="210"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In August and September 2015, we issued and sold 8,888,888 shares of series E preferred stock for $40.0 million in gross proceeds which included 1,619,550 shares of series E preferred stock that were issued as a result of the conversion of convertible notes. As part of the series E preferred stock issuance, we also issued 569,791 common stock warrants to the stockholders who participated in that round of financing.</w:t>
      </w:r>
    </w:p>
    <w:p>
      <w:pPr>
        <w:spacing w:after="0" w:line="159"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All shares of our redeemable convertible preferred stock will automatically convert into shares of common stock in connection with this offering, and as a result, our common stock will be the only class of stock outstanding following this offering.</w:t>
      </w:r>
    </w:p>
    <w:p>
      <w:pPr>
        <w:spacing w:after="0" w:line="151"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Since inception, we have incurred significant operating losses. We incurred net losses of $12.9 million and $25.2 million for the years ended December 31, 2014 and 2015, respectively. Our net loss was $5.7 million and $7.5 million for the three months ended March 31, 2015 and 2016, respectively. As of March 31, 2016, we had an accumulated deficit of $121.1 million. We expect to continue incurring significant expenses and operating losses for at least the next several years as we:</w:t>
      </w:r>
    </w:p>
    <w:p>
      <w:pPr>
        <w:spacing w:after="0" w:line="171" w:lineRule="exact"/>
        <w:rPr>
          <w:sz w:val="20"/>
          <w:szCs w:val="20"/>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conduct and expand clinical trials for SEL-212, our lead product candidate;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seek regulatory approval for any product candidates that successfully complete clinical trials;</w:t>
      </w:r>
    </w:p>
    <w:p>
      <w:pPr>
        <w:spacing w:after="0" w:line="209" w:lineRule="exact"/>
        <w:rPr>
          <w:rFonts w:ascii="Arial" w:cs="Arial" w:eastAsia="Arial" w:hAnsi="Arial"/>
          <w:sz w:val="15"/>
          <w:szCs w:val="15"/>
          <w:color w:val="auto"/>
        </w:rPr>
      </w:pPr>
    </w:p>
    <w:p>
      <w:pPr>
        <w:ind w:left="467" w:right="400" w:hanging="467"/>
        <w:spacing w:after="0" w:line="282" w:lineRule="auto"/>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scale-up external manufacturing capabilities to commercialize any products for which we may obtain regulatory approval;</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hire additional staff, including clinical, scientific, operational and financial personnel, to execute our business plan; and</w:t>
      </w:r>
    </w:p>
    <w:p>
      <w:pPr>
        <w:spacing w:after="0" w:line="209" w:lineRule="exact"/>
        <w:rPr>
          <w:rFonts w:ascii="Arial" w:cs="Arial" w:eastAsia="Arial" w:hAnsi="Arial"/>
          <w:sz w:val="15"/>
          <w:szCs w:val="15"/>
          <w:color w:val="auto"/>
        </w:rPr>
      </w:pPr>
    </w:p>
    <w:p>
      <w:pPr>
        <w:ind w:left="467" w:right="40" w:hanging="467"/>
        <w:spacing w:after="0" w:line="282" w:lineRule="auto"/>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add personnel and clinical, scientific, operational, financial and management information systems to support our product development and potential future commercialization efforts, and to enable us to operate as a public company.</w:t>
      </w:r>
    </w:p>
    <w:p>
      <w:pPr>
        <w:spacing w:after="0" w:line="151" w:lineRule="exact"/>
        <w:rPr>
          <w:sz w:val="20"/>
          <w:szCs w:val="20"/>
          <w:color w:val="auto"/>
        </w:rPr>
      </w:pPr>
    </w:p>
    <w:p>
      <w:pPr>
        <w:ind w:left="7" w:right="120"/>
        <w:spacing w:after="0" w:line="297" w:lineRule="auto"/>
        <w:rPr>
          <w:sz w:val="20"/>
          <w:szCs w:val="20"/>
          <w:color w:val="auto"/>
        </w:rPr>
      </w:pPr>
      <w:r>
        <w:rPr>
          <w:rFonts w:ascii="Arial" w:cs="Arial" w:eastAsia="Arial" w:hAnsi="Arial"/>
          <w:sz w:val="14"/>
          <w:szCs w:val="14"/>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44" w:lineRule="exact"/>
        <w:rPr>
          <w:sz w:val="20"/>
          <w:szCs w:val="20"/>
          <w:color w:val="auto"/>
        </w:rPr>
      </w:pPr>
    </w:p>
    <w:p>
      <w:pPr>
        <w:ind w:left="7" w:right="40"/>
        <w:spacing w:after="0" w:line="362" w:lineRule="auto"/>
        <w:rPr>
          <w:sz w:val="20"/>
          <w:szCs w:val="20"/>
          <w:color w:val="auto"/>
        </w:rPr>
      </w:pPr>
      <w:r>
        <w:rPr>
          <w:rFonts w:ascii="Arial" w:cs="Arial" w:eastAsia="Arial" w:hAnsi="Arial"/>
          <w:sz w:val="13"/>
          <w:szCs w:val="13"/>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FINANCIAL OVERVIEW</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Grant and collaboration revenue</w:t>
      </w:r>
    </w:p>
    <w:p>
      <w:pPr>
        <w:spacing w:after="0" w:line="195"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To date, we have not generated any product sales. Our revenue consists of grant and collaboration revenue, which includes amounts recognized related to upfront and milestone payments for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87" w:name="page88"/>
    <w:bookmarkEnd w:id="8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as a result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grant-based revenue, see Notes 2 and 12 to our consolidated financial statements included elsewhere in this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Research and development expenses consist of costs incurred in performing research and development activities, including compensation and benefits for full-time research and development employees, an allocation of facilities expenses, overhead expenses, manufacturing process-development and scale-up activities, clinical trial and related clinical manufacturing expenses, fees paid to contract research organizations, or CROs, and investigative sites, payments to partners under our license agreements and other outside expenses. Our research and development costs are often devoted to expanding our programs and are not necessarily allocable to a specific target.</w:t>
      </w:r>
    </w:p>
    <w:p>
      <w:pPr>
        <w:spacing w:after="0" w:line="162" w:lineRule="exact"/>
        <w:rPr>
          <w:sz w:val="20"/>
          <w:szCs w:val="20"/>
          <w:color w:val="auto"/>
        </w:rPr>
      </w:pPr>
    </w:p>
    <w:p>
      <w:pPr>
        <w:ind w:right="120"/>
        <w:spacing w:after="0" w:line="310" w:lineRule="auto"/>
        <w:rPr>
          <w:sz w:val="20"/>
          <w:szCs w:val="20"/>
          <w:color w:val="auto"/>
        </w:rPr>
      </w:pPr>
      <w:r>
        <w:rPr>
          <w:rFonts w:ascii="Arial" w:cs="Arial" w:eastAsia="Arial" w:hAnsi="Arial"/>
          <w:sz w:val="13"/>
          <w:szCs w:val="13"/>
          <w:color w:val="auto"/>
        </w:rPr>
        <w:t>Our research and development expenses consist of external research and development costs, which we track on a program-by-program basis and primarily include contract manufacturing organization and CRO-related costs, and internal research and development costs, which are primarily compensation expenses for our research and development employees, lab supplies, analytical testing, allocated overhead costs and other related expenses. As we expand the clinical development of SEL-212, we expect our research and development expenses to increase. The increase in external research and development spending is expected to outpace internal research and development spending. We have incurred a total of $82.1 million in research and development expenses from inception through March 31, 2016, with a majority of the expenses being spent on the development of SEL-212 and a prior nicotine vaccine, and the remainder being spent on our various discovery and preclinical stage product candidate programs and the general expansion of our technology.</w:t>
      </w:r>
    </w:p>
    <w:p>
      <w:pPr>
        <w:spacing w:after="0" w:line="139"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26630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ind w:left="11320"/>
        <w:spacing w:after="0"/>
        <w:rPr>
          <w:sz w:val="20"/>
          <w:szCs w:val="20"/>
          <w:color w:val="auto"/>
        </w:rPr>
      </w:pPr>
      <w:r>
        <w:rPr>
          <w:rFonts w:ascii="Arial" w:cs="Arial" w:eastAsia="Arial" w:hAnsi="Arial"/>
          <w:sz w:val="10"/>
          <w:szCs w:val="10"/>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components of our research and development expenses during the periods indicated (in thousands, except percentages):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tcPr>
          <w:p>
            <w:pPr>
              <w:jc w:val="right"/>
              <w:ind w:right="287"/>
              <w:spacing w:after="0"/>
              <w:rPr>
                <w:sz w:val="20"/>
                <w:szCs w:val="20"/>
                <w:color w:val="auto"/>
              </w:rPr>
            </w:pPr>
            <w:r>
              <w:rPr>
                <w:rFonts w:ascii="Arial" w:cs="Arial" w:eastAsia="Arial" w:hAnsi="Arial"/>
                <w:sz w:val="12"/>
                <w:szCs w:val="12"/>
                <w:b w:val="1"/>
                <w:bCs w:val="1"/>
                <w:color w:val="auto"/>
              </w:rPr>
              <w:t>Years 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47"/>
              <w:spacing w:after="0"/>
              <w:rPr>
                <w:sz w:val="20"/>
                <w:szCs w:val="20"/>
                <w:color w:val="auto"/>
              </w:rPr>
            </w:pPr>
            <w:r>
              <w:rPr>
                <w:rFonts w:ascii="Arial" w:cs="Arial" w:eastAsia="Arial" w:hAnsi="Arial"/>
                <w:sz w:val="12"/>
                <w:szCs w:val="12"/>
                <w:b w:val="1"/>
                <w:bCs w:val="1"/>
                <w:color w:val="auto"/>
              </w:rPr>
              <w:t>Three months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247"/>
              <w:spacing w:after="0" w:line="129" w:lineRule="exact"/>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left="129"/>
              <w:spacing w:after="0" w:line="129" w:lineRule="exact"/>
              <w:rPr>
                <w:sz w:val="20"/>
                <w:szCs w:val="20"/>
                <w:color w:val="auto"/>
              </w:rPr>
            </w:pPr>
            <w:r>
              <w:rPr>
                <w:rFonts w:ascii="Arial" w:cs="Arial" w:eastAsia="Arial" w:hAnsi="Arial"/>
                <w:sz w:val="12"/>
                <w:szCs w:val="12"/>
                <w:b w:val="1"/>
                <w:bCs w:val="1"/>
                <w:color w:val="auto"/>
              </w:rPr>
              <w:t>Increase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center"/>
              <w:ind w:right="47"/>
              <w:spacing w:after="0" w:line="129" w:lineRule="exact"/>
              <w:rPr>
                <w:sz w:val="20"/>
                <w:szCs w:val="20"/>
                <w:color w:val="auto"/>
              </w:rPr>
            </w:pPr>
            <w:r>
              <w:rPr>
                <w:rFonts w:ascii="Arial" w:cs="Arial" w:eastAsia="Arial" w:hAnsi="Arial"/>
                <w:sz w:val="12"/>
                <w:szCs w:val="12"/>
                <w:b w:val="1"/>
                <w:bCs w:val="1"/>
                <w:color w:val="auto"/>
              </w:rPr>
              <w:t>ended March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center"/>
              <w:ind w:left="9"/>
              <w:spacing w:after="0" w:line="129" w:lineRule="exact"/>
              <w:rPr>
                <w:sz w:val="20"/>
                <w:szCs w:val="20"/>
                <w:color w:val="auto"/>
              </w:rPr>
            </w:pPr>
            <w:r>
              <w:rPr>
                <w:rFonts w:ascii="Arial" w:cs="Arial" w:eastAsia="Arial" w:hAnsi="Arial"/>
                <w:sz w:val="12"/>
                <w:szCs w:val="12"/>
                <w:b w:val="1"/>
                <w:bCs w:val="1"/>
                <w:color w:val="auto"/>
              </w:rPr>
              <w:t>Increase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0"/>
        </w:trPr>
        <w:tc>
          <w:tcPr>
            <w:tcW w:w="3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ind w:left="89"/>
              <w:spacing w:after="0"/>
              <w:rPr>
                <w:sz w:val="20"/>
                <w:szCs w:val="20"/>
                <w:color w:val="auto"/>
              </w:rPr>
            </w:pPr>
            <w:r>
              <w:rPr>
                <w:rFonts w:ascii="Arial" w:cs="Arial" w:eastAsia="Arial" w:hAnsi="Arial"/>
                <w:sz w:val="12"/>
                <w:szCs w:val="12"/>
                <w:b w:val="1"/>
                <w:bCs w:val="1"/>
                <w:color w:val="auto"/>
              </w:rPr>
              <w:t>(decrease)</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(decrease)</w:t>
            </w: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24"/>
        </w:trPr>
        <w:tc>
          <w:tcPr>
            <w:tcW w:w="3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center"/>
              <w:ind w:right="47"/>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5"/>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External research and development expenses: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5"/>
        </w:trPr>
        <w:tc>
          <w:tcPr>
            <w:tcW w:w="3360" w:type="dxa"/>
            <w:vAlign w:val="bottom"/>
          </w:tcPr>
          <w:p>
            <w:pPr>
              <w:ind w:left="160"/>
              <w:spacing w:after="0"/>
              <w:rPr>
                <w:sz w:val="20"/>
                <w:szCs w:val="20"/>
                <w:color w:val="auto"/>
              </w:rPr>
            </w:pPr>
            <w:r>
              <w:rPr>
                <w:rFonts w:ascii="Arial" w:cs="Arial" w:eastAsia="Arial" w:hAnsi="Arial"/>
                <w:sz w:val="15"/>
                <w:szCs w:val="15"/>
                <w:color w:val="auto"/>
              </w:rPr>
              <w:t>SEL-212</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474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9,335</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8,861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2,305</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2,182</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(123)</w:t>
            </w:r>
          </w:p>
        </w:tc>
        <w:tc>
          <w:tcPr>
            <w:tcW w:w="1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(5)%</w:t>
            </w:r>
          </w:p>
        </w:tc>
      </w:tr>
      <w:tr>
        <w:trPr>
          <w:trHeight w:val="178"/>
        </w:trPr>
        <w:tc>
          <w:tcPr>
            <w:tcW w:w="33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Discovery and preclinical stage product programs,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92"/>
        </w:trPr>
        <w:tc>
          <w:tcPr>
            <w:tcW w:w="3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collectively</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0"/>
              </w:rPr>
              <w:t>2,153%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8"/>
              </w:rPr>
              <w:t>317%</w:t>
            </w:r>
          </w:p>
        </w:tc>
      </w:tr>
      <w:tr>
        <w:trPr>
          <w:trHeight w:val="185"/>
        </w:trPr>
        <w:tc>
          <w:tcPr>
            <w:tcW w:w="3360" w:type="dxa"/>
            <w:vAlign w:val="bottom"/>
          </w:tcPr>
          <w:p>
            <w:pPr>
              <w:spacing w:after="0"/>
              <w:rPr>
                <w:sz w:val="20"/>
                <w:szCs w:val="20"/>
                <w:color w:val="auto"/>
              </w:rPr>
            </w:pPr>
            <w:r>
              <w:rPr>
                <w:rFonts w:ascii="Arial" w:cs="Arial" w:eastAsia="Arial" w:hAnsi="Arial"/>
                <w:sz w:val="15"/>
                <w:szCs w:val="15"/>
                <w:color w:val="auto"/>
              </w:rPr>
              <w:t>Internal research and development expenses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9,974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12,789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2,815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2,408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3,385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977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41%</w:t>
            </w:r>
          </w:p>
        </w:tc>
      </w:tr>
      <w:tr>
        <w:trPr>
          <w:trHeight w:val="20"/>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7"/>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Total research and development expenses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w:t>
            </w:r>
          </w:p>
        </w:tc>
      </w:tr>
      <w:tr>
        <w:trPr>
          <w:trHeight w:val="20"/>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ind w:right="20"/>
        <w:spacing w:after="0" w:line="319" w:lineRule="auto"/>
        <w:rPr>
          <w:sz w:val="20"/>
          <w:szCs w:val="20"/>
          <w:color w:val="auto"/>
        </w:rPr>
      </w:pPr>
      <w:r>
        <w:rPr>
          <w:rFonts w:ascii="Arial" w:cs="Arial" w:eastAsia="Arial" w:hAnsi="Arial"/>
          <w:sz w:val="13"/>
          <w:szCs w:val="13"/>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We expect that our general and administrative expenses will increase in future periods, reflecting an expanding infrastructure and increased professional fees associated with being a public reporting company.</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Investment income consists primarily of interest income earned on our cash and cash equivalents and short term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consists of interest expense on amounts borrowed under our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expense for the years ended December 31, 2014 and 2015 was de minimis.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The functional currency of our Russian subsidiary is the ruble. In addition to holding cash denominated in rubles, our Russian bank accounts also hold cash balances denominated in U.S.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dollars to facilitate payments to be settled in U.S. dollars or other currencies. At December 31, 2014 and 2015, and March 31, 2016, we maintained cash of $7.3 million, $3.8 million and</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$4.2 million, respectively, in Russian banks, of which $3.0 million was denominated in U.S. dollars for the period ended March 31, 2016. The amounts denominated in U.S. dollars and used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in transacting the day to day operations are subject to transaction gains and losses, which are reported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Three months ended March 31, 2015 compared to the three months ended March 31, 2016</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revenue for the three months ended March 31, 2015 and 2016 (in thousands, except percentages):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3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28"/>
              <w:spacing w:after="0"/>
              <w:rPr>
                <w:sz w:val="20"/>
                <w:szCs w:val="20"/>
                <w:color w:val="auto"/>
              </w:rPr>
            </w:pPr>
            <w:r>
              <w:rPr>
                <w:rFonts w:ascii="Arial" w:cs="Arial" w:eastAsia="Arial" w:hAnsi="Arial"/>
                <w:sz w:val="12"/>
                <w:szCs w:val="12"/>
                <w:b w:val="1"/>
                <w:bCs w:val="1"/>
                <w:color w:val="auto"/>
              </w:rPr>
              <w:t>Three months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3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center"/>
              <w:ind w:right="28"/>
              <w:spacing w:after="0" w:line="129" w:lineRule="exact"/>
              <w:rPr>
                <w:sz w:val="20"/>
                <w:szCs w:val="20"/>
                <w:color w:val="auto"/>
              </w:rPr>
            </w:pPr>
            <w:r>
              <w:rPr>
                <w:rFonts w:ascii="Arial" w:cs="Arial" w:eastAsia="Arial" w:hAnsi="Arial"/>
                <w:sz w:val="12"/>
                <w:szCs w:val="12"/>
                <w:b w:val="1"/>
                <w:bCs w:val="1"/>
                <w:color w:val="auto"/>
              </w:rPr>
              <w:t>ended March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left="10"/>
              <w:spacing w:after="0" w:line="129" w:lineRule="exact"/>
              <w:rPr>
                <w:sz w:val="20"/>
                <w:szCs w:val="20"/>
                <w:color w:val="auto"/>
              </w:rPr>
            </w:pPr>
            <w:r>
              <w:rPr>
                <w:rFonts w:ascii="Arial" w:cs="Arial" w:eastAsia="Arial" w:hAnsi="Arial"/>
                <w:sz w:val="12"/>
                <w:szCs w:val="12"/>
                <w:b w:val="1"/>
                <w:bCs w:val="1"/>
                <w:color w:val="auto"/>
              </w:rPr>
              <w:t>Increase</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0"/>
        </w:trPr>
        <w:tc>
          <w:tcPr>
            <w:tcW w:w="35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(decrease)</w:t>
            </w:r>
          </w:p>
        </w:tc>
        <w:tc>
          <w:tcPr>
            <w:tcW w:w="24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r>
      <w:tr>
        <w:trPr>
          <w:trHeight w:val="124"/>
        </w:trPr>
        <w:tc>
          <w:tcPr>
            <w:tcW w:w="35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jc w:val="center"/>
              <w:ind w:right="28"/>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85"/>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Grant revenue</w:t>
            </w:r>
          </w:p>
        </w:tc>
        <w:tc>
          <w:tcPr>
            <w:tcW w:w="23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w w:val="88"/>
              </w:rPr>
              <w:t>263%</w:t>
            </w:r>
          </w:p>
        </w:tc>
      </w:tr>
      <w:tr>
        <w:trPr>
          <w:trHeight w:val="185"/>
        </w:trPr>
        <w:tc>
          <w:tcPr>
            <w:tcW w:w="3580" w:type="dxa"/>
            <w:vAlign w:val="bottom"/>
          </w:tcPr>
          <w:p>
            <w:pPr>
              <w:spacing w:after="0"/>
              <w:rPr>
                <w:sz w:val="20"/>
                <w:szCs w:val="20"/>
                <w:color w:val="auto"/>
              </w:rPr>
            </w:pPr>
            <w:r>
              <w:rPr>
                <w:rFonts w:ascii="Arial" w:cs="Arial" w:eastAsia="Arial" w:hAnsi="Arial"/>
                <w:sz w:val="15"/>
                <w:szCs w:val="15"/>
                <w:color w:val="auto"/>
              </w:rPr>
              <w:t>Collaboration revenue</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(341)</w:t>
            </w:r>
          </w:p>
        </w:tc>
        <w:tc>
          <w:tcPr>
            <w:tcW w:w="180" w:type="dxa"/>
            <w:vAlign w:val="bottom"/>
          </w:tcPr>
          <w:p>
            <w:pPr>
              <w:spacing w:after="0"/>
              <w:rPr>
                <w:sz w:val="16"/>
                <w:szCs w:val="16"/>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w w:val="99"/>
              </w:rPr>
              <w:t>(68)%</w:t>
            </w:r>
          </w:p>
        </w:tc>
      </w:tr>
      <w:tr>
        <w:trPr>
          <w:trHeight w:val="20"/>
        </w:trPr>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7"/>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Total revenue</w:t>
            </w:r>
          </w:p>
        </w:tc>
        <w:tc>
          <w:tcPr>
            <w:tcW w:w="23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w w:val="88"/>
              </w:rPr>
              <w:t>102%</w:t>
            </w:r>
          </w:p>
        </w:tc>
      </w:tr>
      <w:tr>
        <w:trPr>
          <w:trHeight w:val="20"/>
        </w:trPr>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During the three months ended March 31, 2016, total revenue increased by $1.1 million, or 102%, as compared to the same period in the prior year, of which $1.3 million was related to a National Institute on Drug Abuse, or NIDA, grant, or the NIDA grant, awarded to us in 2014 and recognized as revenue throughout the three months ended March 31, 2016, offset by a reduction of $0.3 million related to the amortization of upfront payments from the license and research collaboration agreement with Sanofi executed in November 2012 and supplemented in May 2015. We recognized revenue increases of $0.1 million from various other grants and collaborations during the three months ended March 31, 2016 over the three months ended March 31, 2015.</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research and development expenses for the three months ended March 31, 2015 and 2016 (in thousands, except percentages):</w:t>
      </w:r>
    </w:p>
    <w:p>
      <w:pPr>
        <w:spacing w:after="0" w:line="219" w:lineRule="exact"/>
        <w:rPr>
          <w:sz w:val="20"/>
          <w:szCs w:val="20"/>
          <w:color w:val="auto"/>
        </w:rPr>
      </w:pPr>
    </w:p>
    <w:p>
      <w:pPr>
        <w:ind w:left="7880"/>
        <w:spacing w:after="0"/>
        <w:rPr>
          <w:sz w:val="20"/>
          <w:szCs w:val="20"/>
          <w:color w:val="auto"/>
        </w:rPr>
      </w:pPr>
      <w:r>
        <w:rPr>
          <w:rFonts w:ascii="Arial" w:cs="Arial" w:eastAsia="Arial" w:hAnsi="Arial"/>
          <w:sz w:val="12"/>
          <w:szCs w:val="12"/>
          <w:b w:val="1"/>
          <w:bCs w:val="1"/>
          <w:color w:val="auto"/>
        </w:rPr>
        <w:t>Three months</w:t>
      </w:r>
    </w:p>
    <w:p>
      <w:pPr>
        <w:ind w:left="7800"/>
        <w:spacing w:after="0" w:line="217" w:lineRule="auto"/>
        <w:tabs>
          <w:tab w:leader="none" w:pos="9340" w:val="left"/>
        </w:tabs>
        <w:rPr>
          <w:sz w:val="20"/>
          <w:szCs w:val="20"/>
          <w:color w:val="auto"/>
        </w:rPr>
      </w:pPr>
      <w:r>
        <w:rPr>
          <w:rFonts w:ascii="Arial" w:cs="Arial" w:eastAsia="Arial" w:hAnsi="Arial"/>
          <w:sz w:val="12"/>
          <w:szCs w:val="12"/>
          <w:b w:val="1"/>
          <w:bCs w:val="1"/>
          <w:color w:val="auto"/>
        </w:rPr>
        <w:t>ended March 31,</w:t>
      </w:r>
      <w:r>
        <w:rPr>
          <w:sz w:val="20"/>
          <w:szCs w:val="20"/>
          <w:color w:val="auto"/>
        </w:rPr>
        <w:tab/>
      </w:r>
      <w:r>
        <w:rPr>
          <w:rFonts w:ascii="Arial" w:cs="Arial" w:eastAsia="Arial" w:hAnsi="Arial"/>
          <w:sz w:val="17"/>
          <w:szCs w:val="17"/>
          <w:b w:val="1"/>
          <w:bCs w:val="1"/>
          <w:color w:val="auto"/>
          <w:vertAlign w:val="subscript"/>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-16510</wp:posOffset>
            </wp:positionV>
            <wp:extent cx="80899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7780"/>
        <w:spacing w:after="0"/>
        <w:tabs>
          <w:tab w:leader="none" w:pos="8460" w:val="left"/>
          <w:tab w:leader="none" w:pos="92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12700</wp:posOffset>
            </wp:positionV>
            <wp:extent cx="572198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21985" cy="7620"/>
                    </a:xfrm>
                    <a:prstGeom prst="rect">
                      <a:avLst/>
                    </a:prstGeom>
                    <a:noFill/>
                  </pic:spPr>
                </pic:pic>
              </a:graphicData>
            </a:graphic>
          </wp:anchor>
        </w:drawing>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2"/>
          <w:szCs w:val="12"/>
          <w:b w:val="1"/>
          <w:bCs w:val="1"/>
          <w:color w:val="auto"/>
        </w:rPr>
        <w:t>(unaudited)</w:t>
      </w:r>
    </w:p>
    <w:p>
      <w:pPr>
        <w:spacing w:after="0" w:line="13"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3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4,972</w:t>
            </w: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  6,648</w:t>
            </w:r>
          </w:p>
        </w:tc>
        <w:tc>
          <w:tcPr>
            <w:tcW w:w="8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  1,676</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r>
    </w:tbl>
    <w:p>
      <w:pPr>
        <w:spacing w:after="0" w:line="178" w:lineRule="exact"/>
        <w:rPr>
          <w:sz w:val="20"/>
          <w:szCs w:val="20"/>
          <w:color w:val="auto"/>
        </w:rPr>
      </w:pPr>
    </w:p>
    <w:p>
      <w:pPr>
        <w:ind w:right="400"/>
        <w:spacing w:after="0" w:line="319" w:lineRule="auto"/>
        <w:rPr>
          <w:sz w:val="20"/>
          <w:szCs w:val="20"/>
          <w:color w:val="auto"/>
        </w:rPr>
      </w:pPr>
      <w:r>
        <w:rPr>
          <w:rFonts w:ascii="Arial" w:cs="Arial" w:eastAsia="Arial" w:hAnsi="Arial"/>
          <w:sz w:val="14"/>
          <w:szCs w:val="14"/>
          <w:color w:val="auto"/>
        </w:rPr>
        <w:t>During the three months ended March 31, 2016, our research and development expenses increased by $1.7 million, or 34%, as compared to the same period in the prior year, due to the timing of the toxicology expenses associated with the NIDA grant, and the addition of research and development staffing to support the SEL-212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0" w:name="page91"/>
    <w:bookmarkEnd w:id="9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general and administrative expenses for the three months ended March 31, 2015 and 2016 (in thousands, except percentages):</w:t>
      </w:r>
    </w:p>
    <w:p>
      <w:pPr>
        <w:spacing w:after="0" w:line="219" w:lineRule="exact"/>
        <w:rPr>
          <w:sz w:val="20"/>
          <w:szCs w:val="20"/>
          <w:color w:val="auto"/>
        </w:rPr>
      </w:pPr>
    </w:p>
    <w:p>
      <w:pPr>
        <w:ind w:left="8000"/>
        <w:spacing w:after="0"/>
        <w:rPr>
          <w:sz w:val="20"/>
          <w:szCs w:val="20"/>
          <w:color w:val="auto"/>
        </w:rPr>
      </w:pPr>
      <w:r>
        <w:rPr>
          <w:rFonts w:ascii="Arial" w:cs="Arial" w:eastAsia="Arial" w:hAnsi="Arial"/>
          <w:sz w:val="12"/>
          <w:szCs w:val="12"/>
          <w:b w:val="1"/>
          <w:bCs w:val="1"/>
          <w:color w:val="auto"/>
        </w:rPr>
        <w:t>Three months</w:t>
      </w:r>
    </w:p>
    <w:p>
      <w:pPr>
        <w:ind w:left="7920"/>
        <w:spacing w:after="0" w:line="217" w:lineRule="auto"/>
        <w:tabs>
          <w:tab w:leader="none" w:pos="9400" w:val="left"/>
        </w:tabs>
        <w:rPr>
          <w:sz w:val="20"/>
          <w:szCs w:val="20"/>
          <w:color w:val="auto"/>
        </w:rPr>
      </w:pPr>
      <w:r>
        <w:rPr>
          <w:rFonts w:ascii="Arial" w:cs="Arial" w:eastAsia="Arial" w:hAnsi="Arial"/>
          <w:sz w:val="12"/>
          <w:szCs w:val="12"/>
          <w:b w:val="1"/>
          <w:bCs w:val="1"/>
          <w:color w:val="auto"/>
        </w:rPr>
        <w:t>ended March 31,</w:t>
      </w:r>
      <w:r>
        <w:rPr>
          <w:sz w:val="20"/>
          <w:szCs w:val="20"/>
          <w:color w:val="auto"/>
        </w:rPr>
        <w:tab/>
      </w:r>
      <w:r>
        <w:rPr>
          <w:rFonts w:ascii="Arial" w:cs="Arial" w:eastAsia="Arial" w:hAnsi="Arial"/>
          <w:sz w:val="17"/>
          <w:szCs w:val="17"/>
          <w:b w:val="1"/>
          <w:bCs w:val="1"/>
          <w:color w:val="auto"/>
          <w:vertAlign w:val="subscript"/>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-16510</wp:posOffset>
            </wp:positionV>
            <wp:extent cx="80899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7900"/>
        <w:spacing w:after="0"/>
        <w:tabs>
          <w:tab w:leader="none" w:pos="8580" w:val="left"/>
          <w:tab w:leader="none" w:pos="932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12700</wp:posOffset>
            </wp:positionV>
            <wp:extent cx="572198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21985" cy="7620"/>
                    </a:xfrm>
                    <a:prstGeom prst="rect">
                      <a:avLst/>
                    </a:prstGeom>
                    <a:noFill/>
                  </pic:spPr>
                </pic:pic>
              </a:graphicData>
            </a:graphic>
          </wp:anchor>
        </w:drawing>
      </w:r>
    </w:p>
    <w:p>
      <w:pPr>
        <w:spacing w:after="0" w:line="2" w:lineRule="exact"/>
        <w:rPr>
          <w:sz w:val="20"/>
          <w:szCs w:val="20"/>
          <w:color w:val="auto"/>
        </w:rPr>
      </w:pPr>
    </w:p>
    <w:p>
      <w:pPr>
        <w:ind w:left="8040"/>
        <w:spacing w:after="0"/>
        <w:rPr>
          <w:sz w:val="20"/>
          <w:szCs w:val="20"/>
          <w:color w:val="auto"/>
        </w:rPr>
      </w:pPr>
      <w:r>
        <w:rPr>
          <w:rFonts w:ascii="Arial" w:cs="Arial" w:eastAsia="Arial" w:hAnsi="Arial"/>
          <w:sz w:val="12"/>
          <w:szCs w:val="12"/>
          <w:b w:val="1"/>
          <w:bCs w:val="1"/>
          <w:color w:val="auto"/>
        </w:rPr>
        <w:t>(unaudited)</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3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1,872</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2,381</w:t>
            </w:r>
          </w:p>
        </w:tc>
        <w:tc>
          <w:tcPr>
            <w:tcW w:w="7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  509</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r>
    </w:tbl>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For the three months ended March 31, 2016, our general and administrative expenses increased $0.5 million, or 27%, as compared to the same period in the prior year, primarily due to an increase in costs for intellectual property filings and corresponding searches. Additionally, facility costs increased as a result of the termination of our sublease and subsequent utilization of the related space.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ind w:right="400"/>
        <w:spacing w:after="0" w:line="282" w:lineRule="auto"/>
        <w:rPr>
          <w:sz w:val="20"/>
          <w:szCs w:val="20"/>
          <w:color w:val="auto"/>
        </w:rPr>
      </w:pPr>
      <w:r>
        <w:rPr>
          <w:rFonts w:ascii="Arial" w:cs="Arial" w:eastAsia="Arial" w:hAnsi="Arial"/>
          <w:sz w:val="15"/>
          <w:szCs w:val="15"/>
          <w:color w:val="auto"/>
        </w:rPr>
        <w:t>Change in investment income during the three months ended March 31, 2016 as compared to the prior year period reflects reduced interest bearing account balances of cash and cash equivalents held by our company and our Russia subsidiary.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gain (loss)</w:t>
      </w:r>
    </w:p>
    <w:p>
      <w:pPr>
        <w:spacing w:after="0" w:line="195"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auto"/>
        </w:rPr>
        <w:t>We recognized a foreign currency gain of $0.2 million and foreign currency loss of $0.2 million during the three months ended March 31, 2015 and 2016, respectively, reflecting the fluctuation of the U.S. dollar to the ruble from the beginning to the end of each period.</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Interest expense for the three months ended March 31, 2016 was $0.3 million, an increase of $0.1 million, or 50%, as compared to the same period in the prior year. The increase was primarily due to the amortization of loan issuance costs and interest accrued on the increase of the venture debt effective December 31, 2015.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income (expense) was de minimis for the three months ended March 31, 2015 and 2016.</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31, 2014 compared to the year ended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revenue for the years ended December 31, 2014 and 2015 (in thousands, except percentages):</w:t>
      </w:r>
    </w:p>
    <w:p>
      <w:pPr>
        <w:spacing w:after="0" w:line="276" w:lineRule="exact"/>
        <w:rPr>
          <w:sz w:val="20"/>
          <w:szCs w:val="20"/>
          <w:color w:val="auto"/>
        </w:rPr>
      </w:pPr>
    </w:p>
    <w:p>
      <w:pPr>
        <w:ind w:left="7920"/>
        <w:spacing w:after="0"/>
        <w:rPr>
          <w:sz w:val="20"/>
          <w:szCs w:val="20"/>
          <w:color w:val="auto"/>
        </w:rPr>
      </w:pPr>
      <w:r>
        <w:rPr>
          <w:rFonts w:ascii="Arial" w:cs="Arial" w:eastAsia="Arial" w:hAnsi="Arial"/>
          <w:sz w:val="12"/>
          <w:szCs w:val="12"/>
          <w:b w:val="1"/>
          <w:bCs w:val="1"/>
          <w:color w:val="auto"/>
        </w:rPr>
        <w:t>Years ended</w:t>
      </w:r>
    </w:p>
    <w:p>
      <w:pPr>
        <w:spacing w:after="0" w:line="15" w:lineRule="exact"/>
        <w:rPr>
          <w:sz w:val="20"/>
          <w:szCs w:val="20"/>
          <w:color w:val="auto"/>
        </w:rPr>
      </w:pPr>
    </w:p>
    <w:p>
      <w:pPr>
        <w:ind w:left="7880"/>
        <w:spacing w:after="0"/>
        <w:tabs>
          <w:tab w:leader="none" w:pos="9340" w:val="left"/>
        </w:tabs>
        <w:rPr>
          <w:sz w:val="20"/>
          <w:szCs w:val="20"/>
          <w:color w:val="auto"/>
        </w:rPr>
      </w:pPr>
      <w:r>
        <w:rPr>
          <w:rFonts w:ascii="Arial" w:cs="Arial" w:eastAsia="Arial" w:hAnsi="Arial"/>
          <w:sz w:val="12"/>
          <w:szCs w:val="12"/>
          <w:b w:val="1"/>
          <w:bCs w:val="1"/>
          <w:color w:val="auto"/>
        </w:rPr>
        <w:t>December 31,</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-1270</wp:posOffset>
            </wp:positionV>
            <wp:extent cx="80899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7780"/>
        <w:spacing w:after="0"/>
        <w:tabs>
          <w:tab w:leader="none" w:pos="8460" w:val="left"/>
          <w:tab w:leader="none" w:pos="926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422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Grant and collaboration revenue</w:t>
            </w:r>
          </w:p>
        </w:tc>
        <w:tc>
          <w:tcPr>
            <w:tcW w:w="29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  3,040</w:t>
            </w:r>
          </w:p>
        </w:tc>
        <w:tc>
          <w:tcPr>
            <w:tcW w:w="720" w:type="dxa"/>
            <w:vAlign w:val="bottom"/>
            <w:shd w:val="clear" w:color="auto" w:fill="CCEEFF"/>
          </w:tcPr>
          <w:p>
            <w:pPr>
              <w:jc w:val="right"/>
              <w:ind w:right="5"/>
              <w:spacing w:after="0" w:line="157" w:lineRule="exact"/>
              <w:rPr>
                <w:sz w:val="20"/>
                <w:szCs w:val="20"/>
                <w:color w:val="auto"/>
              </w:rPr>
            </w:pPr>
            <w:r>
              <w:rPr>
                <w:rFonts w:ascii="Arial" w:cs="Arial" w:eastAsia="Arial" w:hAnsi="Arial"/>
                <w:sz w:val="15"/>
                <w:szCs w:val="15"/>
                <w:color w:val="auto"/>
              </w:rPr>
              <w:t>$  6,011</w:t>
            </w:r>
          </w:p>
        </w:tc>
        <w:tc>
          <w:tcPr>
            <w:tcW w:w="820" w:type="dxa"/>
            <w:vAlign w:val="bottom"/>
            <w:shd w:val="clear" w:color="auto" w:fill="CCEEFF"/>
          </w:tcPr>
          <w:p>
            <w:pPr>
              <w:jc w:val="right"/>
              <w:ind w:right="125"/>
              <w:spacing w:after="0" w:line="157" w:lineRule="exact"/>
              <w:rPr>
                <w:sz w:val="20"/>
                <w:szCs w:val="20"/>
                <w:color w:val="auto"/>
              </w:rPr>
            </w:pPr>
            <w:r>
              <w:rPr>
                <w:rFonts w:ascii="Arial" w:cs="Arial" w:eastAsia="Arial" w:hAnsi="Arial"/>
                <w:sz w:val="15"/>
                <w:szCs w:val="15"/>
                <w:color w:val="auto"/>
              </w:rPr>
              <w:t>$  2,971</w:t>
            </w:r>
          </w:p>
        </w:tc>
        <w:tc>
          <w:tcPr>
            <w:tcW w:w="4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98%</w:t>
            </w:r>
          </w:p>
        </w:tc>
      </w:tr>
    </w:tbl>
    <w:p>
      <w:pPr>
        <w:spacing w:after="0" w:line="178"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During the year ended December 31, 2015, total revenue increased by $3.0 million, or 98%, as compared to the prior year, primarily due to revenue from our grants and collaborations associated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with increased research and development activities, including an increase of $1.9 million of revenue recognized during the year from the NIDA grant, $0.1 million for our collaboration with JDRF, $0.4 million of revenue recognized that was previously reported as contingently repayable grant funding, $0.3 million from other collaborations initiated in 2015 and $0.3 million from other agreements.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research and development expenses for the years ended December 31, 2014 and 2015 (in thousands, except percentages):</w:t>
      </w:r>
    </w:p>
    <w:p>
      <w:pPr>
        <w:spacing w:after="0" w:line="276" w:lineRule="exact"/>
        <w:rPr>
          <w:sz w:val="20"/>
          <w:szCs w:val="20"/>
          <w:color w:val="auto"/>
        </w:rPr>
      </w:pPr>
    </w:p>
    <w:p>
      <w:pPr>
        <w:ind w:left="7740"/>
        <w:spacing w:after="0"/>
        <w:rPr>
          <w:sz w:val="20"/>
          <w:szCs w:val="20"/>
          <w:color w:val="auto"/>
        </w:rPr>
      </w:pPr>
      <w:r>
        <w:rPr>
          <w:rFonts w:ascii="Arial" w:cs="Arial" w:eastAsia="Arial" w:hAnsi="Arial"/>
          <w:sz w:val="12"/>
          <w:szCs w:val="12"/>
          <w:b w:val="1"/>
          <w:bCs w:val="1"/>
          <w:color w:val="auto"/>
        </w:rPr>
        <w:t>Years ended</w:t>
      </w:r>
    </w:p>
    <w:p>
      <w:pPr>
        <w:spacing w:after="0" w:line="15" w:lineRule="exact"/>
        <w:rPr>
          <w:sz w:val="20"/>
          <w:szCs w:val="20"/>
          <w:color w:val="auto"/>
        </w:rPr>
      </w:pPr>
    </w:p>
    <w:p>
      <w:pPr>
        <w:ind w:left="7700"/>
        <w:spacing w:after="0"/>
        <w:tabs>
          <w:tab w:leader="none" w:pos="9280" w:val="left"/>
        </w:tabs>
        <w:rPr>
          <w:sz w:val="20"/>
          <w:szCs w:val="20"/>
          <w:color w:val="auto"/>
        </w:rPr>
      </w:pPr>
      <w:r>
        <w:rPr>
          <w:rFonts w:ascii="Arial" w:cs="Arial" w:eastAsia="Arial" w:hAnsi="Arial"/>
          <w:sz w:val="12"/>
          <w:szCs w:val="12"/>
          <w:b w:val="1"/>
          <w:bCs w:val="1"/>
          <w:color w:val="auto"/>
        </w:rPr>
        <w:t>December 31,</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-1270</wp:posOffset>
            </wp:positionV>
            <wp:extent cx="92646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26465" cy="7620"/>
                    </a:xfrm>
                    <a:prstGeom prst="rect">
                      <a:avLst/>
                    </a:prstGeom>
                    <a:noFill/>
                  </pic:spPr>
                </pic:pic>
              </a:graphicData>
            </a:graphic>
          </wp:anchor>
        </w:drawing>
      </w:r>
    </w:p>
    <w:p>
      <w:pPr>
        <w:ind w:left="7540"/>
        <w:spacing w:after="0"/>
        <w:tabs>
          <w:tab w:leader="none" w:pos="8320" w:val="left"/>
          <w:tab w:leader="none" w:pos="922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392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392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Research and development</w:t>
            </w:r>
          </w:p>
        </w:tc>
        <w:tc>
          <w:tcPr>
            <w:tcW w:w="30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  10,486</w:t>
            </w:r>
          </w:p>
        </w:tc>
        <w:tc>
          <w:tcPr>
            <w:tcW w:w="800" w:type="dxa"/>
            <w:vAlign w:val="bottom"/>
            <w:shd w:val="clear" w:color="auto" w:fill="CCEEFF"/>
          </w:tcPr>
          <w:p>
            <w:pPr>
              <w:jc w:val="right"/>
              <w:ind w:right="5"/>
              <w:spacing w:after="0" w:line="157" w:lineRule="exact"/>
              <w:rPr>
                <w:sz w:val="20"/>
                <w:szCs w:val="20"/>
                <w:color w:val="auto"/>
              </w:rPr>
            </w:pPr>
            <w:r>
              <w:rPr>
                <w:rFonts w:ascii="Arial" w:cs="Arial" w:eastAsia="Arial" w:hAnsi="Arial"/>
                <w:sz w:val="15"/>
                <w:szCs w:val="15"/>
                <w:color w:val="auto"/>
              </w:rPr>
              <w:t>$  22,980</w:t>
            </w:r>
          </w:p>
        </w:tc>
        <w:tc>
          <w:tcPr>
            <w:tcW w:w="880" w:type="dxa"/>
            <w:vAlign w:val="bottom"/>
            <w:shd w:val="clear" w:color="auto" w:fill="CCEEFF"/>
          </w:tcPr>
          <w:p>
            <w:pPr>
              <w:jc w:val="right"/>
              <w:ind w:right="85"/>
              <w:spacing w:after="0" w:line="157" w:lineRule="exact"/>
              <w:rPr>
                <w:sz w:val="20"/>
                <w:szCs w:val="20"/>
                <w:color w:val="auto"/>
              </w:rPr>
            </w:pPr>
            <w:r>
              <w:rPr>
                <w:rFonts w:ascii="Arial" w:cs="Arial" w:eastAsia="Arial" w:hAnsi="Arial"/>
                <w:sz w:val="15"/>
                <w:szCs w:val="15"/>
                <w:color w:val="auto"/>
              </w:rPr>
              <w:t>$  12,494</w:t>
            </w:r>
          </w:p>
        </w:tc>
        <w:tc>
          <w:tcPr>
            <w:tcW w:w="5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119%</w:t>
            </w:r>
          </w:p>
        </w:tc>
      </w:tr>
    </w:tbl>
    <w:p>
      <w:pPr>
        <w:spacing w:after="0" w:line="178"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During the year ended December 31, 2015, our total research and development expenses increased by $12.5 million from the prior year, reflecting the costs associated with the advancement of SEL-212 into clinical trials, including related headcount growth, as compared to the prior year during which research and development expenses primarily reflected costs associated with the general pre-clinical development of SEL-212.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general and administrative expenses for the years ended December 31, 2014 and 2015 (in thousands, except percentages):</w:t>
      </w:r>
    </w:p>
    <w:p>
      <w:pPr>
        <w:spacing w:after="0" w:line="276" w:lineRule="exact"/>
        <w:rPr>
          <w:sz w:val="20"/>
          <w:szCs w:val="20"/>
          <w:color w:val="auto"/>
        </w:rPr>
      </w:pPr>
    </w:p>
    <w:p>
      <w:pPr>
        <w:ind w:left="8040"/>
        <w:spacing w:after="0"/>
        <w:rPr>
          <w:sz w:val="20"/>
          <w:szCs w:val="20"/>
          <w:color w:val="auto"/>
        </w:rPr>
      </w:pPr>
      <w:r>
        <w:rPr>
          <w:rFonts w:ascii="Arial" w:cs="Arial" w:eastAsia="Arial" w:hAnsi="Arial"/>
          <w:sz w:val="12"/>
          <w:szCs w:val="12"/>
          <w:b w:val="1"/>
          <w:bCs w:val="1"/>
          <w:color w:val="auto"/>
        </w:rPr>
        <w:t>Years ended</w:t>
      </w:r>
    </w:p>
    <w:p>
      <w:pPr>
        <w:spacing w:after="0" w:line="15" w:lineRule="exact"/>
        <w:rPr>
          <w:sz w:val="20"/>
          <w:szCs w:val="20"/>
          <w:color w:val="auto"/>
        </w:rPr>
      </w:pPr>
    </w:p>
    <w:p>
      <w:pPr>
        <w:ind w:left="8000"/>
        <w:spacing w:after="0"/>
        <w:tabs>
          <w:tab w:leader="none" w:pos="9400" w:val="left"/>
        </w:tabs>
        <w:rPr>
          <w:sz w:val="20"/>
          <w:szCs w:val="20"/>
          <w:color w:val="auto"/>
        </w:rPr>
      </w:pPr>
      <w:r>
        <w:rPr>
          <w:rFonts w:ascii="Arial" w:cs="Arial" w:eastAsia="Arial" w:hAnsi="Arial"/>
          <w:sz w:val="12"/>
          <w:szCs w:val="12"/>
          <w:b w:val="1"/>
          <w:bCs w:val="1"/>
          <w:color w:val="auto"/>
        </w:rPr>
        <w:t>December 31,</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-1270</wp:posOffset>
            </wp:positionV>
            <wp:extent cx="80899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7900"/>
        <w:spacing w:after="0"/>
        <w:tabs>
          <w:tab w:leader="none" w:pos="8580" w:val="left"/>
          <w:tab w:leader="none" w:pos="932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12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General and administrative</w:t>
            </w:r>
          </w:p>
        </w:tc>
        <w:tc>
          <w:tcPr>
            <w:tcW w:w="31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  7,953</w:t>
            </w: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  8,335</w:t>
            </w:r>
          </w:p>
        </w:tc>
        <w:tc>
          <w:tcPr>
            <w:tcW w:w="760" w:type="dxa"/>
            <w:vAlign w:val="bottom"/>
            <w:shd w:val="clear" w:color="auto" w:fill="CCEEFF"/>
          </w:tcPr>
          <w:p>
            <w:pPr>
              <w:jc w:val="right"/>
              <w:ind w:right="165"/>
              <w:spacing w:after="0" w:line="157" w:lineRule="exact"/>
              <w:rPr>
                <w:sz w:val="20"/>
                <w:szCs w:val="20"/>
                <w:color w:val="auto"/>
              </w:rPr>
            </w:pPr>
            <w:r>
              <w:rPr>
                <w:rFonts w:ascii="Arial" w:cs="Arial" w:eastAsia="Arial" w:hAnsi="Arial"/>
                <w:sz w:val="15"/>
                <w:szCs w:val="15"/>
                <w:color w:val="auto"/>
              </w:rPr>
              <w:t>$  382</w:t>
            </w:r>
          </w:p>
        </w:tc>
        <w:tc>
          <w:tcPr>
            <w:tcW w:w="4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5%</w:t>
            </w:r>
          </w:p>
        </w:tc>
      </w:tr>
    </w:tbl>
    <w:p>
      <w:pPr>
        <w:spacing w:after="0" w:line="178"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During the year ended December 31, 2015, our general and administrative expenses increased by $0.4 million, or 5%, as compared to the prior year, primarily due to an increase in legal expense as a result of initiating and reviewing potential collaboration agreements and expanding intellectual property protections.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Change in investment income was de minimis during the year ended December 31, 2015 as compared to the prior year as cash and cash equivalent balances held in interest bearing accounts and the prevailing interest rates remained relatively consistent during both years.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gain</w:t>
      </w:r>
    </w:p>
    <w:p>
      <w:pPr>
        <w:spacing w:after="0" w:line="195" w:lineRule="exact"/>
        <w:rPr>
          <w:sz w:val="20"/>
          <w:szCs w:val="20"/>
          <w:color w:val="auto"/>
        </w:rPr>
      </w:pPr>
    </w:p>
    <w:p>
      <w:pPr>
        <w:ind w:right="480"/>
        <w:spacing w:after="0" w:line="319" w:lineRule="auto"/>
        <w:rPr>
          <w:sz w:val="20"/>
          <w:szCs w:val="20"/>
          <w:color w:val="auto"/>
        </w:rPr>
      </w:pPr>
      <w:r>
        <w:rPr>
          <w:rFonts w:ascii="Arial" w:cs="Arial" w:eastAsia="Arial" w:hAnsi="Arial"/>
          <w:sz w:val="14"/>
          <w:szCs w:val="14"/>
          <w:color w:val="auto"/>
        </w:rPr>
        <w:t>We recognized a foreign currency gain of $0.9 million during the year ended December 31, 2015 as compared to $3.0 million during the year ended December 31, 2014 reflecting the continued strength of the U.S. dollar to the ruble occurring between December 31, 2014 (beginning of the period) to December 31, 2015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Interest expense was $0.9 million during the year ended December 31, 2015, as compared to $0.6 million in the prior year. The increase was primarily due to outstanding borrowings throughout 2015 as well as incremental amounts borrowed during the year. As of January 2014, we had outstanding borrowings of $3.0 million under our credit facility. In July 2014, we drew the remaining $4.5 million of available borrowings under the credit facility. As of December 31, 2015, we expanded the credit facility to a total of $12.0 million and drew all of the remaining borrowings available under the credit facility. Additionally, the increase included the amortization of loan issuance costs and interest accrued on convertible notes issued in April 2015 that were converted into our series E preferred stock in August 2015.</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expense for the years ended December 31, 2014 and 2015 was de minimis.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right="440"/>
        <w:spacing w:after="0" w:line="362" w:lineRule="auto"/>
        <w:rPr>
          <w:sz w:val="20"/>
          <w:szCs w:val="20"/>
          <w:color w:val="auto"/>
        </w:rPr>
      </w:pPr>
      <w:r>
        <w:rPr>
          <w:rFonts w:ascii="Arial" w:cs="Arial" w:eastAsia="Arial" w:hAnsi="Arial"/>
          <w:sz w:val="13"/>
          <w:szCs w:val="13"/>
          <w:color w:val="auto"/>
        </w:rPr>
        <w:t>Since our inception and through March 31, 2016, we have raised an aggregate of $151.6 million to fund our operations, of which $118.5 million was from the sale of preferred stock, $7.8 million was from government grants and $14.3 million was from borrowings under our credit facility and $11.0 million was through our collaborations and license agreements.</w:t>
      </w:r>
    </w:p>
    <w:p>
      <w:pPr>
        <w:spacing w:after="0" w:line="105" w:lineRule="exact"/>
        <w:rPr>
          <w:sz w:val="20"/>
          <w:szCs w:val="20"/>
          <w:color w:val="auto"/>
        </w:rPr>
      </w:pPr>
    </w:p>
    <w:p>
      <w:pPr>
        <w:ind w:right="520"/>
        <w:spacing w:after="0" w:line="319" w:lineRule="auto"/>
        <w:rPr>
          <w:sz w:val="20"/>
          <w:szCs w:val="20"/>
          <w:color w:val="auto"/>
        </w:rPr>
      </w:pPr>
      <w:r>
        <w:rPr>
          <w:rFonts w:ascii="Arial" w:cs="Arial" w:eastAsia="Arial" w:hAnsi="Arial"/>
          <w:sz w:val="14"/>
          <w:szCs w:val="14"/>
          <w:color w:val="auto"/>
        </w:rPr>
        <w:t>As of March 31, 2016, our cash and cash equivalents were $17.1 million, of which $1.5 million was held by our Russian subsidiary designated solely for use in its operations and is consolidated for financial reporting purposes. Additionally, our Russian subsidiary maintained $2.0 million in short term deposits and $0.7 million in restricted cash.</w:t>
      </w:r>
    </w:p>
    <w:p>
      <w:pPr>
        <w:spacing w:after="0" w:line="128" w:lineRule="exact"/>
        <w:rPr>
          <w:sz w:val="20"/>
          <w:szCs w:val="20"/>
          <w:color w:val="auto"/>
        </w:rPr>
      </w:pPr>
    </w:p>
    <w:p>
      <w:pPr>
        <w:ind w:right="80"/>
        <w:spacing w:after="0" w:line="330" w:lineRule="auto"/>
        <w:rPr>
          <w:sz w:val="20"/>
          <w:szCs w:val="20"/>
          <w:color w:val="auto"/>
        </w:rPr>
      </w:pPr>
      <w:r>
        <w:rPr>
          <w:rFonts w:ascii="Arial" w:cs="Arial" w:eastAsia="Arial" w:hAnsi="Arial"/>
          <w:sz w:val="13"/>
          <w:szCs w:val="13"/>
          <w:color w:val="auto"/>
        </w:rPr>
        <w:t>In addition to our existing cash and cash equivalents, we receive research and development funding and are eligible to earn a significant amount of milestone payments under collaboration agreements. Our ability to earn these milestone payments, and the timing of achieving these milestones, is dependent upon the outcome of our research and development and regulatory activities, and is uncertain at this time. Currently, funding from research grants and payments under collaboration agreements represent our only source of committed external funds.</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To date, we have financed our operations primarily through private placements of our preferred stock and common stock, issuance of debt securities, funding received from grants and collaborative arrangements and through borrowings under our credit facility.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93" w:name="page94"/>
    <w:bookmarkEnd w:id="9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Indebtedness</w:t>
      </w:r>
    </w:p>
    <w:p>
      <w:pPr>
        <w:spacing w:after="0" w:line="19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August 2013, we entered into a credit facility with Oxford Finance, LLC, or Oxford, and Pacific Western Bank, as successor in interest to Square 1 Bank, as co-lenders. The credit facility initially provided funding for an aggregate principal amount of up to $7.5 million. The term loan A portion of the facility was funded on the facility's closing date in the aggregate principal amount of $3.0 million. In July 2014, we borrowed the remaining $4.5 million of the available capacity under a term loan B portion of the facility. On December 31, 2015, we expanded the credit facility to a total of $12.0 million, and drew down all available funding at the closing, with the full amount borrowed referred to as the term loan.</w:t>
      </w:r>
    </w:p>
    <w:p>
      <w:pPr>
        <w:spacing w:after="0" w:line="148" w:lineRule="exact"/>
        <w:rPr>
          <w:sz w:val="20"/>
          <w:szCs w:val="20"/>
          <w:color w:val="auto"/>
        </w:rPr>
      </w:pPr>
    </w:p>
    <w:p>
      <w:pPr>
        <w:ind w:right="140"/>
        <w:spacing w:after="0" w:line="313" w:lineRule="auto"/>
        <w:rPr>
          <w:sz w:val="20"/>
          <w:szCs w:val="20"/>
          <w:color w:val="auto"/>
        </w:rPr>
      </w:pPr>
      <w:r>
        <w:rPr>
          <w:rFonts w:ascii="Arial" w:cs="Arial" w:eastAsia="Arial" w:hAnsi="Arial"/>
          <w:sz w:val="13"/>
          <w:szCs w:val="13"/>
          <w:color w:val="auto"/>
        </w:rPr>
        <w:t>The credit facility is secured by substantially all of our personal property other than our intellectual property. The term loan under the credit facility bears interest at an annual rate equal to the greater of (i) 8.0% and (ii) the sum of (a) the 30-day U.S. LIBOR rate five business days prior to the applicable funding date plus (b) 7.68%. We are required to make interest payments through January 1, 2017, or the interest only period. Following the interest only period, all outstanding borrowings under the credit facility will begin amortizing with monthly payments of principal and interest being made over 30 consecutive monthly installments. All loans under the facility mature on July 1, 2019, and include a final payment fee equal to 6% of the total amount borrowed under the credit facility. This final payment has been recorded as a discount to the loan balance and is being amortized into interest expense over the life of the loan.</w:t>
      </w:r>
    </w:p>
    <w:p>
      <w:pPr>
        <w:spacing w:after="0" w:line="137"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The term loan is prepayable at our option in whole, but not in part, subject to a prepayment fee of 3% if the term loan is prepaid prior to the first anniversary of the December 31, 2015 borrowing date, the borrowing date, 2% if the terms loans are prepaid between the first and second anniversary of the borrowing date and 1% if the term loan is prepaid after the second anniversary of the borrowing date. We are also required to prepay the term loan upon the occurrence of customary events of default set forth in the credit agreement. In addition, the term loan contains a subjective acceleration clause whereby an event of default and immediate acceleration of the borrowings under credit agreement occurs in the event of a material impairment of the perfection or priority of the lenders' lien in the collateral or the value of such collateral, a material adverse change in our business operations or condition (financial or otherwise) or a material impairment of the prospect of repayment of any portion of the obligations.</w:t>
      </w:r>
    </w:p>
    <w:p>
      <w:pPr>
        <w:spacing w:after="0" w:line="154"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We were also required to issue the lenders warrants for the purchase of preferred stock equal to 4.0% of the term loan A and term loan B at each closing, and 2.5% for the additional borrowing on December 31, 2015. In connection with the term loan security and loan agreement, in August 2013, we issued a fully vested warrant to purchase 26,668 shares of our series D preferred stock, in July 2014, we issued an additional fully vested warrant to purchase 40,000 shares of our series D preferred stock, and in December 31, 2015, we issued an additional fully vested warrant to purchase 37,978 shares of our series E preferred stock. The exercise price for all warrants is $4.50 per share, and they have a ten year life from date of issuance. These are recorded at the fair market value and expensed through the income statement.</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credit facility includes affirmative and negative covenants applicable to us and our subsidiaries. The affirmative covenants include, among others, covenants requiring us to (and to cause our subsidiaries to) maintain our legal existence and governmental approvals, deliver certain financial reports, maintain inventory and insurance coverage, maintain unrestricted cash in a control account equal to or greater than the lesser of 105% of all outstanding amounts under the credit facility and 100% of the cash and cash equivalents of our company and our wholly owned subsidiary, Selecta Biosciences Security Corporation, and protect material intellectual property. The negative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4" w:name="page95"/>
    <w:bookmarkEnd w:id="9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include, among others, restrictions on us and our subsidiaries transferring collateral, incurring additional indebtedness, engaging in mergers or acquisitions, paying dividends or making other distributions, making investments, creating liens, selling assets and allowing a change in control, in each case subject to certain exceptions. Additionally, the credit facility restricts us from making certain payments or transfers to our Russian subsidiary, Selecta RUS, subject to certain exceptions. The credit facility does not include any other financial covenants. As of March 31, 2016, we were in compliance with the covenants under our credit facility.</w:t>
      </w:r>
    </w:p>
    <w:p>
      <w:pPr>
        <w:spacing w:after="0" w:line="162"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The credit facility also includes events of default, the occurrence and continuation of which provide the co-lenders with the right to exercise remedies against us and the collateral securing the loans under the credit facility, including our cash. These events of default include, among other things, our failure to pay any amounts due under the credit facility, a breach of covenants under the credit facility, our insolvency and the insolvency of our subsidiaries, the occurrence of a material adverse event, the occurrence of any default under certain other indebtedness, and a final judgment against us in an amount greater than $100,000. As of March 31, 2016, there had been no such events of default and the lenders had not exercised their rights with respect to an event of default under the credit facility.</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Plan of operations and future funding requirements</w:t>
      </w:r>
    </w:p>
    <w:p>
      <w:pPr>
        <w:spacing w:after="0" w:line="195" w:lineRule="exact"/>
        <w:rPr>
          <w:sz w:val="20"/>
          <w:szCs w:val="20"/>
          <w:color w:val="auto"/>
        </w:rPr>
      </w:pPr>
    </w:p>
    <w:p>
      <w:pPr>
        <w:ind w:left="7" w:right="160"/>
        <w:spacing w:after="0" w:line="281" w:lineRule="auto"/>
        <w:rPr>
          <w:sz w:val="20"/>
          <w:szCs w:val="20"/>
          <w:color w:val="auto"/>
        </w:rPr>
      </w:pPr>
      <w:r>
        <w:rPr>
          <w:rFonts w:ascii="Arial" w:cs="Arial" w:eastAsia="Arial" w:hAnsi="Arial"/>
          <w:sz w:val="14"/>
          <w:szCs w:val="14"/>
          <w:color w:val="auto"/>
        </w:rPr>
        <w:t>To date,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Upon the closing of this offering, we expect to incur additional costs associated with operating as a public company. We expect that we will need substantial additional funding in connection with our continuing operations. In their report on our consolidated financial statements for the years ended December 31, 2014 and 2015, our independent registered public accounting firm included an explanatory paragraph stating that we have recurring losses from operations since inception and negative cash flows from operating activities and will require additional capital to fund planned operations. These conditions raise substantial doubt about our ability to continue as a going concern.</w:t>
      </w:r>
    </w:p>
    <w:p>
      <w:pPr>
        <w:spacing w:after="0" w:line="153"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We expect that the net proceeds from this offering, together with our cash and cash equivalents as of March 31, 2016, and funding that we expect to receive under our existing collaborations will fund our operating expenses and capital expenditure requirements through at least December 31, 2017. We have based these estimates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179" w:lineRule="exact"/>
        <w:rPr>
          <w:sz w:val="20"/>
          <w:szCs w:val="20"/>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95" w:name="page96"/>
    <w:bookmarkEnd w:id="9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3" w:lineRule="exact"/>
        <w:rPr>
          <w:sz w:val="20"/>
          <w:szCs w:val="20"/>
          <w:color w:val="auto"/>
        </w:rPr>
      </w:pPr>
    </w:p>
    <w:p>
      <w:pPr>
        <w:ind w:left="467" w:hanging="467"/>
        <w:spacing w:after="0"/>
        <w:tabs>
          <w:tab w:leader="none" w:pos="467" w:val="left"/>
        </w:tabs>
        <w:numPr>
          <w:ilvl w:val="0"/>
          <w:numId w:val="62"/>
        </w:numPr>
        <w:rPr>
          <w:rFonts w:ascii="Arial" w:cs="Arial" w:eastAsia="Arial" w:hAnsi="Arial"/>
          <w:sz w:val="14"/>
          <w:szCs w:val="14"/>
          <w:color w:val="auto"/>
        </w:rPr>
      </w:pPr>
      <w:r>
        <w:rPr>
          <w:rFonts w:ascii="Arial" w:cs="Arial" w:eastAsia="Arial" w:hAnsi="Arial"/>
          <w:sz w:val="14"/>
          <w:szCs w:val="14"/>
          <w:color w:val="auto"/>
        </w:rPr>
        <w:t>our collaboration agreements remaining in effect, our ability to enter into additional collaboration agreements and our ability to achieve milestones under these agreements;</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number and development requirements of other product candidates that we pursue;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21" w:lineRule="exact"/>
        <w:rPr>
          <w:rFonts w:ascii="Arial" w:cs="Arial" w:eastAsia="Arial" w:hAnsi="Arial"/>
          <w:sz w:val="15"/>
          <w:szCs w:val="15"/>
          <w:color w:val="auto"/>
        </w:rPr>
      </w:pPr>
    </w:p>
    <w:p>
      <w:pPr>
        <w:ind w:left="467" w:right="500" w:hanging="467"/>
        <w:spacing w:after="0" w:line="282" w:lineRule="auto"/>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09"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extent to which we acquire or in-license other products and technologies.</w:t>
      </w:r>
    </w:p>
    <w:p>
      <w:pPr>
        <w:spacing w:after="0" w:line="198" w:lineRule="exact"/>
        <w:rPr>
          <w:sz w:val="20"/>
          <w:szCs w:val="20"/>
          <w:color w:val="auto"/>
        </w:rPr>
      </w:pPr>
    </w:p>
    <w:p>
      <w:pPr>
        <w:ind w:left="7" w:right="20"/>
        <w:spacing w:after="0" w:line="261"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upon completion of this offering, we will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Cash flows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is a summary of cash flows for the years ended December 31, 2014 and 2015 and the three months ending March 31, 2016 (in thousands):</w:t>
      </w:r>
    </w:p>
    <w:p>
      <w:pPr>
        <w:spacing w:after="0" w:line="195"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jc w:val="right"/>
              <w:ind w:right="48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right"/>
              <w:spacing w:after="0"/>
              <w:rPr>
                <w:sz w:val="20"/>
                <w:szCs w:val="20"/>
                <w:color w:val="auto"/>
              </w:rPr>
            </w:pPr>
            <w:r>
              <w:rPr>
                <w:rFonts w:ascii="Arial" w:cs="Arial" w:eastAsia="Arial" w:hAnsi="Arial"/>
                <w:sz w:val="12"/>
                <w:szCs w:val="12"/>
                <w:b w:val="1"/>
                <w:bCs w:val="1"/>
                <w:color w:val="auto"/>
              </w:rPr>
              <w:t>March 31,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5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w w:val="97"/>
              </w:rPr>
              <w:t>2016</w:t>
            </w:r>
          </w:p>
        </w:tc>
        <w:tc>
          <w:tcPr>
            <w:tcW w:w="140" w:type="dxa"/>
            <w:vAlign w:val="bottom"/>
          </w:tcPr>
          <w:p>
            <w:pPr>
              <w:spacing w:after="0"/>
              <w:rPr>
                <w:sz w:val="13"/>
                <w:szCs w:val="13"/>
                <w:color w:val="auto"/>
              </w:rPr>
            </w:pPr>
          </w:p>
        </w:tc>
      </w:tr>
      <w:tr>
        <w:trPr>
          <w:trHeight w:val="131"/>
        </w:trPr>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160"/>
              <w:spacing w:after="0" w:line="131" w:lineRule="exact"/>
              <w:rPr>
                <w:sz w:val="20"/>
                <w:szCs w:val="20"/>
                <w:color w:val="auto"/>
              </w:rPr>
            </w:pPr>
            <w:r>
              <w:rPr>
                <w:rFonts w:ascii="Arial" w:cs="Arial" w:eastAsia="Arial" w:hAnsi="Arial"/>
                <w:sz w:val="12"/>
                <w:szCs w:val="12"/>
                <w:b w:val="1"/>
                <w:bCs w:val="1"/>
                <w:color w:val="auto"/>
              </w:rPr>
              <w:t>(unaudited)</w:t>
            </w:r>
          </w:p>
        </w:tc>
        <w:tc>
          <w:tcPr>
            <w:tcW w:w="60" w:type="dxa"/>
            <w:vAlign w:val="bottom"/>
          </w:tcPr>
          <w:p>
            <w:pPr>
              <w:spacing w:after="0"/>
              <w:rPr>
                <w:sz w:val="11"/>
                <w:szCs w:val="11"/>
                <w:color w:val="auto"/>
              </w:rPr>
            </w:pPr>
          </w:p>
        </w:tc>
        <w:tc>
          <w:tcPr>
            <w:tcW w:w="760" w:type="dxa"/>
            <w:vAlign w:val="bottom"/>
            <w:gridSpan w:val="2"/>
          </w:tcPr>
          <w:p>
            <w:pPr>
              <w:jc w:val="right"/>
              <w:spacing w:after="0" w:line="13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Beginning of the period</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32,337</w:t>
            </w:r>
          </w:p>
        </w:tc>
        <w:tc>
          <w:tcPr>
            <w:tcW w:w="140" w:type="dxa"/>
            <w:vAlign w:val="bottom"/>
            <w:shd w:val="clear" w:color="auto" w:fill="CCEEFF"/>
          </w:tcPr>
          <w:p>
            <w:pPr>
              <w:spacing w:after="0"/>
              <w:rPr>
                <w:sz w:val="16"/>
                <w:szCs w:val="16"/>
                <w:color w:val="auto"/>
              </w:rPr>
            </w:pPr>
          </w:p>
        </w:tc>
      </w:tr>
      <w:tr>
        <w:trPr>
          <w:trHeight w:val="185"/>
        </w:trPr>
        <w:tc>
          <w:tcPr>
            <w:tcW w:w="5620" w:type="dxa"/>
            <w:vAlign w:val="bottom"/>
          </w:tcPr>
          <w:p>
            <w:pPr>
              <w:ind w:left="160"/>
              <w:spacing w:after="0"/>
              <w:rPr>
                <w:sz w:val="20"/>
                <w:szCs w:val="20"/>
                <w:color w:val="auto"/>
              </w:rPr>
            </w:pPr>
            <w:r>
              <w:rPr>
                <w:rFonts w:ascii="Arial" w:cs="Arial" w:eastAsia="Arial" w:hAnsi="Arial"/>
                <w:sz w:val="15"/>
                <w:szCs w:val="15"/>
                <w:color w:val="auto"/>
              </w:rPr>
              <w:t>Net cash used in operating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(12,686)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(22,463)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(4,898)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(10,166)</w:t>
            </w:r>
          </w:p>
        </w:tc>
      </w:tr>
      <w:tr>
        <w:trPr>
          <w:trHeight w:val="185"/>
        </w:trPr>
        <w:tc>
          <w:tcPr>
            <w:tcW w:w="56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cash used in investing activities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(4,679)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(123)</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(3,555)</w:t>
            </w:r>
          </w:p>
        </w:tc>
      </w:tr>
      <w:tr>
        <w:trPr>
          <w:trHeight w:val="185"/>
        </w:trPr>
        <w:tc>
          <w:tcPr>
            <w:tcW w:w="5620" w:type="dxa"/>
            <w:vAlign w:val="bottom"/>
          </w:tcPr>
          <w:p>
            <w:pPr>
              <w:ind w:left="160"/>
              <w:spacing w:after="0"/>
              <w:rPr>
                <w:sz w:val="20"/>
                <w:szCs w:val="20"/>
                <w:color w:val="auto"/>
              </w:rPr>
            </w:pPr>
            <w:r>
              <w:rPr>
                <w:rFonts w:ascii="Arial" w:cs="Arial" w:eastAsia="Arial" w:hAnsi="Arial"/>
                <w:sz w:val="15"/>
                <w:szCs w:val="15"/>
                <w:color w:val="auto"/>
              </w:rPr>
              <w:t>Net cash provided by (used in) financing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24,771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43,906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(207)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(1,677)</w:t>
            </w:r>
          </w:p>
        </w:tc>
      </w:tr>
      <w:tr>
        <w:trPr>
          <w:trHeight w:val="185"/>
        </w:trPr>
        <w:tc>
          <w:tcPr>
            <w:tcW w:w="56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Effect of exchange rate changes on cash</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(3,323)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(1,019)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(230)</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40" w:type="dxa"/>
            <w:vAlign w:val="bottom"/>
            <w:shd w:val="clear" w:color="auto" w:fill="CCEEFF"/>
          </w:tcPr>
          <w:p>
            <w:pPr>
              <w:spacing w:after="0"/>
              <w:rPr>
                <w:sz w:val="16"/>
                <w:szCs w:val="16"/>
                <w:color w:val="auto"/>
              </w:rPr>
            </w:pPr>
          </w:p>
        </w:tc>
      </w:tr>
      <w:tr>
        <w:trPr>
          <w:trHeight w:val="177"/>
        </w:trPr>
        <w:tc>
          <w:tcPr>
            <w:tcW w:w="5620" w:type="dxa"/>
            <w:vAlign w:val="bottom"/>
          </w:tcPr>
          <w:p>
            <w:pPr>
              <w:spacing w:after="0"/>
              <w:rPr>
                <w:sz w:val="20"/>
                <w:szCs w:val="20"/>
                <w:color w:val="auto"/>
              </w:rPr>
            </w:pPr>
            <w:r>
              <w:rPr>
                <w:rFonts w:ascii="Arial" w:cs="Arial" w:eastAsia="Arial" w:hAnsi="Arial"/>
                <w:sz w:val="15"/>
                <w:szCs w:val="15"/>
                <w:color w:val="auto"/>
              </w:rPr>
              <w:t>End of the period</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16,592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32,337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11,134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17,051</w:t>
            </w:r>
          </w:p>
        </w:tc>
        <w:tc>
          <w:tcPr>
            <w:tcW w:w="140" w:type="dxa"/>
            <w:vAlign w:val="bottom"/>
          </w:tcPr>
          <w:p>
            <w:pPr>
              <w:spacing w:after="0"/>
              <w:rPr>
                <w:sz w:val="15"/>
                <w:szCs w:val="15"/>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26630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96" w:name="page97"/>
    <w:bookmarkEnd w:id="9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Net cash used in operating activities</w:t>
      </w:r>
    </w:p>
    <w:p>
      <w:pPr>
        <w:spacing w:after="0" w:line="195" w:lineRule="exact"/>
        <w:rPr>
          <w:sz w:val="20"/>
          <w:szCs w:val="20"/>
          <w:color w:val="auto"/>
        </w:rPr>
      </w:pPr>
    </w:p>
    <w:p>
      <w:pPr>
        <w:jc w:val="both"/>
        <w:ind w:left="7"/>
        <w:spacing w:after="0" w:line="300" w:lineRule="auto"/>
        <w:rPr>
          <w:sz w:val="20"/>
          <w:szCs w:val="20"/>
          <w:color w:val="auto"/>
        </w:rPr>
      </w:pPr>
      <w:r>
        <w:rPr>
          <w:rFonts w:ascii="Arial" w:cs="Arial" w:eastAsia="Arial" w:hAnsi="Arial"/>
          <w:sz w:val="13"/>
          <w:szCs w:val="13"/>
          <w:color w:val="auto"/>
        </w:rPr>
        <w:t>Net cash used in operating activities was $4.9 million for the three months ended March 31, 2015 as compared to $10.2 million for the three months ended March 31, 2016. The increase in net cash used in operating activities of $5.3 million reflected an increase of (i) $1.7 million in net loss due to increased research and development expenses as we advanced from preclinical studies into the Phase 1 clinical trials, (ii) $2.0 million of restricted cash and other deposits, (iii) $1.0 million of receivables associated with pending receipts from the NIDA grant and</w:t>
      </w:r>
    </w:p>
    <w:p>
      <w:pPr>
        <w:ind w:left="7" w:right="200" w:hanging="7"/>
        <w:spacing w:after="0" w:line="275" w:lineRule="auto"/>
        <w:tabs>
          <w:tab w:leader="none" w:pos="263" w:val="left"/>
        </w:tabs>
        <w:numPr>
          <w:ilvl w:val="0"/>
          <w:numId w:val="63"/>
        </w:numPr>
        <w:rPr>
          <w:rFonts w:ascii="Arial" w:cs="Arial" w:eastAsia="Arial" w:hAnsi="Arial"/>
          <w:sz w:val="15"/>
          <w:szCs w:val="15"/>
          <w:color w:val="auto"/>
        </w:rPr>
      </w:pPr>
      <w:r>
        <w:rPr>
          <w:rFonts w:ascii="Arial" w:cs="Arial" w:eastAsia="Arial" w:hAnsi="Arial"/>
          <w:sz w:val="15"/>
          <w:szCs w:val="15"/>
          <w:color w:val="auto"/>
        </w:rPr>
        <w:t>$2.2 million from the net payments of accounts payable and other liabilities, offset by (a) $1.3 million of advance grant and collaboration receipts classified as deferred revenue and contingent repayable grant funding and (b) a $0.3 million decrease in other assets.</w:t>
      </w:r>
    </w:p>
    <w:p>
      <w:pPr>
        <w:spacing w:after="0" w:line="156" w:lineRule="exact"/>
        <w:rPr>
          <w:sz w:val="20"/>
          <w:szCs w:val="20"/>
          <w:color w:val="auto"/>
        </w:rPr>
      </w:pPr>
    </w:p>
    <w:p>
      <w:pPr>
        <w:ind w:left="7" w:right="340"/>
        <w:spacing w:after="0" w:line="270" w:lineRule="auto"/>
        <w:rPr>
          <w:sz w:val="20"/>
          <w:szCs w:val="20"/>
          <w:color w:val="auto"/>
        </w:rPr>
      </w:pPr>
      <w:r>
        <w:rPr>
          <w:rFonts w:ascii="Arial" w:cs="Arial" w:eastAsia="Arial" w:hAnsi="Arial"/>
          <w:sz w:val="15"/>
          <w:szCs w:val="15"/>
          <w:color w:val="auto"/>
        </w:rPr>
        <w:t>Net cash used in operating activities was $12.7 million for the year ended December 31, 2014, as compared to $22.5 million for the year ended December 31, 2015. The increase of $10.0 million in cash used in operating activities during the year ended December 31, 2015, was primarily related to the increased net loss position as a result of the incremental costs associated with the clinical trial.</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Net cash used in investing activities</w:t>
      </w:r>
    </w:p>
    <w:p>
      <w:pPr>
        <w:spacing w:after="0" w:line="195" w:lineRule="exact"/>
        <w:rPr>
          <w:sz w:val="20"/>
          <w:szCs w:val="20"/>
          <w:color w:val="auto"/>
        </w:rPr>
      </w:pPr>
    </w:p>
    <w:p>
      <w:pPr>
        <w:ind w:left="7" w:right="200"/>
        <w:spacing w:after="0" w:line="362" w:lineRule="auto"/>
        <w:rPr>
          <w:sz w:val="20"/>
          <w:szCs w:val="20"/>
          <w:color w:val="auto"/>
        </w:rPr>
      </w:pPr>
      <w:r>
        <w:rPr>
          <w:rFonts w:ascii="Arial" w:cs="Arial" w:eastAsia="Arial" w:hAnsi="Arial"/>
          <w:sz w:val="13"/>
          <w:szCs w:val="13"/>
          <w:color w:val="auto"/>
        </w:rPr>
        <w:t>Net cash used in investing activities was $0.1 million for the three months ended March 31, 2015 as compared to net cash used in investing activities of $3.6 million of the three months ended March 31, 2016. The increase in cash used for investing activities of $3.5 million was primarily caused by the purchase of $3.5 million of short term government obligations.</w:t>
      </w:r>
    </w:p>
    <w:p>
      <w:pPr>
        <w:spacing w:after="0" w:line="105" w:lineRule="exact"/>
        <w:rPr>
          <w:sz w:val="20"/>
          <w:szCs w:val="20"/>
          <w:color w:val="auto"/>
        </w:rPr>
      </w:pPr>
    </w:p>
    <w:p>
      <w:pPr>
        <w:ind w:left="7" w:right="240"/>
        <w:spacing w:after="0" w:line="270" w:lineRule="auto"/>
        <w:rPr>
          <w:sz w:val="20"/>
          <w:szCs w:val="20"/>
          <w:color w:val="auto"/>
        </w:rPr>
      </w:pPr>
      <w:r>
        <w:rPr>
          <w:rFonts w:ascii="Arial" w:cs="Arial" w:eastAsia="Arial" w:hAnsi="Arial"/>
          <w:sz w:val="15"/>
          <w:szCs w:val="15"/>
          <w:color w:val="auto"/>
        </w:rPr>
        <w:t>Net cash used in investing activities was $0.2 million for the year ended December 31, 2014, as compared to net cash used in investing activities of $4.7 million for the year ended December 31, 2015. The increase in cash used for investing activities was caused by the purchase of $3.5 million of short-term investments and an additional $1.2 million of purchased equipment.</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Net cash provided by (used in) financing activities</w:t>
      </w:r>
    </w:p>
    <w:p>
      <w:pPr>
        <w:spacing w:after="0" w:line="195" w:lineRule="exact"/>
        <w:rPr>
          <w:sz w:val="20"/>
          <w:szCs w:val="20"/>
          <w:color w:val="auto"/>
        </w:rPr>
      </w:pPr>
    </w:p>
    <w:p>
      <w:pPr>
        <w:ind w:left="7" w:right="60"/>
        <w:spacing w:after="0" w:line="282" w:lineRule="auto"/>
        <w:rPr>
          <w:sz w:val="20"/>
          <w:szCs w:val="20"/>
          <w:color w:val="auto"/>
        </w:rPr>
      </w:pPr>
      <w:r>
        <w:rPr>
          <w:rFonts w:ascii="Arial" w:cs="Arial" w:eastAsia="Arial" w:hAnsi="Arial"/>
          <w:sz w:val="15"/>
          <w:szCs w:val="15"/>
          <w:color w:val="auto"/>
        </w:rPr>
        <w:t>Net cash used in financing activities was $0.2 million for the three months ended March 31, 2015 as compared to $1.7 million for the three months ended March 31, 2016. The increase of $1.5 million used in financing activities is caused by the increase in deferred costs related to this initial public offering.</w:t>
      </w:r>
    </w:p>
    <w:p>
      <w:pPr>
        <w:spacing w:after="0" w:line="151" w:lineRule="exact"/>
        <w:rPr>
          <w:sz w:val="20"/>
          <w:szCs w:val="20"/>
          <w:color w:val="auto"/>
        </w:rPr>
      </w:pPr>
    </w:p>
    <w:p>
      <w:pPr>
        <w:ind w:left="7" w:right="20"/>
        <w:spacing w:after="0" w:line="297" w:lineRule="auto"/>
        <w:rPr>
          <w:sz w:val="20"/>
          <w:szCs w:val="20"/>
          <w:color w:val="auto"/>
        </w:rPr>
      </w:pPr>
      <w:r>
        <w:rPr>
          <w:rFonts w:ascii="Arial" w:cs="Arial" w:eastAsia="Arial" w:hAnsi="Arial"/>
          <w:sz w:val="14"/>
          <w:szCs w:val="14"/>
          <w:color w:val="auto"/>
        </w:rPr>
        <w:t>Net cash provided by financing activities was $24.8 million for the year ended December 31, 2014, as compared to net cash provided by financing activities of $43.9 million for the year ended December 31, 2015. The increase of $19.1 million reflected the difference in proceeds from the issuance of the series E preferred stock and the convertible notes (that converted into series E preferred stock) in 2015 versus the proceeds from the issuance of series D preferred stock and our series SRN preferred stock issued in 2014.</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Effect of exchange rates on cash</w:t>
      </w:r>
    </w:p>
    <w:p>
      <w:pPr>
        <w:spacing w:after="0" w:line="195" w:lineRule="exact"/>
        <w:rPr>
          <w:sz w:val="20"/>
          <w:szCs w:val="20"/>
          <w:color w:val="auto"/>
        </w:rPr>
      </w:pPr>
    </w:p>
    <w:p>
      <w:pPr>
        <w:jc w:val="both"/>
        <w:ind w:left="7" w:right="100"/>
        <w:spacing w:after="0" w:line="297" w:lineRule="auto"/>
        <w:rPr>
          <w:sz w:val="20"/>
          <w:szCs w:val="20"/>
          <w:color w:val="auto"/>
        </w:rPr>
      </w:pPr>
      <w:r>
        <w:rPr>
          <w:rFonts w:ascii="Arial" w:cs="Arial" w:eastAsia="Arial" w:hAnsi="Arial"/>
          <w:sz w:val="14"/>
          <w:szCs w:val="14"/>
          <w:color w:val="auto"/>
        </w:rPr>
        <w:t>The functional currency of our Russian subsidiary is the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short term investments and restricted cash at the end of the period is translated using the exchange rate as of the ending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07"/>
          </w:cols>
          <w:pgMar w:left="233" w:top="132" w:right="35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contingent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summarizes our significant contractual obligations as of March 31, 2016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b w:val="1"/>
                <w:bCs w:val="1"/>
                <w:color w:val="auto"/>
              </w:rPr>
              <w:t>Less than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49"/>
        </w:trPr>
        <w:tc>
          <w:tcPr>
            <w:tcW w:w="4900" w:type="dxa"/>
            <w:vAlign w:val="bottom"/>
            <w:gridSpan w:val="3"/>
          </w:tcPr>
          <w:p>
            <w:pPr>
              <w:spacing w:after="0"/>
              <w:rPr>
                <w:sz w:val="20"/>
                <w:szCs w:val="20"/>
                <w:color w:val="auto"/>
              </w:rPr>
            </w:pPr>
            <w:r>
              <w:rPr>
                <w:rFonts w:ascii="Arial" w:cs="Arial" w:eastAsia="Arial" w:hAnsi="Arial"/>
                <w:sz w:val="12"/>
                <w:szCs w:val="12"/>
                <w:b w:val="1"/>
                <w:bCs w:val="1"/>
                <w:color w:val="auto"/>
              </w:rPr>
              <w:t>Contractual Obligations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27"/>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2"/>
                <w:szCs w:val="12"/>
                <w:b w:val="1"/>
                <w:bCs w:val="1"/>
                <w:color w:val="auto"/>
              </w:rPr>
              <w:t>1 year</w:t>
            </w:r>
          </w:p>
        </w:tc>
        <w:tc>
          <w:tcPr>
            <w:tcW w:w="140" w:type="dxa"/>
            <w:vAlign w:val="bottom"/>
          </w:tcPr>
          <w:p>
            <w:pPr>
              <w:spacing w:after="0"/>
              <w:rPr>
                <w:sz w:val="12"/>
                <w:szCs w:val="12"/>
                <w:color w:val="auto"/>
              </w:rPr>
            </w:pPr>
          </w:p>
        </w:tc>
        <w:tc>
          <w:tcPr>
            <w:tcW w:w="800" w:type="dxa"/>
            <w:vAlign w:val="bottom"/>
            <w:gridSpan w:val="2"/>
          </w:tcPr>
          <w:p>
            <w:pPr>
              <w:jc w:val="right"/>
              <w:ind w:right="5"/>
              <w:spacing w:after="0"/>
              <w:rPr>
                <w:sz w:val="20"/>
                <w:szCs w:val="20"/>
                <w:color w:val="auto"/>
              </w:rPr>
            </w:pPr>
            <w:r>
              <w:rPr>
                <w:rFonts w:ascii="Arial" w:cs="Arial" w:eastAsia="Arial" w:hAnsi="Arial"/>
                <w:sz w:val="12"/>
                <w:szCs w:val="12"/>
                <w:b w:val="1"/>
                <w:bCs w:val="1"/>
                <w:color w:val="auto"/>
              </w:rPr>
              <w:t>1 to 3 years</w:t>
            </w:r>
          </w:p>
        </w:tc>
        <w:tc>
          <w:tcPr>
            <w:tcW w:w="140" w:type="dxa"/>
            <w:vAlign w:val="bottom"/>
          </w:tcPr>
          <w:p>
            <w:pPr>
              <w:spacing w:after="0"/>
              <w:rPr>
                <w:sz w:val="12"/>
                <w:szCs w:val="12"/>
                <w:color w:val="auto"/>
              </w:rPr>
            </w:pPr>
          </w:p>
        </w:tc>
        <w:tc>
          <w:tcPr>
            <w:tcW w:w="780" w:type="dxa"/>
            <w:vAlign w:val="bottom"/>
            <w:gridSpan w:val="2"/>
          </w:tcPr>
          <w:p>
            <w:pPr>
              <w:jc w:val="right"/>
              <w:ind w:right="5"/>
              <w:spacing w:after="0"/>
              <w:rPr>
                <w:sz w:val="20"/>
                <w:szCs w:val="20"/>
                <w:color w:val="auto"/>
              </w:rPr>
            </w:pPr>
            <w:r>
              <w:rPr>
                <w:rFonts w:ascii="Arial" w:cs="Arial" w:eastAsia="Arial" w:hAnsi="Arial"/>
                <w:sz w:val="12"/>
                <w:szCs w:val="12"/>
                <w:b w:val="1"/>
                <w:bCs w:val="1"/>
                <w:color w:val="auto"/>
              </w:rPr>
              <w:t>3 to 5 years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leases(1)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w:t>
            </w:r>
          </w:p>
        </w:tc>
        <w:tc>
          <w:tcPr>
            <w:tcW w:w="360" w:type="dxa"/>
            <w:vAlign w:val="bottom"/>
            <w:gridSpan w:val="2"/>
            <w:shd w:val="clear" w:color="auto" w:fill="CCEEFF"/>
          </w:tcPr>
          <w:p>
            <w:pPr>
              <w:jc w:val="right"/>
              <w:ind w:right="71"/>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gridSpan w:val="2"/>
          </w:tcPr>
          <w:p>
            <w:pPr>
              <w:spacing w:after="0"/>
              <w:rPr>
                <w:sz w:val="20"/>
                <w:szCs w:val="20"/>
                <w:color w:val="auto"/>
              </w:rPr>
            </w:pPr>
            <w:r>
              <w:rPr>
                <w:rFonts w:ascii="Arial" w:cs="Arial" w:eastAsia="Arial" w:hAnsi="Arial"/>
                <w:sz w:val="15"/>
                <w:szCs w:val="15"/>
                <w:color w:val="auto"/>
              </w:rPr>
              <w:t>Research and development contract obligations(2)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 term debt(3)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14,745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10,637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4900" w:type="dxa"/>
            <w:vAlign w:val="bottom"/>
            <w:gridSpan w:val="3"/>
          </w:tcPr>
          <w:p>
            <w:pPr>
              <w:spacing w:after="0"/>
              <w:rPr>
                <w:sz w:val="20"/>
                <w:szCs w:val="20"/>
                <w:color w:val="auto"/>
              </w:rPr>
            </w:pPr>
            <w:r>
              <w:rPr>
                <w:rFonts w:ascii="Arial" w:cs="Arial" w:eastAsia="Arial" w:hAnsi="Arial"/>
                <w:sz w:val="15"/>
                <w:szCs w:val="15"/>
                <w:color w:val="auto"/>
              </w:rPr>
              <w:t>Total obligations</w:t>
            </w: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16,173</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3,307</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10,757</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2,109</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color w:val="auto"/>
                <w:w w:val="79"/>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right="120" w:hanging="463"/>
        <w:spacing w:after="0" w:line="238" w:lineRule="auto"/>
        <w:tabs>
          <w:tab w:leader="none" w:pos="1600" w:val="left"/>
        </w:tabs>
        <w:numPr>
          <w:ilvl w:val="0"/>
          <w:numId w:val="64"/>
        </w:numPr>
        <w:rPr>
          <w:rFonts w:ascii="Arial" w:cs="Arial" w:eastAsia="Arial" w:hAnsi="Arial"/>
          <w:sz w:val="12"/>
          <w:szCs w:val="12"/>
          <w:color w:val="auto"/>
        </w:rPr>
      </w:pPr>
      <w:r>
        <w:rPr>
          <w:rFonts w:ascii="Arial" w:cs="Arial" w:eastAsia="Arial" w:hAnsi="Arial"/>
          <w:sz w:val="12"/>
          <w:szCs w:val="12"/>
          <w:color w:val="auto"/>
        </w:rPr>
        <w:t>Represents future minimum lease payments under non-cancellable operating leases in effect as of March 31, 2016, including the remaining lease payments for our current facilities in Watertown, Massachusetts. The minimum lease payments above do not include common area maintenance charges, real estate taxes or any sublease payments we receive.</w:t>
      </w:r>
    </w:p>
    <w:p>
      <w:pPr>
        <w:spacing w:after="0" w:line="96" w:lineRule="exact"/>
        <w:rPr>
          <w:rFonts w:ascii="Arial" w:cs="Arial" w:eastAsia="Arial" w:hAnsi="Arial"/>
          <w:sz w:val="12"/>
          <w:szCs w:val="12"/>
          <w:color w:val="auto"/>
        </w:rPr>
      </w:pPr>
    </w:p>
    <w:p>
      <w:pPr>
        <w:ind w:left="1600" w:right="340" w:hanging="463"/>
        <w:spacing w:after="0" w:line="233" w:lineRule="auto"/>
        <w:tabs>
          <w:tab w:leader="none" w:pos="1600" w:val="left"/>
        </w:tabs>
        <w:numPr>
          <w:ilvl w:val="0"/>
          <w:numId w:val="64"/>
        </w:numPr>
        <w:rPr>
          <w:rFonts w:ascii="Arial" w:cs="Arial" w:eastAsia="Arial" w:hAnsi="Arial"/>
          <w:sz w:val="12"/>
          <w:szCs w:val="12"/>
          <w:color w:val="auto"/>
        </w:rPr>
      </w:pPr>
      <w:r>
        <w:rPr>
          <w:rFonts w:ascii="Arial" w:cs="Arial" w:eastAsia="Arial" w:hAnsi="Arial"/>
          <w:sz w:val="12"/>
          <w:szCs w:val="12"/>
          <w:color w:val="auto"/>
        </w:rPr>
        <w:t>Represents minimum annual license fees payable to universities or partners under our license agreements. Under our license agreement with the Massachusetts Institute of Technology, or MIT, milestone payments are due upon the occurrence of certain events and royalty payments commence upon our commercialization of a product. For the purposes of presenting our contractual obligations under the MIT agreement, we have assumed license payments are fully offset by royalty payments in 2020.</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64"/>
        </w:numPr>
        <w:rPr>
          <w:rFonts w:ascii="Arial" w:cs="Arial" w:eastAsia="Arial" w:hAnsi="Arial"/>
          <w:sz w:val="12"/>
          <w:szCs w:val="12"/>
          <w:color w:val="auto"/>
        </w:rPr>
      </w:pPr>
      <w:r>
        <w:rPr>
          <w:rFonts w:ascii="Arial" w:cs="Arial" w:eastAsia="Arial" w:hAnsi="Arial"/>
          <w:sz w:val="12"/>
          <w:szCs w:val="12"/>
          <w:color w:val="auto"/>
        </w:rPr>
        <w:t>Represents payments of principal and interest under our credit facility assuming $12.0 million of borrowings and no prepayments.</w:t>
      </w:r>
    </w:p>
    <w:p>
      <w:pPr>
        <w:spacing w:after="0" w:line="177"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The contractual obligations table does not include any potential contingent payments upon the achievement by us of specified clinical, regulatory and commercial events, as applicable, or patent prosecution or royalty payments we may be required to make under license agreements we have entered into with various universities or partners pursuant to which we have in-licensed certain intellectual property, including our license agreement with MIT. We have excluded these potential payments in the contractual obligations table because the timing and likelihood of these contingent payments are not known. See "Business—Licenses and collaborations" for additional information about these license agreements, including with respect to potential payments thereunder.</w:t>
      </w:r>
    </w:p>
    <w:p>
      <w:pPr>
        <w:spacing w:after="0" w:line="167" w:lineRule="exact"/>
        <w:rPr>
          <w:sz w:val="20"/>
          <w:szCs w:val="20"/>
          <w:color w:val="auto"/>
        </w:rPr>
      </w:pPr>
    </w:p>
    <w:p>
      <w:pPr>
        <w:jc w:val="both"/>
        <w:ind w:right="300"/>
        <w:spacing w:after="0" w:line="290" w:lineRule="auto"/>
        <w:rPr>
          <w:sz w:val="20"/>
          <w:szCs w:val="20"/>
          <w:color w:val="auto"/>
        </w:rPr>
      </w:pPr>
      <w:r>
        <w:rPr>
          <w:rFonts w:ascii="Arial" w:cs="Arial" w:eastAsia="Arial" w:hAnsi="Arial"/>
          <w:sz w:val="14"/>
          <w:szCs w:val="14"/>
          <w:color w:val="auto"/>
        </w:rPr>
        <w:t>We enter into agreements in the normal course of business with manufacturers and CROs for clinical trials, preclinical research studies and testing, manufacturing and other services and products for operating purposes. As of March 31, 2016, we had approximately $7.0 million of purchase orders under these agreements. However, these agreements generally provide for termination upon notice. As a result, we have excluded payments under these agreements because (i) the timing of these payments is uncertain and contingent upon completion of future activities and (ii) we believe that our non-cancelable obligations under these agreements are not material.</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USE OF ESTIMATES</w:t>
      </w:r>
    </w:p>
    <w:p>
      <w:pPr>
        <w:spacing w:after="0" w:line="195"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460"/>
        <w:spacing w:after="0" w:line="270" w:lineRule="auto"/>
        <w:rPr>
          <w:sz w:val="20"/>
          <w:szCs w:val="20"/>
          <w:color w:val="auto"/>
        </w:rPr>
      </w:pPr>
      <w:r>
        <w:rPr>
          <w:rFonts w:ascii="Arial" w:cs="Arial" w:eastAsia="Arial" w:hAnsi="Arial"/>
          <w:sz w:val="15"/>
          <w:szCs w:val="15"/>
          <w:color w:val="auto"/>
        </w:rPr>
        <w:t>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59"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While our significant accounting policies are more fully described in the notes to our consolidated financial statements included elsewhere in this prospectus,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Collaborative research and development and multiple-deliverable arrangements</w:t>
      </w:r>
    </w:p>
    <w:p>
      <w:pPr>
        <w:spacing w:after="0" w:line="195"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We enter into collaborative arrangements for the development and commercialization of product candidates utilizing our SVP technology. The terms of these agreements have typically included multiple deliverables by us (for example, license rights, research and development services and manufacturing of clinical materials) in exchange for consideration to us of some combination of non-refundable upfront payments, research and development funding, payments based upon achievement of clinical development or other milestones, and royalties in the form of a designated percentage of product sales or profits.</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Revenue is recognized when there is persuasive evidence that an arrangement exists, delivery has occurred, the price is fixed or determinable and collection is reasonably assured. When one or more of the revenue recognition criteria are not met, we defer the recognition of revenue until such time as all such criteria are met. Multiple-deliverable arrangements, such as development agreements, are analyzed to determine whether the deliverables can be separated or whether they must be accounted for as a single unit of accounting. When deliverables are separable, consideration received is allocated to the separate units of accounting based on the relative selling price method and the appropriate revenue recognition principles are applied to each unit.</w:t>
      </w:r>
    </w:p>
    <w:p>
      <w:pPr>
        <w:spacing w:after="0" w:line="167"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We determine the estimated selling price for deliverables within each agreement using vendor-specific objective evidence, or VSOE, of selling price, if available, third-party evidence, or TPE, of selling price if VSOE is not available, or best estimate of selling price if neither VSOE nor TPE is available. Determining the best estimate of selling price for a deliverable requires significant judgment. We have used our best estimate of selling price to estimate the selling price for licenses related to our proprietary technology, since we do not have VSOE or TPE of selling price for these deliverables. In those circumstances, we consider market conditions as well as entity-specific factors, including those factors contemplated in negotiating the agreements, estimated development costs, probability of success and the time needed to commercialize a product candidate pursuant to the license. In validating the best estimate of selling price, we evaluate whether changes in the key assumptions used to determine the best estimate of selling price will have a significant effect on the allocation of consideration between multiple deliverables.</w:t>
      </w:r>
    </w:p>
    <w:p>
      <w:pPr>
        <w:spacing w:after="0" w:line="169"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color w:val="auto"/>
        </w:rPr>
        <w:t>We may receive upfront payments when licensing our intellectual property in conjunction with a research and development agreement. When management believes the license to our intellectual property does not have stand-alone value from the other deliverables to be provided in the arrangement, we generally recognize revenue attributed to the license over the contractual or estimated performance period. When management believes the license to our intellectual property has stand-alone value, we generally recognize revenue attributed to the license upon delivery. The periods over which revenue should be recognized are subject to estimates by management and may change over the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9" w:name="page100"/>
    <w:bookmarkEnd w:id="9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340"/>
        <w:spacing w:after="0" w:line="282" w:lineRule="auto"/>
        <w:rPr>
          <w:sz w:val="20"/>
          <w:szCs w:val="20"/>
          <w:color w:val="auto"/>
        </w:rPr>
      </w:pPr>
      <w:r>
        <w:rPr>
          <w:rFonts w:ascii="Arial" w:cs="Arial" w:eastAsia="Arial" w:hAnsi="Arial"/>
          <w:sz w:val="15"/>
          <w:szCs w:val="15"/>
          <w:color w:val="auto"/>
        </w:rPr>
        <w:t>of the research and development agreement. Such a change could have a material impact on the amount of revenue we record in future periods. We have not experienced any significant adjustments to our estimates to date.</w:t>
      </w:r>
    </w:p>
    <w:p>
      <w:pPr>
        <w:spacing w:after="0" w:line="151" w:lineRule="exact"/>
        <w:rPr>
          <w:sz w:val="20"/>
          <w:szCs w:val="20"/>
          <w:color w:val="auto"/>
        </w:rPr>
      </w:pPr>
    </w:p>
    <w:p>
      <w:pPr>
        <w:jc w:val="both"/>
        <w:ind w:left="7" w:right="20"/>
        <w:spacing w:after="0" w:line="297" w:lineRule="auto"/>
        <w:rPr>
          <w:sz w:val="20"/>
          <w:szCs w:val="20"/>
          <w:color w:val="auto"/>
        </w:rPr>
      </w:pPr>
      <w:r>
        <w:rPr>
          <w:rFonts w:ascii="Arial" w:cs="Arial" w:eastAsia="Arial" w:hAnsi="Arial"/>
          <w:sz w:val="14"/>
          <w:szCs w:val="14"/>
          <w:color w:val="auto"/>
        </w:rPr>
        <w:t>Payments or reimbursements resulting from our research and development efforts are recognized and presented on a gross basis as the services are performed. The rationale for presenting on a gross basis is that we are the principal for such efforts, and as long as there is persuasive evidence of an arrangement, the fee is fixed or determinable and collection of the related amount is reasonably assured. Grant agreements generally provide for the reimbursement of direct costs, including salaries, benefits and supplies, as well as indirect costs.</w:t>
      </w:r>
    </w:p>
    <w:p>
      <w:pPr>
        <w:spacing w:after="0" w:line="144" w:lineRule="exact"/>
        <w:rPr>
          <w:sz w:val="20"/>
          <w:szCs w:val="20"/>
          <w:color w:val="auto"/>
        </w:rPr>
      </w:pPr>
    </w:p>
    <w:p>
      <w:pPr>
        <w:ind w:left="7" w:right="180"/>
        <w:spacing w:after="0" w:line="266" w:lineRule="auto"/>
        <w:rPr>
          <w:sz w:val="20"/>
          <w:szCs w:val="20"/>
          <w:color w:val="auto"/>
        </w:rPr>
      </w:pPr>
      <w:r>
        <w:rPr>
          <w:rFonts w:ascii="Arial" w:cs="Arial" w:eastAsia="Arial" w:hAnsi="Arial"/>
          <w:sz w:val="15"/>
          <w:szCs w:val="15"/>
          <w:color w:val="auto"/>
        </w:rPr>
        <w:t>At the inception of each agreement that includes milestones payments, we evaluate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Deferred revenue</w:t>
      </w:r>
    </w:p>
    <w:p>
      <w:pPr>
        <w:spacing w:after="0" w:line="195" w:lineRule="exact"/>
        <w:rPr>
          <w:sz w:val="20"/>
          <w:szCs w:val="20"/>
          <w:color w:val="auto"/>
        </w:rPr>
      </w:pPr>
    </w:p>
    <w:p>
      <w:pPr>
        <w:ind w:left="7" w:right="160"/>
        <w:spacing w:after="0" w:line="282" w:lineRule="auto"/>
        <w:rPr>
          <w:sz w:val="20"/>
          <w:szCs w:val="20"/>
          <w:color w:val="auto"/>
        </w:rPr>
      </w:pPr>
      <w:r>
        <w:rPr>
          <w:rFonts w:ascii="Arial" w:cs="Arial" w:eastAsia="Arial" w:hAnsi="Arial"/>
          <w:sz w:val="15"/>
          <w:szCs w:val="15"/>
          <w:color w:val="auto"/>
        </w:rPr>
        <w:t>Amounts received prior to satisfying the above revenue recognition criteria are recorded as deferred revenue in the accompanying consolidated balance sheets. Amounts not expected to be recognized within one year following the balance sheet date are classified as non-current deferred revenue.</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Accrued expenses</w:t>
      </w:r>
    </w:p>
    <w:p>
      <w:pPr>
        <w:spacing w:after="0" w:line="195"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color w:val="auto"/>
        </w:rPr>
        <w:t>As part of the process of preparing our consolidated financial statements, we are required to estimate our accrued research and development expenses. This process involves reviewing contracts and purchase orders, reviewing the terms of our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Examples of estimated accrued research and development expenses include:</w:t>
      </w:r>
    </w:p>
    <w:p>
      <w:pPr>
        <w:spacing w:after="0" w:line="161" w:lineRule="exact"/>
        <w:rPr>
          <w:sz w:val="20"/>
          <w:szCs w:val="20"/>
          <w:color w:val="auto"/>
        </w:rPr>
      </w:pPr>
    </w:p>
    <w:p>
      <w:pPr>
        <w:ind w:left="467" w:hanging="467"/>
        <w:spacing w:after="0"/>
        <w:tabs>
          <w:tab w:leader="none" w:pos="467" w:val="left"/>
        </w:tabs>
        <w:numPr>
          <w:ilvl w:val="0"/>
          <w:numId w:val="65"/>
        </w:numPr>
        <w:rPr>
          <w:rFonts w:ascii="Arial" w:cs="Arial" w:eastAsia="Arial" w:hAnsi="Arial"/>
          <w:sz w:val="15"/>
          <w:szCs w:val="15"/>
          <w:color w:val="auto"/>
        </w:rPr>
      </w:pPr>
      <w:r>
        <w:rPr>
          <w:rFonts w:ascii="Arial" w:cs="Arial" w:eastAsia="Arial" w:hAnsi="Arial"/>
          <w:sz w:val="15"/>
          <w:szCs w:val="15"/>
          <w:color w:val="auto"/>
        </w:rPr>
        <w:t>fees payable to CROs and other third parties;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5"/>
        </w:numPr>
        <w:rPr>
          <w:rFonts w:ascii="Arial" w:cs="Arial" w:eastAsia="Arial" w:hAnsi="Arial"/>
          <w:sz w:val="15"/>
          <w:szCs w:val="15"/>
          <w:color w:val="auto"/>
        </w:rPr>
      </w:pPr>
      <w:r>
        <w:rPr>
          <w:rFonts w:ascii="Arial" w:cs="Arial" w:eastAsia="Arial" w:hAnsi="Arial"/>
          <w:sz w:val="15"/>
          <w:szCs w:val="15"/>
          <w:color w:val="auto"/>
        </w:rPr>
        <w:t>fees payable to vendors in connection with preclinical or clinical development activities;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5"/>
        </w:numPr>
        <w:rPr>
          <w:rFonts w:ascii="Arial" w:cs="Arial" w:eastAsia="Arial" w:hAnsi="Arial"/>
          <w:sz w:val="15"/>
          <w:szCs w:val="15"/>
          <w:color w:val="auto"/>
        </w:rPr>
      </w:pPr>
      <w:r>
        <w:rPr>
          <w:rFonts w:ascii="Arial" w:cs="Arial" w:eastAsia="Arial" w:hAnsi="Arial"/>
          <w:sz w:val="15"/>
          <w:szCs w:val="15"/>
          <w:color w:val="auto"/>
        </w:rPr>
        <w:t>fees payable to vendors related to product manufacturing, development and distribution of clinical supplies.</w:t>
      </w:r>
    </w:p>
    <w:p>
      <w:pPr>
        <w:spacing w:after="0" w:line="198"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0" w:name="page101"/>
    <w:bookmarkEnd w:id="10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services performed may vary and may result in our reporting changes in estimates in any particular period. We have not experienced any significant adjustments to our estimates to date.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 xml:space="preserve">We issue stock-based awards to employees and non-employees, generally in the form of stock options and restricted stock. We account for our stock-based awards in accordance with the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or ASC 718. We account for stock-based awards to non-employees in accordance with ASC 505-50, </w:t>
      </w:r>
      <w:r>
        <w:rPr>
          <w:rFonts w:ascii="Arial" w:cs="Arial" w:eastAsia="Arial" w:hAnsi="Arial"/>
          <w:sz w:val="15"/>
          <w:szCs w:val="15"/>
          <w:i w:val="1"/>
          <w:iCs w:val="1"/>
          <w:color w:val="auto"/>
        </w:rPr>
        <w:t>Equity-Based Payments to Non-Employees</w:t>
      </w:r>
      <w:r>
        <w:rPr>
          <w:rFonts w:ascii="Arial" w:cs="Arial" w:eastAsia="Arial" w:hAnsi="Arial"/>
          <w:sz w:val="15"/>
          <w:szCs w:val="15"/>
          <w:color w:val="auto"/>
        </w:rPr>
        <w:t>, or ASC 505-50.</w:t>
      </w:r>
    </w:p>
    <w:p>
      <w:pPr>
        <w:spacing w:after="0" w:line="159"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Pursuant to ASC 718, 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Pursuant to ASC 505-50, 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62" w:lineRule="exact"/>
        <w:rPr>
          <w:sz w:val="20"/>
          <w:szCs w:val="20"/>
          <w:color w:val="auto"/>
        </w:rPr>
      </w:pPr>
    </w:p>
    <w:p>
      <w:pPr>
        <w:jc w:val="both"/>
        <w:ind w:right="40"/>
        <w:spacing w:after="0" w:line="270" w:lineRule="auto"/>
        <w:rPr>
          <w:sz w:val="20"/>
          <w:szCs w:val="20"/>
          <w:color w:val="auto"/>
        </w:rPr>
      </w:pPr>
      <w:r>
        <w:rPr>
          <w:rFonts w:ascii="Arial" w:cs="Arial" w:eastAsia="Arial" w:hAnsi="Arial"/>
          <w:sz w:val="15"/>
          <w:szCs w:val="15"/>
          <w:color w:val="auto"/>
        </w:rPr>
        <w:t>We estimate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for employees and non-employees were classified in the consolidated statements of operations and comprehensive loss as outlined below (in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rPr>
              <w:t>Three months</w:t>
            </w:r>
          </w:p>
        </w:tc>
      </w:tr>
      <w:tr>
        <w:trPr>
          <w:trHeight w:val="13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248"/>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left="32"/>
              <w:spacing w:after="0"/>
              <w:rPr>
                <w:sz w:val="20"/>
                <w:szCs w:val="20"/>
                <w:color w:val="auto"/>
              </w:rPr>
            </w:pPr>
            <w:r>
              <w:rPr>
                <w:rFonts w:ascii="Arial" w:cs="Arial" w:eastAsia="Arial" w:hAnsi="Arial"/>
                <w:sz w:val="12"/>
                <w:szCs w:val="12"/>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March 31,</w:t>
            </w:r>
          </w:p>
        </w:tc>
        <w:tc>
          <w:tcPr>
            <w:tcW w:w="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4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2"/>
                <w:szCs w:val="12"/>
                <w:b w:val="1"/>
                <w:bCs w:val="1"/>
                <w:color w:val="auto"/>
              </w:rPr>
              <w:t>2015</w:t>
            </w:r>
          </w:p>
        </w:tc>
        <w:tc>
          <w:tcPr>
            <w:tcW w:w="5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31"/>
        </w:trPr>
        <w:tc>
          <w:tcPr>
            <w:tcW w:w="4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4"/>
          </w:tcPr>
          <w:p>
            <w:pPr>
              <w:jc w:val="center"/>
              <w:ind w:right="45"/>
              <w:spacing w:after="0" w:line="13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132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167</w:t>
            </w:r>
          </w:p>
        </w:tc>
        <w:tc>
          <w:tcPr>
            <w:tcW w:w="140" w:type="dxa"/>
            <w:vAlign w:val="bottom"/>
            <w:shd w:val="clear" w:color="auto" w:fill="CCEEFF"/>
          </w:tcPr>
          <w:p>
            <w:pPr>
              <w:spacing w:after="0"/>
              <w:rPr>
                <w:sz w:val="16"/>
                <w:szCs w:val="16"/>
                <w:color w:val="auto"/>
              </w:rPr>
            </w:pPr>
          </w:p>
        </w:tc>
      </w:tr>
      <w:tr>
        <w:trPr>
          <w:trHeight w:val="185"/>
        </w:trPr>
        <w:tc>
          <w:tcPr>
            <w:tcW w:w="410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79"/>
              </w:rPr>
              <w:t>170</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9"/>
              </w:rPr>
              <w:t>115</w:t>
            </w:r>
          </w:p>
        </w:tc>
        <w:tc>
          <w:tcPr>
            <w:tcW w:w="140" w:type="dxa"/>
            <w:vAlign w:val="bottom"/>
          </w:tcPr>
          <w:p>
            <w:pPr>
              <w:spacing w:after="0"/>
              <w:rPr>
                <w:sz w:val="16"/>
                <w:szCs w:val="16"/>
                <w:color w:val="auto"/>
              </w:rPr>
            </w:pPr>
          </w:p>
        </w:tc>
      </w:tr>
      <w:tr>
        <w:trPr>
          <w:trHeight w:val="177"/>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302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282</w:t>
            </w:r>
          </w:p>
        </w:tc>
        <w:tc>
          <w:tcPr>
            <w:tcW w:w="140" w:type="dxa"/>
            <w:vAlign w:val="bottom"/>
            <w:shd w:val="clear" w:color="auto" w:fill="CCEEFF"/>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As of March 31, 2016, we had $3.0 million of total unrecognized compensation expense, net of related forfeiture estimates, which is expected to be recognized over a weighted average remaining vesting period of approximately 3.0 years. We expect the impact of our stock-based compensation expense for stock options and restricted stock granted to employees and non-employees to grow in future periods due to the potential increases in the value of our common stock and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01" w:name="page102"/>
    <w:bookmarkEnd w:id="10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Common stock valuation</w:t>
      </w:r>
    </w:p>
    <w:p>
      <w:pPr>
        <w:spacing w:after="0" w:line="195"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 xml:space="preserve">As there has been no public market for our common stock to date, the estimated fair value of our common stock has been determined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date of the grant. We have periodically determined the estimated fair value of our common stock at various dates using contemporaneous valuations performed in accordance with the guidance outlined in the American Institute of Certified Public Accountants' Accounting and Valuation Guide,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or the Practice Aid.</w:t>
      </w:r>
    </w:p>
    <w:p>
      <w:pPr>
        <w:spacing w:after="0" w:line="14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162" w:lineRule="exact"/>
        <w:rPr>
          <w:sz w:val="20"/>
          <w:szCs w:val="20"/>
          <w:color w:val="auto"/>
        </w:rPr>
      </w:pPr>
    </w:p>
    <w:p>
      <w:pPr>
        <w:ind w:left="467" w:right="200" w:hanging="467"/>
        <w:spacing w:after="0" w:line="319" w:lineRule="auto"/>
        <w:tabs>
          <w:tab w:leader="none" w:pos="467" w:val="left"/>
        </w:tabs>
        <w:numPr>
          <w:ilvl w:val="0"/>
          <w:numId w:val="66"/>
        </w:numPr>
        <w:rPr>
          <w:rFonts w:ascii="Arial" w:cs="Arial" w:eastAsia="Arial" w:hAnsi="Arial"/>
          <w:sz w:val="14"/>
          <w:szCs w:val="14"/>
          <w:color w:val="auto"/>
        </w:rPr>
      </w:pPr>
      <w:r>
        <w:rPr>
          <w:rFonts w:ascii="Arial" w:cs="Arial" w:eastAsia="Arial" w:hAnsi="Arial"/>
          <w:sz w:val="14"/>
          <w:szCs w:val="14"/>
          <w:i w:val="1"/>
          <w:iCs w:val="1"/>
          <w:color w:val="auto"/>
        </w:rPr>
        <w:t xml:space="preserve">Option Pricing Method. </w:t>
      </w:r>
      <w:r>
        <w:rPr>
          <w:rFonts w:ascii="Arial" w:cs="Arial" w:eastAsia="Arial" w:hAnsi="Arial"/>
          <w:sz w:val="14"/>
          <w:szCs w:val="14"/>
          <w:color w:val="auto"/>
        </w:rPr>
        <w:t>Under the option pricing method, or OPM, shares are valued by creating a series of call options with exercise prices based on the liquidation preferences</w:t>
      </w:r>
      <w:r>
        <w:rPr>
          <w:rFonts w:ascii="Arial" w:cs="Arial" w:eastAsia="Arial" w:hAnsi="Arial"/>
          <w:sz w:val="14"/>
          <w:szCs w:val="14"/>
          <w:i w:val="1"/>
          <w:iCs w:val="1"/>
          <w:color w:val="auto"/>
        </w:rPr>
        <w:t xml:space="preserve"> </w:t>
      </w:r>
      <w:r>
        <w:rPr>
          <w:rFonts w:ascii="Arial" w:cs="Arial" w:eastAsia="Arial" w:hAnsi="Arial"/>
          <w:sz w:val="14"/>
          <w:szCs w:val="14"/>
          <w:color w:val="auto"/>
        </w:rPr>
        <w:t>and conversion terms of each equity class. The estimated fair values of the preferred and common stock are inferred by analyzing these options.</w:t>
      </w:r>
    </w:p>
    <w:p>
      <w:pPr>
        <w:spacing w:after="0" w:line="151" w:lineRule="exact"/>
        <w:rPr>
          <w:rFonts w:ascii="Arial" w:cs="Arial" w:eastAsia="Arial" w:hAnsi="Arial"/>
          <w:sz w:val="14"/>
          <w:szCs w:val="14"/>
          <w:color w:val="auto"/>
        </w:rPr>
      </w:pPr>
    </w:p>
    <w:p>
      <w:pPr>
        <w:jc w:val="both"/>
        <w:ind w:left="467" w:right="80" w:hanging="467"/>
        <w:spacing w:after="0" w:line="270" w:lineRule="auto"/>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 xml:space="preserve">Probability-Weighted Expected Return Method. </w:t>
      </w:r>
      <w:r>
        <w:rPr>
          <w:rFonts w:ascii="Arial" w:cs="Arial" w:eastAsia="Arial" w:hAnsi="Arial"/>
          <w:sz w:val="15"/>
          <w:szCs w:val="15"/>
          <w:color w:val="auto"/>
        </w:rPr>
        <w:t>The probability-weighted expected return method, or PWERM, is a scenario-based analysis that estimates value per share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the probability-weighted present value of expected future investment returns, considering each of the possible outcomes available to us, as well as the economic and control rights of each share class.</w:t>
      </w:r>
    </w:p>
    <w:p>
      <w:pPr>
        <w:spacing w:after="0" w:line="159"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Given the range of possible financing and exit events that existed at the time we completed our valuations, our board of directors concluded the PWERM to be the most appropriate for purposes of valuing our common stock given our expected time to a liquidity event, subjectivity with regards to estimating possible proceeds from a future liquidation event and subjectivity with regards to the ability to estimate the probability of an initial public offering, sale or other financing events. The PWERM explicitly considers the various terms of our investor related documents, including various rights of each class of our stock, at the date of the liquidity event when those rights will either be executed or abandoned.</w:t>
      </w:r>
    </w:p>
    <w:p>
      <w:pPr>
        <w:spacing w:after="0" w:line="148" w:lineRule="exact"/>
        <w:rPr>
          <w:sz w:val="20"/>
          <w:szCs w:val="20"/>
          <w:color w:val="auto"/>
        </w:rPr>
      </w:pPr>
    </w:p>
    <w:p>
      <w:pPr>
        <w:ind w:left="7" w:right="60"/>
        <w:spacing w:after="0" w:line="263" w:lineRule="auto"/>
        <w:rPr>
          <w:sz w:val="20"/>
          <w:szCs w:val="20"/>
          <w:color w:val="auto"/>
        </w:rPr>
      </w:pPr>
      <w:r>
        <w:rPr>
          <w:rFonts w:ascii="Arial" w:cs="Arial" w:eastAsia="Arial" w:hAnsi="Arial"/>
          <w:sz w:val="15"/>
          <w:szCs w:val="15"/>
          <w:color w:val="auto"/>
        </w:rPr>
        <w:t>We obtained valuations of our common stock on February 28, 2014, November 30, 2014, September 30, 2015, December 31, 2015, January 31, 2016, March 31, 2016 and April 30, 2016. All valuations utilized the PWERM methodology to allocate the enterprise value to the common stock. The fair value of our common stock was estimated using a probability-weighted analysis of the present value of the returns afforded to common stockholders under several future stockholder exit or liquidity event scenarios, either through (1) a near-term and longer-term initial public offering, or IPO, scenario; (2) a sale of our company at values deemed to be low, medium and high; or (3) a liquidation event where the value is well below the preferred stock preference levels.</w:t>
      </w:r>
    </w:p>
    <w:p>
      <w:pPr>
        <w:spacing w:after="0" w:line="167" w:lineRule="exact"/>
        <w:rPr>
          <w:sz w:val="20"/>
          <w:szCs w:val="20"/>
          <w:color w:val="auto"/>
        </w:rPr>
      </w:pPr>
    </w:p>
    <w:p>
      <w:pPr>
        <w:ind w:left="7" w:right="200"/>
        <w:spacing w:after="0" w:line="263" w:lineRule="auto"/>
        <w:rPr>
          <w:sz w:val="20"/>
          <w:szCs w:val="20"/>
          <w:color w:val="auto"/>
        </w:rPr>
      </w:pPr>
      <w:r>
        <w:rPr>
          <w:rFonts w:ascii="Arial" w:cs="Arial" w:eastAsia="Arial" w:hAnsi="Arial"/>
          <w:sz w:val="15"/>
          <w:szCs w:val="15"/>
          <w:color w:val="auto"/>
        </w:rPr>
        <w:t>The selected enterprise value in the near-term IPO scenario was based on the pre-money market data for IPOs between the median and the mean of the observed range given reasonably "like" stage companies. The selected aggregate enterprise value in the longer-term scenario was also based on the pre-money market data for IPOs of equivalent stage biotechnology companies, but with added consideration that the market may not be as robust in the near-term initial public offering time frame and we will have completed our proof-of-concept with positive findings. The selected enterprise values utilized for each of the three scenarios in the sale scenario considered management's best estimates considering program accomplishments towards one or more indications being in the clinic,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2" w:name="page103"/>
    <w:bookmarkEnd w:id="10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available cash runway and additional preclinical data from our other product candidates. In the liquidation scenario at a price below liquidation preference, the valuations assumed a value that would not allow the preferred stockholders to realize their full liquidation preference resulting in no value to common stockholders.</w:t>
      </w:r>
    </w:p>
    <w:p>
      <w:pPr>
        <w:spacing w:after="0" w:line="151"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color w:val="auto"/>
        </w:rPr>
        <w:t>Under all the exit scenarios considered in the PWERM, the fair value of our common stock was calculated using the estimated future enterprise valuations and a risk-adjusted discount rate based on the inherent risk of a hypothetical investment in our common stock, and a discount for lack of marketability. The risk-adjusted discount rate was based on consideration of the weighted average cost of capital, or WACC, for comparable biotechnology companies adjusted for company-specific risk factors, the venture capital rates of return and an analysis of other quantitative and qualitative factors considered pertinent to estimating the discount rate. We corroborated the discount based on the value of a put option compared to the value of common stock using Black-Scholes. We also considered the rights and privileges of our preferred stock as compared to our common stock, including anti-dilution protection, redemption rights, protective provisions in our certificate of incorporation and rights to participate in future rounds of financing.</w:t>
      </w:r>
    </w:p>
    <w:p>
      <w:pPr>
        <w:spacing w:after="0" w:line="154"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We performed these valuations, with the assistance of a third-party valuation specialist, on February 28, 2014, November 30, 2014, September 30, 2015, December 31, 2015, January 31, 2016, March 31, 2016 and April 30, 2016. The resulting estimated fair value of our common stock as of April 30, 2016 was $8.97, March 31, 2016 was $8.15, January 31, 2016 was $7.02, December 31, 2015 was $6.79, September 30, 2015 was $6.40, November 30, 2014 was $9.36 and February 28, 2014 was $8.97 per share. The changes in the assumptions used for the September 2015 valuation as compared to the November 2014 valuation reflected our progress towards proof of scientific concept and resulting technology advancement, the decision to advance towards an IPO, and the offering value of our series E preferred stock financing. This decrease in per share value was primarily due to then-current valuations for biotechnology companies, capital market conditions for biotechnology companies and the terms of our recent series E preferred stock financing. The valuations performed as of January 31, 2016 and December 31, 2015, as compared to September 30, 2015, reflected only the advancement of time between valuations towards the future stockholder exit or liquidity event scenarios. As there were no new significant clinical data, financial events or other changes in the business during that period, management believes the change in valuation is attributable to time progression. The valuations performed for April 30, 2016 and March 31, 2016 included consideration for the continued advancement of time towards an IPO in the second quarter of 2016, the apparent stabilization of the capital markets, the initial results of our Phase 1b clinical trial and analysis of the valuations for other biotechnology companies.</w:t>
      </w:r>
    </w:p>
    <w:p>
      <w:pPr>
        <w:spacing w:after="0" w:line="145"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Following the closing of this offering, the fair value of our common stock will be determined based on the quoted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3" w:name="page104"/>
    <w:bookmarkEnd w:id="10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 grants</w:t>
      </w:r>
    </w:p>
    <w:p>
      <w:pPr>
        <w:spacing w:after="0" w:line="195"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The following table summarizes by grant date the number of shares subject to options granted since January 1, 2014, the per share exercise price of the options, the fair value of common stock underlying the options on date of grant and the per share estimated fair value of the options: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common shares</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8"/>
              <w:spacing w:after="0"/>
              <w:rPr>
                <w:sz w:val="20"/>
                <w:szCs w:val="20"/>
                <w:color w:val="auto"/>
              </w:rPr>
            </w:pPr>
            <w:r>
              <w:rPr>
                <w:rFonts w:ascii="Arial" w:cs="Arial" w:eastAsia="Arial" w:hAnsi="Arial"/>
                <w:sz w:val="12"/>
                <w:szCs w:val="12"/>
                <w:b w:val="1"/>
                <w:bCs w:val="1"/>
                <w:color w:val="auto"/>
              </w:rPr>
              <w:t>Fair value of</w:t>
            </w:r>
          </w:p>
        </w:tc>
        <w:tc>
          <w:tcPr>
            <w:tcW w:w="9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Per share</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Exercise price</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common stock</w:t>
            </w:r>
          </w:p>
        </w:tc>
        <w:tc>
          <w:tcPr>
            <w:tcW w:w="9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estimated</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per common</w:t>
            </w:r>
          </w:p>
        </w:tc>
        <w:tc>
          <w:tcPr>
            <w:tcW w:w="140" w:type="dxa"/>
            <w:vAlign w:val="bottom"/>
          </w:tcPr>
          <w:p>
            <w:pPr>
              <w:spacing w:after="0"/>
              <w:rPr>
                <w:sz w:val="12"/>
                <w:szCs w:val="12"/>
                <w:color w:val="auto"/>
              </w:rPr>
            </w:pPr>
          </w:p>
        </w:tc>
        <w:tc>
          <w:tcPr>
            <w:tcW w:w="940" w:type="dxa"/>
            <w:vAlign w:val="bottom"/>
          </w:tcPr>
          <w:p>
            <w:pPr>
              <w:jc w:val="center"/>
              <w:ind w:right="48"/>
              <w:spacing w:after="0"/>
              <w:rPr>
                <w:sz w:val="20"/>
                <w:szCs w:val="20"/>
                <w:color w:val="auto"/>
              </w:rPr>
            </w:pPr>
            <w:r>
              <w:rPr>
                <w:rFonts w:ascii="Arial" w:cs="Arial" w:eastAsia="Arial" w:hAnsi="Arial"/>
                <w:sz w:val="12"/>
                <w:szCs w:val="12"/>
                <w:b w:val="1"/>
                <w:bCs w:val="1"/>
                <w:color w:val="auto"/>
              </w:rPr>
              <w:t>per share on</w:t>
            </w:r>
          </w:p>
        </w:tc>
        <w:tc>
          <w:tcPr>
            <w:tcW w:w="16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fair value</w:t>
            </w:r>
          </w:p>
        </w:tc>
      </w:tr>
      <w:tr>
        <w:trPr>
          <w:trHeight w:val="167"/>
        </w:trPr>
        <w:tc>
          <w:tcPr>
            <w:tcW w:w="5100" w:type="dxa"/>
            <w:vAlign w:val="bottom"/>
            <w:gridSpan w:val="3"/>
          </w:tcPr>
          <w:p>
            <w:pPr>
              <w:spacing w:after="0"/>
              <w:rPr>
                <w:sz w:val="20"/>
                <w:szCs w:val="20"/>
                <w:color w:val="auto"/>
              </w:rPr>
            </w:pPr>
            <w:r>
              <w:rPr>
                <w:rFonts w:ascii="Arial" w:cs="Arial" w:eastAsia="Arial" w:hAnsi="Arial"/>
                <w:sz w:val="12"/>
                <w:szCs w:val="12"/>
                <w:b w:val="1"/>
                <w:bCs w:val="1"/>
                <w:color w:val="auto"/>
              </w:rPr>
              <w:t>Grant date</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granted</w:t>
            </w:r>
          </w:p>
        </w:tc>
        <w:tc>
          <w:tcPr>
            <w:tcW w:w="260" w:type="dxa"/>
            <w:vAlign w:val="bottom"/>
          </w:tcPr>
          <w:p>
            <w:pPr>
              <w:spacing w:after="0"/>
              <w:rPr>
                <w:sz w:val="14"/>
                <w:szCs w:val="14"/>
                <w:color w:val="auto"/>
              </w:rPr>
            </w:pPr>
          </w:p>
        </w:tc>
        <w:tc>
          <w:tcPr>
            <w:tcW w:w="820" w:type="dxa"/>
            <w:vAlign w:val="bottom"/>
          </w:tcPr>
          <w:p>
            <w:pPr>
              <w:jc w:val="center"/>
              <w:ind w:right="146"/>
              <w:spacing w:after="0"/>
              <w:rPr>
                <w:sz w:val="20"/>
                <w:szCs w:val="20"/>
                <w:color w:val="auto"/>
              </w:rPr>
            </w:pPr>
            <w:r>
              <w:rPr>
                <w:rFonts w:ascii="Arial" w:cs="Arial" w:eastAsia="Arial" w:hAnsi="Arial"/>
                <w:sz w:val="12"/>
                <w:szCs w:val="12"/>
                <w:b w:val="1"/>
                <w:bCs w:val="1"/>
                <w:color w:val="auto"/>
              </w:rPr>
              <w:t>share(1)</w:t>
            </w:r>
          </w:p>
        </w:tc>
        <w:tc>
          <w:tcPr>
            <w:tcW w:w="14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2"/>
                <w:szCs w:val="12"/>
                <w:b w:val="1"/>
                <w:bCs w:val="1"/>
                <w:color w:val="auto"/>
              </w:rPr>
              <w:t>grant date(2)</w:t>
            </w:r>
          </w:p>
        </w:tc>
        <w:tc>
          <w:tcPr>
            <w:tcW w:w="9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of options</w:t>
            </w:r>
          </w:p>
        </w:tc>
      </w:tr>
      <w:tr>
        <w:trPr>
          <w:trHeight w:val="182"/>
        </w:trPr>
        <w:tc>
          <w:tcPr>
            <w:tcW w:w="20" w:type="dxa"/>
            <w:vAlign w:val="bottom"/>
          </w:tcPr>
          <w:p>
            <w:pPr>
              <w:spacing w:after="0"/>
              <w:rPr>
                <w:sz w:val="15"/>
                <w:szCs w:val="15"/>
                <w:color w:val="auto"/>
              </w:rPr>
            </w:pPr>
          </w:p>
        </w:tc>
        <w:tc>
          <w:tcPr>
            <w:tcW w:w="5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April 8, 2014</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152,820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8.97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April 23, 2014</w:t>
            </w:r>
          </w:p>
        </w:tc>
        <w:tc>
          <w:tcPr>
            <w:tcW w:w="1000" w:type="dxa"/>
            <w:vAlign w:val="bottom"/>
          </w:tcPr>
          <w:p>
            <w:pPr>
              <w:jc w:val="right"/>
              <w:spacing w:after="0"/>
              <w:rPr>
                <w:sz w:val="20"/>
                <w:szCs w:val="20"/>
                <w:color w:val="auto"/>
              </w:rPr>
            </w:pPr>
            <w:r>
              <w:rPr>
                <w:rFonts w:ascii="Arial" w:cs="Arial" w:eastAsia="Arial" w:hAnsi="Arial"/>
                <w:sz w:val="15"/>
                <w:szCs w:val="15"/>
                <w:color w:val="auto"/>
              </w:rPr>
              <w:t>20,512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8.97</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8.97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6.37</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September 9, 2014</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6,923</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February 6, 2015</w:t>
            </w:r>
          </w:p>
        </w:tc>
        <w:tc>
          <w:tcPr>
            <w:tcW w:w="1000" w:type="dxa"/>
            <w:vAlign w:val="bottom"/>
          </w:tcPr>
          <w:p>
            <w:pPr>
              <w:jc w:val="right"/>
              <w:spacing w:after="0"/>
              <w:rPr>
                <w:sz w:val="20"/>
                <w:szCs w:val="20"/>
                <w:color w:val="auto"/>
              </w:rPr>
            </w:pPr>
            <w:r>
              <w:rPr>
                <w:rFonts w:ascii="Arial" w:cs="Arial" w:eastAsia="Arial" w:hAnsi="Arial"/>
                <w:sz w:val="15"/>
                <w:szCs w:val="15"/>
                <w:color w:val="auto"/>
              </w:rPr>
              <w:t>57,692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9.36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7.14</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21,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62,820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April 7, 2015</w:t>
            </w:r>
          </w:p>
        </w:tc>
        <w:tc>
          <w:tcPr>
            <w:tcW w:w="1000" w:type="dxa"/>
            <w:vAlign w:val="bottom"/>
          </w:tcPr>
          <w:p>
            <w:pPr>
              <w:jc w:val="right"/>
              <w:spacing w:after="0"/>
              <w:rPr>
                <w:sz w:val="20"/>
                <w:szCs w:val="20"/>
                <w:color w:val="auto"/>
              </w:rPr>
            </w:pPr>
            <w:r>
              <w:rPr>
                <w:rFonts w:ascii="Arial" w:cs="Arial" w:eastAsia="Arial" w:hAnsi="Arial"/>
                <w:sz w:val="15"/>
                <w:szCs w:val="15"/>
                <w:color w:val="auto"/>
              </w:rPr>
              <w:t>5,128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9.36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7.06</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June 12,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September 8, 2015</w:t>
            </w:r>
          </w:p>
        </w:tc>
        <w:tc>
          <w:tcPr>
            <w:tcW w:w="1000" w:type="dxa"/>
            <w:vAlign w:val="bottom"/>
          </w:tcPr>
          <w:p>
            <w:pPr>
              <w:jc w:val="right"/>
              <w:spacing w:after="0"/>
              <w:rPr>
                <w:sz w:val="20"/>
                <w:szCs w:val="20"/>
                <w:color w:val="auto"/>
              </w:rPr>
            </w:pPr>
            <w:r>
              <w:rPr>
                <w:rFonts w:ascii="Arial" w:cs="Arial" w:eastAsia="Arial" w:hAnsi="Arial"/>
                <w:sz w:val="15"/>
                <w:szCs w:val="15"/>
                <w:color w:val="auto"/>
              </w:rPr>
              <w:t>115,384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3.78</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December 4,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315,320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March 9, 2016</w:t>
            </w:r>
          </w:p>
        </w:tc>
        <w:tc>
          <w:tcPr>
            <w:tcW w:w="1000" w:type="dxa"/>
            <w:vAlign w:val="bottom"/>
          </w:tcPr>
          <w:p>
            <w:pPr>
              <w:jc w:val="right"/>
              <w:spacing w:after="0"/>
              <w:rPr>
                <w:sz w:val="20"/>
                <w:szCs w:val="20"/>
                <w:color w:val="auto"/>
              </w:rPr>
            </w:pPr>
            <w:r>
              <w:rPr>
                <w:rFonts w:ascii="Arial" w:cs="Arial" w:eastAsia="Arial" w:hAnsi="Arial"/>
                <w:sz w:val="15"/>
                <w:szCs w:val="15"/>
                <w:color w:val="auto"/>
              </w:rPr>
              <w:t>171,794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7.02</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7.41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5.69</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April 5, 2016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11,282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w:t>
            </w:r>
          </w:p>
        </w:tc>
        <w:tc>
          <w:tcPr>
            <w:tcW w:w="140" w:type="dxa"/>
            <w:vAlign w:val="bottom"/>
            <w:shd w:val="clear" w:color="auto" w:fill="CCEEFF"/>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926,085</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260" w:hanging="463"/>
        <w:spacing w:after="0" w:line="238" w:lineRule="auto"/>
        <w:tabs>
          <w:tab w:leader="none" w:pos="1600" w:val="left"/>
        </w:tabs>
        <w:numPr>
          <w:ilvl w:val="0"/>
          <w:numId w:val="67"/>
        </w:numPr>
        <w:rPr>
          <w:rFonts w:ascii="Arial" w:cs="Arial" w:eastAsia="Arial" w:hAnsi="Arial"/>
          <w:sz w:val="12"/>
          <w:szCs w:val="12"/>
          <w:color w:val="auto"/>
        </w:rPr>
      </w:pPr>
      <w:r>
        <w:rPr>
          <w:rFonts w:ascii="Arial" w:cs="Arial" w:eastAsia="Arial" w:hAnsi="Arial"/>
          <w:sz w:val="12"/>
          <w:szCs w:val="12"/>
          <w:color w:val="auto"/>
        </w:rPr>
        <w:t>Our board of directors determined at the time of grant of the stock options that the exercise price was based upon the fair value of our common stock calculated in the most recent valuation as of February 28, 2014, November 30, 2014, September 30, 2015, December 31, 2015, January 31, 2016 or March 31, 2016, as applicable.</w:t>
      </w:r>
    </w:p>
    <w:p>
      <w:pPr>
        <w:spacing w:after="0" w:line="96" w:lineRule="exact"/>
        <w:rPr>
          <w:rFonts w:ascii="Arial" w:cs="Arial" w:eastAsia="Arial" w:hAnsi="Arial"/>
          <w:sz w:val="12"/>
          <w:szCs w:val="12"/>
          <w:color w:val="auto"/>
        </w:rPr>
      </w:pPr>
    </w:p>
    <w:p>
      <w:pPr>
        <w:ind w:left="1600" w:right="20" w:hanging="463"/>
        <w:spacing w:after="0" w:line="288" w:lineRule="auto"/>
        <w:tabs>
          <w:tab w:leader="none" w:pos="1600" w:val="left"/>
        </w:tabs>
        <w:numPr>
          <w:ilvl w:val="0"/>
          <w:numId w:val="67"/>
        </w:numPr>
        <w:rPr>
          <w:rFonts w:ascii="Arial" w:cs="Arial" w:eastAsia="Arial" w:hAnsi="Arial"/>
          <w:sz w:val="10"/>
          <w:szCs w:val="10"/>
          <w:color w:val="auto"/>
        </w:rPr>
      </w:pPr>
      <w:r>
        <w:rPr>
          <w:rFonts w:ascii="Arial" w:cs="Arial" w:eastAsia="Arial" w:hAnsi="Arial"/>
          <w:sz w:val="10"/>
          <w:szCs w:val="10"/>
          <w:color w:val="auto"/>
        </w:rPr>
        <w:t>As described below, the fair value of common stock at the date of these grants was adjusted to recognize the decline in the per share valuation for the period between the November 30, 2014 and the December 31, 2015 valuations. The adjustments are made based on a reassessment of the events occurring between the two valuations, such as the value paid for the most recent venture funding, and the determination of the time in which the pricing of the funding would be known. The fair value of common stock per share on the March 9, 2016 grant date was based on the valuation performed as of January 31, 2016, and the fair value of the common stock per share on the April 5, 2016 grant date was based on the valuation performed as of March 31, 2016.</w:t>
      </w:r>
    </w:p>
    <w:p>
      <w:pPr>
        <w:spacing w:after="0" w:line="145"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In the course of preparing for this offering, on January 31, 2016 and March 31, 2016, we performed a fair value assessment and concluded that the fair value of our common stock underlying the stock options we granted between April 8, 2014 and April 5, 2016 was between $6.40 and $9.36 per share for accounting purposes. These reassessed values, which we applied to determine the fair values of the option grants in determining the stock-based compensation expense for accounting purposes, were based in part upon the valuation of our common stock as of January 31, 2016 and March 31, 2016, performed with the assistance of a third-party specialist, taking into account an increased probability of executing a successful IPO during the first half of 2016, the recent IPO valuations for early-stage biotechnology companies and the probability of a successful result in our Phase 1/2 clinical trials of SEL-212. These revised common stock valuations were performed using the PWERM method noted above.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95"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In consultation with the underwriters for this offering, we determined the estimated price range for this offering, as set forth on the cover page of this prospectus. The midpoint of the price range is $15.00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4" w:name="page105"/>
    <w:bookmarkEnd w:id="10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per share. In comparison, our estimate of the fair value of our common stock was $8.97 per share as of the April 30, 2016 valuation. We note that, as is typical with IPOs, the estimated price range for this offering was not derived using a formal determination of fair value, but was determined by negotiation between us and the underwriters. Among the factors that were considered in setting this range were the following:</w:t>
      </w:r>
    </w:p>
    <w:p>
      <w:pPr>
        <w:spacing w:after="0" w:line="171" w:lineRule="exact"/>
        <w:rPr>
          <w:sz w:val="20"/>
          <w:szCs w:val="20"/>
          <w:color w:val="auto"/>
        </w:rPr>
      </w:pPr>
    </w:p>
    <w:p>
      <w:pPr>
        <w:ind w:left="467" w:hanging="467"/>
        <w:spacing w:after="0"/>
        <w:tabs>
          <w:tab w:leader="none" w:pos="467" w:val="left"/>
        </w:tabs>
        <w:numPr>
          <w:ilvl w:val="0"/>
          <w:numId w:val="68"/>
        </w:numPr>
        <w:rPr>
          <w:rFonts w:ascii="Arial" w:cs="Arial" w:eastAsia="Arial" w:hAnsi="Arial"/>
          <w:sz w:val="15"/>
          <w:szCs w:val="15"/>
          <w:color w:val="auto"/>
        </w:rPr>
      </w:pPr>
      <w:r>
        <w:rPr>
          <w:rFonts w:ascii="Arial" w:cs="Arial" w:eastAsia="Arial" w:hAnsi="Arial"/>
          <w:sz w:val="15"/>
          <w:szCs w:val="15"/>
          <w:color w:val="auto"/>
        </w:rPr>
        <w:t>an analysis of the typical valuation ranges seen in recent IPO for companies in our industry;</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general condition of the securities markets and the recent market prices of, and the demand for, publicly traded common stock of generally comparable companies;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68"/>
        </w:numPr>
        <w:rPr>
          <w:rFonts w:ascii="Arial" w:cs="Arial" w:eastAsia="Arial" w:hAnsi="Arial"/>
          <w:sz w:val="15"/>
          <w:szCs w:val="15"/>
          <w:color w:val="auto"/>
        </w:rPr>
      </w:pPr>
      <w:r>
        <w:rPr>
          <w:rFonts w:ascii="Arial" w:cs="Arial" w:eastAsia="Arial" w:hAnsi="Arial"/>
          <w:sz w:val="15"/>
          <w:szCs w:val="15"/>
          <w:color w:val="auto"/>
        </w:rPr>
        <w:t>an assumption that there would be a receptive public trading market for clinical and pre-commercial biotechnology companies such as us;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8"/>
        </w:numPr>
        <w:rPr>
          <w:rFonts w:ascii="Arial" w:cs="Arial" w:eastAsia="Arial" w:hAnsi="Arial"/>
          <w:sz w:val="15"/>
          <w:szCs w:val="15"/>
          <w:color w:val="auto"/>
        </w:rPr>
      </w:pPr>
      <w:r>
        <w:rPr>
          <w:rFonts w:ascii="Arial" w:cs="Arial" w:eastAsia="Arial" w:hAnsi="Arial"/>
          <w:sz w:val="15"/>
          <w:szCs w:val="15"/>
          <w:color w:val="auto"/>
        </w:rPr>
        <w:t>an assumption that there would be sufficient demand for our common stock to support an offering of the size contemplated by this prospectus.</w:t>
      </w:r>
    </w:p>
    <w:p>
      <w:pPr>
        <w:spacing w:after="0" w:line="198" w:lineRule="exact"/>
        <w:rPr>
          <w:sz w:val="20"/>
          <w:szCs w:val="20"/>
          <w:color w:val="auto"/>
        </w:rPr>
      </w:pPr>
    </w:p>
    <w:p>
      <w:pPr>
        <w:ind w:left="7" w:right="80"/>
        <w:spacing w:after="0" w:line="313" w:lineRule="auto"/>
        <w:rPr>
          <w:sz w:val="20"/>
          <w:szCs w:val="20"/>
          <w:color w:val="auto"/>
        </w:rPr>
      </w:pPr>
      <w:r>
        <w:rPr>
          <w:rFonts w:ascii="Arial" w:cs="Arial" w:eastAsia="Arial" w:hAnsi="Arial"/>
          <w:sz w:val="13"/>
          <w:szCs w:val="13"/>
          <w:color w:val="auto"/>
        </w:rPr>
        <w:t>In addition to these factors, we believe that the difference between the fair value of our common stock as of April 30, 2016 and the midpoint of the price range for this offering is primarily the result of our receipt in late May and early June 2016 of positive data from our Phase 1b clinical trial in respect of the safety and tolerability of our lead product candidate, SEL-212. See "Business—Our antigen-specific tolerance program SEL-212 for the treatment of refractory and chronic tophaceous gout-clinical development—Phase 1b clinical trail." In addition, the estimated IPO price range necessarily assumes that the IPO has occurred, a public market for our common stock has been created and that our preferred stock converted into common stock in connection with the IPO, and therefore excludes any discount for lack of marketability of our common stock, which was factored into the April 30, 2016 valuation.</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WARRANT VALUATION</w:t>
      </w:r>
    </w:p>
    <w:p>
      <w:pPr>
        <w:spacing w:after="0" w:line="195"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We granted warrants to purchase shares of our series D preferred stock and series E preferred stock to the lenders under our loan and security agreement dated August 9, 2013, as amended on May 9, 2014, and as amended and restated on December 31, 2015. These warrants are classified as a liability as the warrants are free-standing financial instruments that may require us to transfer assets upon exercise. The warrants were initially recorded at their grant date fair value on and are remeasured to fair value at each subsequent balance sheet date. Changes in fair value of these warrants are recognized as a component of other income (expense) in our consolidated statements of operations and comprehensive loss. We will continue to adjust the liability for changes in fair value of the warrants until the earlier of the exercise or expiration of the warrants.</w:t>
      </w:r>
    </w:p>
    <w:p>
      <w:pPr>
        <w:spacing w:after="0" w:line="149"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The fair value of the warrants are estimated using Black-Sholes, which incorporates assumptions and estimates to value these warrants. We assess these assumptions and estimates on a quarterly basis based on information available to us on each valuation date. Such assumptions and estimates include: the fair value per share of the underlying series D preferred stock and series E preferred stock, the remaining contractual term of the warrants, risk-free interest rate applicable to the remaining contractual term, expected dividend yield and expected volatility of the price of the underlying preferred stock. We determine the fair value per share of the underlying preferred stock by taking into consideration the most recent sales of our redeemable convertible preferred stock, results obtained from third-party valuations and additional factors that we deem relevant. We have historically been a private company and lack company-specific historical and implied volatility information of our stock. Therefore, we estimate expected stock volatility based on the historical volatility of publicly traded comparable companies for a term equal to the remaining contractual term of the warrants.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05" w:name="page106"/>
    <w:bookmarkEnd w:id="10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risk-free interest rate is determined by reference to the U.S. Treasury yield curve for time periods that approximately equal to the remaining contractual term of the warrants. We assumed no dividend yield based on the fact that we have never paid or declared dividends, and do not expect to pay or declare dividends in the future.</w:t>
      </w:r>
    </w:p>
    <w:p>
      <w:pPr>
        <w:spacing w:after="0" w:line="151"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In connection with this offering, the underlying redeemable convertible preferred stock will be converted to common stock. The preferred warrants will therefore become exercisable into common stock instead of preferred stock and the fair value of the warrant liability will be reclassified to additional paid-in capital at that time.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under Securities and Exchange Commission rules.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OPERATING LOSS AND RESEARCH AND DEVELOPMENT TAX CREDIT CARRYFORWARDS</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As of December 31, 2015, we had net operating loss carryforwards, or NOLs, for federal and state income tax purposes of $82.4 million and $76.3 million, respectively, which expire at various times through 2035. In 2014, our wholly owned subsidiary, Selecta RUS, was granted a "Skolkovo designated" resident status in Russia. As a result, the subsidiary operates as a corporate tax exempt entity, with lower employee and employment taxes. All foreign net operating loss carryforwards have been eliminated. The state NOLs began expiring in 2015 and will continue to expire through 2035. At December 31, 2015, we had available federal and state research and development income tax credits of approximately $1.6 million and $1.1 million respectively, which may be available to reduce future income taxes, if any, at various times through 2035.</w:t>
      </w:r>
    </w:p>
    <w:p>
      <w:pPr>
        <w:spacing w:after="0" w:line="149" w:lineRule="exact"/>
        <w:rPr>
          <w:sz w:val="20"/>
          <w:szCs w:val="20"/>
          <w:color w:val="auto"/>
        </w:rPr>
      </w:pPr>
    </w:p>
    <w:p>
      <w:pPr>
        <w:ind w:right="200"/>
        <w:spacing w:after="0" w:line="308" w:lineRule="auto"/>
        <w:rPr>
          <w:sz w:val="20"/>
          <w:szCs w:val="20"/>
          <w:color w:val="auto"/>
        </w:rPr>
      </w:pPr>
      <w:r>
        <w:rPr>
          <w:rFonts w:ascii="Arial" w:cs="Arial" w:eastAsia="Arial" w:hAnsi="Arial"/>
          <w:sz w:val="13"/>
          <w:szCs w:val="13"/>
          <w:color w:val="auto"/>
        </w:rPr>
        <w:t>Utilization of the NOLs and credits may be subject to a substantial annual limitation due to ownership change limitations provided by Section 382 of the Code. Specifically, this limitation may arise in the event of a cumulative change in our ownership of more than 50% within any three-year period. The amount of the annual limitation is determined based on our value immediately before the ownership change. Subsequent ownership changes may further affect the limitation in future years. The annual limitation may result in the expiration of our net operating losses and credits before we can use them. We have recorded a valuation allowance on all of our deferred tax assets, including our deferred tax assets related to our NOLs and research and development tax credit carryforwards. We plan to undertake a study to analyze and determine if any historical ownership changes have occurred to determine if there are any permanent limitations on our ability to utilize NOLs and other tax attributes in the future. In addition, we may experience ownership changes after this offering as a result of subsequent shifts in our stock ownership. As a result, we are unable to estimate the effect of these limitations, if any, on our ability to utilize NOLs and other tax attributes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JOBS ACT ACCOUNTING ELECTION</w:t>
      </w:r>
    </w:p>
    <w:p>
      <w:pPr>
        <w:spacing w:after="0" w:line="19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6" w:name="page107"/>
    <w:bookmarkEnd w:id="10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5"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 xml:space="preserve">In May 2014, FASB issued Accounting Standards Update, or ASU, No.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or ASU 2014-09, which amends the guidance for revenue recognition to replace numerous industry-specific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We are currently in the process of evaluating the effect the adoption of ASU 2014-09 may have on our financial statements.</w:t>
      </w:r>
    </w:p>
    <w:p>
      <w:pPr>
        <w:spacing w:after="0" w:line="154" w:lineRule="exact"/>
        <w:rPr>
          <w:sz w:val="20"/>
          <w:szCs w:val="20"/>
          <w:color w:val="auto"/>
        </w:rPr>
      </w:pPr>
    </w:p>
    <w:p>
      <w:pPr>
        <w:ind w:right="280"/>
        <w:spacing w:after="0" w:line="330" w:lineRule="auto"/>
        <w:rPr>
          <w:sz w:val="20"/>
          <w:szCs w:val="20"/>
          <w:color w:val="auto"/>
        </w:rPr>
      </w:pPr>
      <w:r>
        <w:rPr>
          <w:rFonts w:ascii="Arial" w:cs="Arial" w:eastAsia="Arial" w:hAnsi="Arial"/>
          <w:sz w:val="13"/>
          <w:szCs w:val="13"/>
          <w:color w:val="auto"/>
        </w:rPr>
        <w:t xml:space="preserve">In August 2014, the FASB issued ASU No. 2014-15, </w:t>
      </w:r>
      <w:r>
        <w:rPr>
          <w:rFonts w:ascii="Arial" w:cs="Arial" w:eastAsia="Arial" w:hAnsi="Arial"/>
          <w:sz w:val="13"/>
          <w:szCs w:val="13"/>
          <w:i w:val="1"/>
          <w:iCs w:val="1"/>
          <w:color w:val="auto"/>
        </w:rPr>
        <w:t>Disclosure of Uncertainties about an Entity's Ability to Continue as a Going Concern,</w:t>
      </w:r>
      <w:r>
        <w:rPr>
          <w:rFonts w:ascii="Arial" w:cs="Arial" w:eastAsia="Arial" w:hAnsi="Arial"/>
          <w:sz w:val="13"/>
          <w:szCs w:val="13"/>
          <w:color w:val="auto"/>
        </w:rPr>
        <w:t xml:space="preserve"> or ASU 2014-15. ASU 2014-15 requires management to assess our ability to continue as a going concern and to provide related disclosures in certain circumstances. The requirements of ASU 2014-15 will be effective for the annual financial statement period beginning after December 15, 2016, with early adoption permitted. We are currently in the process of evaluating the impact of adopting ASU 2014-15.</w:t>
      </w:r>
    </w:p>
    <w:p>
      <w:pPr>
        <w:spacing w:after="0" w:line="125"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 xml:space="preserve">In February 2016,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 fiscal years, and is to be applied at the beginning of the earliest period presented using a modified retrospective approach. We are currently in the process of evaluating the impact of adopting ASU 2016-02.</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95"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The market risk inherent in our financial instruments and in our financial position represents the potential loss arising from adverse changes in interest rates. As of December 31, 2015 and March 31, 2016, we had cash equivalents of $32.3 million and $17.1 million, respectively, consisting of non-interest and interest-bearing money market accounts. Our primary exposure to market risk is interest rate sensitivity, which is affected by changes in the general level of U.S. interest rates. Due to the short-term the low risk profile of our money market accounts, an immediate 100 basis point change in interest rates would not have a material effect on the fair market value of our cash equivalents.</w:t>
      </w:r>
    </w:p>
    <w:p>
      <w:pPr>
        <w:spacing w:after="0" w:line="148"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In addition, we are subject to currency risk for balances held in rubles in our foreign subsidiary. We hold portions of our funds in both U.S. dollars and rubles. The exchange rate between the U.S. dollar and ruble fluctuated significantly. As of December 31, 2013, the exchange rate was 32.7 rubles per U.S. dollar as compared to 56.26 rubles per U.S. dollar at December 31, 2014 and 72.89 rubles per U.S. dollar at December 31, 2015. As of March 31, 2016, the exchange rate was 67.61 rubles per U.S. dollar, under which we held $4.2 million of total cash in Russian banks to support our Russian subsidiary, which includes $1.5 million of cash and cash equivalents, $2.0 million of short-term deposits and $0.7 million of restricted cash, of which</w:t>
      </w:r>
    </w:p>
    <w:p>
      <w:pPr>
        <w:spacing w:after="0" w:line="1" w:lineRule="exact"/>
        <w:rPr>
          <w:sz w:val="20"/>
          <w:szCs w:val="20"/>
          <w:color w:val="auto"/>
        </w:rPr>
      </w:pPr>
    </w:p>
    <w:p>
      <w:pPr>
        <w:ind w:right="180"/>
        <w:spacing w:after="0" w:line="275" w:lineRule="auto"/>
        <w:rPr>
          <w:sz w:val="20"/>
          <w:szCs w:val="20"/>
          <w:color w:val="auto"/>
        </w:rPr>
      </w:pPr>
      <w:r>
        <w:rPr>
          <w:rFonts w:ascii="Arial" w:cs="Arial" w:eastAsia="Arial" w:hAnsi="Arial"/>
          <w:sz w:val="15"/>
          <w:szCs w:val="15"/>
          <w:color w:val="auto"/>
        </w:rPr>
        <w:t>$1.0 million of cash and cash equivalents and the $2.0 million of short-term deposits were denominated in U.S. dollars. We do not hedge against foreign currency risks. We do not believe that inflation and changing prices had a significant impact on our results of operations for any periods presented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07" w:name="page108"/>
    <w:bookmarkEnd w:id="10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the harmful deposits of uric acid in chronic tophaceous gout, each a painful and debilitating disease with unmet medical need. SEL-212 is currently in a comprehensive Phase 1/2 clinical program. The Phase 1/2 clinical program is comprised of two Phase 1 clinical trials and a Phase 2 clinical trial, and is designed to evaluate the ability of SEL-212 to control uric acid levels and mitigate the formation of ADAs. Based on preliminary data from our ongoing Phase 1b clinical trial, we believe that SEL-212 has the potential to control serum uric acid levels for at least 30 days after a single dose by mitigating the formation of ADAs in response to the therapeutic enzyme. We expect to receive final data from both Phase 1 clinical trials and initiate the Phase 2 clinical trial in the second half of 2016. We have submitted to the FDA two investigational new drug, or IND, applications, both of which are active. Each IND lists us as the named sponsor and is indicated for the treatment of chronic gout in adult patients refractory to conventional therapy.</w:t>
      </w:r>
    </w:p>
    <w:p>
      <w:pPr>
        <w:spacing w:after="0" w:line="161"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Despite rapid advancement in biologic treatment of rare and serious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the co-administration of our SVP technology with biologic treatments has the potential to overcome these limitations without requiring changes in dosing or formulation. We intend to build a platform based on our SVP technology applied to the mitigation of ADAs for a wide range of biologics.</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Our lead product candidate, SEL-212, was designed specifically to overcome the challenges faced by Krystexxa, a pegylated uricase. Krystexxa, is the only product approved by the U.S. Food and Drug Administration, or the FDA, for the treatment of chronic refractory gout. In clinical trials, Krystexxa demonstrated the ability to rapidly reduce uric acid levels in serum upon initial dosing. However, despite these results, Krystexxa has not achieved broad commercial adoption. We believe this is largely attributable to undesired immunogenicity. The package insert information for Krystexxa indicates that during Phase 3 clinical trials, 92% of patients developed ADAs. The package insert information also indicates that during the drug's Phase 3 clinical trials, high Krystexxa-specific ADA levels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8" w:name="page109"/>
    <w:bookmarkEnd w:id="10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were associated with a failure to maintain Krystexxa-induced normalization of uric acid levels. Similarly, in 2011, The Journal of the American Medical Association published the results of clinical trials finding that 58% of Krystexxa patients who received biweekly doses of Krystexxa were non-responders.</w:t>
      </w:r>
    </w:p>
    <w:p>
      <w:pPr>
        <w:spacing w:after="0" w:line="151"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color w:val="auto"/>
        </w:rPr>
        <w:t>SEL-212 consists of SVP-Rapamycin co-administered with pegsiticase, our proprietary pegylated uricase, for the treatment of refractory and chronic tophaceous gout. SVP-Rapamycin uses our SVP technology to encapsulate the approved immunomodulator rapamycin in biodegradable nanoparticles. Our preclinical data indicate that SVP-Rapamycin, when co-administered with pegsiticase, induces antigen-specific immune tolerance to pegsiticase and substantially reduces the formation of associated ADAs. We believe that SEL-212 has the potential to offer a uniquely effective treatment for patients with refractory or chronic tophaceous gout, while also demonstrating the clinical effectiveness of our SVP technology. Approximately 8.3 million patients in the United States suffer from gout, which is caused by elevated levels of serum uric acid. Excessive uric acid levels result in harmful deposits of insoluble uric acid crystals in joints and tissues, causing joint damage and painful inflammation. High concentrations of serum uric acid also increase the risk for other conditions, including cardiovascular, cardiometabolic, joint and kidney disease. No treatment has been approved to remove uric acid deposits from joints and tissues. Approximately 50,000 patients in the United States have been diagnosed with chronic refractory gout, an orphan indication defined as uric acid levels that cannot be controlled by available oral therapies. Approximately 500,000 patients in the United States suffer from chronic tophaceous gout, in which patients develop nodular insoluble masses of uric acid crystals referred to as tophi, which can occur either in joints, such as fingers, toes or elbows, or in the tissues that make up organs, such as the kidney and heart. Tophi are a source of inflammation and pain, and have been associated with diseases of the heart, vascular system, metabolic process, kidney and joints. There is no approved drug for chronic tophaceous gout.</w:t>
      </w:r>
    </w:p>
    <w:p>
      <w:pPr>
        <w:spacing w:after="0" w:line="158" w:lineRule="exact"/>
        <w:rPr>
          <w:sz w:val="20"/>
          <w:szCs w:val="20"/>
          <w:color w:val="auto"/>
        </w:rPr>
      </w:pPr>
    </w:p>
    <w:p>
      <w:pPr>
        <w:ind w:right="80"/>
        <w:spacing w:after="0" w:line="308" w:lineRule="auto"/>
        <w:rPr>
          <w:sz w:val="20"/>
          <w:szCs w:val="20"/>
          <w:color w:val="auto"/>
        </w:rPr>
      </w:pPr>
      <w:r>
        <w:rPr>
          <w:rFonts w:ascii="Arial" w:cs="Arial" w:eastAsia="Arial" w:hAnsi="Arial"/>
          <w:sz w:val="13"/>
          <w:szCs w:val="13"/>
          <w:color w:val="auto"/>
        </w:rPr>
        <w:t>We are also applying our SVP technology to antigen-specific immune tolerance for gene therapy involving gene augmentation, replacement or editing. Gene therapies often use a viral vector, such as an adeno-associated virus, or AAV, vector to place corrective genetic material into cells to treat genetic diseases. One of the key hurdles for the gene therapy field is to overcome immunogenicity against the viral vector, which can manifest itself in three ways. First, pre-existing ADAs that were induced following a natural AAV infection can neutralize the viral vector and block gene transfer. Up to 50% of patients are ineligible for gene therapy due to the presence of pre-existing ADAs. Second, ADAs form in response to the first administration of a gene therapy vector and prevent effective subsequent doses of gene therapy. Subsequent doses are particularly necessary for pediatric indications due to cellular turnover in young patients. The ability to readminister gene therapies is also important for diseases where the goal is to transfect a high number of cells. Moreover, the third way in which immunogenicity can manifest itself against the viral vector is that the cellular immune system can respond to the transduced cells, which can reduce efficacy and pose safety concerns.</w:t>
      </w:r>
    </w:p>
    <w:p>
      <w:pPr>
        <w:spacing w:after="0" w:line="139"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have in-licensed the Anc80 gene therapy vector, or Anc80, from the Massachusetts Eye and Ear Infirmary and The Schepens Eye Research Institute, Inc., collectively referred to as MEE. Developed by the laboratory of Luk H. Vandenberghe, Ph.D., of Massachusetts Eye and Ear Infirmary and Harvard Medical School, Anc80 was designed as a synthetic precursor of AAV1, AAV2, AAV8 and AAV9. In preclinical studies, Anc80 has been observed to be a potent gene therapy vector that has demonstrated the capability of yielding superior gene expression levels in the liver compared to naturally occurring AAVs that are currently evaluated in clinical trials. As a synthetic vector, we believe Anc80 has limited cross-reactivity to naturally-occurring AAVs and therefore has the potential to treat patients with pre-existing AAV-specific ADAs. By combining SVP-Rapamycin and Anc80, we intend to develop highly differentiated gene therapies to address all three of the immunogenicity issues associated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9" w:name="page110"/>
    <w:bookmarkEnd w:id="10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use of viral vectors. We believe that any such potential proprietary gene therapy products utilizing SVP-Rapamycin and Anc80 would have significant advantages, including</w:t>
      </w:r>
    </w:p>
    <w:p>
      <w:pPr>
        <w:spacing w:after="0" w:line="29" w:lineRule="exact"/>
        <w:rPr>
          <w:sz w:val="20"/>
          <w:szCs w:val="20"/>
          <w:color w:val="auto"/>
        </w:rPr>
      </w:pPr>
    </w:p>
    <w:p>
      <w:pPr>
        <w:ind w:left="7" w:right="100" w:hanging="7"/>
        <w:spacing w:after="0" w:line="312" w:lineRule="auto"/>
        <w:tabs>
          <w:tab w:leader="none" w:pos="187" w:val="left"/>
        </w:tabs>
        <w:numPr>
          <w:ilvl w:val="0"/>
          <w:numId w:val="69"/>
        </w:numPr>
        <w:rPr>
          <w:rFonts w:ascii="Arial" w:cs="Arial" w:eastAsia="Arial" w:hAnsi="Arial"/>
          <w:sz w:val="14"/>
          <w:szCs w:val="14"/>
          <w:color w:val="auto"/>
        </w:rPr>
      </w:pPr>
      <w:r>
        <w:rPr>
          <w:rFonts w:ascii="Arial" w:cs="Arial" w:eastAsia="Arial" w:hAnsi="Arial"/>
          <w:sz w:val="14"/>
          <w:szCs w:val="14"/>
          <w:color w:val="auto"/>
        </w:rPr>
        <w:t>applicability to patients with pre-existing ADAs to naturally occurring AAV, a current exclusion criteria for many clinical studies, and (ii) the potential development of gene therapies for diseases that require repeat dosing due to a younger patient population or need to reach higher levels of protein expression than can be achieved with a single dose.</w:t>
      </w:r>
    </w:p>
    <w:p>
      <w:pPr>
        <w:spacing w:after="0" w:line="132" w:lineRule="exact"/>
        <w:rPr>
          <w:sz w:val="20"/>
          <w:szCs w:val="20"/>
          <w:color w:val="auto"/>
        </w:rPr>
      </w:pPr>
    </w:p>
    <w:p>
      <w:pPr>
        <w:ind w:left="7"/>
        <w:spacing w:after="0" w:line="313" w:lineRule="auto"/>
        <w:rPr>
          <w:sz w:val="20"/>
          <w:szCs w:val="20"/>
          <w:color w:val="auto"/>
        </w:rPr>
      </w:pPr>
      <w:r>
        <w:rPr>
          <w:rFonts w:ascii="Arial" w:cs="Arial" w:eastAsia="Arial" w:hAnsi="Arial"/>
          <w:sz w:val="13"/>
          <w:szCs w:val="13"/>
          <w:color w:val="auto"/>
        </w:rPr>
        <w:t>In collaboration with the clinical and gene therapy laboratory at the National Institutes of Health, or NIH, and MEE, we plan to develop a product candidate utilizing the Anc80 vector for the treatment of an autosomal recessive metabolic, or ARM, disorder resulting from an inborn error of metabolism. This ARM disorder can cause severe developmental defects and premature death as a result of an accumulation of toxic metabolites. Under our license agreement with MEE, we also have the option to develop gene therapies using Anc80 for several additional diseases including lysosomal storage, muscular and genetic metabolic diseases. We plan to develop another product candidate for the treatment of an X-linked metabolic, or XLM, disorder, which is a metabolic disorder similar to ARM disorder. We are pursuing this second indication through collaborations with third parties with preclinical and clinical experience in this area.</w:t>
      </w:r>
    </w:p>
    <w:p>
      <w:pPr>
        <w:spacing w:after="0" w:line="137" w:lineRule="exact"/>
        <w:rPr>
          <w:sz w:val="20"/>
          <w:szCs w:val="20"/>
          <w:color w:val="auto"/>
        </w:rPr>
      </w:pPr>
    </w:p>
    <w:p>
      <w:pPr>
        <w:ind w:left="7" w:right="20"/>
        <w:spacing w:after="0" w:line="261" w:lineRule="auto"/>
        <w:rPr>
          <w:sz w:val="20"/>
          <w:szCs w:val="20"/>
          <w:color w:val="auto"/>
        </w:rPr>
      </w:pPr>
      <w:r>
        <w:rPr>
          <w:rFonts w:ascii="Arial" w:cs="Arial" w:eastAsia="Arial" w:hAnsi="Arial"/>
          <w:sz w:val="15"/>
          <w:szCs w:val="15"/>
          <w:color w:val="auto"/>
        </w:rPr>
        <w:t>In addition to developing proprietary non-immunogenic therapeutic enzymes and gene therapies, we intend to pursue out-licensing opportunities for select applications of our SVP technology. We believe that our preclinical data may support the potential application of SVP-Rapamycin to both marketed products, such as monoclonal antibodies against human tumor necrosis factor-alpha, or TNF-alpha, which are known to induce undesired immnogenicity, and novel biologic drugs that would otherwise be too immunogenic to develop, such as novel antibody-drug conjugates. We are also applying our SVP technology to the treatment of autoimmune diseases and allergies. Currently, most autoimmune diseases are treated with broadly immunosuppressive therapies that indiscriminately affect the function of the entire immune system. Our SVP technology is designed to re-program the immune system to elicit tolerance to a specific antigen without impacting the rest of the immune system. Since 2012, we have established three collaborations with Sanofi to research novel products for the treatment of a life-threatening food allergy, celiac disease and type 1 diabetes. We intend to continue a strategy of out-licensing our SVP technology for antigen-specific immune tolerance for applications that are outside our areas of focus.</w:t>
      </w:r>
    </w:p>
    <w:p>
      <w:pPr>
        <w:spacing w:after="0" w:line="167" w:lineRule="exact"/>
        <w:rPr>
          <w:sz w:val="20"/>
          <w:szCs w:val="20"/>
          <w:color w:val="auto"/>
        </w:rPr>
      </w:pPr>
    </w:p>
    <w:p>
      <w:pPr>
        <w:ind w:left="7" w:right="160"/>
        <w:spacing w:after="0" w:line="266" w:lineRule="auto"/>
        <w:rPr>
          <w:sz w:val="20"/>
          <w:szCs w:val="20"/>
          <w:color w:val="auto"/>
        </w:rPr>
      </w:pPr>
      <w:r>
        <w:rPr>
          <w:rFonts w:ascii="Arial" w:cs="Arial" w:eastAsia="Arial" w:hAnsi="Arial"/>
          <w:sz w:val="15"/>
          <w:szCs w:val="15"/>
          <w:color w:val="auto"/>
        </w:rPr>
        <w:t>We believe our SVP technology also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These programs use our SVP technology to encapsulate an immune-stimulatory agent in biodegradable nanoparticles in order to stimulate the immune system in response to a specific antigen. We currently finance these programs primarily through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0" w:name="page111"/>
    <w:bookmarkEnd w:id="11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summarizes our current SVP product candidate pipeline: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920" w:type="dxa"/>
            <w:vAlign w:val="bottom"/>
            <w:tcBorders>
              <w:bottom w:val="single" w:sz="8" w:color="auto"/>
            </w:tcBorders>
          </w:tcPr>
          <w:p>
            <w:pPr>
              <w:ind w:left="1240"/>
              <w:spacing w:after="0"/>
              <w:rPr>
                <w:sz w:val="20"/>
                <w:szCs w:val="20"/>
                <w:color w:val="auto"/>
              </w:rPr>
            </w:pPr>
            <w:r>
              <w:rPr>
                <w:rFonts w:ascii="Arial" w:cs="Arial" w:eastAsia="Arial" w:hAnsi="Arial"/>
                <w:sz w:val="12"/>
                <w:szCs w:val="12"/>
                <w:b w:val="1"/>
                <w:bCs w:val="1"/>
                <w:color w:val="auto"/>
              </w:rPr>
              <w:t>Description</w:t>
            </w:r>
          </w:p>
        </w:tc>
        <w:tc>
          <w:tcPr>
            <w:tcW w:w="3060" w:type="dxa"/>
            <w:vAlign w:val="bottom"/>
            <w:tcBorders>
              <w:bottom w:val="single" w:sz="8" w:color="auto"/>
            </w:tcBorders>
          </w:tcPr>
          <w:p>
            <w:pPr>
              <w:ind w:left="1020"/>
              <w:spacing w:after="0"/>
              <w:rPr>
                <w:sz w:val="20"/>
                <w:szCs w:val="20"/>
                <w:color w:val="auto"/>
              </w:rPr>
            </w:pPr>
            <w:r>
              <w:rPr>
                <w:rFonts w:ascii="Arial" w:cs="Arial" w:eastAsia="Arial" w:hAnsi="Arial"/>
                <w:sz w:val="12"/>
                <w:szCs w:val="12"/>
                <w:b w:val="1"/>
                <w:bCs w:val="1"/>
                <w:color w:val="auto"/>
              </w:rPr>
              <w:t>Development status</w:t>
            </w:r>
          </w:p>
        </w:tc>
        <w:tc>
          <w:tcPr>
            <w:tcW w:w="2820" w:type="dxa"/>
            <w:vAlign w:val="bottom"/>
            <w:tcBorders>
              <w:bottom w:val="single" w:sz="8" w:color="auto"/>
            </w:tcBorders>
          </w:tcPr>
          <w:p>
            <w:pPr>
              <w:ind w:left="98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6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307"/>
        </w:trPr>
        <w:tc>
          <w:tcPr>
            <w:tcW w:w="2640" w:type="dxa"/>
            <w:vAlign w:val="bottom"/>
          </w:tcPr>
          <w:p>
            <w:pPr>
              <w:spacing w:after="0"/>
              <w:rPr>
                <w:sz w:val="20"/>
                <w:szCs w:val="20"/>
                <w:color w:val="auto"/>
              </w:rPr>
            </w:pPr>
            <w:r>
              <w:rPr>
                <w:rFonts w:ascii="Arial" w:cs="Arial" w:eastAsia="Arial" w:hAnsi="Arial"/>
                <w:sz w:val="12"/>
                <w:szCs w:val="12"/>
                <w:color w:val="auto"/>
                <w:w w:val="96"/>
              </w:rPr>
              <w:t>Refractory and chronic tophaceous gout (SEL-212)</w:t>
            </w:r>
          </w:p>
        </w:tc>
        <w:tc>
          <w:tcPr>
            <w:tcW w:w="2920" w:type="dxa"/>
            <w:vAlign w:val="bottom"/>
          </w:tcPr>
          <w:p>
            <w:pPr>
              <w:ind w:left="280"/>
              <w:spacing w:after="0"/>
              <w:rPr>
                <w:sz w:val="20"/>
                <w:szCs w:val="20"/>
                <w:color w:val="auto"/>
              </w:rPr>
            </w:pPr>
            <w:r>
              <w:rPr>
                <w:rFonts w:ascii="Arial" w:cs="Arial" w:eastAsia="Arial" w:hAnsi="Arial"/>
                <w:sz w:val="12"/>
                <w:szCs w:val="12"/>
                <w:color w:val="auto"/>
                <w:w w:val="98"/>
              </w:rPr>
              <w:t>SVP-Rapamycin co-administered with pegsiticase</w:t>
            </w:r>
          </w:p>
        </w:tc>
        <w:tc>
          <w:tcPr>
            <w:tcW w:w="3060" w:type="dxa"/>
            <w:vAlign w:val="bottom"/>
          </w:tcPr>
          <w:p>
            <w:pPr>
              <w:ind w:left="300"/>
              <w:spacing w:after="0"/>
              <w:rPr>
                <w:sz w:val="20"/>
                <w:szCs w:val="20"/>
                <w:color w:val="auto"/>
              </w:rPr>
            </w:pPr>
            <w:r>
              <w:rPr>
                <w:rFonts w:ascii="Arial" w:cs="Arial" w:eastAsia="Arial" w:hAnsi="Arial"/>
                <w:sz w:val="12"/>
                <w:szCs w:val="12"/>
                <w:color w:val="auto"/>
              </w:rPr>
              <w:t>Final data from Phase 1a and Phase 1b trials and</w:t>
            </w:r>
          </w:p>
        </w:tc>
        <w:tc>
          <w:tcPr>
            <w:tcW w:w="2820" w:type="dxa"/>
            <w:vAlign w:val="bottom"/>
          </w:tcPr>
          <w:p>
            <w:pPr>
              <w:ind w:left="180"/>
              <w:spacing w:after="0"/>
              <w:rPr>
                <w:sz w:val="20"/>
                <w:szCs w:val="20"/>
                <w:color w:val="auto"/>
              </w:rPr>
            </w:pPr>
            <w:r>
              <w:rPr>
                <w:rFonts w:ascii="Arial" w:cs="Arial" w:eastAsia="Arial" w:hAnsi="Arial"/>
                <w:sz w:val="12"/>
                <w:szCs w:val="12"/>
                <w:color w:val="auto"/>
              </w:rPr>
              <w:t>Own development</w:t>
            </w:r>
          </w:p>
        </w:tc>
      </w:tr>
      <w:tr>
        <w:trPr>
          <w:trHeight w:val="127"/>
        </w:trPr>
        <w:tc>
          <w:tcPr>
            <w:tcW w:w="26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3060" w:type="dxa"/>
            <w:vAlign w:val="bottom"/>
          </w:tcPr>
          <w:p>
            <w:pPr>
              <w:ind w:left="300"/>
              <w:spacing w:after="0" w:line="128" w:lineRule="exact"/>
              <w:rPr>
                <w:sz w:val="20"/>
                <w:szCs w:val="20"/>
                <w:color w:val="auto"/>
              </w:rPr>
            </w:pPr>
            <w:r>
              <w:rPr>
                <w:rFonts w:ascii="Arial" w:cs="Arial" w:eastAsia="Arial" w:hAnsi="Arial"/>
                <w:sz w:val="12"/>
                <w:szCs w:val="12"/>
                <w:color w:val="auto"/>
                <w:w w:val="94"/>
              </w:rPr>
              <w:t>initiation of Phase 2 trial expected in the second half of</w:t>
            </w:r>
          </w:p>
        </w:tc>
        <w:tc>
          <w:tcPr>
            <w:tcW w:w="2820" w:type="dxa"/>
            <w:vAlign w:val="bottom"/>
          </w:tcPr>
          <w:p>
            <w:pPr>
              <w:spacing w:after="0"/>
              <w:rPr>
                <w:sz w:val="11"/>
                <w:szCs w:val="11"/>
                <w:color w:val="auto"/>
              </w:rPr>
            </w:pPr>
          </w:p>
        </w:tc>
      </w:tr>
      <w:tr>
        <w:trPr>
          <w:trHeight w:val="147"/>
        </w:trPr>
        <w:tc>
          <w:tcPr>
            <w:tcW w:w="2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60" w:type="dxa"/>
            <w:vAlign w:val="bottom"/>
          </w:tcPr>
          <w:p>
            <w:pPr>
              <w:ind w:left="300"/>
              <w:spacing w:after="0"/>
              <w:rPr>
                <w:sz w:val="20"/>
                <w:szCs w:val="20"/>
                <w:color w:val="auto"/>
              </w:rPr>
            </w:pPr>
            <w:r>
              <w:rPr>
                <w:rFonts w:ascii="Arial" w:cs="Arial" w:eastAsia="Arial" w:hAnsi="Arial"/>
                <w:sz w:val="12"/>
                <w:szCs w:val="12"/>
                <w:color w:val="auto"/>
              </w:rPr>
              <w:t>2016</w:t>
            </w:r>
          </w:p>
        </w:tc>
        <w:tc>
          <w:tcPr>
            <w:tcW w:w="2820" w:type="dxa"/>
            <w:vAlign w:val="bottom"/>
          </w:tcPr>
          <w:p>
            <w:pPr>
              <w:spacing w:after="0"/>
              <w:rPr>
                <w:sz w:val="12"/>
                <w:szCs w:val="12"/>
                <w:color w:val="auto"/>
              </w:rPr>
            </w:pPr>
          </w:p>
        </w:tc>
      </w:tr>
      <w:tr>
        <w:trPr>
          <w:trHeight w:val="316"/>
        </w:trPr>
        <w:tc>
          <w:tcPr>
            <w:tcW w:w="2640" w:type="dxa"/>
            <w:vAlign w:val="bottom"/>
          </w:tcPr>
          <w:p>
            <w:pPr>
              <w:spacing w:after="0"/>
              <w:rPr>
                <w:sz w:val="20"/>
                <w:szCs w:val="20"/>
                <w:color w:val="auto"/>
              </w:rPr>
            </w:pPr>
            <w:r>
              <w:rPr>
                <w:rFonts w:ascii="Arial" w:cs="Arial" w:eastAsia="Arial" w:hAnsi="Arial"/>
                <w:sz w:val="12"/>
                <w:szCs w:val="12"/>
                <w:color w:val="auto"/>
              </w:rPr>
              <w:t>Gene therapy for an ARM disorder</w:t>
            </w:r>
          </w:p>
        </w:tc>
        <w:tc>
          <w:tcPr>
            <w:tcW w:w="2920" w:type="dxa"/>
            <w:vAlign w:val="bottom"/>
          </w:tcPr>
          <w:p>
            <w:pPr>
              <w:ind w:left="280"/>
              <w:spacing w:after="0"/>
              <w:rPr>
                <w:sz w:val="20"/>
                <w:szCs w:val="20"/>
                <w:color w:val="auto"/>
              </w:rPr>
            </w:pPr>
            <w:r>
              <w:rPr>
                <w:rFonts w:ascii="Arial" w:cs="Arial" w:eastAsia="Arial" w:hAnsi="Arial"/>
                <w:sz w:val="12"/>
                <w:szCs w:val="12"/>
                <w:color w:val="auto"/>
              </w:rPr>
              <w:t>SVP-Rapamycin co-administered with Anc80</w:t>
            </w:r>
          </w:p>
        </w:tc>
        <w:tc>
          <w:tcPr>
            <w:tcW w:w="3060" w:type="dxa"/>
            <w:vAlign w:val="bottom"/>
          </w:tcPr>
          <w:p>
            <w:pPr>
              <w:ind w:left="300"/>
              <w:spacing w:after="0"/>
              <w:rPr>
                <w:sz w:val="20"/>
                <w:szCs w:val="20"/>
                <w:color w:val="auto"/>
              </w:rPr>
            </w:pPr>
            <w:r>
              <w:rPr>
                <w:rFonts w:ascii="Arial" w:cs="Arial" w:eastAsia="Arial" w:hAnsi="Arial"/>
                <w:sz w:val="12"/>
                <w:szCs w:val="12"/>
                <w:color w:val="auto"/>
              </w:rPr>
              <w:t>Investigational New Drug Application, or IND, filing</w:t>
            </w:r>
          </w:p>
        </w:tc>
        <w:tc>
          <w:tcPr>
            <w:tcW w:w="2820" w:type="dxa"/>
            <w:vAlign w:val="bottom"/>
          </w:tcPr>
          <w:p>
            <w:pPr>
              <w:ind w:left="180"/>
              <w:spacing w:after="0"/>
              <w:rPr>
                <w:sz w:val="20"/>
                <w:szCs w:val="20"/>
                <w:color w:val="auto"/>
              </w:rPr>
            </w:pPr>
            <w:r>
              <w:rPr>
                <w:rFonts w:ascii="Arial" w:cs="Arial" w:eastAsia="Arial" w:hAnsi="Arial"/>
                <w:sz w:val="12"/>
                <w:szCs w:val="12"/>
                <w:color w:val="auto"/>
              </w:rPr>
              <w:t>Own development</w:t>
            </w:r>
          </w:p>
        </w:tc>
      </w:tr>
      <w:tr>
        <w:trPr>
          <w:trHeight w:val="147"/>
        </w:trPr>
        <w:tc>
          <w:tcPr>
            <w:tcW w:w="2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60" w:type="dxa"/>
            <w:vAlign w:val="bottom"/>
          </w:tcPr>
          <w:p>
            <w:pPr>
              <w:ind w:left="300"/>
              <w:spacing w:after="0"/>
              <w:rPr>
                <w:sz w:val="20"/>
                <w:szCs w:val="20"/>
                <w:color w:val="auto"/>
              </w:rPr>
            </w:pPr>
            <w:r>
              <w:rPr>
                <w:rFonts w:ascii="Arial" w:cs="Arial" w:eastAsia="Arial" w:hAnsi="Arial"/>
                <w:sz w:val="12"/>
                <w:szCs w:val="12"/>
                <w:color w:val="auto"/>
              </w:rPr>
              <w:t>for first indication expected by the end of 2017</w:t>
            </w:r>
          </w:p>
        </w:tc>
        <w:tc>
          <w:tcPr>
            <w:tcW w:w="2820" w:type="dxa"/>
            <w:vAlign w:val="bottom"/>
          </w:tcPr>
          <w:p>
            <w:pPr>
              <w:spacing w:after="0"/>
              <w:rPr>
                <w:sz w:val="12"/>
                <w:szCs w:val="12"/>
                <w:color w:val="auto"/>
              </w:rPr>
            </w:pPr>
          </w:p>
        </w:tc>
      </w:tr>
      <w:tr>
        <w:trPr>
          <w:trHeight w:val="336"/>
        </w:trPr>
        <w:tc>
          <w:tcPr>
            <w:tcW w:w="2640" w:type="dxa"/>
            <w:vAlign w:val="bottom"/>
          </w:tcPr>
          <w:p>
            <w:pPr>
              <w:spacing w:after="0"/>
              <w:rPr>
                <w:sz w:val="20"/>
                <w:szCs w:val="20"/>
                <w:color w:val="auto"/>
              </w:rPr>
            </w:pPr>
            <w:r>
              <w:rPr>
                <w:rFonts w:ascii="Arial" w:cs="Arial" w:eastAsia="Arial" w:hAnsi="Arial"/>
                <w:sz w:val="12"/>
                <w:szCs w:val="12"/>
                <w:color w:val="auto"/>
              </w:rPr>
              <w:t>Gene therapy for an XLM disorder</w:t>
            </w:r>
          </w:p>
        </w:tc>
        <w:tc>
          <w:tcPr>
            <w:tcW w:w="2920" w:type="dxa"/>
            <w:vAlign w:val="bottom"/>
          </w:tcPr>
          <w:p>
            <w:pPr>
              <w:ind w:left="280"/>
              <w:spacing w:after="0"/>
              <w:rPr>
                <w:sz w:val="20"/>
                <w:szCs w:val="20"/>
                <w:color w:val="auto"/>
              </w:rPr>
            </w:pPr>
            <w:r>
              <w:rPr>
                <w:rFonts w:ascii="Arial" w:cs="Arial" w:eastAsia="Arial" w:hAnsi="Arial"/>
                <w:sz w:val="12"/>
                <w:szCs w:val="12"/>
                <w:color w:val="auto"/>
              </w:rPr>
              <w:t>SVP-Rapamycin co-administered with AAV</w:t>
            </w:r>
          </w:p>
        </w:tc>
        <w:tc>
          <w:tcPr>
            <w:tcW w:w="3060" w:type="dxa"/>
            <w:vAlign w:val="bottom"/>
          </w:tcPr>
          <w:p>
            <w:pPr>
              <w:ind w:left="300"/>
              <w:spacing w:after="0"/>
              <w:rPr>
                <w:sz w:val="20"/>
                <w:szCs w:val="20"/>
                <w:color w:val="auto"/>
              </w:rPr>
            </w:pPr>
            <w:r>
              <w:rPr>
                <w:rFonts w:ascii="Arial" w:cs="Arial" w:eastAsia="Arial" w:hAnsi="Arial"/>
                <w:sz w:val="12"/>
                <w:szCs w:val="12"/>
                <w:color w:val="auto"/>
              </w:rPr>
              <w:t>IND filing for first indication expected in 2018</w:t>
            </w:r>
          </w:p>
        </w:tc>
        <w:tc>
          <w:tcPr>
            <w:tcW w:w="2820" w:type="dxa"/>
            <w:vAlign w:val="bottom"/>
          </w:tcPr>
          <w:p>
            <w:pPr>
              <w:ind w:left="180"/>
              <w:spacing w:after="0"/>
              <w:rPr>
                <w:sz w:val="20"/>
                <w:szCs w:val="20"/>
                <w:color w:val="auto"/>
              </w:rPr>
            </w:pPr>
            <w:r>
              <w:rPr>
                <w:rFonts w:ascii="Arial" w:cs="Arial" w:eastAsia="Arial" w:hAnsi="Arial"/>
                <w:sz w:val="12"/>
                <w:szCs w:val="12"/>
                <w:color w:val="auto"/>
              </w:rPr>
              <w:t>Own development</w:t>
            </w:r>
          </w:p>
        </w:tc>
      </w:tr>
      <w:tr>
        <w:trPr>
          <w:trHeight w:val="336"/>
        </w:trPr>
        <w:tc>
          <w:tcPr>
            <w:tcW w:w="26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2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188" w:lineRule="exact"/>
        <w:rPr>
          <w:sz w:val="20"/>
          <w:szCs w:val="20"/>
          <w:color w:val="auto"/>
        </w:rPr>
      </w:pPr>
    </w:p>
    <w:p>
      <w:pPr>
        <w:sectPr>
          <w:pgSz w:w="11900" w:h="16838" w:orient="portrait"/>
          <w:cols w:equalWidth="0" w:num="1">
            <w:col w:w="11440"/>
          </w:cols>
          <w:pgMar w:left="240" w:top="132" w:right="219" w:bottom="1440" w:gutter="0" w:footer="0" w:header="0"/>
        </w:sectPr>
      </w:pPr>
    </w:p>
    <w:p>
      <w:pPr>
        <w:spacing w:after="0"/>
        <w:tabs>
          <w:tab w:leader="none" w:pos="2900" w:val="left"/>
          <w:tab w:leader="none" w:pos="5840" w:val="left"/>
        </w:tabs>
        <w:rPr>
          <w:sz w:val="20"/>
          <w:szCs w:val="20"/>
          <w:color w:val="auto"/>
        </w:rPr>
      </w:pPr>
      <w:r>
        <w:rPr>
          <w:rFonts w:ascii="Arial" w:cs="Arial" w:eastAsia="Arial" w:hAnsi="Arial"/>
          <w:sz w:val="12"/>
          <w:szCs w:val="12"/>
          <w:color w:val="auto"/>
        </w:rPr>
        <w:t>Smoking cessation and relapse prevention (SEL-070)</w:t>
      </w:r>
      <w:r>
        <w:rPr>
          <w:sz w:val="20"/>
          <w:szCs w:val="20"/>
          <w:color w:val="auto"/>
        </w:rPr>
        <w:tab/>
      </w:r>
      <w:r>
        <w:rPr>
          <w:rFonts w:ascii="Arial" w:cs="Arial" w:eastAsia="Arial" w:hAnsi="Arial"/>
          <w:sz w:val="12"/>
          <w:szCs w:val="12"/>
          <w:color w:val="auto"/>
        </w:rPr>
        <w:t>SVP-adjuvant and SVP-nicotine</w:t>
      </w:r>
      <w:r>
        <w:rPr>
          <w:sz w:val="20"/>
          <w:szCs w:val="20"/>
          <w:color w:val="auto"/>
        </w:rPr>
        <w:tab/>
      </w:r>
      <w:r>
        <w:rPr>
          <w:rFonts w:ascii="Arial" w:cs="Arial" w:eastAsia="Arial" w:hAnsi="Arial"/>
          <w:sz w:val="10"/>
          <w:szCs w:val="10"/>
          <w:color w:val="auto"/>
        </w:rPr>
        <w:t>Good laboratory practice, or GLP, toxicology studies</w:t>
      </w:r>
    </w:p>
    <w:p>
      <w:pPr>
        <w:ind w:left="5860"/>
        <w:spacing w:after="0"/>
        <w:rPr>
          <w:sz w:val="20"/>
          <w:szCs w:val="20"/>
          <w:color w:val="auto"/>
        </w:rPr>
      </w:pPr>
      <w:r>
        <w:rPr>
          <w:rFonts w:ascii="Arial" w:cs="Arial" w:eastAsia="Arial" w:hAnsi="Arial"/>
          <w:sz w:val="12"/>
          <w:szCs w:val="12"/>
          <w:color w:val="auto"/>
        </w:rPr>
        <w:t>ongoing</w:t>
      </w:r>
    </w:p>
    <w:p>
      <w:pPr>
        <w:spacing w:after="0" w:line="188" w:lineRule="exact"/>
        <w:rPr>
          <w:sz w:val="20"/>
          <w:szCs w:val="20"/>
          <w:color w:val="auto"/>
        </w:rPr>
      </w:pPr>
    </w:p>
    <w:p>
      <w:pPr>
        <w:spacing w:after="0"/>
        <w:tabs>
          <w:tab w:leader="none" w:pos="2900" w:val="left"/>
          <w:tab w:leader="none" w:pos="5840" w:val="left"/>
        </w:tabs>
        <w:rPr>
          <w:sz w:val="20"/>
          <w:szCs w:val="20"/>
          <w:color w:val="auto"/>
        </w:rPr>
      </w:pPr>
      <w:r>
        <w:rPr>
          <w:rFonts w:ascii="Arial" w:cs="Arial" w:eastAsia="Arial" w:hAnsi="Arial"/>
          <w:sz w:val="12"/>
          <w:szCs w:val="12"/>
          <w:color w:val="auto"/>
        </w:rPr>
        <w:t>HPV-associated cancer (SEL-701)</w:t>
      </w:r>
      <w:r>
        <w:rPr>
          <w:sz w:val="20"/>
          <w:szCs w:val="20"/>
          <w:color w:val="auto"/>
        </w:rPr>
        <w:tab/>
      </w:r>
      <w:r>
        <w:rPr>
          <w:rFonts w:ascii="Arial" w:cs="Arial" w:eastAsia="Arial" w:hAnsi="Arial"/>
          <w:sz w:val="12"/>
          <w:szCs w:val="12"/>
          <w:color w:val="auto"/>
        </w:rPr>
        <w:t>SVP-adjuvant and SVP-HPV antigen</w:t>
      </w:r>
      <w:r>
        <w:rPr>
          <w:sz w:val="20"/>
          <w:szCs w:val="20"/>
          <w:color w:val="auto"/>
        </w:rPr>
        <w:tab/>
      </w:r>
      <w:r>
        <w:rPr>
          <w:rFonts w:ascii="Arial" w:cs="Arial" w:eastAsia="Arial" w:hAnsi="Arial"/>
          <w:sz w:val="10"/>
          <w:szCs w:val="10"/>
          <w:color w:val="auto"/>
        </w:rPr>
        <w:t>Preclinical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491490</wp:posOffset>
            </wp:positionV>
            <wp:extent cx="726630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0"/>
        <w:spacing w:after="0" w:line="238" w:lineRule="auto"/>
        <w:rPr>
          <w:sz w:val="20"/>
          <w:szCs w:val="20"/>
          <w:color w:val="auto"/>
        </w:rPr>
      </w:pPr>
      <w:r>
        <w:rPr>
          <w:rFonts w:ascii="Arial" w:cs="Arial" w:eastAsia="Arial" w:hAnsi="Arial"/>
          <w:sz w:val="12"/>
          <w:szCs w:val="12"/>
          <w:color w:val="auto"/>
        </w:rPr>
        <w:t>Own development, with grant from the National Institute on Drug Abuse, or NIDA</w:t>
      </w:r>
    </w:p>
    <w:p>
      <w:pPr>
        <w:spacing w:after="0" w:line="190" w:lineRule="exact"/>
        <w:rPr>
          <w:sz w:val="20"/>
          <w:szCs w:val="20"/>
          <w:color w:val="auto"/>
        </w:rPr>
      </w:pPr>
    </w:p>
    <w:p>
      <w:pPr>
        <w:ind w:right="80"/>
        <w:spacing w:after="0" w:line="230" w:lineRule="auto"/>
        <w:rPr>
          <w:sz w:val="20"/>
          <w:szCs w:val="20"/>
          <w:color w:val="auto"/>
        </w:rPr>
      </w:pPr>
      <w:r>
        <w:rPr>
          <w:rFonts w:ascii="Arial" w:cs="Arial" w:eastAsia="Arial" w:hAnsi="Arial"/>
          <w:sz w:val="12"/>
          <w:szCs w:val="12"/>
          <w:color w:val="auto"/>
        </w:rPr>
        <w:t>Own development, with grant from the Russian-based Development Fund of New Technologies Development and Commercialization Center, or the Skolkovo Foundation</w:t>
      </w:r>
    </w:p>
    <w:p>
      <w:pPr>
        <w:spacing w:after="0" w:line="200" w:lineRule="exact"/>
        <w:rPr>
          <w:sz w:val="20"/>
          <w:szCs w:val="20"/>
          <w:color w:val="auto"/>
        </w:rPr>
      </w:pPr>
    </w:p>
    <w:p>
      <w:pPr>
        <w:sectPr>
          <w:pgSz w:w="11900" w:h="16838" w:orient="portrait"/>
          <w:cols w:equalWidth="0" w:num="2">
            <w:col w:w="8320" w:space="480"/>
            <w:col w:w="2640"/>
          </w:cols>
          <w:pgMar w:left="240" w:top="132" w:right="219" w:bottom="1440" w:gutter="0" w:footer="0" w:header="0"/>
          <w:type w:val="continuous"/>
        </w:sect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summarizes our current discovery pipeline.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3180" w:type="dxa"/>
            <w:vAlign w:val="bottom"/>
            <w:tcBorders>
              <w:bottom w:val="single" w:sz="8" w:color="auto"/>
            </w:tcBorders>
          </w:tcPr>
          <w:p>
            <w:pPr>
              <w:ind w:left="1740"/>
              <w:spacing w:after="0"/>
              <w:rPr>
                <w:sz w:val="20"/>
                <w:szCs w:val="20"/>
                <w:color w:val="auto"/>
              </w:rPr>
            </w:pPr>
            <w:r>
              <w:rPr>
                <w:rFonts w:ascii="Arial" w:cs="Arial" w:eastAsia="Arial" w:hAnsi="Arial"/>
                <w:sz w:val="12"/>
                <w:szCs w:val="12"/>
                <w:b w:val="1"/>
                <w:bCs w:val="1"/>
                <w:color w:val="auto"/>
              </w:rPr>
              <w:t>Description</w:t>
            </w:r>
          </w:p>
        </w:tc>
        <w:tc>
          <w:tcPr>
            <w:tcW w:w="2960" w:type="dxa"/>
            <w:vAlign w:val="bottom"/>
            <w:tcBorders>
              <w:bottom w:val="single" w:sz="8" w:color="auto"/>
            </w:tcBorders>
          </w:tcPr>
          <w:p>
            <w:pPr>
              <w:ind w:left="1260"/>
              <w:spacing w:after="0"/>
              <w:rPr>
                <w:sz w:val="20"/>
                <w:szCs w:val="20"/>
                <w:color w:val="auto"/>
              </w:rPr>
            </w:pPr>
            <w:r>
              <w:rPr>
                <w:rFonts w:ascii="Arial" w:cs="Arial" w:eastAsia="Arial" w:hAnsi="Arial"/>
                <w:sz w:val="12"/>
                <w:szCs w:val="12"/>
                <w:b w:val="1"/>
                <w:bCs w:val="1"/>
                <w:color w:val="auto"/>
              </w:rPr>
              <w:t>Development status</w:t>
            </w: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1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3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r>
      <w:tr>
        <w:trPr>
          <w:trHeight w:val="327"/>
        </w:trPr>
        <w:tc>
          <w:tcPr>
            <w:tcW w:w="2140" w:type="dxa"/>
            <w:vAlign w:val="bottom"/>
          </w:tcPr>
          <w:p>
            <w:pPr>
              <w:spacing w:after="0"/>
              <w:rPr>
                <w:sz w:val="20"/>
                <w:szCs w:val="20"/>
                <w:color w:val="auto"/>
              </w:rPr>
            </w:pPr>
            <w:r>
              <w:rPr>
                <w:rFonts w:ascii="Arial" w:cs="Arial" w:eastAsia="Arial" w:hAnsi="Arial"/>
                <w:sz w:val="12"/>
                <w:szCs w:val="12"/>
                <w:color w:val="auto"/>
              </w:rPr>
              <w:t>Food allergy</w:t>
            </w:r>
          </w:p>
        </w:tc>
        <w:tc>
          <w:tcPr>
            <w:tcW w:w="3180" w:type="dxa"/>
            <w:vAlign w:val="bottom"/>
          </w:tcPr>
          <w:p>
            <w:pPr>
              <w:ind w:left="780"/>
              <w:spacing w:after="0"/>
              <w:rPr>
                <w:sz w:val="20"/>
                <w:szCs w:val="20"/>
                <w:color w:val="auto"/>
              </w:rPr>
            </w:pPr>
            <w:r>
              <w:rPr>
                <w:rFonts w:ascii="Arial" w:cs="Arial" w:eastAsia="Arial" w:hAnsi="Arial"/>
                <w:sz w:val="12"/>
                <w:szCs w:val="12"/>
                <w:color w:val="auto"/>
              </w:rPr>
              <w:t>SVP-adjuvant and SVP-food allergen</w:t>
            </w:r>
          </w:p>
        </w:tc>
        <w:tc>
          <w:tcPr>
            <w:tcW w:w="2960" w:type="dxa"/>
            <w:vAlign w:val="bottom"/>
          </w:tcPr>
          <w:p>
            <w:pPr>
              <w:ind w:left="540"/>
              <w:spacing w:after="0"/>
              <w:rPr>
                <w:sz w:val="20"/>
                <w:szCs w:val="20"/>
                <w:color w:val="auto"/>
              </w:rPr>
            </w:pPr>
            <w:r>
              <w:rPr>
                <w:rFonts w:ascii="Arial" w:cs="Arial" w:eastAsia="Arial" w:hAnsi="Arial"/>
                <w:sz w:val="12"/>
                <w:szCs w:val="12"/>
                <w:color w:val="auto"/>
              </w:rPr>
              <w:t>Discovery</w:t>
            </w:r>
          </w:p>
        </w:tc>
        <w:tc>
          <w:tcPr>
            <w:tcW w:w="3160" w:type="dxa"/>
            <w:vAlign w:val="bottom"/>
          </w:tcPr>
          <w:p>
            <w:pPr>
              <w:ind w:left="520"/>
              <w:spacing w:after="0"/>
              <w:rPr>
                <w:sz w:val="20"/>
                <w:szCs w:val="20"/>
                <w:color w:val="auto"/>
              </w:rPr>
            </w:pPr>
            <w:r>
              <w:rPr>
                <w:rFonts w:ascii="Arial" w:cs="Arial" w:eastAsia="Arial" w:hAnsi="Arial"/>
                <w:sz w:val="12"/>
                <w:szCs w:val="12"/>
                <w:color w:val="auto"/>
              </w:rPr>
              <w:t>Sanofi worldwide exclusive license</w:t>
            </w:r>
          </w:p>
        </w:tc>
      </w:tr>
      <w:tr>
        <w:trPr>
          <w:trHeight w:val="336"/>
        </w:trPr>
        <w:tc>
          <w:tcPr>
            <w:tcW w:w="2140" w:type="dxa"/>
            <w:vAlign w:val="bottom"/>
          </w:tcPr>
          <w:p>
            <w:pPr>
              <w:spacing w:after="0"/>
              <w:rPr>
                <w:sz w:val="20"/>
                <w:szCs w:val="20"/>
                <w:color w:val="auto"/>
              </w:rPr>
            </w:pPr>
            <w:r>
              <w:rPr>
                <w:rFonts w:ascii="Arial" w:cs="Arial" w:eastAsia="Arial" w:hAnsi="Arial"/>
                <w:sz w:val="12"/>
                <w:szCs w:val="12"/>
                <w:color w:val="auto"/>
              </w:rPr>
              <w:t>Celiac disease</w:t>
            </w:r>
          </w:p>
        </w:tc>
        <w:tc>
          <w:tcPr>
            <w:tcW w:w="3180" w:type="dxa"/>
            <w:vAlign w:val="bottom"/>
          </w:tcPr>
          <w:p>
            <w:pPr>
              <w:ind w:left="780"/>
              <w:spacing w:after="0"/>
              <w:rPr>
                <w:sz w:val="20"/>
                <w:szCs w:val="20"/>
                <w:color w:val="auto"/>
              </w:rPr>
            </w:pPr>
            <w:r>
              <w:rPr>
                <w:rFonts w:ascii="Arial" w:cs="Arial" w:eastAsia="Arial" w:hAnsi="Arial"/>
                <w:sz w:val="12"/>
                <w:szCs w:val="12"/>
                <w:color w:val="auto"/>
              </w:rPr>
              <w:t>SVP-Rapamycin and SVP-gluten</w:t>
            </w:r>
          </w:p>
        </w:tc>
        <w:tc>
          <w:tcPr>
            <w:tcW w:w="2960" w:type="dxa"/>
            <w:vAlign w:val="bottom"/>
          </w:tcPr>
          <w:p>
            <w:pPr>
              <w:ind w:left="540"/>
              <w:spacing w:after="0"/>
              <w:rPr>
                <w:sz w:val="20"/>
                <w:szCs w:val="20"/>
                <w:color w:val="auto"/>
              </w:rPr>
            </w:pPr>
            <w:r>
              <w:rPr>
                <w:rFonts w:ascii="Arial" w:cs="Arial" w:eastAsia="Arial" w:hAnsi="Arial"/>
                <w:sz w:val="12"/>
                <w:szCs w:val="12"/>
                <w:color w:val="auto"/>
              </w:rPr>
              <w:t>Discovery</w:t>
            </w:r>
          </w:p>
        </w:tc>
        <w:tc>
          <w:tcPr>
            <w:tcW w:w="3160" w:type="dxa"/>
            <w:vAlign w:val="bottom"/>
          </w:tcPr>
          <w:p>
            <w:pPr>
              <w:ind w:left="520"/>
              <w:spacing w:after="0"/>
              <w:rPr>
                <w:sz w:val="20"/>
                <w:szCs w:val="20"/>
                <w:color w:val="auto"/>
              </w:rPr>
            </w:pPr>
            <w:r>
              <w:rPr>
                <w:rFonts w:ascii="Arial" w:cs="Arial" w:eastAsia="Arial" w:hAnsi="Arial"/>
                <w:sz w:val="12"/>
                <w:szCs w:val="12"/>
                <w:color w:val="auto"/>
              </w:rPr>
              <w:t>Sanofi worldwide exclusive license</w:t>
            </w:r>
          </w:p>
        </w:tc>
      </w:tr>
      <w:tr>
        <w:trPr>
          <w:trHeight w:val="316"/>
        </w:trPr>
        <w:tc>
          <w:tcPr>
            <w:tcW w:w="2140" w:type="dxa"/>
            <w:vAlign w:val="bottom"/>
          </w:tcPr>
          <w:p>
            <w:pPr>
              <w:spacing w:after="0"/>
              <w:rPr>
                <w:sz w:val="20"/>
                <w:szCs w:val="20"/>
                <w:color w:val="auto"/>
              </w:rPr>
            </w:pPr>
            <w:r>
              <w:rPr>
                <w:rFonts w:ascii="Arial" w:cs="Arial" w:eastAsia="Arial" w:hAnsi="Arial"/>
                <w:sz w:val="12"/>
                <w:szCs w:val="12"/>
                <w:color w:val="auto"/>
              </w:rPr>
              <w:t>Type 1 diabetes</w:t>
            </w:r>
          </w:p>
        </w:tc>
        <w:tc>
          <w:tcPr>
            <w:tcW w:w="3180" w:type="dxa"/>
            <w:vAlign w:val="bottom"/>
          </w:tcPr>
          <w:p>
            <w:pPr>
              <w:ind w:left="780"/>
              <w:spacing w:after="0"/>
              <w:rPr>
                <w:sz w:val="20"/>
                <w:szCs w:val="20"/>
                <w:color w:val="auto"/>
              </w:rPr>
            </w:pPr>
            <w:r>
              <w:rPr>
                <w:rFonts w:ascii="Arial" w:cs="Arial" w:eastAsia="Arial" w:hAnsi="Arial"/>
                <w:sz w:val="12"/>
                <w:szCs w:val="12"/>
                <w:color w:val="auto"/>
              </w:rPr>
              <w:t>SVP-Rapamycin and SVP-insulin</w:t>
            </w:r>
          </w:p>
        </w:tc>
        <w:tc>
          <w:tcPr>
            <w:tcW w:w="2960" w:type="dxa"/>
            <w:vAlign w:val="bottom"/>
          </w:tcPr>
          <w:p>
            <w:pPr>
              <w:ind w:left="540"/>
              <w:spacing w:after="0"/>
              <w:rPr>
                <w:sz w:val="20"/>
                <w:szCs w:val="20"/>
                <w:color w:val="auto"/>
              </w:rPr>
            </w:pPr>
            <w:r>
              <w:rPr>
                <w:rFonts w:ascii="Arial" w:cs="Arial" w:eastAsia="Arial" w:hAnsi="Arial"/>
                <w:sz w:val="12"/>
                <w:szCs w:val="12"/>
                <w:color w:val="auto"/>
              </w:rPr>
              <w:t>Discovery</w:t>
            </w:r>
          </w:p>
        </w:tc>
        <w:tc>
          <w:tcPr>
            <w:tcW w:w="3160" w:type="dxa"/>
            <w:vAlign w:val="bottom"/>
          </w:tcPr>
          <w:p>
            <w:pPr>
              <w:ind w:left="520"/>
              <w:spacing w:after="0"/>
              <w:rPr>
                <w:sz w:val="20"/>
                <w:szCs w:val="20"/>
                <w:color w:val="auto"/>
              </w:rPr>
            </w:pPr>
            <w:r>
              <w:rPr>
                <w:rFonts w:ascii="Arial" w:cs="Arial" w:eastAsia="Arial" w:hAnsi="Arial"/>
                <w:sz w:val="12"/>
                <w:szCs w:val="12"/>
                <w:color w:val="auto"/>
                <w:w w:val="90"/>
              </w:rPr>
              <w:t>Sanofi and Juvenile Diabetes Research Foundation, or</w:t>
            </w:r>
          </w:p>
        </w:tc>
      </w:tr>
      <w:tr>
        <w:trPr>
          <w:trHeight w:val="147"/>
        </w:trPr>
        <w:tc>
          <w:tcPr>
            <w:tcW w:w="2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20"/>
              <w:spacing w:after="0"/>
              <w:rPr>
                <w:sz w:val="20"/>
                <w:szCs w:val="20"/>
                <w:color w:val="auto"/>
              </w:rPr>
            </w:pPr>
            <w:r>
              <w:rPr>
                <w:rFonts w:ascii="Arial" w:cs="Arial" w:eastAsia="Arial" w:hAnsi="Arial"/>
                <w:sz w:val="12"/>
                <w:szCs w:val="12"/>
                <w:color w:val="auto"/>
              </w:rPr>
              <w:t>JDRF, sponsored research program</w:t>
            </w:r>
          </w:p>
        </w:tc>
      </w:tr>
      <w:tr>
        <w:trPr>
          <w:trHeight w:val="336"/>
        </w:trPr>
        <w:tc>
          <w:tcPr>
            <w:tcW w:w="21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3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16"/>
        </w:trPr>
        <w:tc>
          <w:tcPr>
            <w:tcW w:w="2140" w:type="dxa"/>
            <w:vAlign w:val="bottom"/>
          </w:tcPr>
          <w:p>
            <w:pPr>
              <w:spacing w:after="0"/>
              <w:rPr>
                <w:sz w:val="20"/>
                <w:szCs w:val="20"/>
                <w:color w:val="auto"/>
              </w:rPr>
            </w:pPr>
            <w:r>
              <w:rPr>
                <w:rFonts w:ascii="Arial" w:cs="Arial" w:eastAsia="Arial" w:hAnsi="Arial"/>
                <w:sz w:val="12"/>
                <w:szCs w:val="12"/>
                <w:color w:val="auto"/>
              </w:rPr>
              <w:t>Malaria</w:t>
            </w:r>
          </w:p>
        </w:tc>
        <w:tc>
          <w:tcPr>
            <w:tcW w:w="3180" w:type="dxa"/>
            <w:vAlign w:val="bottom"/>
          </w:tcPr>
          <w:p>
            <w:pPr>
              <w:ind w:left="780"/>
              <w:spacing w:after="0"/>
              <w:rPr>
                <w:sz w:val="20"/>
                <w:szCs w:val="20"/>
                <w:color w:val="auto"/>
              </w:rPr>
            </w:pPr>
            <w:r>
              <w:rPr>
                <w:rFonts w:ascii="Arial" w:cs="Arial" w:eastAsia="Arial" w:hAnsi="Arial"/>
                <w:sz w:val="12"/>
                <w:szCs w:val="12"/>
                <w:color w:val="auto"/>
              </w:rPr>
              <w:t>SVP-adjuvant and SVP-malaria antigen</w:t>
            </w:r>
          </w:p>
        </w:tc>
        <w:tc>
          <w:tcPr>
            <w:tcW w:w="2960" w:type="dxa"/>
            <w:vAlign w:val="bottom"/>
          </w:tcPr>
          <w:p>
            <w:pPr>
              <w:ind w:left="540"/>
              <w:spacing w:after="0"/>
              <w:rPr>
                <w:sz w:val="20"/>
                <w:szCs w:val="20"/>
                <w:color w:val="auto"/>
              </w:rPr>
            </w:pPr>
            <w:r>
              <w:rPr>
                <w:rFonts w:ascii="Arial" w:cs="Arial" w:eastAsia="Arial" w:hAnsi="Arial"/>
                <w:sz w:val="12"/>
                <w:szCs w:val="12"/>
                <w:color w:val="auto"/>
              </w:rPr>
              <w:t>Discovery</w:t>
            </w:r>
          </w:p>
        </w:tc>
        <w:tc>
          <w:tcPr>
            <w:tcW w:w="3160" w:type="dxa"/>
            <w:vAlign w:val="bottom"/>
          </w:tcPr>
          <w:p>
            <w:pPr>
              <w:ind w:left="520"/>
              <w:spacing w:after="0"/>
              <w:rPr>
                <w:sz w:val="20"/>
                <w:szCs w:val="20"/>
                <w:color w:val="auto"/>
              </w:rPr>
            </w:pPr>
            <w:r>
              <w:rPr>
                <w:rFonts w:ascii="Arial" w:cs="Arial" w:eastAsia="Arial" w:hAnsi="Arial"/>
                <w:sz w:val="12"/>
                <w:szCs w:val="12"/>
                <w:color w:val="auto"/>
                <w:w w:val="98"/>
              </w:rPr>
              <w:t>The Bill and Melinda Gates Foundation sponsored</w:t>
            </w:r>
          </w:p>
        </w:tc>
      </w:tr>
      <w:tr>
        <w:trPr>
          <w:trHeight w:val="147"/>
        </w:trPr>
        <w:tc>
          <w:tcPr>
            <w:tcW w:w="2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20"/>
              <w:spacing w:after="0"/>
              <w:rPr>
                <w:sz w:val="20"/>
                <w:szCs w:val="20"/>
                <w:color w:val="auto"/>
              </w:rPr>
            </w:pPr>
            <w:r>
              <w:rPr>
                <w:rFonts w:ascii="Arial" w:cs="Arial" w:eastAsia="Arial" w:hAnsi="Arial"/>
                <w:sz w:val="12"/>
                <w:szCs w:val="12"/>
                <w:color w:val="auto"/>
              </w:rPr>
              <w:t>research 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243205</wp:posOffset>
            </wp:positionV>
            <wp:extent cx="726630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jc w:val="both"/>
        <w:ind w:right="120"/>
        <w:spacing w:after="0" w:line="282" w:lineRule="auto"/>
        <w:rPr>
          <w:sz w:val="20"/>
          <w:szCs w:val="20"/>
          <w:color w:val="auto"/>
        </w:rPr>
      </w:pPr>
      <w:r>
        <w:rPr>
          <w:rFonts w:ascii="Arial" w:cs="Arial" w:eastAsia="Arial" w:hAnsi="Arial"/>
          <w:sz w:val="15"/>
          <w:szCs w:val="15"/>
          <w:color w:val="auto"/>
        </w:rPr>
        <w:t>Our goal is to become the first biopharmaceutical company to develop and commercialize targeted therapies that are designed to modulate the immune system to effectively and safely treat rare and serious diseases. In addition, we intend to maximize the value of our SVP technology by collaborating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11" w:name="page112"/>
    <w:bookmarkEnd w:id="11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4"/>
          <w:szCs w:val="14"/>
          <w:color w:val="auto"/>
        </w:rPr>
        <w:t>with biopharmaceutical companies on programs that can benefit from our technology but that are outside our area of focus. The key elements of our strategy include the following.</w:t>
      </w:r>
    </w:p>
    <w:p>
      <w:pPr>
        <w:spacing w:after="0" w:line="221" w:lineRule="exact"/>
        <w:rPr>
          <w:sz w:val="20"/>
          <w:szCs w:val="20"/>
          <w:color w:val="auto"/>
        </w:rPr>
      </w:pPr>
    </w:p>
    <w:p>
      <w:pPr>
        <w:ind w:left="467" w:right="20" w:hanging="467"/>
        <w:spacing w:after="0" w:line="263" w:lineRule="auto"/>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Rapidly advance the development of our lead product candidate, SEL-212, for the treatment of refractory and chronic tophaceous gout. </w:t>
      </w:r>
      <w:r>
        <w:rPr>
          <w:rFonts w:ascii="Arial" w:cs="Arial" w:eastAsia="Arial" w:hAnsi="Arial"/>
          <w:sz w:val="15"/>
          <w:szCs w:val="15"/>
          <w:color w:val="auto"/>
        </w:rPr>
        <w:t>We believe SEL-212 has the potential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the first biologic treatment for gout that durably controls uric acid in refractory gout and dissolves and removes harmful deposits of uric acid crystals in chronic tophaceous gout in a majority of patients. We are currently conducting a comprehensive Phase 1/2 clinical program, comprised of two Phase 1 clinical studies, for which we expect to receive final data in the second half of 2016, and a Phase 2 clinical trial, which we expect to initiate in the second half of 2016 and for which we expect to receive data in the first half of 2017. We plan to advance this program through regulatory approval and commercialization.</w:t>
      </w:r>
    </w:p>
    <w:p>
      <w:pPr>
        <w:spacing w:after="0" w:line="189" w:lineRule="exact"/>
        <w:rPr>
          <w:rFonts w:ascii="Arial" w:cs="Arial" w:eastAsia="Arial" w:hAnsi="Arial"/>
          <w:sz w:val="15"/>
          <w:szCs w:val="15"/>
          <w:color w:val="auto"/>
        </w:rPr>
      </w:pPr>
    </w:p>
    <w:p>
      <w:pPr>
        <w:ind w:left="467" w:right="40" w:hanging="467"/>
        <w:spacing w:after="0" w:line="313" w:lineRule="auto"/>
        <w:tabs>
          <w:tab w:leader="none" w:pos="467"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Leverage our SVP technology for immune tolerance to develop novel uses and classes of non-immunogenic biologics. </w:t>
      </w:r>
      <w:r>
        <w:rPr>
          <w:rFonts w:ascii="Arial" w:cs="Arial" w:eastAsia="Arial" w:hAnsi="Arial"/>
          <w:sz w:val="13"/>
          <w:szCs w:val="13"/>
          <w:color w:val="auto"/>
        </w:rPr>
        <w:t>We intend to use our SVP technology to develop gene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therapies designed to mitigate the formation of ADAs and therefore enable repeat administration and first-in-class non-immunogenic versions of therapeutic enzymes or proteins for human therapy. We have several programs in various stages of discovery and we plan to continue to identify opportunities. In addition, we intend to pursue opportunities to in-license proprietary enzymes that we can co-administer with our SVP-Rapamycin to address the issues of immunogenicity and develop effective proprietary products. We also intend to use our SVP technology to develop AAV-based gene therapies designed to mitigate the formation of ADAs and therefore enable repeat administration.</w:t>
      </w:r>
    </w:p>
    <w:p>
      <w:pPr>
        <w:spacing w:after="0" w:line="148" w:lineRule="exact"/>
        <w:rPr>
          <w:rFonts w:ascii="Arial" w:cs="Arial" w:eastAsia="Arial" w:hAnsi="Arial"/>
          <w:sz w:val="13"/>
          <w:szCs w:val="13"/>
          <w:color w:val="auto"/>
        </w:rPr>
      </w:pPr>
    </w:p>
    <w:p>
      <w:pPr>
        <w:ind w:left="467" w:right="20" w:hanging="467"/>
        <w:spacing w:after="0" w:line="290" w:lineRule="auto"/>
        <w:tabs>
          <w:tab w:leader="none" w:pos="467" w:val="left"/>
        </w:tabs>
        <w:numPr>
          <w:ilvl w:val="0"/>
          <w:numId w:val="7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Establish infrastructure and capabilities to commercialize our products in rare and orphan diseases. </w:t>
      </w:r>
      <w:r>
        <w:rPr>
          <w:rFonts w:ascii="Arial" w:cs="Arial" w:eastAsia="Arial" w:hAnsi="Arial"/>
          <w:sz w:val="14"/>
          <w:szCs w:val="14"/>
          <w:color w:val="auto"/>
        </w:rPr>
        <w:t>While we believe our SVP technology may be broadly applicable across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disease areas, we intend to focus our proprietary efforts on developing and commercializing proprietary SVP-enabled products for rare and serious diseases where there is high unmet medical need. Therapies for treating these diseases require 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59" w:lineRule="exact"/>
        <w:rPr>
          <w:rFonts w:ascii="Arial" w:cs="Arial" w:eastAsia="Arial" w:hAnsi="Arial"/>
          <w:sz w:val="14"/>
          <w:szCs w:val="14"/>
          <w:color w:val="auto"/>
        </w:rPr>
      </w:pPr>
    </w:p>
    <w:p>
      <w:pPr>
        <w:ind w:left="467" w:right="80" w:hanging="467"/>
        <w:spacing w:after="0" w:line="297" w:lineRule="auto"/>
        <w:tabs>
          <w:tab w:leader="none" w:pos="467" w:val="left"/>
        </w:tabs>
        <w:numPr>
          <w:ilvl w:val="0"/>
          <w:numId w:val="7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Selectively pursue collaborations and maximize the value of our SVP programs for immune tolerance. </w:t>
      </w:r>
      <w:r>
        <w:rPr>
          <w:rFonts w:ascii="Arial" w:cs="Arial" w:eastAsia="Arial" w:hAnsi="Arial"/>
          <w:sz w:val="14"/>
          <w:szCs w:val="14"/>
          <w:color w:val="auto"/>
        </w:rPr>
        <w:t>In addition to our own proprietary product development efforts, we are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discussions with potential collaborators and licensees to pursue novel gene therapies and are collaborating with Sanofi on programs for a food allergy, celiac disease and type 1 diabetes. We also intend to selectively pursue additional collaborations with biopharmaceutical companies to further leverage our SVP technology.</w:t>
      </w:r>
    </w:p>
    <w:p>
      <w:pPr>
        <w:spacing w:after="0" w:line="166" w:lineRule="exact"/>
        <w:rPr>
          <w:rFonts w:ascii="Arial" w:cs="Arial" w:eastAsia="Arial" w:hAnsi="Arial"/>
          <w:sz w:val="14"/>
          <w:szCs w:val="14"/>
          <w:color w:val="auto"/>
        </w:rPr>
      </w:pPr>
    </w:p>
    <w:p>
      <w:pPr>
        <w:ind w:left="467" w:right="100" w:hanging="467"/>
        <w:spacing w:after="0" w:line="313" w:lineRule="auto"/>
        <w:tabs>
          <w:tab w:leader="none" w:pos="467"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 system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prevention on our own with grant funding from the Skolkovo Foundation for our HPV program and from the National Institute for Drug Abuse for our nicotine program. We are developing our malaria program under a sponsored research arrangement with The Bill and Melinda Gates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266305"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2" w:name="page113"/>
    <w:bookmarkEnd w:id="1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 OF THE HUMAN IMMUNE SYSTEM</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human immune system is an integrated system of specialized immune cells, cell products and tissues that protect against infectious disease and cancer. The immune system recognizes antigens, which are substances, such as proteins, enzymes or complex sugars. These antigens can be endogenous, or self-antigens, which are produced by the body, or exogenous antigens derived from foreign sources, such as viruses, fungi or bacteria. The human immune system has evolved to recognize and destroy potentially harmful substances. To function effectively, the immune system must discern between harmful antigens and innocuous antigens. The immune system maintains a delicate balance between effector cells, which mount immune responses to antigens that represent potential threats, and regulatory cells, which mitigate undesired and potentially harmful immune responses through immune tolerance. Depending upon the characteristics of the antigen and the context in which the antigen is encountered, the immune system must determine whether to mount a defensive (effector) or regulatory (tolerogenic) immune response.</w:t>
      </w:r>
    </w:p>
    <w:p>
      <w:pPr>
        <w:spacing w:after="0" w:line="169"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color w:val="auto"/>
        </w:rPr>
        <w:t>Antigens are processed in lymphoid organs, such as lymph nodes and the spleen, where the immune system determines whether to mount a defensive or regulatory response through a process called "antigen presentation." In connection with antigen presentation, dendritic cells process the antigens and present them to T cells. When presented, antigens perceived as harmful induce a stimulatory response that can result in the activation of cytolytic T cells or helper T cells, the latter of which help to induce B cells to produce antibodies. The role of cytolytic T cells is to kill cells that harbor intracellular antigens, such as viruses. The role of antibodies is to neutralize or eliminate extracellular antigens on cell surfaces or in interstitial fluids, such as plasma. Figure 1 below depicts both antigen presentation and the related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99060</wp:posOffset>
            </wp:positionV>
            <wp:extent cx="3272790" cy="1941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272790" cy="194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 Antigen Presentation and Related Tolerogenic or Stimulatory Immune Response</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There are a number of diseases that occur when the immune system mounts an undesired response to an innocuous foreign antigen or a self-antigen. For example, food allergy occurs when the immune system mounts an immune response to innocuous food particles. Another example of undesired immunogenicity occurs when the immune system is exposed to a biologic treatment, recognizes it as a foreign antigen and instructs the body to mount a defense by forming ADAs to the antigen, which can compromise a therapy's desired beneficial effect. Undesired immunogenicity is common with biologic therapies, such as in enzyme and protein replacement therapies, and in novel technologies, such as gene therapy and antibody-drug conjugates.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13" w:name="page114"/>
    <w:bookmarkEnd w:id="11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number of therapies have been developed to modulate an immune response. These therapies fall into two categories:</w:t>
      </w:r>
    </w:p>
    <w:p>
      <w:pPr>
        <w:spacing w:after="0" w:line="210" w:lineRule="exact"/>
        <w:rPr>
          <w:sz w:val="20"/>
          <w:szCs w:val="20"/>
          <w:color w:val="auto"/>
        </w:rPr>
      </w:pPr>
    </w:p>
    <w:p>
      <w:pPr>
        <w:ind w:left="467" w:right="260" w:hanging="467"/>
        <w:spacing w:after="0" w:line="266" w:lineRule="auto"/>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 xml:space="preserve">Immunosuppressive therapies. </w:t>
      </w:r>
      <w:r>
        <w:rPr>
          <w:rFonts w:ascii="Arial" w:cs="Arial" w:eastAsia="Arial" w:hAnsi="Arial"/>
          <w:sz w:val="15"/>
          <w:szCs w:val="15"/>
          <w:color w:val="auto"/>
        </w:rPr>
        <w:t>Immunosuppressive therapies are designed to suppress the immune system and inhibit an undesired immune response. However, many current</w:t>
      </w:r>
      <w:r>
        <w:rPr>
          <w:rFonts w:ascii="Arial" w:cs="Arial" w:eastAsia="Arial" w:hAnsi="Arial"/>
          <w:sz w:val="15"/>
          <w:szCs w:val="15"/>
          <w:i w:val="1"/>
          <w:iCs w:val="1"/>
          <w:color w:val="auto"/>
        </w:rPr>
        <w:t xml:space="preserve"> </w:t>
      </w:r>
      <w:r>
        <w:rPr>
          <w:rFonts w:ascii="Arial" w:cs="Arial" w:eastAsia="Arial" w:hAnsi="Arial"/>
          <w:sz w:val="15"/>
          <w:szCs w:val="15"/>
          <w:color w:val="auto"/>
        </w:rPr>
        <w:t>therapies are not antigen-specific and, as a result, broadly suppress the immune system leading to undesired side effects that include opportunistic infections, skin cancer and lymphomas. We believe there is an opportunity to develop therapies that instruct the immune system to remain tolerant to a specific antigen and thereby avoid off-target effects of systemic immunosuppression.</w:t>
      </w:r>
    </w:p>
    <w:p>
      <w:pPr>
        <w:spacing w:after="0" w:line="185" w:lineRule="exact"/>
        <w:rPr>
          <w:rFonts w:ascii="Arial" w:cs="Arial" w:eastAsia="Arial" w:hAnsi="Arial"/>
          <w:sz w:val="15"/>
          <w:szCs w:val="15"/>
          <w:color w:val="auto"/>
        </w:rPr>
      </w:pPr>
    </w:p>
    <w:p>
      <w:pPr>
        <w:ind w:left="467" w:right="40" w:hanging="467"/>
        <w:spacing w:after="0" w:line="290" w:lineRule="auto"/>
        <w:tabs>
          <w:tab w:leader="none" w:pos="467" w:val="left"/>
        </w:tabs>
        <w:numPr>
          <w:ilvl w:val="0"/>
          <w:numId w:val="71"/>
        </w:numPr>
        <w:rPr>
          <w:rFonts w:ascii="Arial" w:cs="Arial" w:eastAsia="Arial" w:hAnsi="Arial"/>
          <w:sz w:val="14"/>
          <w:szCs w:val="14"/>
          <w:color w:val="auto"/>
        </w:rPr>
      </w:pPr>
      <w:r>
        <w:rPr>
          <w:rFonts w:ascii="Arial" w:cs="Arial" w:eastAsia="Arial" w:hAnsi="Arial"/>
          <w:sz w:val="14"/>
          <w:szCs w:val="14"/>
          <w:i w:val="1"/>
          <w:iCs w:val="1"/>
          <w:color w:val="auto"/>
        </w:rPr>
        <w:t xml:space="preserve">Immunostimulatory therapies. </w:t>
      </w:r>
      <w:r>
        <w:rPr>
          <w:rFonts w:ascii="Arial" w:cs="Arial" w:eastAsia="Arial" w:hAnsi="Arial"/>
          <w:sz w:val="14"/>
          <w:szCs w:val="14"/>
          <w:color w:val="auto"/>
        </w:rPr>
        <w:t>Immunostimulatory therapies are designed to stimulate the immune system to prevent or treat infections and cancers. The most common class of</w:t>
      </w:r>
      <w:r>
        <w:rPr>
          <w:rFonts w:ascii="Arial" w:cs="Arial" w:eastAsia="Arial" w:hAnsi="Arial"/>
          <w:sz w:val="14"/>
          <w:szCs w:val="14"/>
          <w:i w:val="1"/>
          <w:iCs w:val="1"/>
          <w:color w:val="auto"/>
        </w:rPr>
        <w:t xml:space="preserve"> </w:t>
      </w:r>
      <w:r>
        <w:rPr>
          <w:rFonts w:ascii="Arial" w:cs="Arial" w:eastAsia="Arial" w:hAnsi="Arial"/>
          <w:sz w:val="14"/>
          <w:szCs w:val="14"/>
          <w:color w:val="auto"/>
        </w:rPr>
        <w:t>immunostimulatory therapies are vaccines, which are designed to simulate the body's immune system to mount a defensive response to a specific antigen. While traditional vaccines have been successful for the prevention of infectious diseases, there has been limited success in developing therapeutic vaccines for the successful treatment of certain other diseases, including chronic infections and cancer. As a result, we believe there is a need for more effective vaccines to treat these diseases.</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7" w:right="120"/>
        <w:spacing w:after="0" w:line="282" w:lineRule="auto"/>
        <w:rPr>
          <w:sz w:val="20"/>
          <w:szCs w:val="20"/>
          <w:color w:val="auto"/>
        </w:rPr>
      </w:pPr>
      <w:r>
        <w:rPr>
          <w:rFonts w:ascii="Arial" w:cs="Arial" w:eastAsia="Arial" w:hAnsi="Arial"/>
          <w:sz w:val="14"/>
          <w:szCs w:val="14"/>
          <w:color w:val="auto"/>
        </w:rPr>
        <w:t>Our proprietary SVP technology encapsulates an immunomodulator in biodegradable particles to selectively modulate an immune response in an antigen-specific manner. Our SVP technology is based in part on the pioneering research performed by our co-founders at Harvard University, Massachusetts Institute of Technology, or MIT, and Brigham and Women's Hospital, or Brigham. In connection with our company's founding, we licensed 17 patent families related to certain aspects of our SVP technology as applied to nanoparticles for use in vaccines from our co-founders' institutions pursuant to an agreement with MIT, the party that administers licensing arrangements with respect to patents jointly owned by these institutions. We believe one of the key insights from this research is that nanoparticles are uniquely suited to deliver precise instructions to the immune system as a result of the natural predisposition of the immune system to interrogate nanoparticles, such as viruses. This research led to a portfolio of patents and patent applications covering aspects of our SVP technology, which we have exclusively in-licensed with respect to therapeutic or prophylactic vaccine products or processes. We have aggressively sought to extend and protect the proprietary intellectual property underlying the composition and use of SVP for antigen-specific immunomodulation.</w:t>
      </w:r>
    </w:p>
    <w:p>
      <w:pPr>
        <w:spacing w:after="0" w:line="154" w:lineRule="exact"/>
        <w:rPr>
          <w:sz w:val="20"/>
          <w:szCs w:val="20"/>
          <w:color w:val="auto"/>
        </w:rPr>
      </w:pPr>
    </w:p>
    <w:p>
      <w:pPr>
        <w:ind w:left="7" w:right="60"/>
        <w:spacing w:after="0" w:line="282"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62" w:lineRule="exact"/>
        <w:rPr>
          <w:sz w:val="20"/>
          <w:szCs w:val="20"/>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treatment of chronic tophaceous and refractory gout;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antigen-specific immune tolerance for gene therapy involving gene augmentation, replacement or editing;</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treatment of a life-threatening food allergy, celiac disease and type 1 diabetes under a collaboration with Sanofi;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infectious diseases and other diseases.</w:t>
      </w:r>
    </w:p>
    <w:p>
      <w:pPr>
        <w:spacing w:after="0" w:line="198" w:lineRule="exact"/>
        <w:rPr>
          <w:sz w:val="20"/>
          <w:szCs w:val="20"/>
          <w:color w:val="auto"/>
        </w:rPr>
      </w:pPr>
    </w:p>
    <w:p>
      <w:pPr>
        <w:ind w:left="7" w:right="300"/>
        <w:spacing w:after="0" w:line="282" w:lineRule="auto"/>
        <w:rPr>
          <w:sz w:val="20"/>
          <w:szCs w:val="20"/>
          <w:color w:val="auto"/>
        </w:rPr>
      </w:pPr>
      <w:r>
        <w:rPr>
          <w:rFonts w:ascii="Arial" w:cs="Arial" w:eastAsia="Arial" w:hAnsi="Arial"/>
          <w:sz w:val="15"/>
          <w:szCs w:val="15"/>
          <w:color w:val="auto"/>
        </w:rPr>
        <w:t>SVP are designed to remain intact after injection into the body and accumulate selectively in lymphoid organs, which include lymph nodes and the spleen, where the immune response is coordinated.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4" w:name="page115"/>
    <w:bookmarkEnd w:id="11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60"/>
        <w:spacing w:after="0" w:line="362" w:lineRule="auto"/>
        <w:rPr>
          <w:sz w:val="20"/>
          <w:szCs w:val="20"/>
          <w:color w:val="auto"/>
        </w:rPr>
      </w:pPr>
      <w:r>
        <w:rPr>
          <w:rFonts w:ascii="Arial" w:cs="Arial" w:eastAsia="Arial" w:hAnsi="Arial"/>
          <w:sz w:val="13"/>
          <w:szCs w:val="13"/>
          <w:color w:val="auto"/>
        </w:rPr>
        <w:t>are designed to be processed by specialized immune cells, such as dendritic cells and other antigen-presenting cells that initiate and regulate immune responses, where they deliver the antigen and immunomodulator in a coordinated and targeted manner. Depending on the type of immunomodulator encapsulated in the SVP, our technology is designed to induce either a:</w:t>
      </w:r>
    </w:p>
    <w:p>
      <w:pPr>
        <w:spacing w:after="0" w:line="117" w:lineRule="exact"/>
        <w:rPr>
          <w:sz w:val="20"/>
          <w:szCs w:val="20"/>
          <w:color w:val="auto"/>
        </w:rPr>
      </w:pPr>
    </w:p>
    <w:p>
      <w:pPr>
        <w:ind w:left="467" w:hanging="467"/>
        <w:spacing w:after="0"/>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tolerogenic response to mitigate the formation of ADAs against a biologic drug or treat allergies and autoimmune diseases;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8"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Figure 2 below depicts the process by which SVP communicates with the immune system to induce either a tolerogenic or antigen-specific stimulatory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130175</wp:posOffset>
            </wp:positionV>
            <wp:extent cx="4530090" cy="22796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530090" cy="227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2. How SVP Communicate with the Immune System</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ANTIGEN-SPECIFIC TOLERANCE PROGRAM</w:t>
      </w:r>
    </w:p>
    <w:p>
      <w:pPr>
        <w:spacing w:after="0" w:line="195"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To induce immune tolerance in the body, we co-administer our SVP-Rapamycin with a free antigen, such as a biologic drug, which is depicted in Figure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7"/>
          </w:cols>
          <w:pgMar w:left="233" w:top="132" w:right="419" w:bottom="1440" w:gutter="0" w:footer="0" w:header="0"/>
        </w:sectPr>
      </w:pPr>
    </w:p>
    <w:bookmarkStart w:id="115" w:name="page116"/>
    <w:bookmarkEnd w:id="1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15887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0910" cy="158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3. Co-Administration of SVP-Rapamycin with a Biologic Drug</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SVP-Rapamycin is co-administered at the beginning of therapy with a biologic drug to mitigate the formation of ADAs without altering the drug or its dose regimen. As a result, we believe our SVP-Rapamycin may provide us with significant growth opportunities in the areas of immune tolerance because SVP-Rapamycin can be co-administered at the beginning of therapy with many different biologic drugs. Importantly, each pairing of SVP-Rapamycin with a biologic drug also offers us the opportunity to pursue another proprietary product candidate, which can be separately patented, approved and marketed. SVP-Rapamycin is manufactured under cGMP using well-defined commercial operations, which, we believe, further enhances the scalability of our tolerance programs.</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 xml:space="preserve">During preclinical studies, we observed that delivering an antigen together with SVP-Rapamycin provided the appropriate signals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to induce regulatory T cells, which, in turn, inhibited effector immune responses, such as the formation of ADAs. In our preclinical studies, we observed that SVP-Rapamycin labeled with a fluorescent dye selectively accumulated in lymphoid organs where it was processed by antigen-presenting cells. Figure 4 below depicts a model of how SVP-Rapamycin would enter a lymph node and be taken up by a dendritic cell. We believe that when delivered in the context of our SVP-Rapamycin, both the biologic drug and SVP-Rapamycin are taken up and processed by dendritic cells in a manner that induces regulatory T cells, which can block the activation of helper T cells, mitigating the formation of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6" w:name="page117"/>
    <w:bookmarkEnd w:id="11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30816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0910" cy="308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4. SVP-Rapamycin and Antigen/Biologic Drug Presentation and Related Immune Tolerance Induction</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Limitations of existing therapies</w:t>
      </w:r>
    </w:p>
    <w:p>
      <w:pPr>
        <w:spacing w:after="0" w:line="195"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All biologics, even those comprised of human protein sequences, have the potential to induce ADAs. Whether a biologic drug elicits an ADA response depends on both product-specific factors, such as propensity to form aggregates, route of administration and mechanism of action, as well as patient-specific factors, such as genetics, underlying disease and medications. Many enzyme and protein replacement therapies used in the treatment of rare and serious diseases have a particularly high rate of immunogenicity because patients are genetically deficient in the target protein and, as a result, the therapeutic protein can be recognized as foreign.</w:t>
      </w:r>
    </w:p>
    <w:p>
      <w:pPr>
        <w:spacing w:after="0" w:line="162"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The induction of ADAs can lead to neutralization of efficacy, modification of pharmacokinetics and pharmacodynamics as well as allergic responses. Immunogenicity is a significant hurdle for the development of safe and effective biologic treatments and has become a key concern for regulators, as evidenced by over 100 approved biologics that describe immunogenicity in their labels or clinical literature. We believe that immunogenicity is a leading cause of treatment failure for patients and product development failure for biopharmaceutical companies. As depicted in Figure 5 below:</w:t>
      </w:r>
    </w:p>
    <w:p>
      <w:pPr>
        <w:spacing w:after="0" w:line="173" w:lineRule="exact"/>
        <w:rPr>
          <w:sz w:val="20"/>
          <w:szCs w:val="20"/>
          <w:color w:val="auto"/>
        </w:rPr>
      </w:pPr>
    </w:p>
    <w:p>
      <w:pPr>
        <w:ind w:left="467" w:right="140" w:hanging="467"/>
        <w:spacing w:after="0" w:line="282" w:lineRule="auto"/>
        <w:tabs>
          <w:tab w:leader="none" w:pos="4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for 36 currently marketed biologics, over 20% of the patients receiving the biologic are affected by immunogenicity, including Factor VIII products for hemophilia such as Advate and therapeutics with fully human protein sequences such as Humira, a human TNF-alpha antibody;</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74"/>
        </w:numPr>
        <w:rPr>
          <w:rFonts w:ascii="Arial" w:cs="Arial" w:eastAsia="Arial" w:hAnsi="Arial"/>
          <w:sz w:val="14"/>
          <w:szCs w:val="14"/>
          <w:color w:val="auto"/>
        </w:rPr>
      </w:pPr>
      <w:r>
        <w:rPr>
          <w:rFonts w:ascii="Arial" w:cs="Arial" w:eastAsia="Arial" w:hAnsi="Arial"/>
          <w:sz w:val="14"/>
          <w:szCs w:val="14"/>
          <w:color w:val="auto"/>
        </w:rPr>
        <w:t>promising novel biologics, such as recombinant erythropoetin and IgA protease, were abandoned during clinical or preclinical development due to immunogenicity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266305"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117" w:name="page118"/>
    <w:bookmarkEnd w:id="11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3" w:lineRule="exact"/>
        <w:rPr>
          <w:sz w:val="20"/>
          <w:szCs w:val="20"/>
          <w:color w:val="auto"/>
        </w:rPr>
      </w:pPr>
    </w:p>
    <w:p>
      <w:pPr>
        <w:ind w:left="467" w:right="180" w:hanging="467"/>
        <w:spacing w:after="0" w:line="282" w:lineRule="auto"/>
        <w:tabs>
          <w:tab w:leader="none" w:pos="467" w:val="left"/>
        </w:tabs>
        <w:numPr>
          <w:ilvl w:val="0"/>
          <w:numId w:val="75"/>
        </w:numPr>
        <w:rPr>
          <w:rFonts w:ascii="Arial" w:cs="Arial" w:eastAsia="Arial" w:hAnsi="Arial"/>
          <w:sz w:val="15"/>
          <w:szCs w:val="15"/>
          <w:color w:val="auto"/>
        </w:rPr>
      </w:pPr>
      <w:r>
        <w:rPr>
          <w:rFonts w:ascii="Arial" w:cs="Arial" w:eastAsia="Arial" w:hAnsi="Arial"/>
          <w:sz w:val="15"/>
          <w:szCs w:val="15"/>
          <w:color w:val="auto"/>
        </w:rPr>
        <w:t>improved versions of biologics that are in the same pharmaceutical class as immunogenic marketed biologics, including pegsiticase, long-acting coagulation Factor VII and certain antibody drug conjugates, are affected by immunogenicity;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75"/>
        </w:numPr>
        <w:rPr>
          <w:rFonts w:ascii="Arial" w:cs="Arial" w:eastAsia="Arial" w:hAnsi="Arial"/>
          <w:sz w:val="15"/>
          <w:szCs w:val="15"/>
          <w:color w:val="auto"/>
        </w:rPr>
      </w:pPr>
      <w:r>
        <w:rPr>
          <w:rFonts w:ascii="Arial" w:cs="Arial" w:eastAsia="Arial" w:hAnsi="Arial"/>
          <w:sz w:val="15"/>
          <w:szCs w:val="15"/>
          <w:color w:val="auto"/>
        </w:rPr>
        <w:t>novel platform technologies, such as gene therapy and gene editing, are fundamentally restricted by immunogenicity.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12700</wp:posOffset>
            </wp:positionV>
            <wp:extent cx="5030470" cy="33978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030470" cy="339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5. ADA Mitigation Platform Opportunities</w:t>
      </w:r>
    </w:p>
    <w:p>
      <w:pPr>
        <w:spacing w:after="0" w:line="177"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Undesired immunogenicity represents a significant hurdle that can affect the clinical development of new biologic platforms. For example, in gene therapy, viral vectors are required to transport the genetic material into cells. The viral origin of these vectors explains their immunogenicity, which has led drug developers to limit applications to situations where the required frequency and site of administration are conducive to manageable immune responses.</w:t>
      </w:r>
    </w:p>
    <w:p>
      <w:pPr>
        <w:spacing w:after="0" w:line="159" w:lineRule="exact"/>
        <w:rPr>
          <w:sz w:val="20"/>
          <w:szCs w:val="20"/>
          <w:color w:val="auto"/>
        </w:rPr>
      </w:pPr>
    </w:p>
    <w:p>
      <w:pPr>
        <w:ind w:left="7" w:right="380"/>
        <w:spacing w:after="0" w:line="270" w:lineRule="auto"/>
        <w:rPr>
          <w:sz w:val="20"/>
          <w:szCs w:val="20"/>
          <w:color w:val="auto"/>
        </w:rPr>
      </w:pPr>
      <w:r>
        <w:rPr>
          <w:rFonts w:ascii="Arial" w:cs="Arial" w:eastAsia="Arial" w:hAnsi="Arial"/>
          <w:sz w:val="15"/>
          <w:szCs w:val="15"/>
          <w:color w:val="auto"/>
        </w:rPr>
        <w:t>Treatment and product development failure resulting from undesired immunogenicity has been recognized by regulators and patient advocacy organizations. Recently, the FDA and the National Organization for Rare Disorders, or NORD, co-sponsored a workshop on undesired immune responses to enzyme replacement therapies and called on the biopharmaceutical industry to take a more proactive approach to addressing immunogenicity to biologics.</w:t>
      </w:r>
    </w:p>
    <w:p>
      <w:pPr>
        <w:spacing w:after="0" w:line="159"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Currently, we believe there are no comprehensive solutions to the complications of immunogenicity. Drug developers often stop the development of biologics that show an undesired immune response during preclinical or clinical development. In some cases, biopharmaceutical companies may attempt to reduce undesired immune responses by re-engineering the biologic through protein pegylation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8" w:name="page119"/>
    <w:bookmarkEnd w:id="11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removal of immunogenic epitopes. However, these approaches are limited in their effectiveness. Physicians may try to address the issue of undesired immune responses by increasing the dose of the biologic, which can be prohibitively expensive, or in life-threatening situations by using general immunosuppressive combination therapies. We believe that our tolerogenic SVP technology could offer an entirely new and effective treatment alternative for undesired immune responses, including with respect to the formation of ADAs, but potentially also for autoimmune diseases and allergies.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tolerance preclinical studies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have conducted several preclinical studies that we believe demonstrate the efficacy of our SVP technology in inducing immune tolerance.</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Transfer of immune tolerance from mice treated with SVP-Rapamycin</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 xml:space="preserve">In a preclinical study, we observed that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administration of SVP resulted in induction of regulatory T cells, which, in turn inhibited effector immune responses. The objective of this study was to evaluate the ability to transfer tolerance from a tolerized animal to a naïve animal, a hallmark of tolerance induction. As depicted in Figure 6 below, we injected donor mice with two injections of either:</w:t>
      </w:r>
    </w:p>
    <w:p>
      <w:pPr>
        <w:spacing w:after="0" w:line="171" w:lineRule="exact"/>
        <w:rPr>
          <w:sz w:val="20"/>
          <w:szCs w:val="20"/>
          <w:color w:val="auto"/>
        </w:rPr>
      </w:pPr>
    </w:p>
    <w:p>
      <w:pPr>
        <w:ind w:left="467" w:hanging="467"/>
        <w:spacing w:after="0"/>
        <w:tabs>
          <w:tab w:leader="none" w:pos="467" w:val="left"/>
        </w:tabs>
        <w:numPr>
          <w:ilvl w:val="0"/>
          <w:numId w:val="76"/>
        </w:numPr>
        <w:rPr>
          <w:rFonts w:ascii="Arial" w:cs="Arial" w:eastAsia="Arial" w:hAnsi="Arial"/>
          <w:sz w:val="15"/>
          <w:szCs w:val="15"/>
          <w:color w:val="auto"/>
        </w:rPr>
      </w:pPr>
      <w:r>
        <w:rPr>
          <w:rFonts w:ascii="Arial" w:cs="Arial" w:eastAsia="Arial" w:hAnsi="Arial"/>
          <w:sz w:val="15"/>
          <w:szCs w:val="15"/>
          <w:color w:val="auto"/>
        </w:rPr>
        <w:t>an empty nanoparticle, or Empty Nanoparticle, as indicated in blue;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6"/>
        </w:numPr>
        <w:rPr>
          <w:rFonts w:ascii="Arial" w:cs="Arial" w:eastAsia="Arial" w:hAnsi="Arial"/>
          <w:sz w:val="15"/>
          <w:szCs w:val="15"/>
          <w:color w:val="auto"/>
        </w:rPr>
      </w:pPr>
      <w:r>
        <w:rPr>
          <w:rFonts w:ascii="Arial" w:cs="Arial" w:eastAsia="Arial" w:hAnsi="Arial"/>
          <w:sz w:val="15"/>
          <w:szCs w:val="15"/>
          <w:color w:val="auto"/>
        </w:rPr>
        <w:t>a nanoparticle encapsulating rapamycin, or NP-Rapamycin, and administered without antigen, as indicated in red;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6"/>
        </w:numPr>
        <w:rPr>
          <w:rFonts w:ascii="Arial" w:cs="Arial" w:eastAsia="Arial" w:hAnsi="Arial"/>
          <w:sz w:val="13"/>
          <w:szCs w:val="13"/>
          <w:color w:val="auto"/>
        </w:rPr>
      </w:pPr>
      <w:r>
        <w:rPr>
          <w:rFonts w:ascii="Arial" w:cs="Arial" w:eastAsia="Arial" w:hAnsi="Arial"/>
          <w:sz w:val="13"/>
          <w:szCs w:val="13"/>
          <w:color w:val="auto"/>
        </w:rPr>
        <w:t>SVP-Rapamycin encapsulating a peptide sequence from proteolipoprotein, or PLP, a myelin antigen associated with multiple sclerosis, or SVP-Rapamycin.PLP, as indicated in green.</w:t>
      </w:r>
    </w:p>
    <w:p>
      <w:pPr>
        <w:spacing w:after="0" w:line="221" w:lineRule="exact"/>
        <w:rPr>
          <w:sz w:val="20"/>
          <w:szCs w:val="20"/>
          <w:color w:val="auto"/>
        </w:rPr>
      </w:pPr>
    </w:p>
    <w:p>
      <w:pPr>
        <w:ind w:left="7"/>
        <w:spacing w:after="0" w:line="306" w:lineRule="auto"/>
        <w:rPr>
          <w:sz w:val="20"/>
          <w:szCs w:val="20"/>
          <w:color w:val="auto"/>
        </w:rPr>
      </w:pPr>
      <w:r>
        <w:rPr>
          <w:rFonts w:ascii="Arial" w:cs="Arial" w:eastAsia="Arial" w:hAnsi="Arial"/>
          <w:sz w:val="13"/>
          <w:szCs w:val="13"/>
          <w:color w:val="auto"/>
        </w:rPr>
        <w:t xml:space="preserve">Two weeks after the second injection, cells from the spleens of the mice were harvested and expanded </w:t>
      </w:r>
      <w:r>
        <w:rPr>
          <w:rFonts w:ascii="Arial" w:cs="Arial" w:eastAsia="Arial" w:hAnsi="Arial"/>
          <w:sz w:val="13"/>
          <w:szCs w:val="13"/>
          <w:i w:val="1"/>
          <w:iCs w:val="1"/>
          <w:color w:val="auto"/>
        </w:rPr>
        <w:t>in vitro</w:t>
      </w:r>
      <w:r>
        <w:rPr>
          <w:rFonts w:ascii="Arial" w:cs="Arial" w:eastAsia="Arial" w:hAnsi="Arial"/>
          <w:sz w:val="13"/>
          <w:szCs w:val="13"/>
          <w:color w:val="auto"/>
        </w:rPr>
        <w:t>. These immune cells were then transferred into naïve recipient mice. The next day, all recipient mice were immunized with the PLP peptide in complete Freund's adjuvant, or CFA, a potent immune stimulating adjuvant, to induce experimental autoimmune encephalomyelitis, or EAE, a model of multiple sclerosis. As indicated by the increase in the mean clinical score for multiple sclerosis in Figure 6 below, the untreated control mice that were immunized but received no transferred cells developed EAE approximately ten days after immunization with PLP and CFA, as reflected in black in Figure 6 below. The mice receiving immune cells transferred from donor mice treated with either Empty Nanoparticle or NP-Rapamycin, as indicated in blue and red in Figure 6 below, respectively, also developed EAE approximately ten days after immunization. In contrast, mice that received immune cells transferred from donor mice treated with SVP-Rapamycin.PLP did not develop EAE during the course of the trial, as indicated in green in Figure 6 below. We believe that these results indicate that the SVP-Rapamycin treatment induces a population of antigen-specific regulatory cells that mediate immune tolerance, as evidenced by the ability of transferred cells to confer protection from disease to naïve animals, reflecting a hallmark of immune tolerance.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630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9" w:name="page120"/>
    <w:bookmarkEnd w:id="11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31915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0910" cy="319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6. Preclinical Study: Transfer of Immune Tolerance from Mice Treated with SVP-Rapamycin to Naive Mice</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Immune tolerance induction with SVP-Rapamycin</w:t>
      </w:r>
    </w:p>
    <w:p>
      <w:pPr>
        <w:spacing w:after="0" w:line="195" w:lineRule="exact"/>
        <w:rPr>
          <w:sz w:val="20"/>
          <w:szCs w:val="20"/>
          <w:color w:val="auto"/>
        </w:rPr>
      </w:pPr>
    </w:p>
    <w:p>
      <w:pPr>
        <w:ind w:left="7" w:right="60"/>
        <w:spacing w:after="0" w:line="330" w:lineRule="auto"/>
        <w:rPr>
          <w:sz w:val="20"/>
          <w:szCs w:val="20"/>
          <w:color w:val="auto"/>
        </w:rPr>
      </w:pPr>
      <w:r>
        <w:rPr>
          <w:rFonts w:ascii="Arial" w:cs="Arial" w:eastAsia="Arial" w:hAnsi="Arial"/>
          <w:sz w:val="13"/>
          <w:szCs w:val="13"/>
          <w:color w:val="auto"/>
        </w:rPr>
        <w:t>We conducted a preclinical study to test whether the encapsulation of rapamycin in SVP was necessary for immune tolerance induction by comparing weekly doses of SVP-Rapamycin with daily doses of free unencapsulated rapamycin. Our preclinical data indicated that SVP-Rapamycin, but not free unencapsulated rapamycin, induced antigen-specific tolerance that was resistant to subsequent challenges with the antigen alone. As depicted in Figure 7 below, study mice were separated into three groups during the course of a 21-day treatment period:</w:t>
      </w:r>
    </w:p>
    <w:p>
      <w:pPr>
        <w:spacing w:after="0" w:line="136" w:lineRule="exact"/>
        <w:rPr>
          <w:sz w:val="20"/>
          <w:szCs w:val="20"/>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first group, referred to as the Delayed Immunization Group indicated in black, was not treated with anything during the treatment period;</w:t>
      </w:r>
    </w:p>
    <w:p>
      <w:pPr>
        <w:spacing w:after="0" w:line="221"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second group, referred to as the Daily Free Rapamycin Group indicated in red, was treated with doses of free unencapsulated rapamycin five days per week and weekly doses of the highly immunogenic antigen keyhole limpet hemocyanin, or KLH; and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third group, referred to as the SVP-Rapamycin Group indicated in green, received three weekly doses of SVP-Rapamycin combined with KLH.</w:t>
      </w:r>
    </w:p>
    <w:p>
      <w:pPr>
        <w:spacing w:after="0" w:line="198" w:lineRule="exact"/>
        <w:rPr>
          <w:sz w:val="20"/>
          <w:szCs w:val="20"/>
          <w:color w:val="auto"/>
        </w:rPr>
      </w:pPr>
    </w:p>
    <w:p>
      <w:pPr>
        <w:ind w:left="7" w:right="100"/>
        <w:spacing w:after="0" w:line="290" w:lineRule="auto"/>
        <w:rPr>
          <w:sz w:val="20"/>
          <w:szCs w:val="20"/>
          <w:color w:val="auto"/>
        </w:rPr>
      </w:pPr>
      <w:r>
        <w:rPr>
          <w:rFonts w:ascii="Arial" w:cs="Arial" w:eastAsia="Arial" w:hAnsi="Arial"/>
          <w:sz w:val="14"/>
          <w:szCs w:val="14"/>
          <w:color w:val="auto"/>
        </w:rPr>
        <w:t>Following the treatment period, all of the mice were then challenged with three weekly injections of KLH alone to assess the durability of immune tolerance. As depicted in Figure 7 below, the mice in both the SVP-Rapamycin Group and Daily Free Rapamycin Group showed inhibition of the KLH-specific ADA responses after the treatment phase of the trial. However, only the SVP-Rapamycin Group maintained immune tolerance after the challenge phase. We believe that these results indicate that SVP-Rapamycin induced a population of regulatory T cells that maintained tolerance to challenge with antigen alone, whereas the administration of daily free rapamycin did not. Notably, the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0" w:name="page121"/>
    <w:bookmarkEnd w:id="12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Free Rapamycin Group was administered free unencapsulated rapamycin at five times the dose of SVP-Rapamycin administered to the SVP-Rapamycin Group during the course of the treatment period, yet we observed that this treatment induced only transient immunosuppression during the treatment phase but not durable immune tolerance during the challenge phase. We believe that the difference between the durable immune tolerance observed in the SVP-Rapamycin Group and the transient immunosuppression observed in the Daily Free Rapamycin Group was attributable to the ability of our SVP technology to specifically deliver the tolerogenic instructions, in the form of the encapsulated rapamycin, directly to the antigen-presenting dendritic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110490</wp:posOffset>
            </wp:positionV>
            <wp:extent cx="5030470" cy="24123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030470" cy="2412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7. Preclinical Study: Immune Tolerance Induction with SVP-Rapamycin</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Inhibition of KLH-Specific ADA response by SVP-Rapamycin in nonhuman primates</w:t>
      </w:r>
    </w:p>
    <w:p>
      <w:pPr>
        <w:spacing w:after="0" w:line="195" w:lineRule="exact"/>
        <w:rPr>
          <w:sz w:val="20"/>
          <w:szCs w:val="20"/>
          <w:color w:val="auto"/>
        </w:rPr>
      </w:pPr>
    </w:p>
    <w:p>
      <w:pPr>
        <w:ind w:left="7" w:right="380"/>
        <w:spacing w:after="0" w:line="282" w:lineRule="auto"/>
        <w:rPr>
          <w:sz w:val="20"/>
          <w:szCs w:val="20"/>
          <w:color w:val="auto"/>
        </w:rPr>
      </w:pPr>
      <w:r>
        <w:rPr>
          <w:rFonts w:ascii="Arial" w:cs="Arial" w:eastAsia="Arial" w:hAnsi="Arial"/>
          <w:sz w:val="15"/>
          <w:szCs w:val="15"/>
          <w:color w:val="auto"/>
        </w:rPr>
        <w:t>In a preclinical study, we also observed that our SVP technology inhibited antibody responses to KLH in nonhuman primates. As depicted in Figure 7 below, during a 56-day treatment period, nonhuman primates were administered five biweekly intravenous doses of KLH combined with either:</w:t>
      </w:r>
    </w:p>
    <w:p>
      <w:pPr>
        <w:spacing w:after="0" w:line="162" w:lineRule="exact"/>
        <w:rPr>
          <w:sz w:val="20"/>
          <w:szCs w:val="20"/>
          <w:color w:val="auto"/>
        </w:rPr>
      </w:pPr>
    </w:p>
    <w:p>
      <w:pPr>
        <w:ind w:left="467" w:hanging="467"/>
        <w:spacing w:after="0"/>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 empty nanoparticle, referred to as the Empty Nanoparticle Group and indicated in blue,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SVP-Rapamycin, referred to as the SVP-Rapamycin Group and indicated in green.</w:t>
      </w:r>
    </w:p>
    <w:p>
      <w:pPr>
        <w:spacing w:after="0" w:line="198" w:lineRule="exact"/>
        <w:rPr>
          <w:sz w:val="20"/>
          <w:szCs w:val="20"/>
          <w:color w:val="auto"/>
        </w:rPr>
      </w:pPr>
    </w:p>
    <w:p>
      <w:pPr>
        <w:jc w:val="both"/>
        <w:ind w:left="7" w:right="40"/>
        <w:spacing w:after="0" w:line="270" w:lineRule="auto"/>
        <w:rPr>
          <w:sz w:val="20"/>
          <w:szCs w:val="20"/>
          <w:color w:val="auto"/>
        </w:rPr>
      </w:pPr>
      <w:r>
        <w:rPr>
          <w:rFonts w:ascii="Arial" w:cs="Arial" w:eastAsia="Arial" w:hAnsi="Arial"/>
          <w:sz w:val="15"/>
          <w:szCs w:val="15"/>
          <w:color w:val="auto"/>
        </w:rPr>
        <w:t>After the treatment period, there was a challenge phase in which the nonhuman primates were administered three doses of KLH alone on days 70, 84 and 98. As indicated in Figure 8 below, the animals in the SVP-Rapamycin Group, which were injected with KLH combined with SVP-Rapamycin, mounted no or a much lower immune response as indicated by the lack of KLH-specific ADAs. In comparison, we observed high levels of KLH-specific ADAs in the Empty Nanoparticle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21" w:name="page122"/>
    <w:bookmarkEnd w:id="12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27724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0910" cy="277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8. Preclinical Study: Inhibition of KLH-Specific ADA Response by SVP-Rapamycin in Nonhuman Primates</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PROGRAMS TO INDUCE ANTIGEN-SPECIFIC TOLERANCE</w:t>
      </w:r>
    </w:p>
    <w:p>
      <w:pPr>
        <w:spacing w:after="0" w:line="195" w:lineRule="exact"/>
        <w:rPr>
          <w:sz w:val="20"/>
          <w:szCs w:val="20"/>
          <w:color w:val="auto"/>
        </w:rPr>
      </w:pPr>
    </w:p>
    <w:p>
      <w:pPr>
        <w:ind w:left="7" w:right="220"/>
        <w:spacing w:after="0" w:line="282" w:lineRule="auto"/>
        <w:rPr>
          <w:sz w:val="20"/>
          <w:szCs w:val="20"/>
          <w:color w:val="auto"/>
        </w:rPr>
      </w:pPr>
      <w:r>
        <w:rPr>
          <w:rFonts w:ascii="Arial" w:cs="Arial" w:eastAsia="Arial" w:hAnsi="Arial"/>
          <w:sz w:val="15"/>
          <w:szCs w:val="15"/>
          <w:color w:val="auto"/>
        </w:rPr>
        <w:t>We believe our SVP technology to induce antigen-specific tolerance has a broad range of applications. We are currently pursuing targeted product development strategies for four discrete applications in which we believe SVP products could be highly differentiated.</w:t>
      </w:r>
    </w:p>
    <w:p>
      <w:pPr>
        <w:spacing w:after="0" w:line="162" w:lineRule="exact"/>
        <w:rPr>
          <w:sz w:val="20"/>
          <w:szCs w:val="20"/>
          <w:color w:val="auto"/>
        </w:rPr>
      </w:pPr>
    </w:p>
    <w:p>
      <w:pPr>
        <w:ind w:left="467" w:right="40" w:hanging="467"/>
        <w:spacing w:after="0" w:line="284" w:lineRule="auto"/>
        <w:tabs>
          <w:tab w:leader="none" w:pos="467"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Therapeutic enzymes</w:t>
      </w:r>
      <w:r>
        <w:rPr>
          <w:rFonts w:ascii="Arial" w:cs="Arial" w:eastAsia="Arial" w:hAnsi="Arial"/>
          <w:sz w:val="14"/>
          <w:szCs w:val="14"/>
          <w:color w:val="auto"/>
        </w:rPr>
        <w:t>. Therapeutic enzymes are a frequently used class of biologic drugs to treat rare diseases. Through our analysis of biologic drugs, including our preclinical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studies, we have observed that enzymes are especially prone to undesired immune responses. Our lead product candidate, SEL-212, includes pegsiticase, a pegylated uricase enzyme, which is an example of an immunogenic enzyme for which we are applying SVP-Rapamycin with the intention of improving the enzyme's efficacy and safety. Other examples of immunogenic enzymes include acid alpha-glucosidase for the treatment of Pompe disease, alpha galactosidase A for the treatment of Fabry's disease and microbial enzymes such as asparaginase for the treatment of cancers. We intend to seek opportunities to secure supply of and, if appropriate, licenses to, these or other enzymes that we would pair with SVP-Rapamycin to enhance their efficacy, safety and use in their treatment of diseases.</w:t>
      </w:r>
    </w:p>
    <w:p>
      <w:pPr>
        <w:spacing w:after="0" w:line="177" w:lineRule="exact"/>
        <w:rPr>
          <w:rFonts w:ascii="Arial" w:cs="Arial" w:eastAsia="Arial" w:hAnsi="Arial"/>
          <w:sz w:val="14"/>
          <w:szCs w:val="14"/>
          <w:color w:val="auto"/>
        </w:rPr>
      </w:pPr>
    </w:p>
    <w:p>
      <w:pPr>
        <w:ind w:left="467" w:right="120" w:hanging="467"/>
        <w:spacing w:after="0" w:line="284" w:lineRule="auto"/>
        <w:tabs>
          <w:tab w:leader="none" w:pos="467"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Gene therapies</w:t>
      </w:r>
      <w:r>
        <w:rPr>
          <w:rFonts w:ascii="Arial" w:cs="Arial" w:eastAsia="Arial" w:hAnsi="Arial"/>
          <w:sz w:val="14"/>
          <w:szCs w:val="14"/>
          <w:color w:val="auto"/>
        </w:rPr>
        <w:t>. We believe gene therapies have the potential to address key unmet medical needs for many rare genetic diseases, but that undesired immune responses to the viral</w:t>
      </w:r>
      <w:r>
        <w:rPr>
          <w:rFonts w:ascii="Arial" w:cs="Arial" w:eastAsia="Arial" w:hAnsi="Arial"/>
          <w:sz w:val="14"/>
          <w:szCs w:val="14"/>
          <w:i w:val="1"/>
          <w:iCs w:val="1"/>
          <w:color w:val="auto"/>
        </w:rPr>
        <w:t xml:space="preserve"> </w:t>
      </w:r>
      <w:r>
        <w:rPr>
          <w:rFonts w:ascii="Arial" w:cs="Arial" w:eastAsia="Arial" w:hAnsi="Arial"/>
          <w:sz w:val="14"/>
          <w:szCs w:val="14"/>
          <w:color w:val="auto"/>
        </w:rPr>
        <w:t>vectors used for gene replacement, augmentation and editing may be restricting their broader use. Through our analysis of genetic diseases, we have identified applications and patient segments that we believe would benefit from our SVP technology. We intend to develop proprietary SVP-Rapamycin-enabled non-immunogenic gene therapies with viral vectors such as the Anc80 vector that we have licensed from MEE. We believe our product candidates have the potential to solve the problem of pre-existing immunogenicity to the gene therapy vector by using a novel engineered gene therapy vector, Anc80, and to prevent undesired immune responses to the vector and transgene that can occur with the first dose of gene therapy by using our SVP technology. Our initial areas of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2" w:name="page123"/>
    <w:bookmarkEnd w:id="12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467" w:right="60"/>
        <w:spacing w:after="0" w:line="266" w:lineRule="auto"/>
        <w:rPr>
          <w:sz w:val="20"/>
          <w:szCs w:val="20"/>
          <w:color w:val="auto"/>
        </w:rPr>
      </w:pPr>
      <w:r>
        <w:rPr>
          <w:rFonts w:ascii="Arial" w:cs="Arial" w:eastAsia="Arial" w:hAnsi="Arial"/>
          <w:sz w:val="15"/>
          <w:szCs w:val="15"/>
          <w:color w:val="auto"/>
        </w:rPr>
        <w:t>include lysosomal storage, genetic muscular and genetic metabolic diseases. Our proprietary gene therapy programs are focused on the use of vectors that have documented efficiency in delivery of the transgene in nonhuman primates such as Anc80. We believe we are the first company to systematically pursue the development of gene therapy products in combination with an immunotherapy with the goal of enabling repeat administration of the gene therapy. We have engaged third parties with experience in gene therapy and rare diseases to support the development of our proprietary products.</w:t>
      </w:r>
    </w:p>
    <w:p>
      <w:pPr>
        <w:spacing w:after="0" w:line="173" w:lineRule="exact"/>
        <w:rPr>
          <w:sz w:val="20"/>
          <w:szCs w:val="20"/>
          <w:color w:val="auto"/>
        </w:rPr>
      </w:pPr>
    </w:p>
    <w:p>
      <w:pPr>
        <w:ind w:left="467" w:right="20" w:hanging="467"/>
        <w:spacing w:after="0" w:line="313" w:lineRule="auto"/>
        <w:tabs>
          <w:tab w:leader="none" w:pos="467" w:val="left"/>
        </w:tabs>
        <w:numPr>
          <w:ilvl w:val="0"/>
          <w:numId w:val="80"/>
        </w:numPr>
        <w:rPr>
          <w:rFonts w:ascii="Arial" w:cs="Arial" w:eastAsia="Arial" w:hAnsi="Arial"/>
          <w:sz w:val="13"/>
          <w:szCs w:val="13"/>
          <w:color w:val="auto"/>
        </w:rPr>
      </w:pPr>
      <w:r>
        <w:rPr>
          <w:rFonts w:ascii="Arial" w:cs="Arial" w:eastAsia="Arial" w:hAnsi="Arial"/>
          <w:sz w:val="13"/>
          <w:szCs w:val="13"/>
          <w:i w:val="1"/>
          <w:iCs w:val="1"/>
          <w:color w:val="auto"/>
        </w:rPr>
        <w:t>Other products and product candidates affected by undesired immune responses</w:t>
      </w:r>
      <w:r>
        <w:rPr>
          <w:rFonts w:ascii="Arial" w:cs="Arial" w:eastAsia="Arial" w:hAnsi="Arial"/>
          <w:sz w:val="13"/>
          <w:szCs w:val="13"/>
          <w:color w:val="auto"/>
        </w:rPr>
        <w:t>. We have generated preclinical data demonstrating the breadth of the SVP program for immune</w:t>
      </w:r>
      <w:r>
        <w:rPr>
          <w:rFonts w:ascii="Arial" w:cs="Arial" w:eastAsia="Arial" w:hAnsi="Arial"/>
          <w:sz w:val="13"/>
          <w:szCs w:val="13"/>
          <w:i w:val="1"/>
          <w:iCs w:val="1"/>
          <w:color w:val="auto"/>
        </w:rPr>
        <w:t xml:space="preserve"> </w:t>
      </w:r>
      <w:r>
        <w:rPr>
          <w:rFonts w:ascii="Arial" w:cs="Arial" w:eastAsia="Arial" w:hAnsi="Arial"/>
          <w:sz w:val="13"/>
          <w:szCs w:val="13"/>
          <w:color w:val="auto"/>
        </w:rPr>
        <w:t>tolerance. For many biologic drugs, undesired immune responses limit efficacy and cause safety concerns. This includes TNF-alpha-specific monoclonal antibodies for the treatment of rheumatoid arthritis and coagulation factor replacement therapies for the treatment of hemophilia. We intend to out-license SVP-Rapamycin technology for use with other products that are outside our focus to larger biopharmaceutical companies. We believe our SVP technology may also be of interest to biopharmaceutical companies with biologic product candidates in clinical development that have demonstrated initial efficacy but are experiencing issues with safety or sustained efficacy due to inhibitory ADAs.</w:t>
      </w:r>
    </w:p>
    <w:p>
      <w:pPr>
        <w:spacing w:after="0" w:line="160" w:lineRule="exact"/>
        <w:rPr>
          <w:rFonts w:ascii="Arial" w:cs="Arial" w:eastAsia="Arial" w:hAnsi="Arial"/>
          <w:sz w:val="13"/>
          <w:szCs w:val="13"/>
          <w:color w:val="auto"/>
        </w:rPr>
      </w:pPr>
    </w:p>
    <w:p>
      <w:pPr>
        <w:ind w:left="467" w:right="140" w:hanging="467"/>
        <w:spacing w:after="0" w:line="313" w:lineRule="auto"/>
        <w:tabs>
          <w:tab w:leader="none" w:pos="467" w:val="left"/>
        </w:tabs>
        <w:numPr>
          <w:ilvl w:val="0"/>
          <w:numId w:val="80"/>
        </w:numPr>
        <w:rPr>
          <w:rFonts w:ascii="Arial" w:cs="Arial" w:eastAsia="Arial" w:hAnsi="Arial"/>
          <w:sz w:val="13"/>
          <w:szCs w:val="13"/>
          <w:color w:val="auto"/>
        </w:rPr>
      </w:pPr>
      <w:r>
        <w:rPr>
          <w:rFonts w:ascii="Arial" w:cs="Arial" w:eastAsia="Arial" w:hAnsi="Arial"/>
          <w:sz w:val="13"/>
          <w:szCs w:val="13"/>
          <w:i w:val="1"/>
          <w:iCs w:val="1"/>
          <w:color w:val="auto"/>
        </w:rPr>
        <w:t>Allergies and autoimmune diseases</w:t>
      </w:r>
      <w:r>
        <w:rPr>
          <w:rFonts w:ascii="Arial" w:cs="Arial" w:eastAsia="Arial" w:hAnsi="Arial"/>
          <w:sz w:val="13"/>
          <w:szCs w:val="13"/>
          <w:color w:val="auto"/>
        </w:rPr>
        <w:t>. In addition to the formation of ADAs, undesired immunogenicity can take the form of allergies when the immune system reacts to allergens</w:t>
      </w:r>
      <w:r>
        <w:rPr>
          <w:rFonts w:ascii="Arial" w:cs="Arial" w:eastAsia="Arial" w:hAnsi="Arial"/>
          <w:sz w:val="13"/>
          <w:szCs w:val="13"/>
          <w:i w:val="1"/>
          <w:iCs w:val="1"/>
          <w:color w:val="auto"/>
        </w:rPr>
        <w:t xml:space="preserve"> </w:t>
      </w:r>
      <w:r>
        <w:rPr>
          <w:rFonts w:ascii="Arial" w:cs="Arial" w:eastAsia="Arial" w:hAnsi="Arial"/>
          <w:sz w:val="13"/>
          <w:szCs w:val="13"/>
          <w:color w:val="auto"/>
        </w:rPr>
        <w:t>such as food and pollen, or autoimmune diseases when the immune system attacks the body's own proteins. We have three collaborations with Sanofi to advance our SVP programs in the area of allergies and autoimmune disease. As part of one of the collaborations, the Juvenile Diabetes Research Foundation and Sanofi have also awarded us with a grant to support the development of our SVP technology in the area of autoimmune disease by providing expertise and financial resources. Our SVP program in the area of allergies and autoimmune disease focuses on expanding our related product pipeline based on these collaborations and other out-licensing arrangements.</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SEL-212 for the treatment of refractory and chronic tophaceous gout</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ind w:left="7" w:right="60"/>
        <w:spacing w:after="0" w:line="283" w:lineRule="auto"/>
        <w:rPr>
          <w:sz w:val="20"/>
          <w:szCs w:val="20"/>
          <w:color w:val="auto"/>
        </w:rPr>
      </w:pPr>
      <w:r>
        <w:rPr>
          <w:rFonts w:ascii="Arial" w:cs="Arial" w:eastAsia="Arial" w:hAnsi="Arial"/>
          <w:sz w:val="14"/>
          <w:szCs w:val="14"/>
          <w:color w:val="auto"/>
        </w:rPr>
        <w:t>SEL-212 is our proprietary product candidate for the treatment of refractory and chronic tophaceous gout. SEL-212 consists of SVP-Rapamycin co-administered with pegsiticase, a pegylated uricase. We believe that our SEL-212 has the potential to offer a uniquely effective treatment for patients with refractory or chronic tophaceous gout, while also demonstrating the clinical effectiveness of our SVP technology. Pegylated uricase, in the form of the approved drug Krystexxa, has demonstrated the ability to significantly reduce uric acid levels and dissolve the harmful uric acid crystals that are the manifestations of gout upon initial treatment in naïve patients. However, Krystexxa has not achieved broad commercial adoption, which we believe is primarily due to an undesired immune response that significant restricts clinical use. Based on our preclinical studies, we believe that by leveraging our SVP technology to induce durable immune tolerance of our pegylated uricase, pegsiticase, SEL-212 may potentially overcome this undesired immune response and optimize pegsiticase's effectiveness in controlling uric acid levels and, as a result, enable the effective dissolution and removal of uric acid crystals.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The market for gout therapy</w:t>
      </w:r>
    </w:p>
    <w:p>
      <w:pPr>
        <w:spacing w:after="0" w:line="195"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Gout is a painful and potentially disabling form of arthritis resulting from excess accumulation of uric acid and deposition of uric acid crystals in joints and soft tissues, including those of the kidney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3" w:name="page124"/>
    <w:bookmarkEnd w:id="1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heart, causing harmful inflammation. Gout is caused by an overproduction of uric acid, a natural byproduct of purine metabolism that is produced after consumption of food with high levels of purines such as seafood, meat, yeast and certain vegetables, or an inability of the kidneys to excrete adequate amounts of uric acid from the body. High concentrations of serum uric acid lead to formation of insoluble uric acid crystals in joints and tissues, causing pain, inflammation and joint damage, and increase the risk for other conditions, including cardiovascular, cardiometabolic, joint and kidney disease.</w:t>
      </w:r>
    </w:p>
    <w:p>
      <w:pPr>
        <w:spacing w:after="0" w:line="162"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There are approximately 8.3 million and 10 million gout sufferers in the United States and the European Union, respectively. The first line of treatments for gout are allopurinol and febuxostat. Both drugs are xanthine oxidase inhibitors, oral drugs that reduce the synthesis of uric acid. Lesinurad and probenecid are oral gout drugs that increase the rate of excretion of uric acid through the kidneys, and are used almost exclusively in combination with these first line treatments. While both of these treatments are designed to prevent the formation of uric acid deposits, neither of these treatments effectively reduces existing uric acid deposits in joints and tissues. Additionally, neither of these first line treatments individually or in combination with lesinurad and probenecid are indicated for refractory or chronic tophaceous gout.</w:t>
      </w:r>
    </w:p>
    <w:p>
      <w:pPr>
        <w:spacing w:after="0" w:line="167"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We estimate that approximately 50,000 patients in the United States suffer from chronic refractory gout, an orphan indication defined by uric acid levels that cannot be controlled by available oral therapies. Krystexxa, an injectable pegylated uricase enzyme, is indicated for the treatment of chronic refractory gout. In clinical trials, Krystexxa demonstrated the ability to rapidly reduce uric acid levels upon initial dosing. However, despite these clinical results, Krystexxa has not achieved broad commercial adoption. Because uricase is an enzyme foreign to humans, we believe this is primarily due to an undesired immune response. The package insert information for Krystexxa indicates that 92% of patients develop ADAs, 26% experience infusion site reactions and 6.5% experience anaphylaxis, a life-threatening allergic reaction typically involving itchy rash, throat swelling and low blood pressure. The package insert information also indicates that during the drug's clinical trials, high Krystexxa-specific ADA titer in patients was associated with a failure to maintain normalization of uric acid levels. Similarly, in 2011, The Journal of the American Medical Association published the results of clinical trials finding that 58% of Krystexxa patients who received biweekly doses of Krystexxa were non-responders with loss of efficacy starting as early as two weeks after treatment.</w:t>
      </w:r>
    </w:p>
    <w:p>
      <w:pPr>
        <w:spacing w:after="0" w:line="154" w:lineRule="exact"/>
        <w:rPr>
          <w:sz w:val="20"/>
          <w:szCs w:val="20"/>
          <w:color w:val="auto"/>
        </w:rPr>
      </w:pPr>
    </w:p>
    <w:p>
      <w:pPr>
        <w:jc w:val="both"/>
        <w:ind w:right="100"/>
        <w:spacing w:after="0" w:line="290" w:lineRule="auto"/>
        <w:rPr>
          <w:sz w:val="20"/>
          <w:szCs w:val="20"/>
          <w:color w:val="auto"/>
        </w:rPr>
      </w:pPr>
      <w:r>
        <w:rPr>
          <w:rFonts w:ascii="Arial" w:cs="Arial" w:eastAsia="Arial" w:hAnsi="Arial"/>
          <w:sz w:val="14"/>
          <w:szCs w:val="14"/>
          <w:color w:val="auto"/>
        </w:rPr>
        <w:t>Gout is a spectrum of disease with the traditional diagnosis being the extraction of monosodium urate crystals with joint fluid or uric acid crystals from a visible tophus. Additionally, high concentrations of serum uric acid increase the risk of co-morbidities, including cardiovascular, cardiometabolic, joint and kidney disease. Patients who are unable to reduce their serum uric acids levels below 6 mg/dl with oral drugs are diagnosed with refractory gout. Patients who have uric acid deposits, or tophi, in soft tissues, joints, the urinary tract, the digestive tract or the heart and a persistently elevated uric acid level when left untreated are diagnosed with chronic tophaceous gout. Tophi are a source of inflammation and pain.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Figure 9 below illustrates the association between gout and diseases of the heart, vascular system, metabolic process, kidney and joints.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4" w:name="page125"/>
    <w:bookmarkEnd w:id="12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33902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0910" cy="339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9. Co-Morbidities Associated with Gout</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Approximately 500,000 patients in the United States suffer from chronic tophaceous gout. There is no approved drug for this patient group that resolves tophi, although clinical studies have indicated that Krystexxa is effective in clearing uric acid deposits in patients that do not develop inhibitory levels of ADAs. We believe that oral gout drugs cannot effectively remove tophi from joints and tissue due to their limited ability to affect existing uric acid deposits.</w:t>
      </w:r>
    </w:p>
    <w:p>
      <w:pPr>
        <w:spacing w:after="0" w:line="159" w:lineRule="exact"/>
        <w:rPr>
          <w:sz w:val="20"/>
          <w:szCs w:val="20"/>
          <w:color w:val="auto"/>
        </w:rPr>
      </w:pPr>
    </w:p>
    <w:p>
      <w:pPr>
        <w:jc w:val="both"/>
        <w:ind w:right="20"/>
        <w:spacing w:after="0" w:line="319" w:lineRule="auto"/>
        <w:rPr>
          <w:sz w:val="20"/>
          <w:szCs w:val="20"/>
          <w:color w:val="auto"/>
        </w:rPr>
      </w:pPr>
      <w:r>
        <w:rPr>
          <w:rFonts w:ascii="Arial" w:cs="Arial" w:eastAsia="Arial" w:hAnsi="Arial"/>
          <w:sz w:val="14"/>
          <w:szCs w:val="14"/>
          <w:color w:val="auto"/>
        </w:rPr>
        <w:t>Based on our preclinical studies, our Phase 1b clinical data and market research, we believe that SEL-212 may potentially address two key unmet needs in the treatment of gout, the durable control of serum uric acid levels in patients with chronic refractory gout and removal of painful and damaging uric acid deposits for patients with chronic tophaceous gout.</w:t>
      </w:r>
    </w:p>
    <w:p>
      <w:pPr>
        <w:spacing w:after="0" w:line="128"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Our product development strategy is designed to address these unmet medical needs while improving the dosing regimen compared to Krystexxa. We plan to initially seek regulatory approval for the treatment of refractory gout by demonstrating reduction of serum uric acid levels below the FDA-approved endpoint and clinical guideline of 6 mg/dl. We plan to conduct a clinical program to support a label extension for the treatment of patients with chronic tophaceous gout. During our market research, physicians expressed their preference for monthly dosing as well as for a subcutaneous route of administration. In response to this preference, we intend to develop SEL-212 as a monthly treatment and offer a subcutaneous formulation following the initial launch of the intravenous dosage form, if approved. We believe that Krystexxa has been developed as a bi-weekly intravenous-only formulation to avoid additional immunogenicity anticipated from a higher dose that would be required by a monthly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25" w:name="page126"/>
    <w:bookmarkEnd w:id="1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We believe that SEL-212 is ideally suited for patients diagnosed with chronic tophaceous gout. If approved, our strategy is to position SEL-212 as an induction therapy for gout that would remove harmful uric acid deposits over five monthly doses on average and allow patients to switch to oral gout maintenance therapy with xanthine oxidase inhibitors unless and until such patients experience a subsequent manifestation of uric acid deposits at which time a new course of SEL-212 would be required. We do not believe that oral therapy would completely prevent the build-up over time of uric acid crystals in patients with a history of chronic tophaceous gout. As a result, we anticipate that SEL-212 induction treatment, if approved, would be required intermittently in such patients. We believe that, in contrast to Krystexxa, SEL-212 induction treatment may be effective in removing harmful uric acid deposits in most patients with chronic tophaceous gout over multiple cycles of treatment. Figure 10 below depicts this positioning strategy as a sample diagram illustrating what we believe to be a shift in the treatment paradigm for chronic tophaceous gout.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112395</wp:posOffset>
            </wp:positionV>
            <wp:extent cx="4728845" cy="29857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28845" cy="298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10. Sample Treatment Course for Chronic Tophaceous Gout.</w:t>
      </w:r>
    </w:p>
    <w:p>
      <w:pPr>
        <w:spacing w:after="0" w:line="17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We expect our clinical and marketing strategy for SEL-212 to initially focus on the estimated 160,000 patients in the United States diagnosed with refractory or chronic tophaceous gout being treated by rheumatologists, as well as approximately the same estimated number of patients in Europe. We believe that for these patients who are already being treated by rheumatologists and diagnosed with chronic tophaceous gout, the need for a new treatment is the highest. If SEL-212 is approved, we expect our strategy for marketing SEL-212 to rheumatologists will be to promote a switch from oral therapies to SEL-212 for patients with serum uric acid levels chronically above 6 mg/dl and diagnosed with chronic tophaceous gout. We intend to leverage imaging technologies recently recommended by the guideline writing associations for rheumatology, including the American College of Rheumatology and the European League Against Rheumatism. In particular, dual energy computed tomography can visualize uric acid deposits in joints and tissues as depicted in Figure 11 below in green and has the potential to become an important tool to manage chronic tophaceous gout and to visualize the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6" w:name="page127"/>
    <w:bookmarkEnd w:id="12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of SEL-212. We believe dual energy computed tomography imaging use could increase the market for SEL-212 by increasing the rate of diagnosis of chronic tophaceous gout.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11. Tophi / Uric Acid Deposits (shown in green) Visualized Using Dual Energy Computed Tomography Imaging</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SEL-212 components</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Our SEL-212 consists of SVP-Rapamycin co-administered with pegsiticase. Our SVP-Rapamycin consists of nanoparticles composed of poly(D,L-lactide), or PLA, and poly(D,L-lactide)-block-poly(ethylene-glycol), or PLA-PEG, encapsulating rapamycin. Our pegsiticase consists of a uricase modified with poly(ethylene-glycol), or PEG. The components of SEL-212 are depicted in Figure 12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105410</wp:posOffset>
            </wp:positionV>
            <wp:extent cx="3971290" cy="12649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971290" cy="126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12. Components of SEL-212</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Our pegsiticase is a pegylated version of the therapeutic enzyme uricase, which we have licensed from Shenyang Sunshine Pharmaceutical Co., Ltd., or 3SBio, exclusively for all markets, except Japan and Greater China, and exclusively for Japan only in combination with our SVP Platform technology.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 Unlike other gout drugs, uricase is highly effective in lowering existing high uric acid levels within the first few hours of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27" w:name="page128"/>
    <w:bookmarkEnd w:id="12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SVP-Rapamycin is our biodegradable nanoparticle that encapsulates the tolerance-inducing immunomodulator rapamycin, also referred to as sirolimus. Rapamycin is the active ingredient of Rapamune, an immunosuppressant which has extensive prior use in humans and is currently FDA-approved for prophylaxis of organ rejection in kidney transplant patients aged 13 or older.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 In our preclinical studies, SVP-Rapamycin co-administered at the initiation of treatment with a biologic drug induced antigen-specific immune tolerance to the biologic drug, substantially reducing the formation of associated ADAs.</w:t>
      </w:r>
    </w:p>
    <w:p>
      <w:pPr>
        <w:spacing w:after="0" w:line="167" w:lineRule="exact"/>
        <w:rPr>
          <w:sz w:val="20"/>
          <w:szCs w:val="20"/>
          <w:color w:val="auto"/>
        </w:rPr>
      </w:pPr>
    </w:p>
    <w:p>
      <w:pPr>
        <w:ind w:left="7" w:right="620"/>
        <w:spacing w:after="0" w:line="282" w:lineRule="auto"/>
        <w:rPr>
          <w:sz w:val="20"/>
          <w:szCs w:val="20"/>
          <w:color w:val="auto"/>
        </w:rPr>
      </w:pPr>
      <w:r>
        <w:rPr>
          <w:rFonts w:ascii="Arial" w:cs="Arial" w:eastAsia="Arial" w:hAnsi="Arial"/>
          <w:sz w:val="15"/>
          <w:szCs w:val="15"/>
          <w:color w:val="auto"/>
        </w:rPr>
        <w:t>As depicted in Figure 13 below, SEL-212 is designed as a treatment course consisting of three doses of SVP-Rapamycin co-administered with pegsiticase followed by two doses of pegsiticase alone, with each dose administered every two to four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100330</wp:posOffset>
            </wp:positionV>
            <wp:extent cx="4508500" cy="9048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508500" cy="90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13. SEL-212 Treatment Course</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have executed a comprehensive preclinical program of SEL-212 in uricase deficient mice and wild type mice, rats and nonhuman primates to evaluate efficacy, dose regimens and safety.</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uricase-deficient mice</w:t>
      </w:r>
    </w:p>
    <w:p>
      <w:pPr>
        <w:spacing w:after="0" w:line="198"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We conducted a pharmacology study in mice that were genetically deficient in endogenous uricase. The study evaluated the efficacy of a dose regimen consisting of three immunizations with SEL-212 followed by doses of pegsiticase alone in preventing the formation of ADAs to pegsiticase. The treatment period consisted of the first 14 days of the study. In the study, mice were separated into three treatment groups. As depicted in Figure 14 below, during the treatment period:</w:t>
      </w:r>
    </w:p>
    <w:p>
      <w:pPr>
        <w:spacing w:after="0" w:line="171" w:lineRule="exact"/>
        <w:rPr>
          <w:sz w:val="20"/>
          <w:szCs w:val="20"/>
          <w:color w:val="auto"/>
        </w:rPr>
      </w:pPr>
    </w:p>
    <w:p>
      <w:pPr>
        <w:ind w:left="467" w:hanging="467"/>
        <w:spacing w:after="0"/>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first group, referred to as the Untreated Group and indicated in black, received no treatment;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second group, referred to as the Pegsiticase Group and indicated in red, was treated with pegsiticase alone;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third group, referred to as the SVP-Rapamycin + Pegsiticase Group and indicated in green, was treated with SVP-Rapamycin co-administered with pegsiticase.</w:t>
      </w:r>
    </w:p>
    <w:p>
      <w:pPr>
        <w:spacing w:after="0" w:line="198" w:lineRule="exact"/>
        <w:rPr>
          <w:sz w:val="20"/>
          <w:szCs w:val="20"/>
          <w:color w:val="auto"/>
        </w:rPr>
      </w:pPr>
    </w:p>
    <w:p>
      <w:pPr>
        <w:ind w:left="7" w:right="20"/>
        <w:spacing w:after="0" w:line="297" w:lineRule="auto"/>
        <w:rPr>
          <w:sz w:val="20"/>
          <w:szCs w:val="20"/>
          <w:color w:val="auto"/>
        </w:rPr>
      </w:pPr>
      <w:r>
        <w:rPr>
          <w:rFonts w:ascii="Arial" w:cs="Arial" w:eastAsia="Arial" w:hAnsi="Arial"/>
          <w:sz w:val="14"/>
          <w:szCs w:val="14"/>
          <w:color w:val="auto"/>
        </w:rPr>
        <w:t>The Pegsiticase Group and SVP-Rapamycin + Pegsiticase Group were treated on days zero, seven and 14 of the treatment period. Each group was then treated with pegsiticase alone on days 35 and 42 of the study, or the challenge period. Uricase-specific ADA levels were recorded to determine the formation of ADAs to pegsiticase. Uric acid levels were measured to determine effectiveness of SVP-Rapamycin co-administered with pegsiticase in lowering uric acid levels below 6 mg/dl, which is the treatment target for gout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8" w:name="page129"/>
    <w:bookmarkEnd w:id="12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26181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0910" cy="261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14. Preclinical Study: Proof-of-Concept in Uricase-Deficient Mice</w:t>
      </w:r>
    </w:p>
    <w:p>
      <w:pPr>
        <w:spacing w:after="0" w:line="177"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i w:val="1"/>
          <w:iCs w:val="1"/>
          <w:color w:val="auto"/>
        </w:rPr>
        <w:t xml:space="preserve">Antibody formation. </w:t>
      </w:r>
      <w:r>
        <w:rPr>
          <w:rFonts w:ascii="Arial" w:cs="Arial" w:eastAsia="Arial" w:hAnsi="Arial"/>
          <w:sz w:val="15"/>
          <w:szCs w:val="15"/>
          <w:color w:val="auto"/>
        </w:rPr>
        <w:t>The Pegsiticase Group developed uricase-specific ADAs when exposed to pegsiticase during the treatment period. The Untreated Group also developed uricase-specific ADAs as soon as they were challenged with pegsiticase. Despite exposure to pegsiticase during both the treatment and challenge periods, the SVP-Rapamycin + Pegsiticase Group did not develop uricase-specific ADAs during either period.</w:t>
      </w:r>
    </w:p>
    <w:p>
      <w:pPr>
        <w:spacing w:after="0" w:line="159" w:lineRule="exact"/>
        <w:rPr>
          <w:sz w:val="20"/>
          <w:szCs w:val="20"/>
          <w:color w:val="auto"/>
        </w:rPr>
      </w:pPr>
    </w:p>
    <w:p>
      <w:pPr>
        <w:ind w:left="7"/>
        <w:spacing w:after="0" w:line="270"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After initial exposure to pegsiticase, the Untreated Group maintained high uric acid levels of approximately 10 mg/dl. The Pegsiticase Group recorded uric acid levels</w:t>
      </w:r>
      <w:r>
        <w:rPr>
          <w:rFonts w:ascii="Arial" w:cs="Arial" w:eastAsia="Arial" w:hAnsi="Arial"/>
          <w:sz w:val="15"/>
          <w:szCs w:val="15"/>
          <w:i w:val="1"/>
          <w:iCs w:val="1"/>
          <w:color w:val="auto"/>
        </w:rPr>
        <w:t xml:space="preserve"> </w:t>
      </w:r>
      <w:r>
        <w:rPr>
          <w:rFonts w:ascii="Arial" w:cs="Arial" w:eastAsia="Arial" w:hAnsi="Arial"/>
          <w:sz w:val="15"/>
          <w:szCs w:val="15"/>
          <w:color w:val="auto"/>
        </w:rPr>
        <w:t>below 6 mg/dl after the first dose in the treatment period. However, during subsequent doses in the treatment period and challenge period, uric acid levels returned to levels well in excess of 6 mg/dl. In contrast, the SVP-Rapamycin + Pegsiticase Group maintained uric acid levels that were close to zero throughout the study.</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nonhuman primates</w:t>
      </w:r>
    </w:p>
    <w:p>
      <w:pPr>
        <w:spacing w:after="0" w:line="198"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also conducted a preclinical study to evaluate the ability of SVP-Rapamycin to mitigate the formation of uricase-specific ADAs in nonhuman primates. As depicted in Figure 15 below, during the study we either:</w:t>
      </w:r>
    </w:p>
    <w:p>
      <w:pPr>
        <w:spacing w:after="0" w:line="162" w:lineRule="exact"/>
        <w:rPr>
          <w:sz w:val="20"/>
          <w:szCs w:val="20"/>
          <w:color w:val="auto"/>
        </w:rPr>
      </w:pPr>
    </w:p>
    <w:p>
      <w:pPr>
        <w:ind w:left="467" w:hanging="467"/>
        <w:spacing w:after="0"/>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administered pegsiticase alone, referred to as the Empty Nanoparticle Group and indicated in blue; or</w:t>
      </w:r>
    </w:p>
    <w:p>
      <w:pPr>
        <w:spacing w:after="0" w:line="221" w:lineRule="exact"/>
        <w:rPr>
          <w:rFonts w:ascii="Arial" w:cs="Arial" w:eastAsia="Arial" w:hAnsi="Arial"/>
          <w:sz w:val="15"/>
          <w:szCs w:val="15"/>
          <w:color w:val="auto"/>
        </w:rPr>
      </w:pPr>
    </w:p>
    <w:p>
      <w:pPr>
        <w:ind w:left="467" w:right="200" w:hanging="467"/>
        <w:spacing w:after="0" w:line="270" w:lineRule="auto"/>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co-administered pegsiticase with one of two dose levels of SVP-Rapamycin, referred to as the SVP-Rapamycin 0.1X and SVP-Rapamycin 1X Groups and indicated in purple and green, respectively. The SVP-Rapamycin 0.1X Group received a dose level of SVP-Rapamycin of 0.3 mg/kg and the SVP-Rapamycin 1X Group received a dose level of SVP-Rapamycin of 3 mg/kg.</w:t>
      </w:r>
    </w:p>
    <w:p>
      <w:pPr>
        <w:spacing w:after="0" w:line="15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The Empty Nanoparticle Group received three monthly doses of pegsiticase and each of the SVP-Rapamycin 0.1X Group and SVP-Rapamycin 1X Group received three monthly doses of pegsiticase co-administered with SVP-Rapamycin. All groups then received two monthly doses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29" w:name="page130"/>
    <w:bookmarkEnd w:id="1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pegsiticase alone. The SVP-Rapamycin 0.1X Group received one-tenth of the dose administered in the SVP-Rapamycin 1X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130175</wp:posOffset>
            </wp:positionV>
            <wp:extent cx="3971290" cy="2963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971290" cy="296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15. Preclinical Study: Proof-of-Concept in Nonhuman Primates</w:t>
      </w:r>
    </w:p>
    <w:p>
      <w:pPr>
        <w:spacing w:after="0" w:line="177" w:lineRule="exact"/>
        <w:rPr>
          <w:sz w:val="20"/>
          <w:szCs w:val="20"/>
          <w:color w:val="auto"/>
        </w:rPr>
      </w:pPr>
    </w:p>
    <w:p>
      <w:pPr>
        <w:jc w:val="both"/>
        <w:ind w:right="140"/>
        <w:spacing w:after="0" w:line="297" w:lineRule="auto"/>
        <w:rPr>
          <w:sz w:val="20"/>
          <w:szCs w:val="20"/>
          <w:color w:val="auto"/>
        </w:rPr>
      </w:pPr>
      <w:r>
        <w:rPr>
          <w:rFonts w:ascii="Arial" w:cs="Arial" w:eastAsia="Arial" w:hAnsi="Arial"/>
          <w:sz w:val="14"/>
          <w:szCs w:val="14"/>
          <w:i w:val="1"/>
          <w:iCs w:val="1"/>
          <w:color w:val="auto"/>
        </w:rPr>
        <w:t xml:space="preserve">Antibody formation. </w:t>
      </w:r>
      <w:r>
        <w:rPr>
          <w:rFonts w:ascii="Arial" w:cs="Arial" w:eastAsia="Arial" w:hAnsi="Arial"/>
          <w:sz w:val="14"/>
          <w:szCs w:val="14"/>
          <w:color w:val="auto"/>
        </w:rPr>
        <w:t>We observed that the Empty Nanoparticle Group produced high levels of uricase-specific ADAs by the end of the study. The SVP-Rapamycin 0.1X Group and SVP-Rapamycin 1X Group were able to reduce the levels of uricase-specific ADAs significantly compared to the Empty Nanoparticle Group and, in the case of the SVP-Rapamycin 1X Group, inhibited the formation of antibodies. Our observations in this study confirmed in non-human primates the mitigation of uricase-specific ADAs we observed in mice.</w:t>
      </w:r>
    </w:p>
    <w:p>
      <w:pPr>
        <w:spacing w:after="0" w:line="144" w:lineRule="exact"/>
        <w:rPr>
          <w:sz w:val="20"/>
          <w:szCs w:val="20"/>
          <w:color w:val="auto"/>
        </w:rPr>
      </w:pPr>
    </w:p>
    <w:p>
      <w:pPr>
        <w:jc w:val="both"/>
        <w:ind w:right="160"/>
        <w:spacing w:after="0" w:line="282"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As expected, we could not determine the effect that pegsiticase alone or pegsiticase co-administered with SVP-Rapamycin had on uric acid levels in nonhuman primates</w:t>
      </w:r>
      <w:r>
        <w:rPr>
          <w:rFonts w:ascii="Arial" w:cs="Arial" w:eastAsia="Arial" w:hAnsi="Arial"/>
          <w:sz w:val="15"/>
          <w:szCs w:val="15"/>
          <w:i w:val="1"/>
          <w:iCs w:val="1"/>
          <w:color w:val="auto"/>
        </w:rPr>
        <w:t xml:space="preserve"> </w:t>
      </w:r>
      <w:r>
        <w:rPr>
          <w:rFonts w:ascii="Arial" w:cs="Arial" w:eastAsia="Arial" w:hAnsi="Arial"/>
          <w:sz w:val="15"/>
          <w:szCs w:val="15"/>
          <w:color w:val="auto"/>
        </w:rPr>
        <w:t>due to the activity of naturally occurring uricase in these animals.</w:t>
      </w:r>
    </w:p>
    <w:p>
      <w:pPr>
        <w:spacing w:after="0" w:line="151"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Based on these preclinical studies, as well as toxicology studies conducted to conform to regulatory guidelines, referred to as current good laboratory practice, or GLP, we believe that SEL-212 demonstrated sufficient efficacy and safety in the preclinical animal models to justify movement into clinical development, and the FDA indicated that our Phase 1b clinical trial for SEL-212 was safe to proceed.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development</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For chronic refractory gout, we are executing a clinical development program in which we expect to conduct five clinical studies in a total of approximately 400 subjects with gout or elevated levels of uric acid. We initiated our clinical program in the second quarter of 2015 with a Phase 1a trial of pegsiticase in subjects with elevated serum uric acid levels. We completed the patient treatment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0" w:name="page131"/>
    <w:bookmarkEnd w:id="13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of our Phase 1a trial was completed in November 2015, initiated a Phase 1b trial in December 2015 and expect final data from both Phase 1 clinical trials in the second half of 2016. We plan to follow this Phase 1b clinical trial with an open label multi-dose Phase 2 clinical trial of SEL-212 in patients with symptomatic gout and elevated uric acid levels. After an end-of-Phase 2 meeting with the FDA, we expect that we will be required to conduct two Phase 3 clinical trials in patients with refractory gout. We plan to leverage our experience in chronic refractory gout for separate but similar clinical trials for the indication of chronic tophaceous gout.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 and Phase 2 clinical trials</w:t>
      </w:r>
    </w:p>
    <w:p>
      <w:pPr>
        <w:spacing w:after="0" w:line="198"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SEL-212 is currently being evaluated in a comprehensive Phase 1/2 clinical program that includes a Phase 1a and Phase 1b clinical trial in subjects with high uric acid levels as well as a Phase 2 clinical trial in patients with symptomatic gout and high uric acid levels. Each Phase 1 clinical trial was designed with the primary objective to evaluate the safety and tolerability of SEL-212 and its individual components. Additional objectives of the Phase 1 clinical trials include identifying a pegsiticase dose that is capable of lowering serum uric acid levels, evaluating the immunogenicity of pegsiticase after a single dose and demonstrating that SVP-Rapamycin co-administered with pegsiticase reduces uric acid levels and mitigates the formation of uricase-specific ADAs. The Phase 2 clinical trial will evaluate the effect of multiple doses over an extended period of time on serum uric acid and the formation of uricase-specific ADAs in approximately 36 patients with symptomatic gout and elevated serum uric acid levels. We expect to receive final data from both Phase 1 clinical trials in the second half of 2016. We expect to initiate the Phase 2 clinical trial in the second half of 2016 and receive data in the first half of 2017.</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1a clinical trial</w:t>
      </w:r>
    </w:p>
    <w:p>
      <w:pPr>
        <w:spacing w:after="0" w:line="198"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The Phase 1a clinical trial for SEL-212 was an ascending dose trial of pegsiticase alone in 22 subjects with elevated serum uric acid levels greater than 6 mg/dl who were separated into five cohorts. At the outset of the trial, each cohort received a single intravenous infusion of pegsiticase at ascending dose levels of 0.1 mg/kg for Cohort #1, 0.2 mg/kg for Cohort #2, 0.4 mg/kg for Cohort #3, 0.8 mg/kg for Cohort #4 and 1.2 mg/kg for Cohort #5. We monitored the subjects during a 30-day period post-infusion. We commenced enrollment of the clinical trial in the second quarter of 2015 and completed the treatment portion of the trial in November 2015. We observed that pegsiticase demonstrated no serious adverse events and was well tolerated at the five dose levels tested. Additionally, we observed that pegsiticase rapidly reduced and sustained average serum uric acid levels below 6 mg/dl for each cohort for 14 to 30 days, depending on the dose level. Consistent with our preclinical studies in animals, pegsiticase induced uricase-specific ADAs in all subjects with varying levels in this Phase 1a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1" w:name="page132"/>
    <w:bookmarkEnd w:id="1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Figure 16 below depicts average serum uric acid levels of the Phase 1a clinical trial's five cohorts tested at different measurement intervals during the course of the 30-day period following the single intravenous infusion of pegsiticase at the outset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100330</wp:posOffset>
            </wp:positionV>
            <wp:extent cx="4353560" cy="25374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5356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16. Phase 1a Clinical Trial: Serum Uric Acid Levels Across Five Cohorts</w:t>
      </w:r>
    </w:p>
    <w:p>
      <w:pPr>
        <w:spacing w:after="0" w:line="177" w:lineRule="exact"/>
        <w:rPr>
          <w:sz w:val="20"/>
          <w:szCs w:val="20"/>
          <w:color w:val="auto"/>
        </w:rPr>
      </w:pPr>
    </w:p>
    <w:p>
      <w:pPr>
        <w:ind w:right="200"/>
        <w:spacing w:after="0" w:line="313" w:lineRule="auto"/>
        <w:rPr>
          <w:sz w:val="20"/>
          <w:szCs w:val="20"/>
          <w:color w:val="auto"/>
        </w:rPr>
      </w:pPr>
      <w:r>
        <w:rPr>
          <w:rFonts w:ascii="Arial" w:cs="Arial" w:eastAsia="Arial" w:hAnsi="Arial"/>
          <w:sz w:val="13"/>
          <w:szCs w:val="13"/>
          <w:color w:val="auto"/>
        </w:rPr>
        <w:t>Figure 17 below indicates the serum uric acid and uricase-specific ADA levels for each subject in Cohort #3 of the Phase 1a clinical trial. The serum uric acid levels were measured at baseline and days seven, 14, 21 and 30 and uricase-specific ADA levels at baseline and days seven, 14 and 30 following a single intravenous injection of pegsiticase. We did not measure uricase-specific ADA levels at day 21 in the Phase 1a clinical trial. One subject in this cohort, subject number two, developed a relatively low level uricase-specific ADA titer of 40 and maintained uric acid levels below 0.5 mg/dl through the thirtieth day after dosing. By contrast, the remaining four subjects in the cohort developed levels of uricase-specific ADAs greater than 1,000 titer and uric acid levels above 5 mg/dl by the thirtieth day after dosing. Based on the results from our Phase 1a clinical trial, we observed that pegsiticase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266305"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2" w:name="page133"/>
    <w:bookmarkEnd w:id="13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tolerated dose is capable of achieving and maintaining a reduction of serum uric acid below the target of 6 mg/dl for a 30-day period in the absence of inhibitory uricase-specific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137795</wp:posOffset>
            </wp:positionV>
            <wp:extent cx="5030470" cy="16179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030470"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17. Phase 1a Clinical Trial: Serum Uric Acid and Uricase-Specific ADA Levels of the Third Cohort</w:t>
      </w:r>
    </w:p>
    <w:p>
      <w:pPr>
        <w:spacing w:after="0" w:line="177"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Based on our analysis of the Phase 1a clinical trial data, we selected the pegsiticase dose of 0.4 mg/kg from Cohort #3 of the Phase 1a clinical trial for further study in the Phase 1b clinical trial.</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Phase 1b clinical trial</w:t>
      </w:r>
    </w:p>
    <w:p>
      <w:pPr>
        <w:spacing w:after="0" w:line="198" w:lineRule="exact"/>
        <w:rPr>
          <w:sz w:val="20"/>
          <w:szCs w:val="20"/>
          <w:color w:val="auto"/>
        </w:rPr>
      </w:pPr>
    </w:p>
    <w:p>
      <w:pPr>
        <w:ind w:left="7"/>
        <w:spacing w:after="0" w:line="281" w:lineRule="auto"/>
        <w:rPr>
          <w:sz w:val="20"/>
          <w:szCs w:val="20"/>
          <w:color w:val="auto"/>
        </w:rPr>
      </w:pPr>
      <w:r>
        <w:rPr>
          <w:rFonts w:ascii="Arial" w:cs="Arial" w:eastAsia="Arial" w:hAnsi="Arial"/>
          <w:sz w:val="14"/>
          <w:szCs w:val="14"/>
          <w:color w:val="auto"/>
        </w:rPr>
        <w:t>In December 2015, we initiated our Phase 1b clinical trial. We anticipate that this clinical trial will have approximately 53 subjects with serum uric acid levels greater than 6 mg/dl separated into nine cohorts. We plan to co-administer a single intravenous infusion of SVP-Rapamycin at ascending dose levels with a fixed dose of pegsiticase of 0.4 mg/kg for four of the cohorts, which will be Cohort #2, Cohort #4, Cohort #6 and Cohort #8 of the Phase 1b clinical trial, or collectively the SEL-212 Cohorts. In addition to a fixed 0.4 mg/kg dose of pegsiticase, subjects in the SEL-212 Cohorts will receive SVP-Rapamycin in the following dose levels: Cohort #2 (0.03 mg/kg), Cohort #4 (0.1 mg/kg), Cohort #6 (0.3 mg/kg) and Cohort #8 (0.5 mg/kg). We also plan to administer to Cohort #9 a fixed amount of pegsiticase alone at a dose level of 0.4 mg/kg, which we refer to as the Pegsiticase Cohort. Additionally, we intend to administer a single intravenous infusion of SVP-Rapamycin alone at the following ascending dose levels to the remaining cohorts, which will be Cohort #1 (0.03 mg/kg), Cohort #3 (0.1 mg/kg), Cohort #5 (0.3 mg/kg) and Cohort #7 (0.5 mg/kg) of the Phase 1b clinical trial, or collectively the SVP-Rapamycin Cohorts. All subjects will be followed for 30 days after their initial dose. The primary objective of the Phase 1b clinical trial is to evaluate the safety and tolerability of SVP-Rapamycin alone and in combination with a fixed dose of pegsiticase. A secondary clinical objective is to evaluate the ability of SVP-Rapamycin co-administered with pegsiticase to reduce serum uric acid levels and mitigate the formation of uricase-specific ADAs when compared to administration of pegsiticase alone. We expect that complete data from the Phase 1b clinical trial will be available in the second half of 2016.</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5"/>
          <w:szCs w:val="15"/>
          <w:color w:val="auto"/>
        </w:rPr>
        <w:t>Although the Phase 1b clinical trial is currently ongoing, as of June 3, 2016, we had completed the dosing of:</w:t>
      </w:r>
    </w:p>
    <w:p>
      <w:pPr>
        <w:spacing w:after="0" w:line="210" w:lineRule="exact"/>
        <w:rPr>
          <w:sz w:val="20"/>
          <w:szCs w:val="20"/>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all four SVP-Rapamycin Cohorts;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three SEL-212 Cohorts, Cohort #2, Cohort #4 and Cohort #6, receiving the lowest three (out of the four projected) SVP-Rapamycin ascending dose levels;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Pegsiticase Cohort, Cohort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33" w:name="page134"/>
    <w:bookmarkEnd w:id="1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We have received 30-day observation period data for Cohort #1 (SVP-Rapamycin Cohort), Cohort #2 (SEL-212 Cohort), Cohort #3 (SVP-Rapamycin Cohort), Cohort #4 (SEL-212 Cohort), Cohort #5 (SVP-Rapamycin Cohort), Cohort #6 (SEL-212 Cohort) and Cohort #9 (Pegsiticase Cohort) of the Phase 1b clinical trial.</w:t>
      </w:r>
    </w:p>
    <w:p>
      <w:pPr>
        <w:spacing w:after="0" w:line="151" w:lineRule="exact"/>
        <w:rPr>
          <w:sz w:val="20"/>
          <w:szCs w:val="20"/>
          <w:color w:val="auto"/>
        </w:rPr>
      </w:pPr>
    </w:p>
    <w:p>
      <w:pPr>
        <w:ind w:right="40"/>
        <w:spacing w:after="0" w:line="304" w:lineRule="auto"/>
        <w:rPr>
          <w:sz w:val="20"/>
          <w:szCs w:val="20"/>
          <w:color w:val="auto"/>
        </w:rPr>
      </w:pPr>
      <w:r>
        <w:rPr>
          <w:rFonts w:ascii="Arial" w:cs="Arial" w:eastAsia="Arial" w:hAnsi="Arial"/>
          <w:sz w:val="13"/>
          <w:szCs w:val="13"/>
          <w:color w:val="auto"/>
        </w:rPr>
        <w:t>Figure 18 below indicates the serum uric acid levels of Cohort #3 from the Phase 1a clinical trial, in which subjects received a fixed amount of pegsiticase alone (at the same 0.4 mg/kg pegsiticase dose level as Cohort #9, the Pegsiticase Cohort, of the Phase 1b clinical trial). Figure 18 below also indicates the serum uric acid levels of Cohort #9 (Pegsiticase Cohort), Cohort #1 (SVP-Rapamycin Cohort), Cohort #2 (SEL-212 Cohort), Cohort #3 (SVP-Rapamycin Cohort), Cohort #4 (SEL-212 Cohort), Cohort #5 (SVP-Rapamycin Cohort) and Cohort #6 (SEL-212 Cohort) from the Phase 1b clinical trial. In Figure 18 below, observational data is presented for all cohorts in which subjects have reached the end of the 30-day observation period. In these subjects, serum uric acid levels were measured at baseline and days seven, 14, 21 and 30. As expected, SVP-Rapamycin alone had no relevant effect on reducing serum uric acid levels across the SVP-Rapamycin Cohorts, as such levels remained relatively constant during the 30-day period. In Cohort #2 from the Phase 1b clinical trial, which received the lowest dose of SVP-Rapamycin co-administered with pegsiticase, we observed that four out of five subjects tested maintained serum uric acid levels below 6 mg/dl through day 21 of the trial. We also observed that four out of five subjects in Cohort #4 from the Phase 1b clinical trial, which received the second lowest dose of SVP-Rapamycin co-administered with pegsiticase, maintained levels of serum uric acid of less than 0.1 mg/dl through day 30. For Cohort #6 (SEL-212 Cohort), we observed that each of the five subjects maintained levels of serum uric acid of less than 0.1 mg/dl through day 30. By comparison, for Cohort #9 (Pegsiticase Cohort), four of the five subjects returned to baseline serum uric acid levels by day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96520</wp:posOffset>
            </wp:positionV>
            <wp:extent cx="4544695" cy="28536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544695" cy="285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18. Phase 1b Clinical Trial: Uric Acid Levels Across Seven Phase 1b Cohorts (and Cohort #3 from the Phase 1a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4" w:name="page135"/>
    <w:bookmarkEnd w:id="1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Figure 19 below shows the serum uric acid levels and uricase-specific ADA levels for each subject in Cohort #3 of the Phase 1a clinical trial and Cohort #9 (Pegsiticase Cohort) of the Phase 1b clinical trial for comparison to the serum uric acid levels and uricase-specific ADA levels for each subject in Cohort # 4 (SEL-212 Cohort) and Cohort #6 (SEL-212 Cohort) in the Phase 1b clinical trial. Cohort #3 from the Phase 1a clinical trial is depicted in Figure 19 along with Cohort #9 from the Phase 1b clinical trial for purposes of comparison against Cohort #4 and Cohort #6 from the Phase 1b clinical trial because the subjects in these cohorts received the same fixed dose of pegsiticase. In addition, Cohort #4 from the Phase 1b clinical trial is depicted below in Figure 19 because the subjects in Cohort #4 from the Phase 1b clinical trial received a higher dose of SVP-Rapamycin than did the subjects in Cohort #2 in the Phase 1b clinical trial. We have also included Cohort #6 from the Phase 1b clinical trial because these subjects received the highest dose of SVP-Rapamycin tested to date—higher than both Cohorts #2 and #4.</w:t>
      </w:r>
    </w:p>
    <w:p>
      <w:pPr>
        <w:spacing w:after="0" w:line="169"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As depicted in Figure 19 below, in Cohort #3 from the Phase 1a clinical trial and Cohort #9 from the Phase 1b clinical trial, we observed uricase-specific ADA formation at day 14 resulting in a return to baseline levels of serum uric acid. In comparison, for Cohort #4 from the Phase 1b clinical trial, we observed minimal uricase-specific ADA formation in four of the five subjects tested with corresponding maintenance of control of serum uric acid levels through day 30. In Cohort #6 of the Phase 1b clinical trial, we observed minimal to no uricase-specific ADA formation in each of the five subjects, with corresponding maintenance of control of serum uric acid levels through day 30. In the Phase 1a clinical trial, we did not measure uricase-specific ADA levels at day 21. However, in the course of conducting the Phase 1a clinical trial, we learned that it would be useful to measure uricase-specific ADA levels at day 21 to more fully understand any variations in such levels between day 14 and day 30. As a result, for the Phase 1b clinical trial, we monitor uricase-specific ADA levels at day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35" w:name="page136"/>
    <w:bookmarkEnd w:id="1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42729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0910" cy="427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19. Comparison of Phase 1a Cohort #3, Phase 1b Cohort #9, Phase 1b Cohort #4 and Phase 1b Cohort #6: Uric Acid and Uricase-Specific ADA Levels</w:t>
      </w:r>
    </w:p>
    <w:p>
      <w:pPr>
        <w:spacing w:after="0" w:line="177"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Figure 20 below presents a non-head-to-head comparison of the efficacy of SEL-212 in Cohort #6 of the Phase 1b clinical trial with data from two replicate, randomized, double-blind, placebo-controlled clinical trials of Krystexxa as reported in the Journal of the American Medical Association in 2011. These two Krystexxa clinical trials included 85 patients who received biweekly doses of Krystexxa, 84 patients who received monthly doses of Krystexxa and 43 patients who received a placebo. Of the Krystexxa-treated patients that were considered responders, as defined by the maintenance of uric acid levels below 6 mg/dl for 80% of the time at months three and six, the mean uric acid levels in patients on the biweekly dose regimen were more meaningfully and consistently improved than patients on the monthly dose regimen. Krystexxa has been approved for the treatment of refractory gout on a biweekly dose regimen whereas the monthly dose regimen of Krystexxa has not been approved for marketing. The graph on the left in Figure 20 below depicts the data for the four-week period after the first dose of Krystexxa from the cohorts of subjects in the Krystexxa clinical trials who received monthly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6" w:name="page137"/>
    <w:bookmarkEnd w:id="1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40"/>
        <w:spacing w:after="0" w:line="301" w:lineRule="auto"/>
        <w:rPr>
          <w:sz w:val="20"/>
          <w:szCs w:val="20"/>
          <w:color w:val="auto"/>
        </w:rPr>
      </w:pPr>
      <w:r>
        <w:rPr>
          <w:rFonts w:ascii="Arial" w:cs="Arial" w:eastAsia="Arial" w:hAnsi="Arial"/>
          <w:sz w:val="13"/>
          <w:szCs w:val="13"/>
          <w:color w:val="auto"/>
        </w:rPr>
        <w:t>The placebo control subjects, indicated in open circles in Figure 20 below, had uric acid levels above 6 mg/dl for the entire four weeks. The Krystexxa-treated subjects that went on to become responders are indicated in black circles. The Krystexxa-treated subjects that went on to become non-responders, as defined by the inability to maintain uric acid levels below</w:t>
      </w:r>
    </w:p>
    <w:p>
      <w:pPr>
        <w:spacing w:after="0" w:line="260" w:lineRule="auto"/>
        <w:rPr>
          <w:sz w:val="20"/>
          <w:szCs w:val="20"/>
          <w:color w:val="auto"/>
        </w:rPr>
      </w:pPr>
      <w:r>
        <w:rPr>
          <w:rFonts w:ascii="Arial" w:cs="Arial" w:eastAsia="Arial" w:hAnsi="Arial"/>
          <w:sz w:val="15"/>
          <w:szCs w:val="15"/>
          <w:color w:val="auto"/>
        </w:rPr>
        <w:t>6 mg/dl for 80% of the time at months three and six, are indicated in black triangles. Only 35% of Krystexxa-treated subjects in the monthly dosing cohorts were classified as responders. Of the patients that received monthly doses, it is notable that, even at four weeks, the mean uric acid levels were above 6 mg/dl in the non-responders, representing 65% of subjects, and were above 4 mg/dl in the responders. While not depicted in Figure 20 below, 89% of all Krystexxa-treated subjects developed ADAs. In comparison, the graph on the right in Figure 20 below depicts data from Cohort #5 of the Phase 1b clinical trial, which received a single dose of SVP-Rapamycin alone, and Cohort #6 of the Phase 1b clinical trial, which received a single dose of SEL-212. All five subjects in Cohort #6 of the Phase 1b clinical trial, treated with SEL-212 and indicated in green in Figure 20 below, maintained levels of serum uric acid of less than 0.1 mg/dl through day 30. Subjects in Cohort #5 of the Phase 1b clinical trial, treated with SVP-Rapamycin alone and indicated in blue, experienced no significant reduction in uric acid levels, as such levels remained relatively constant over the 30-day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112395</wp:posOffset>
            </wp:positionV>
            <wp:extent cx="4464050" cy="23463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464050" cy="234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20. Comparison of the Efficacy of Krystexxa and SEL-212 After a Single Dose</w:t>
      </w:r>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While we believe the above comparison is useful in evaluating the results of Cohort #6 of the Phase 1b clinical trial, our Phase 1b clinical trial and the Krystexxa clinical trials were separate trials conducted by different investigators at different sites. In addition, there were substantial differences, including, for example, that the Krystexxa clinical trials were double-blind trials involving a substantial number of patients with refractory gout while our Phase 1b clinical trial evaluated SEL-212 in an unblinded manner in a small number of subjects with elevated uric acid levels. Moreover, we could only compare the efficacy of SEL-212 with the four-week period following the first injection of Krystexxa as SEL-212 has not yet been evaluated in a multi-dose clinical trial. In this regard, we have not conducted a head-to-head comparison of SEL-212 and Krystexxa in a clinical trial. Results of a head-to-head comparison may differ significantly from those set forth in Figure 20 above. In addition, because our Phase 1b clinical trial and the Krystexxa clinical trials were separate trials and because Cohort #6 of our Phase 1b clinical trial involved only five subjects, differences between the results of our Phase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7" w:name="page138"/>
    <w:bookmarkEnd w:id="1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clinical trial and the two Krystexxa clinical trials may not be statistically or clinically meaningful. For these reasons, investors should not place undue weight on the comparative information set forth above, including in Figure 20.</w:t>
      </w:r>
    </w:p>
    <w:p>
      <w:pPr>
        <w:spacing w:after="0" w:line="151"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We collected additional serum uric acid and uricase-specific ADA data after day 30 for three of the subjects in Cohort #4 (SEL-212 Cohort) that had no or very low serum uric acid and uricase-specific ADA levels at day 30. We collected data on day 37 for all three of these subjects and again on day 42 or day 44 for two of the three subjects. Each of these three subjects had no or very low uricase-specific ADA levels on day 37, day 42 or day 44, as applicable. Serum uric acid levels remained below baseline on day 37 in all three subjects. With respect to the two subjects for which day 42 or day 44 data was available, serum uric acid levels approached or exceeded baseline by the last time point measured. We anticipated these results as we did not expect a single dose of the enzyme to be capable of clearing all of the uric acid deposits in the body. Based on our observations from the Phase 1b clinical trial data that SEL-212 was capable of controlling uric acid levels for at least 30 days in all of the subjects in Cohort #6, we believe SEL-212 has the potential to maintain low uric acid levels with monthly dosing, which we plan to test in the Phase 2 clinical trial.</w:t>
      </w:r>
    </w:p>
    <w:p>
      <w:pPr>
        <w:spacing w:after="0" w:line="169" w:lineRule="exact"/>
        <w:rPr>
          <w:sz w:val="20"/>
          <w:szCs w:val="20"/>
          <w:color w:val="auto"/>
        </w:rPr>
      </w:pPr>
    </w:p>
    <w:p>
      <w:pPr>
        <w:ind w:right="160"/>
        <w:spacing w:after="0" w:line="304" w:lineRule="auto"/>
        <w:rPr>
          <w:sz w:val="20"/>
          <w:szCs w:val="20"/>
          <w:color w:val="auto"/>
        </w:rPr>
      </w:pPr>
      <w:r>
        <w:rPr>
          <w:rFonts w:ascii="Arial" w:cs="Arial" w:eastAsia="Arial" w:hAnsi="Arial"/>
          <w:sz w:val="13"/>
          <w:szCs w:val="13"/>
          <w:color w:val="auto"/>
        </w:rPr>
        <w:t>As of June 3, 2016, on a combined basis, we had dosed a total of 70 subjects with either SEL-212 (SVP-Rapamycin and pegsiticase), SVP-Rapamycin alone or pegsiticase alone in connection with the Phase 1a and Phase 1b clinical trials. We have generally observed that SEL-212 and its components, SVP-Rapamycin and pegsiticase, have been well tolerated. As of June 3, 2016, there have been a total of two serious adverse events, or SAEs, in both Phase 1 clinical trials. One SAE occurred in a subject from Cohort #9 (Pegsiticase Cohort) of the Phase 1b clinical trial, a 62 year-old male, who received a dose level of pegsiticase alone of 0.4 mg/kg. This subject developed atrial fibrillation 13 days after administration of pegsiticase. The subject has been treated. The medical records from the principal investigator indicate that this subject has recovered. The principal investigator has deemed this SAE to not have been related to the study drug, pegsiticase. The second SAE occurred in a 59 year-old male from Cohort #4 (SEL-212 Cohort) of the Phase 1b clinical trial who developed a pruritic rash on his lower extremities and joint pain approximately 12 days after being dosed with SEL-212, consisting of a dose level of SVP-Rapamycin of 0.1 mg/kg and a dose level of pegsiticase of 0.4 mg/kg. This subject was treated with steroids, analgesics, anti-nausea medications and topical antihistamine cream. As a result of such treatment, the medical records from the principal investigator indicate that the rash and joint pain experienced by the subject have been resolved. This subject was the only subject in Cohort #4 (SEL-212 Cohort) that developed significant uricase-specific ADAs and whose serum uric acid levels returned to baseline by day 30. This adverse event was classified as an SAE because the subject was admitted to the emergency room instead of going directly to the investigational site for treatment. The principal investigator classified this second SAE as having been possibly related to the study drug, SEL-212.</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2 clinical trial</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We are planning an open-label Phase 2 clinical trial in approximately 36 subjects with symptomatic gout and elevated serum uric acid levels. We plan to divide patients into three dose groups. Two of these groups will receive SEL-212. The other group will receive pegsiticase alone. The primary endpoints will be the safety and tolerability of multiple doses of SEL-212 and pegsiticase alone in addition to a reduction of uric acid levels from baseline. We expect that secondary endpoints for this trial will include a reduction in levels of uricase-specific ADAs and pegsiticase-specific ADAs. Additional, exploratory endpoints will include number of flares, change in tophi volume as measured by dual energy computed tomography imaging and quality of life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8" w:name="page139"/>
    <w:bookmarkEnd w:id="1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foregoing clinical trials, we also plan to initiate development of SEL-212 for chronic tophaceous gout.</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SVP-Rapamycin programs for immune tolerance in gene therapy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 xml:space="preserve">We believe gene therapy has the potential to fundamentally change the treatment of genetic diseases in the form of replacing, augmenting or editing a gene. Gene therapy modifies the genetic content of the patient's own cells by placing corrective genetic material, or a transgene, within the nuclei of a patient's cells. The transferred genetic material enables the affected cells to become producers of a protein that is either missing or deficient in the patient. Engineered viruses that are unable to replicate themselves serve as carriers, or vectors, for the delivery of transgenes to various tissues and organs in the body. Adeno-associated viruses, or AAV, are the preferred vectors for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gene therapy because they cannot reproduce on their own, do not cause pathogenic infections and can be produced using manufacturing practices that conform to cGMP.</w:t>
      </w:r>
    </w:p>
    <w:p>
      <w:pPr>
        <w:spacing w:after="0" w:line="149"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Although gene therapy has made significant progress over the last several years, it faces certain limitations due to undesired immunogenicity to either the AAV vector or the encoded transgene. This undesired immunogenicity frequently exists prior to the gene therapy or is induced with the first dose. Once an antibody response to the AAV vector exists, it is likely to interfere with the efficacy of subsequent administration of the AAV vector. For naturally occurring types of AAV such as AAV1 to AAV10, patients can have prior exposure to the naturally occurring virus, which leads to the presence of pre-existing antibodies, or pre-existing immunity. The presence of pre-existing immunity is an exclusion criterion for most clinical gene therapy studies conducted with naturally occurring AAV vectors. Up to 50% of potential gene therapy patients can have pre-existing immunity, depending on the treated patient population and the AAV strain. Gene vector-specific ADAs frequently occur after the first dose and have been found to prevent the AAV vector from reaching its target cell. In addition, cellular immune responses have been found to destroy transfected cells. It is unknown exactly how long these neutralizing ADAs prevent redosing of gene therapy. However, it has been observed in studies with animals and humans that high titer AAV-specific ADAs develop and persist for more than 10 years, preventing vector readministration. Because of the induction of lasting antibodies against AAV, we believe gene therapy companies have focused on the single localized dose in diseases of the eye and central nervous system for which immunogenicity is perceived to be less of an issue. We believe that many gene therapy applications may require multiple doses, especially therapies designed to treat diseases by intravenous administration. Some of these rare genetic deficiencies are best treated when patients are infants or small children in order to prevent developmental defects. However, pediatric patients may have a higher need for repeat dosing due to higher cell turnover as the subject grows. Accordingly, we believe that a solution that enables repeat dosing for gene therapies would significantly expand the number of diseases that could be treated with these therapies.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solution for gene therapy</w:t>
      </w:r>
    </w:p>
    <w:p>
      <w:pPr>
        <w:spacing w:after="0" w:line="195"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We believe SVP-Rapamycin co-administered with gene therapies has the potential to mitigate undesired immune responses and enable desired efficacy in subsequent administration of gene therapy by intravenous administration for diseases and patients where a single dose of gene therapy is unlikely to be sufficient.</w:t>
      </w:r>
    </w:p>
    <w:p>
      <w:pPr>
        <w:spacing w:after="0" w:line="151" w:lineRule="exact"/>
        <w:rPr>
          <w:sz w:val="20"/>
          <w:szCs w:val="20"/>
          <w:color w:val="auto"/>
        </w:rPr>
      </w:pPr>
    </w:p>
    <w:p>
      <w:pPr>
        <w:ind w:right="420"/>
        <w:spacing w:after="0" w:line="282" w:lineRule="auto"/>
        <w:rPr>
          <w:sz w:val="20"/>
          <w:szCs w:val="20"/>
          <w:color w:val="auto"/>
        </w:rPr>
      </w:pPr>
      <w:r>
        <w:rPr>
          <w:rFonts w:ascii="Arial" w:cs="Arial" w:eastAsia="Arial" w:hAnsi="Arial"/>
          <w:sz w:val="15"/>
          <w:szCs w:val="15"/>
          <w:color w:val="auto"/>
        </w:rPr>
        <w:t>In collaboration with Genethon, a not-for-profit company focusing on gene therapies, we conducted a preclinical study in mice in which we observed the ability of SVP-Rapamycin to mitigate the formation of ADAs to AAV-based gene therapy, thereby enabling repeat dosing of the AAV vector in these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9" w:name="page140"/>
    <w:bookmarkEnd w:id="13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40"/>
        <w:spacing w:after="0" w:line="266" w:lineRule="auto"/>
        <w:rPr>
          <w:sz w:val="20"/>
          <w:szCs w:val="20"/>
          <w:color w:val="auto"/>
        </w:rPr>
      </w:pPr>
      <w:r>
        <w:rPr>
          <w:rFonts w:ascii="Arial" w:cs="Arial" w:eastAsia="Arial" w:hAnsi="Arial"/>
          <w:sz w:val="15"/>
          <w:szCs w:val="15"/>
          <w:color w:val="auto"/>
        </w:rPr>
        <w:t>At the outset of the study, all mice received an intravenous injection of AAV8, a commonly used AAV strain to target expression in the liver, encoding the luciferase gene, referred to as AAV8-Luciferase. On day 21 of the study, mice received a second injection of AAV8, this time encoding human coagulation Factor IX, referred to as AAV8-Factor IX. Mutations in the Factor IX gene can cause hemophilia B, a defect in blood clotting. As depicted in Figure 21 below, in addition to an injection of AAV8 encoding either the luciferase gene or Factor IX, the mice also received either:</w:t>
      </w:r>
    </w:p>
    <w:p>
      <w:pPr>
        <w:spacing w:after="0" w:line="173" w:lineRule="exact"/>
        <w:rPr>
          <w:sz w:val="20"/>
          <w:szCs w:val="20"/>
          <w:color w:val="auto"/>
        </w:rPr>
      </w:pPr>
    </w:p>
    <w:p>
      <w:pPr>
        <w:ind w:left="467" w:hanging="467"/>
        <w:spacing w:after="0"/>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color w:val="auto"/>
        </w:rPr>
        <w:t>empty nanoparticles, with such mice referred to as the Empty Nanoparticle Group and indicated in blue;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color w:val="auto"/>
        </w:rPr>
        <w:t>SVP-Rapamycin, with such mice referred to as the SVP-Rapamycin Group and indicated in green.</w:t>
      </w:r>
    </w:p>
    <w:p>
      <w:pPr>
        <w:spacing w:after="0" w:line="198"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We assessed AAV8-specific ADA levels to determine the formation of ADAs to the AAV8 vector. We also determined the levels of human Factor IX protein in mouse serum to determine the relative success in conveyance and expression of the Factor IX gene. We observed from our preclinical data that the SVP-Rapamycin treatment mitigated the formation of AAV8-specific ADAs in the SVP-Rapamycin Group, thereby enabling higher levels of Factor IX expression in the SVP-Rapamycin Group following the second injection on day 21 as compared to the Empty Nanoparticle Group. We believe these results indicate that the SVP-Rapamycin treatment may have the potential to mitigate undesired immune responses and enable repeat intravenous administration of gene therapies such as those utilizing the AAV8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110490</wp:posOffset>
            </wp:positionV>
            <wp:extent cx="4177030" cy="27432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17703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21. Preclinical Study: SVP-Rapamycin Co-Administered with AAV-Based Gene Therapy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0" w:name="page141"/>
    <w:bookmarkEnd w:id="14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In addition to eliciting antibody responses against the viral capsid (a protein shell that encloses the virus's genetic material), gene therapy can also induce cellular immunity mediated by cytolytic T cells, or CD8 T cells. CD8 T cells can reduce the effectiveness of gene therapy by specifically killing those cells that have taken up the AAV capsid and/or express the encoded transgene protein product. In a preclinical study, we assessed the CD8 T cell levels in the liver following the treatment of mice with an AAV8 vector alone and in combination with SVP-Rapamycin on days 0 and 21 of the study. Naïve mice that were not treated with either an AAV8 vector or SVP-Rapamycin were used as a control. On day 53, we then quantified the level of CD8 T cells in the liver by using a process known as reverse transcriptase-polymerase chain reaction, or RT-PCR, to amplify messenger ribonucleic acid, or mRNA, encoding the CD8 gene. As depicted in Figure 22 below, in this study, we observed that livers isolated from mice treated with the AAV8 vector alone showed a substantial increase in CD8 T cells compared to the naïve mice, which received neither an AAV8 vector nor SVP-Rapamycin. Based on our observations, we believe that the co-administration of SVP-Rapamycin with the AAV vector inhibited this increase in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110490</wp:posOffset>
            </wp:positionV>
            <wp:extent cx="2228215" cy="22136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228215" cy="221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22. Preclinical Study: CD8 T Cell Levels in the Livers of Mice Treated with SVP-Rapamycin Co-Administered with AAV-Based Gene Therapy (as measured by CD8 mRNA using RT-PCR)</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 also evaluated the ability of SVP-Rapamycin to mitigate the formation of ADAs to AAV capsids in nonhuman primates in a preclinical study. As depicted in Figure 23b below, nonhuman primates were screened on different dates for the presence of AAV-specific ADAs. On a later date, we drew blood from the nonhuman primates to evaluate the levels of AAV-specific ADAs again. This date is depicted in Figure 23b below as day -12 as it occurred 12 days prior to day zero of the study when the nonhuman primates received an intravenous injection of AAV8. As depicted in Figure 23a below, on day zero of the study, in addition to receiving an injection of AAV8, one nonhuman primate received empty nanoparticles, referred to as the Empty Nanoparticles Subject and indicated in purple, and two nonhuman primates received SVP-Rapamycin, referred to as SVP-Rapamycin Subject No. 1 and SVP-Rapamycin Subject No. 2 and indicated in orange and red, respectively. As depicted in Figure 23b below, on days three, 15 and 45 of the study, we again drew blood from the nonhuman primates and tested it for the presence of AAV8-specific ADAs. As depicted in Figure 23a below, on day 30 of the study, we administered to all nonhuman primates an injection of AAV-Human Factor IX together with an injection of empty nanoparticles for the Empty Nanoparticles Subject or an injection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266305"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1" w:name="page142"/>
    <w:bookmarkEnd w:id="1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SVP-Rapamycin for SVP-Rapamycin Subject No. 1 and SVP-Rapamycin Subject No. 2. As depicted in Figure 23c below, on day 45 of the study we tested the nonhuman primates' serum for levels of Human-Factor IX.</w:t>
      </w:r>
    </w:p>
    <w:p>
      <w:pPr>
        <w:spacing w:after="0" w:line="151" w:lineRule="exact"/>
        <w:rPr>
          <w:sz w:val="20"/>
          <w:szCs w:val="20"/>
          <w:color w:val="auto"/>
        </w:rPr>
      </w:pPr>
    </w:p>
    <w:p>
      <w:pPr>
        <w:ind w:right="120"/>
        <w:spacing w:after="0" w:line="313" w:lineRule="auto"/>
        <w:rPr>
          <w:sz w:val="20"/>
          <w:szCs w:val="20"/>
          <w:color w:val="auto"/>
        </w:rPr>
      </w:pPr>
      <w:r>
        <w:rPr>
          <w:rFonts w:ascii="Arial" w:cs="Arial" w:eastAsia="Arial" w:hAnsi="Arial"/>
          <w:sz w:val="13"/>
          <w:szCs w:val="13"/>
          <w:color w:val="auto"/>
        </w:rPr>
        <w:t>We assessed AAV8-specific ADA levels to determine the formation of ADAs in nonhuman primates to the AAV8 vector. We also determined the levels of human Factor IX protein in nonhuman primate serum to determine the relative success in conveyance and expression of the Factor IX gene. We observed from our preclinical data that the SVP-Rapamycin treatment mitigated the formation of AAV8-specific ADAs in SVP-Rapamycin Subject No. 1 and SVP-Rapamycin Subject No. 2, thereby enabling higher levels of Factor IX expression in the SVP-Rapamycin Subjects following the second injection on day 30 as compared to the Empty Nanoparticles Subject. We believe these results further indicate that the SVP-Rapamycin treatment may have the potential to mitigate undesired immune responses and enable repeat intravenous administration of gene therapies such as those utilizing the AAV8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91440</wp:posOffset>
            </wp:positionV>
            <wp:extent cx="4618355" cy="26917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61835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23. Preclinical Study: SVP-Rapamycin Co-Administered with AAV-Based Gene Therapy in Nonhuman Primates</w:t>
      </w:r>
    </w:p>
    <w:p>
      <w:pPr>
        <w:spacing w:after="0" w:line="177"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We believe SVP technology can be applied to induce antigen-specific immune tolerance for gene therapy involving gene augmentation, replacement or editing. Gene therapies often use a viral vector, such as an AAV vector, to place corrective genetic material into cells to treat genetic diseases. One of the key hurdles for the gene therapy field is to overcome immunogenicity against the viral vector, which can manifest itself in three ways. First, pre-existing ADAs that were induced following a natural AAV infection can neutralize the viral vector and block gene transfer. Up to 50% of patients are ineligible for gene therapy due to the presence of pre-existing ADAs. Second, ADAs form in response to a first administration of a gene therapy vector and prevent effective subsequent doses of gene therapy. Subsequent doses are particularly necessary for pediatric indications due to cellular turnover in young patients because they undergo renewal, which is the case in many pediatric indications. The ability to readminister gene therapies is also important for diseases where the goal is to transfer a high number of cells. Moreover, the third way in which immunogenicity can manifest itself against the viral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2" w:name="page143"/>
    <w:bookmarkEnd w:id="14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vector is that the cellular immune system can respond to the transduced cells, which can reduce efficacy and pose safety concerns.</w:t>
      </w:r>
    </w:p>
    <w:p>
      <w:pPr>
        <w:spacing w:after="0" w:line="198"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We have in-licensed the Anc80 vector from MEE. In preclinical studies, Anc80 has been observed to be a potent gene therapy vector that has demonstrated the capability of yielding superior gene expression levels in the liver compared to vectors based on naturally occurring AAV that are currently evaluated in clinical trials. As a synthetic vector, we believe Anc80 has limited cross-reactivity to naturally-occurring AAVs and therefore has the potential to treat patients with pre-existing AAV-specific ADAs. By combining SVP-Rapamycin and Anc80, we intend to develop highly differentiated gene therapies to address all three of the immunogenicity issues associated with the use of viral vectors.</w:t>
      </w:r>
    </w:p>
    <w:p>
      <w:pPr>
        <w:spacing w:after="0" w:line="148"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In collaboration with the clinical and gene therapy laboratory at the NIH and MEE, we plan to develop a product candidate utilizing the Anc80 vector for the treatment of an ARM disorder resulting from an inborn error of metabolism. This ARM disorder can cause severe developmental defects and premature death as a result of an accumulation of toxic metabolites. Under our license agreement with MEE, we also have the option to develop gene therapies using Anc80 for several additional diseases including lysosomal storage, muscular and genetic metabolic diseases.</w:t>
      </w:r>
    </w:p>
    <w:p>
      <w:pPr>
        <w:spacing w:after="0" w:line="162"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We intend to develop the combination of Anc80 and SVP-Rapamycin to increase the potential applicability of gene therapies. This would include (i) patients with pre-existing ADAs to naturally occurring AAV, a current exclusion criteria for many clinical studies, and (ii) diseases that require repeat dosing due to a young patient population or the need to reach higher levels of protein expression than can be achieved with a single dose.</w:t>
      </w:r>
    </w:p>
    <w:p>
      <w:pPr>
        <w:spacing w:after="0" w:line="159"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We plan to develop another product candidate for the treatment of an XLM disorder, which is a metabolic disorder similar to ARM disorder. We are pursuing this second indication through collaborations with third parties with preclinical and clinical experience in this area.</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SVP-Rapamycin programs for marketed biologics</w:t>
      </w:r>
    </w:p>
    <w:p>
      <w:pPr>
        <w:spacing w:after="0" w:line="195"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In preclinical studies, we have observed the ability of SVP-Rapamycin to inhibit the formation of ADAs when co-administered with several marketed biologics, including Humira and Advate. Humira is an anti-inflammatory medication that is used in the treatment of rheumatoid arthritis and other autoimmune diseases. Advate is a recombinant human clotting factor VIII used in the treatment of hemophilia A.</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4"/>
          <w:szCs w:val="14"/>
          <w:color w:val="auto"/>
        </w:rPr>
        <w:t>In one such preclinical study, we co-administered SVP-Rapamycin with Humira in genetically modified mice that produce human TNF-alpha, a protein involved in systemic inflammation.</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5"/>
          <w:szCs w:val="15"/>
          <w:color w:val="auto"/>
        </w:rPr>
        <w:t>Due to the constitutive expression of TNF-alpha, these mice spontaneously developed arthritis. In connection with this study:</w:t>
      </w:r>
    </w:p>
    <w:p>
      <w:pPr>
        <w:spacing w:after="0" w:line="205" w:lineRule="exact"/>
        <w:rPr>
          <w:sz w:val="20"/>
          <w:szCs w:val="20"/>
          <w:color w:val="auto"/>
        </w:rPr>
      </w:pPr>
    </w:p>
    <w:p>
      <w:pPr>
        <w:ind w:left="467" w:hanging="467"/>
        <w:spacing w:after="0"/>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one group of mice, referred to as the Untreated Group, indicated in black in Figure 24c below, were left untreated;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5"/>
        </w:numPr>
        <w:rPr>
          <w:rFonts w:ascii="Arial" w:cs="Arial" w:eastAsia="Arial" w:hAnsi="Arial"/>
          <w:sz w:val="13"/>
          <w:szCs w:val="13"/>
          <w:color w:val="auto"/>
        </w:rPr>
      </w:pPr>
      <w:r>
        <w:rPr>
          <w:rFonts w:ascii="Arial" w:cs="Arial" w:eastAsia="Arial" w:hAnsi="Arial"/>
          <w:sz w:val="13"/>
          <w:szCs w:val="13"/>
          <w:color w:val="auto"/>
        </w:rPr>
        <w:t>a second group of mice, referred to as the Humira Group, indicated in blue in Figures 24a through 24d below, were treated weekly with Humira alone from weeks 5 through 20; and</w:t>
      </w:r>
    </w:p>
    <w:p>
      <w:pPr>
        <w:spacing w:after="0" w:line="232" w:lineRule="exact"/>
        <w:rPr>
          <w:rFonts w:ascii="Arial" w:cs="Arial" w:eastAsia="Arial" w:hAnsi="Arial"/>
          <w:sz w:val="13"/>
          <w:szCs w:val="13"/>
          <w:color w:val="auto"/>
        </w:rPr>
      </w:pPr>
    </w:p>
    <w:p>
      <w:pPr>
        <w:ind w:left="467" w:right="440" w:hanging="467"/>
        <w:spacing w:after="0" w:line="282" w:lineRule="auto"/>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a third group of mice, referred to as the SVP-Rapamycin Group, indicated in green in Figures 24a through 24d below, were treated weekly with SVP-Rapamycin together with Humira from weeks five through 11 and then weekly with Humira alone from weeks 12 to 20.</w:t>
      </w:r>
    </w:p>
    <w:p>
      <w:pPr>
        <w:spacing w:after="0" w:line="151"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We evaluated Humira-specific ADA levels to determine the formation of ADAs to Humira. Levels of Humira in serum, or in the blood, were measured to determine whether the formation of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43" w:name="page144"/>
    <w:bookmarkEnd w:id="14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increased the clearance of Humira in serum. In addition, we measured the arthritis score, based on the level of severity of the disease, each week from weeks 10 through 20, for each of the three groups.</w:t>
      </w:r>
    </w:p>
    <w:p>
      <w:pPr>
        <w:spacing w:after="0" w:line="151"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As depicted in Figure 24a below, we observed a reduction in the formation of ADAs to Humira in the SVP-Rapamycin Group as compared to the Humira Group at week 20. Consistent with the observation of the formation of ADAs, as depicted in Figure 24b below, we observed a higher level of Humira in serum in the SVP-Rapamycin Group as compared to the Humira Group at week 19. As expected, mice in the Untreated Group did not show any Humira-specific ADAs or the presence of Humira in serum. As depicted in Figure 24c below, we observed a decrease in arthritis in the SVP-Rapamycin Group as compared to both the Humira Group and Untreated Group. Notably, the inhibition of ADAs and protection from arthritis were observed through the termination of the study at 20 weeks, even though the last treatment with SVP-Rapamycin was at 11 weeks.</w:t>
      </w:r>
    </w:p>
    <w:p>
      <w:pPr>
        <w:spacing w:after="0" w:line="149" w:lineRule="exact"/>
        <w:rPr>
          <w:sz w:val="20"/>
          <w:szCs w:val="20"/>
          <w:color w:val="auto"/>
        </w:rPr>
      </w:pPr>
    </w:p>
    <w:p>
      <w:pPr>
        <w:ind w:right="960"/>
        <w:spacing w:after="0" w:line="282" w:lineRule="auto"/>
        <w:rPr>
          <w:sz w:val="20"/>
          <w:szCs w:val="20"/>
          <w:color w:val="auto"/>
        </w:rPr>
      </w:pPr>
      <w:r>
        <w:rPr>
          <w:rFonts w:ascii="Arial" w:cs="Arial" w:eastAsia="Arial" w:hAnsi="Arial"/>
          <w:sz w:val="15"/>
          <w:szCs w:val="15"/>
          <w:color w:val="auto"/>
        </w:rPr>
        <w:t>Figure 24d below depicts an x-ray at week 20 of a severely eroded ankle joint in an arthritic mouse in the Humira Group compared to the normal ankle joint of a mouse in the Humira + SVP-Rapamycin Group.</w:t>
      </w:r>
    </w:p>
    <w:p>
      <w:pPr>
        <w:spacing w:after="0" w:line="151"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Based on these observations, we believe the co-administration of SVP-Rapamycin with Humira results in the formation of less anti-Humira ADAs, which, in turn, increases the therapeutic levels of Humira in serum and improves the efficacy of Humira.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4" w:name="page145"/>
    <w:bookmarkEnd w:id="14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41186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0910" cy="411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Figures 24a through 24d. Preclinical Study: SVP-Rapamycin Co-Administered with Humira</w:t>
      </w:r>
    </w:p>
    <w:p>
      <w:pPr>
        <w:spacing w:after="0" w:line="177" w:lineRule="exact"/>
        <w:rPr>
          <w:sz w:val="20"/>
          <w:szCs w:val="20"/>
          <w:color w:val="auto"/>
        </w:rPr>
      </w:pPr>
    </w:p>
    <w:p>
      <w:pPr>
        <w:ind w:left="7" w:right="520"/>
        <w:spacing w:after="0" w:line="282" w:lineRule="auto"/>
        <w:rPr>
          <w:sz w:val="20"/>
          <w:szCs w:val="20"/>
          <w:color w:val="auto"/>
        </w:rPr>
      </w:pPr>
      <w:r>
        <w:rPr>
          <w:rFonts w:ascii="Arial" w:cs="Arial" w:eastAsia="Arial" w:hAnsi="Arial"/>
          <w:sz w:val="15"/>
          <w:szCs w:val="15"/>
          <w:color w:val="auto"/>
        </w:rPr>
        <w:t>We also conducted a preclinical study evaluating SVP-Rapamycin co-administered with Advate in mice with hemophilia A, a genetic disorder caused by missing or defective blood coagulation Factor VIII. As depicted in Figures 25a through 25c below, during the first 28 days of the study, or the treatment period:</w:t>
      </w:r>
    </w:p>
    <w:p>
      <w:pPr>
        <w:spacing w:after="0" w:line="162" w:lineRule="exact"/>
        <w:rPr>
          <w:sz w:val="20"/>
          <w:szCs w:val="20"/>
          <w:color w:val="auto"/>
        </w:rPr>
      </w:pPr>
    </w:p>
    <w:p>
      <w:pPr>
        <w:ind w:left="467" w:hanging="467"/>
        <w:spacing w:after="0"/>
        <w:tabs>
          <w:tab w:leader="none" w:pos="467"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first group of mice, referred to as the Empty Nanoparticle Group and indicated in blue, received five weekly injections of empty nanoparticle together with Advate; and</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second group of mice, referred to as the SVP-Rapamycin Group and indicated in green, received five weekly doses of SVP-Rapamycin together with Advate.</w:t>
      </w:r>
    </w:p>
    <w:p>
      <w:pPr>
        <w:spacing w:after="0" w:line="198" w:lineRule="exact"/>
        <w:rPr>
          <w:sz w:val="20"/>
          <w:szCs w:val="20"/>
          <w:color w:val="auto"/>
        </w:rPr>
      </w:pPr>
    </w:p>
    <w:p>
      <w:pPr>
        <w:ind w:left="7"/>
        <w:spacing w:after="0" w:line="297" w:lineRule="auto"/>
        <w:rPr>
          <w:sz w:val="20"/>
          <w:szCs w:val="20"/>
          <w:color w:val="auto"/>
        </w:rPr>
      </w:pPr>
      <w:r>
        <w:rPr>
          <w:rFonts w:ascii="Arial" w:cs="Arial" w:eastAsia="Arial" w:hAnsi="Arial"/>
          <w:sz w:val="14"/>
          <w:szCs w:val="14"/>
          <w:color w:val="auto"/>
        </w:rPr>
        <w:t>All groups were then challenged with five injections of Advate on days 57, 81, 125, 143 and 187 of the study, referred to as the challenge period. We also administered an unrelated antigen, bacteriophage PhiX174 on days 81, 95 and 143, into all mice to evaluate whether SVP-Rapamycin caused global immunosuppression. We evaluated Advate-specific ADA levels to determine the formation of ADAs to Advate. We also evaluated PhiX174-specific ADA levels to determine the specificity of the SVP-Rapamycin and Advate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145" w:name="page146"/>
    <w:bookmarkEnd w:id="1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As depicted in Figure 25a below, we observed a reduction in the formation of ADAs to Advate in the SVP-Rapamycin Group as compared to the Empty Nanoparticle Group, which lasted over five months following the last treatment of SVP-Rapamycin. We also observed that when both groups were immunized with a different antigen, PhiX174, the SVP-Rapamycin Group and the Empty Nanoparticle Group showed relatively similar levels of PhiX174-specific ADA levels, suggesting that the SVP-Rapamycin treatment does not induce global immunosuppression, as depicted in Figure 25b below.</w:t>
      </w:r>
    </w:p>
    <w:p>
      <w:pPr>
        <w:spacing w:after="0" w:line="162"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In a separate study, the ability of mice to control bleeding following repeated administration of Factor VIII was evaluated and expressed as the percentage of normalized hemoglobin levels, as depicted in Figure 25c below. A higher percentage of normalized hemoglobin levels indicate an increased ability of the mice to control bleeding. As depicted in Figure 25c below, we observed that mice in the SVP-Rapamycin Group were able to control bleeding at a higher rate than mice in the Empty Nanoparticle Group.</w:t>
      </w:r>
    </w:p>
    <w:p>
      <w:pPr>
        <w:spacing w:after="0" w:line="14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Based on our observations, we believe the co-administration of SVP-Rapamycin with Advate inhibits the formation of anti-Advate ADAs, which, in turn, increases the efficacy of Advate to treat hemophilia A, but does not trigger global immunosuppression.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6" w:name="page147"/>
    <w:bookmarkEnd w:id="14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59569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0910" cy="595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Figures 25a through 25c. Preclinical Study: SVP-Rapamycin Co-Administered with Advate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66305"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7" w:name="page148"/>
    <w:bookmarkEnd w:id="14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allergy and autoimmune disease programs</w:t>
      </w:r>
    </w:p>
    <w:p>
      <w:pPr>
        <w:spacing w:after="0" w:line="195"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We are applying our SVP technology to the treatment of allergies and autoimmune diseases. Currently, many autoimmune diseases are treated with immunosuppressive therapies that indiscriminately affect the function of the entire immune system. Our SVP technology, however, is designed to reprogram the immune system to induce tolerance to a specific antigen that is causing the autoimmune disease, without impacting the rest of the immune system. We have established three collaborative programs with Sanofi to research novel SVP products for the treatment of a life-threatening food allergy, celiac disease and type 1 diabetes.</w:t>
      </w:r>
    </w:p>
    <w:p>
      <w:pPr>
        <w:spacing w:after="0" w:line="173" w:lineRule="exact"/>
        <w:rPr>
          <w:sz w:val="20"/>
          <w:szCs w:val="20"/>
          <w:color w:val="auto"/>
        </w:rPr>
      </w:pPr>
    </w:p>
    <w:p>
      <w:pPr>
        <w:ind w:left="467" w:right="340" w:hanging="467"/>
        <w:spacing w:after="0" w:line="270" w:lineRule="auto"/>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 xml:space="preserve">Life-Threatening Food Allergy. </w:t>
      </w:r>
      <w:r>
        <w:rPr>
          <w:rFonts w:ascii="Arial" w:cs="Arial" w:eastAsia="Arial" w:hAnsi="Arial"/>
          <w:sz w:val="15"/>
          <w:szCs w:val="15"/>
          <w:color w:val="auto"/>
        </w:rPr>
        <w:t>In November 2012, we entered into an exclusive license agreement with Sanofi for the use of our SVP technology for a life-threatening food</w:t>
      </w:r>
      <w:r>
        <w:rPr>
          <w:rFonts w:ascii="Arial" w:cs="Arial" w:eastAsia="Arial" w:hAnsi="Arial"/>
          <w:sz w:val="15"/>
          <w:szCs w:val="15"/>
          <w:i w:val="1"/>
          <w:iCs w:val="1"/>
          <w:color w:val="auto"/>
        </w:rPr>
        <w:t xml:space="preserve"> </w:t>
      </w:r>
      <w:r>
        <w:rPr>
          <w:rFonts w:ascii="Arial" w:cs="Arial" w:eastAsia="Arial" w:hAnsi="Arial"/>
          <w:sz w:val="15"/>
          <w:szCs w:val="15"/>
          <w:color w:val="auto"/>
        </w:rPr>
        <w:t>allergy. We are evaluating a SVP that encapsulates an immunomodulator together with an allergen provided by Sanofi. Our license agreement with Sanofi contemplates multiple preclinical, clinical, regulatory and sales milestones as well as a multi-tiered royalty structure.</w:t>
      </w:r>
    </w:p>
    <w:p>
      <w:pPr>
        <w:spacing w:after="0" w:line="182" w:lineRule="exact"/>
        <w:rPr>
          <w:rFonts w:ascii="Arial" w:cs="Arial" w:eastAsia="Arial" w:hAnsi="Arial"/>
          <w:sz w:val="15"/>
          <w:szCs w:val="15"/>
          <w:color w:val="auto"/>
        </w:rPr>
      </w:pPr>
    </w:p>
    <w:p>
      <w:pPr>
        <w:ind w:left="467" w:right="260" w:hanging="467"/>
        <w:spacing w:after="0" w:line="270" w:lineRule="auto"/>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 xml:space="preserve">Celiac Disease. </w:t>
      </w:r>
      <w:r>
        <w:rPr>
          <w:rFonts w:ascii="Arial" w:cs="Arial" w:eastAsia="Arial" w:hAnsi="Arial"/>
          <w:sz w:val="15"/>
          <w:szCs w:val="15"/>
          <w:color w:val="auto"/>
        </w:rPr>
        <w:t>In November 2014, Sanofi exercised its option to develop a SVP-based therapy to treat celiac disease under similar financial and other terms as the food allergy</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We are evaluating a SVP that encapsulates an immunomodulator together with gluten antigens provided by Sanofi. Our license agreement with Sanofi contemplates multiple preclinical, clinical, regulatory and sales milestones as well as a multi-tiered royalty structure.</w:t>
      </w:r>
    </w:p>
    <w:p>
      <w:pPr>
        <w:spacing w:after="0" w:line="170" w:lineRule="exact"/>
        <w:rPr>
          <w:rFonts w:ascii="Arial" w:cs="Arial" w:eastAsia="Arial" w:hAnsi="Arial"/>
          <w:sz w:val="15"/>
          <w:szCs w:val="15"/>
          <w:color w:val="auto"/>
        </w:rPr>
      </w:pPr>
    </w:p>
    <w:p>
      <w:pPr>
        <w:ind w:left="467" w:right="200" w:hanging="467"/>
        <w:spacing w:after="0" w:line="282" w:lineRule="auto"/>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 xml:space="preserve">Type 1 Diabetes. </w:t>
      </w:r>
      <w:r>
        <w:rPr>
          <w:rFonts w:ascii="Arial" w:cs="Arial" w:eastAsia="Arial" w:hAnsi="Arial"/>
          <w:sz w:val="15"/>
          <w:szCs w:val="15"/>
          <w:color w:val="auto"/>
        </w:rPr>
        <w:t>In September 2014, we received a grant from Sanofi, together with the Juvenile Diabetes Research Foundation, for research on SVP formulations encapsulating</w:t>
      </w:r>
      <w:r>
        <w:rPr>
          <w:rFonts w:ascii="Arial" w:cs="Arial" w:eastAsia="Arial" w:hAnsi="Arial"/>
          <w:sz w:val="15"/>
          <w:szCs w:val="15"/>
          <w:i w:val="1"/>
          <w:iCs w:val="1"/>
          <w:color w:val="auto"/>
        </w:rPr>
        <w:t xml:space="preserve"> </w:t>
      </w:r>
      <w:r>
        <w:rPr>
          <w:rFonts w:ascii="Arial" w:cs="Arial" w:eastAsia="Arial" w:hAnsi="Arial"/>
          <w:sz w:val="15"/>
          <w:szCs w:val="15"/>
          <w:color w:val="auto"/>
        </w:rPr>
        <w:t>Rapamycin and insulin or insulin peptides.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IMMUNE STIMULATION PROGRAMS</w:t>
      </w:r>
    </w:p>
    <w:p>
      <w:pPr>
        <w:spacing w:after="0" w:line="195" w:lineRule="exact"/>
        <w:rPr>
          <w:sz w:val="20"/>
          <w:szCs w:val="20"/>
          <w:color w:val="auto"/>
        </w:rPr>
      </w:pPr>
    </w:p>
    <w:p>
      <w:pPr>
        <w:jc w:val="both"/>
        <w:ind w:left="7" w:right="100"/>
        <w:spacing w:after="0" w:line="270" w:lineRule="auto"/>
        <w:rPr>
          <w:sz w:val="20"/>
          <w:szCs w:val="20"/>
          <w:color w:val="auto"/>
        </w:rPr>
      </w:pPr>
      <w:r>
        <w:rPr>
          <w:rFonts w:ascii="Arial" w:cs="Arial" w:eastAsia="Arial" w:hAnsi="Arial"/>
          <w:sz w:val="15"/>
          <w:szCs w:val="15"/>
          <w:color w:val="auto"/>
        </w:rPr>
        <w:t>We believe our SVP technology, by encapsulating antigens and adjuvants, has the potential to be used for therapies that stimulate the immune system to treat cancer, infectious diseases and other diseases. We have early-stage programs for therapeutic treatment of HPV-associated cancers and antibody-based vaccine programs for nicotine addiction and malaria. These programs are primarily funded by grants and are the focus of our Russian operations.</w:t>
      </w:r>
    </w:p>
    <w:p>
      <w:pPr>
        <w:spacing w:after="0" w:line="159"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Our SVP immune stimulation programs are designed to encapsulate an antigen and a toll-like receptor, or TLR, agonist as the immunomodulator. Humans possess ten TLRs, each of which recognizes distinct molecular patterns associated with pathogens. Activation of TLRs alert the immune system that a potential pathogen is present and that the immune system should mount a response. In this regard, we refer to TLR agonists as substances that activate specific TLRs. TLR agonists can be used as supplements, or adjuvants, to vaccines to increase the immune response to the vaccine by activating the TLRs in antigen-presenting cells.</w:t>
      </w:r>
    </w:p>
    <w:p>
      <w:pPr>
        <w:spacing w:after="0" w:line="162" w:lineRule="exact"/>
        <w:rPr>
          <w:sz w:val="20"/>
          <w:szCs w:val="20"/>
          <w:color w:val="auto"/>
        </w:rPr>
      </w:pPr>
    </w:p>
    <w:p>
      <w:pPr>
        <w:ind w:left="7" w:right="200"/>
        <w:spacing w:after="0" w:line="290" w:lineRule="auto"/>
        <w:rPr>
          <w:sz w:val="20"/>
          <w:szCs w:val="20"/>
          <w:color w:val="auto"/>
        </w:rPr>
      </w:pPr>
      <w:r>
        <w:rPr>
          <w:rFonts w:ascii="Arial" w:cs="Arial" w:eastAsia="Arial" w:hAnsi="Arial"/>
          <w:sz w:val="14"/>
          <w:szCs w:val="14"/>
          <w:color w:val="auto"/>
        </w:rPr>
        <w:t>Injecting TLR agonists alone can cause off-target, systemic immune stimulation, leading to the production of secreted factors called cytokines, which can effectively limit the dosage of vaccines by causing inflammation and flu-like symptoms. To address this issue, our stimulatory SVP technology is designed to limit the TLR agonists from creating a systemic immune response by encapsulating the TLR agonists within our biodegradable nanoparticle. When the TLR agonist is encapsulated with SVP, referred to as SVP-TLR agonist, it can be selectively delivered, together with the vaccine target antigen, to the antigen-presenting cells to induce antigen-specific immune stimulation.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8" w:name="page149"/>
    <w:bookmarkEnd w:id="14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stimulation-related preclinical study</w:t>
      </w:r>
    </w:p>
    <w:p>
      <w:pPr>
        <w:spacing w:after="0" w:line="195" w:lineRule="exact"/>
        <w:rPr>
          <w:sz w:val="20"/>
          <w:szCs w:val="20"/>
          <w:color w:val="auto"/>
        </w:rPr>
      </w:pPr>
    </w:p>
    <w:p>
      <w:pPr>
        <w:jc w:val="both"/>
        <w:ind w:left="7" w:right="100"/>
        <w:spacing w:after="0" w:line="362" w:lineRule="auto"/>
        <w:rPr>
          <w:sz w:val="20"/>
          <w:szCs w:val="20"/>
          <w:color w:val="auto"/>
        </w:rPr>
      </w:pPr>
      <w:r>
        <w:rPr>
          <w:rFonts w:ascii="Arial" w:cs="Arial" w:eastAsia="Arial" w:hAnsi="Arial"/>
          <w:sz w:val="13"/>
          <w:szCs w:val="13"/>
          <w:color w:val="auto"/>
        </w:rPr>
        <w:t>We conducted a preclinical study in mice to evaluate the ability of a SVP-TLR agonist containing an antigen to minimize the production of systemic cytokines, which are responsible for an undesired systemic immune-stimulatory response, while increasing the production of local cytokines, which are responsible for a strong and antigen-specific immune-stimulatory response.</w:t>
      </w:r>
    </w:p>
    <w:p>
      <w:pPr>
        <w:spacing w:after="0" w:line="105" w:lineRule="exact"/>
        <w:rPr>
          <w:sz w:val="20"/>
          <w:szCs w:val="20"/>
          <w:color w:val="auto"/>
        </w:rPr>
      </w:pPr>
    </w:p>
    <w:p>
      <w:pPr>
        <w:ind w:left="7" w:right="580"/>
        <w:spacing w:after="0" w:line="282" w:lineRule="auto"/>
        <w:rPr>
          <w:sz w:val="20"/>
          <w:szCs w:val="20"/>
          <w:color w:val="auto"/>
        </w:rPr>
      </w:pPr>
      <w:r>
        <w:rPr>
          <w:rFonts w:ascii="Arial" w:cs="Arial" w:eastAsia="Arial" w:hAnsi="Arial"/>
          <w:sz w:val="15"/>
          <w:szCs w:val="15"/>
          <w:color w:val="auto"/>
        </w:rPr>
        <w:t>In this study, we used a specific agonist of TLR7 and TLR8, referred to as TLR 7/8 agonist, that we either delivered in free form mixed with a nanoparticle containing an antigen or encapsulated with an antigen in a nanoparticle.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Figures 26a through 26d below:</w:t>
      </w:r>
    </w:p>
    <w:p>
      <w:pPr>
        <w:spacing w:after="0" w:line="210" w:lineRule="exact"/>
        <w:rPr>
          <w:sz w:val="20"/>
          <w:szCs w:val="20"/>
          <w:color w:val="auto"/>
        </w:rPr>
      </w:pPr>
    </w:p>
    <w:p>
      <w:pPr>
        <w:ind w:left="467" w:right="220" w:hanging="467"/>
        <w:spacing w:after="0" w:line="282" w:lineRule="auto"/>
        <w:tabs>
          <w:tab w:leader="none" w:pos="467"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first group of mice, referred to as the Encapsulated TLR 7/8 Agonist Group and indicated in green, received a single dose of SVP encapsulating both an antigen and a TLR 7/8 agonist; and</w:t>
      </w:r>
    </w:p>
    <w:p>
      <w:pPr>
        <w:spacing w:after="0" w:line="173" w:lineRule="exact"/>
        <w:rPr>
          <w:rFonts w:ascii="Arial" w:cs="Arial" w:eastAsia="Arial" w:hAnsi="Arial"/>
          <w:sz w:val="15"/>
          <w:szCs w:val="15"/>
          <w:color w:val="auto"/>
        </w:rPr>
      </w:pPr>
    </w:p>
    <w:p>
      <w:pPr>
        <w:ind w:left="467" w:right="80" w:hanging="467"/>
        <w:spacing w:after="0" w:line="282" w:lineRule="auto"/>
        <w:tabs>
          <w:tab w:leader="none" w:pos="467"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second group of mice, referred to as the Free TLR 7/8 Agonist Group and indicated in red, received a single dose of SVP encapsulating antigen alone together with free TLR 7/8 agonist.</w:t>
      </w:r>
    </w:p>
    <w:p>
      <w:pPr>
        <w:spacing w:after="0" w:line="151" w:lineRule="exact"/>
        <w:rPr>
          <w:sz w:val="20"/>
          <w:szCs w:val="20"/>
          <w:color w:val="auto"/>
        </w:rPr>
      </w:pPr>
    </w:p>
    <w:p>
      <w:pPr>
        <w:ind w:left="7" w:right="200"/>
        <w:spacing w:after="0" w:line="266" w:lineRule="auto"/>
        <w:rPr>
          <w:sz w:val="20"/>
          <w:szCs w:val="20"/>
          <w:color w:val="auto"/>
        </w:rPr>
      </w:pPr>
      <w:r>
        <w:rPr>
          <w:rFonts w:ascii="Arial" w:cs="Arial" w:eastAsia="Arial" w:hAnsi="Arial"/>
          <w:sz w:val="15"/>
          <w:szCs w:val="15"/>
          <w:color w:val="auto"/>
        </w:rPr>
        <w:t>We evaluated serum levels of TNF-alpha and interleukin-6, or IL-6, two pro-inflammatory cytokines indicative of an undesired, systemic immune response and associated with flu-like symptoms, to determine the levels of systemic cytokine production, as depicted in Figures 26a and 26b below. We also evaluated the levels of interleukin-12, or IL-12, and interferon-gamma, or IFN, in the draining lymph node to determine the levels of local cytokine production involved in desired T helper cell type 1 immune responses, as depicted in Figures 26c and 26d below.</w:t>
      </w:r>
    </w:p>
    <w:p>
      <w:pPr>
        <w:spacing w:after="0" w:line="162"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As depicted in Figures 26a and 26b below, we observed increased levels of systemic cytokine production in the Free TLR 7/8 Agonist Group in comparison to the Encapsulated TLR 7/8 Agonist Group. As depicted in Figures 26c and 26d below, we observed increased levels of local cytokine production in the draining lymph node in the Encapsulated TLR 7/8 Agonist Group as compared to the Free TLR 7/8 Agonist Group.</w:t>
      </w:r>
    </w:p>
    <w:p>
      <w:pPr>
        <w:spacing w:after="0" w:line="159"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color w:val="auto"/>
        </w:rPr>
        <w:t>Based on these results, we believe that by encapsulating a TLR agonist in SVP, we are able to increase the production of local cytokines without triggering an undesired systemic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49" w:name="page150"/>
    <w:bookmarkEnd w:id="1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40525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0910" cy="405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Figures 26a through 26d. Preclinical Study: Minimization of Production of Systemic Cytokines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Cancer immunotherapy</w:t>
      </w:r>
    </w:p>
    <w:p>
      <w:pPr>
        <w:spacing w:after="0" w:line="195"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Cancer immunotherapy leverages the immune system to treat cancer. The main function of the immune system is to discriminate between "self" and "non-self" antigens. Cancer cells thrive, in part, because they are derived from the body's own cells, and thus are recognized by the immune system as self. We believe that cancer vaccines could be an important therapeutic modality to treat cancer by training the immune system to recognize cancer-associated antigens that are mutated or not expressed in normal adult tissues.</w:t>
      </w:r>
    </w:p>
    <w:p>
      <w:pPr>
        <w:spacing w:after="0" w:line="144"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color w:val="auto"/>
        </w:rPr>
        <w:t>Tumors also evade the immune system by increasing the expression of certain molecules that suppress the immune response against the tumor. This mechanism may be overcome by administering products called immune checkpoint inhibitors, which are designed to block or overcome the immunosuppressive pathways and stimulate the immune system. We believe the efficacy of this approach depends on the existence of pre-existing tumor-specific cytolytic T cells, or CTL, that can be mobilized by checkpoint inhibitors. In some patients, the immune system either does not recognize the tumor or is too weak to mount a response and as a result cannot generate the CTL necessary to kill the tumor. For these patients, a vaccine therapy that stimulates the immune system and could be given in conjunction with a checkpoint inhibitor, may result in better outcomes. We believe that the combination of checkpoint inhibitors and effective cancer vaccines represents the next advance in cancer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0" w:name="page151"/>
    <w:bookmarkEnd w:id="15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HPV-associated cancer</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HPV overview</w:t>
      </w:r>
    </w:p>
    <w:p>
      <w:pPr>
        <w:spacing w:after="0" w:line="195" w:lineRule="exact"/>
        <w:rPr>
          <w:sz w:val="20"/>
          <w:szCs w:val="20"/>
          <w:color w:val="auto"/>
        </w:rPr>
      </w:pPr>
    </w:p>
    <w:p>
      <w:pPr>
        <w:ind w:left="7" w:right="500"/>
        <w:spacing w:after="0" w:line="282" w:lineRule="auto"/>
        <w:rPr>
          <w:sz w:val="20"/>
          <w:szCs w:val="20"/>
          <w:color w:val="auto"/>
        </w:rPr>
      </w:pPr>
      <w:r>
        <w:rPr>
          <w:rFonts w:ascii="Arial" w:cs="Arial" w:eastAsia="Arial" w:hAnsi="Arial"/>
          <w:sz w:val="15"/>
          <w:szCs w:val="15"/>
          <w:color w:val="auto"/>
        </w:rPr>
        <w:t>HPV is a sexually transmitted infection, which can lead to the development of cancer. Cervical HPV infection often clears spontaneously. However, when it persists, it can lead to the development of cervical intraepithelial neoplasia, or CIN, and cervical cancer.</w:t>
      </w:r>
    </w:p>
    <w:p>
      <w:pPr>
        <w:spacing w:after="0" w:line="151"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According to the World Health Organization, HPV infection results in an estimated 530,000 new cases of cervical cancer worldwide, with 270,000 deaths annually. The Centers for Disease Control and Prevention estimates that in the United States there are more than 26,000 cases of HPV-associated cancer per year. HPV is found in approximately 99% of cases of cervical cancer and 72% of cases of oropharyngeal head and neck cancer. The rising incidence of such cancers is thought to be related to the increasing proportion of cancers caused by HPV. In 2011, a study published in the Journal of Clinical Oncology observed that HPV prevalence in oropharyngeal cancers increased from 16.3% during 1984 to 1989 to 71.7% during 2000 to 2004. There are two HPV strains that are responsible for more than 70% of cervical cancer worldwide.</w:t>
      </w:r>
    </w:p>
    <w:p>
      <w:pPr>
        <w:spacing w:after="0" w:line="167" w:lineRule="exact"/>
        <w:rPr>
          <w:sz w:val="20"/>
          <w:szCs w:val="20"/>
          <w:color w:val="auto"/>
        </w:rPr>
      </w:pPr>
    </w:p>
    <w:p>
      <w:pPr>
        <w:ind w:left="7" w:right="320"/>
        <w:spacing w:after="0" w:line="282" w:lineRule="auto"/>
        <w:rPr>
          <w:sz w:val="20"/>
          <w:szCs w:val="20"/>
          <w:color w:val="auto"/>
        </w:rPr>
      </w:pPr>
      <w:r>
        <w:rPr>
          <w:rFonts w:ascii="Arial" w:cs="Arial" w:eastAsia="Arial" w:hAnsi="Arial"/>
          <w:sz w:val="15"/>
          <w:szCs w:val="15"/>
          <w:color w:val="auto"/>
        </w:rPr>
        <w:t>Gardasil and Cervarix are FDA-approved prophylactic vaccines for HPV-related cancers with aggregate worldwide sales reaching $1.9 billion in 2014. While these vaccines can prevent tumor occurrence, Gardasil and Cervarix have not been approved for treatment of patients with existing HPV-related cancers.</w:t>
      </w:r>
    </w:p>
    <w:p>
      <w:pPr>
        <w:spacing w:after="0" w:line="151" w:lineRule="exact"/>
        <w:rPr>
          <w:sz w:val="20"/>
          <w:szCs w:val="20"/>
          <w:color w:val="auto"/>
        </w:rPr>
      </w:pPr>
    </w:p>
    <w:p>
      <w:pPr>
        <w:ind w:left="7" w:right="320"/>
        <w:spacing w:after="0" w:line="297" w:lineRule="auto"/>
        <w:rPr>
          <w:sz w:val="20"/>
          <w:szCs w:val="20"/>
          <w:color w:val="auto"/>
        </w:rPr>
      </w:pPr>
      <w:r>
        <w:rPr>
          <w:rFonts w:ascii="Arial" w:cs="Arial" w:eastAsia="Arial" w:hAnsi="Arial"/>
          <w:sz w:val="14"/>
          <w:szCs w:val="14"/>
          <w:color w:val="auto"/>
        </w:rPr>
        <w:t>According to the Centers for Disease Control and Prevention, in 2012, only 54% of women between the age of 13 to 17 had received at least one dose of the HPV vaccine and only 33% received a complete series of three, which may serve as a prophylactic if administered prior to exposure. This level of vaccination is well below the 80% rate set as a goal by the U.S. Department of Health and Human Services. As a result, we believe that HPV-associated cancer will be an ongoing medical condition for the foreseeable future.</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 of our program for HPV-associated cancer</w:t>
      </w:r>
    </w:p>
    <w:p>
      <w:pPr>
        <w:spacing w:after="0" w:line="195" w:lineRule="exact"/>
        <w:rPr>
          <w:sz w:val="20"/>
          <w:szCs w:val="20"/>
          <w:color w:val="auto"/>
        </w:rPr>
      </w:pPr>
    </w:p>
    <w:p>
      <w:pPr>
        <w:ind w:left="7" w:right="220"/>
        <w:spacing w:after="0" w:line="266" w:lineRule="auto"/>
        <w:rPr>
          <w:sz w:val="20"/>
          <w:szCs w:val="20"/>
          <w:color w:val="auto"/>
        </w:rPr>
      </w:pPr>
      <w:r>
        <w:rPr>
          <w:rFonts w:ascii="Arial" w:cs="Arial" w:eastAsia="Arial" w:hAnsi="Arial"/>
          <w:sz w:val="15"/>
          <w:szCs w:val="15"/>
          <w:color w:val="auto"/>
        </w:rPr>
        <w:t>Our first CTL-activating SVP program in development is designed to treat HPV-associated cancers by stimulating the immune response to the E6 and E7 proteins, which are expressed by HPV-associated tumor cells. The HPV E6 and E7 antigens are oncogenic proteins that promote malignant transformation and tumor growth. Our SVP program for HPV-associated cancer consists of a SVP encapsulating the E6 and E7 proteins, or SVP-E6/E7, co-administered with an SVP adjuvant which contains a TLR agonist. We refer to this co-administration as SVP-HPV.</w:t>
      </w:r>
    </w:p>
    <w:p>
      <w:pPr>
        <w:spacing w:after="0" w:line="162"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were awarded a grant from the Skolkovo Foundation to support our program to develop an SVP immunotherapy to treat HPV-associated cancers. We believe the grant will assist us with advancing the program from preclinical to early clinical evaluation.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ind w:left="7" w:right="20"/>
        <w:spacing w:after="0" w:line="273" w:lineRule="auto"/>
        <w:rPr>
          <w:sz w:val="20"/>
          <w:szCs w:val="20"/>
          <w:color w:val="auto"/>
        </w:rPr>
      </w:pPr>
      <w:r>
        <w:rPr>
          <w:rFonts w:ascii="Arial" w:cs="Arial" w:eastAsia="Arial" w:hAnsi="Arial"/>
          <w:sz w:val="15"/>
          <w:szCs w:val="15"/>
          <w:color w:val="auto"/>
        </w:rPr>
        <w:t>We conducted a preclinical study in which we evaluated the ability of SVP-HPV to reverse tumor growth for HPV-associated cancers. In this study, we delivered SVP-HPV to mice using the TC-1 tumor model, which expresses the HPV E6 and E7 antigens. Mice were treated either 13 days or 14 days after the introduction (inoculation) of TC-1 tumor cells, at which time the average tumor size was approximately 200 mm</w:t>
      </w:r>
      <w:r>
        <w:rPr>
          <w:rFonts w:ascii="Arial" w:cs="Arial" w:eastAsia="Arial" w:hAnsi="Arial"/>
          <w:sz w:val="25"/>
          <w:szCs w:val="25"/>
          <w:color w:val="auto"/>
          <w:vertAlign w:val="superscript"/>
        </w:rPr>
        <w:t>3</w:t>
      </w:r>
      <w:r>
        <w:rPr>
          <w:rFonts w:ascii="Arial" w:cs="Arial" w:eastAsia="Arial" w:hAnsi="Arial"/>
          <w:sz w:val="15"/>
          <w:szCs w:val="15"/>
          <w:color w:val="auto"/>
        </w:rPr>
        <w:t>.</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this study, we administered to:</w:t>
      </w:r>
    </w:p>
    <w:p>
      <w:pPr>
        <w:spacing w:after="0" w:line="210" w:lineRule="exact"/>
        <w:rPr>
          <w:sz w:val="20"/>
          <w:szCs w:val="20"/>
          <w:color w:val="auto"/>
        </w:rPr>
      </w:pPr>
    </w:p>
    <w:p>
      <w:pPr>
        <w:ind w:left="467" w:hanging="467"/>
        <w:spacing w:after="0"/>
        <w:tabs>
          <w:tab w:leader="none" w:pos="467"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first group of mice, referred to as the Empty Nanoparticle Group and indicated in blue in Figures 27a and 27c below, four doses of empty nanoparticles;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1" w:name="page152"/>
    <w:bookmarkEnd w:id="15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second group of mice, referred to as the SVP-HPV Group and indicated in green in Figures 27b and 27c below, four doses of SVP-HPV.</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3"/>
          <w:szCs w:val="13"/>
          <w:color w:val="auto"/>
        </w:rPr>
        <w:t>As depicted in Figures 27a and 27b below, we recorded the volumes of the tumors in both the Empty Nanoparticle Group and the SVP-HPV Group to determine the efficacy of the treatment.</w:t>
      </w:r>
    </w:p>
    <w:p>
      <w:pPr>
        <w:spacing w:after="0" w:line="221"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As depicted in Figures 27a and 27b below, we observed that the administration of SVP-HPV reduced the growth of tumors in the SPV-HPV Group in comparison to the Empty Nanoparticle Group, even when administered to mice with palpable tumors. Notably, the tumors in the mice in the SVP-HPV Group continued to grow to an average size of approximately 1,200 mm3 at day 20, before regressing back to baseline.</w:t>
      </w:r>
    </w:p>
    <w:p>
      <w:pPr>
        <w:spacing w:after="0" w:line="159" w:lineRule="exact"/>
        <w:rPr>
          <w:sz w:val="20"/>
          <w:szCs w:val="20"/>
          <w:color w:val="auto"/>
        </w:rPr>
      </w:pPr>
    </w:p>
    <w:p>
      <w:pPr>
        <w:ind w:left="7" w:right="140"/>
        <w:spacing w:after="0" w:line="330" w:lineRule="auto"/>
        <w:rPr>
          <w:sz w:val="20"/>
          <w:szCs w:val="20"/>
          <w:color w:val="auto"/>
        </w:rPr>
      </w:pPr>
      <w:r>
        <w:rPr>
          <w:rFonts w:ascii="Arial" w:cs="Arial" w:eastAsia="Arial" w:hAnsi="Arial"/>
          <w:sz w:val="13"/>
          <w:szCs w:val="13"/>
          <w:color w:val="auto"/>
        </w:rPr>
        <w:t>In a separate experiment, we re-challenged surviving mice on day 154 with a second inoculation of TC-1 tumor cells to test the durability of the immune response and the ability to prevent tumor recurrence. As depicted in Figure 27c below, we observed that immunization with SVP-HPV increases the survival rate of SVP-HPV immunized mice compared to saline treated mice, referred to as the Saline Control Group. The surviving mice withstood a second inoculation of tumors at day 154, indicating the development of long term immunological memory.</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5"/>
          <w:szCs w:val="15"/>
          <w:color w:val="auto"/>
        </w:rPr>
        <w:t>Based on these observations, we believe administration of SVP-HPV can both reduce tumor size and increase survival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130175</wp:posOffset>
            </wp:positionV>
            <wp:extent cx="4993640" cy="39052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93640" cy="390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Figures 27a through 27c. Preclinical Study: Administration of SVP-HPV in TC-1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2" w:name="page153"/>
    <w:bookmarkEnd w:id="15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We conducted a preclinical study to evaluate the synergistic effects that our SVP technology may have with certain checkpoint inhibitors such as anti-PD-L1 antibodies. In this study, mice were separated into four groups and implanted with B16F10 melanoma tumor cells, which express an endogenous tumor antigen called TRP-2.</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 28 below, the:</w:t>
      </w:r>
    </w:p>
    <w:p>
      <w:pPr>
        <w:spacing w:after="0" w:line="210" w:lineRule="exact"/>
        <w:rPr>
          <w:sz w:val="20"/>
          <w:szCs w:val="20"/>
          <w:color w:val="auto"/>
        </w:rPr>
      </w:pPr>
    </w:p>
    <w:p>
      <w:pPr>
        <w:ind w:left="467" w:hanging="467"/>
        <w:spacing w:after="0"/>
        <w:tabs>
          <w:tab w:leader="none" w:pos="467" w:val="left"/>
        </w:tabs>
        <w:numPr>
          <w:ilvl w:val="0"/>
          <w:numId w:val="91"/>
        </w:numPr>
        <w:rPr>
          <w:rFonts w:ascii="Arial" w:cs="Arial" w:eastAsia="Arial" w:hAnsi="Arial"/>
          <w:sz w:val="14"/>
          <w:szCs w:val="14"/>
          <w:color w:val="auto"/>
        </w:rPr>
      </w:pPr>
      <w:r>
        <w:rPr>
          <w:rFonts w:ascii="Arial" w:cs="Arial" w:eastAsia="Arial" w:hAnsi="Arial"/>
          <w:sz w:val="14"/>
          <w:szCs w:val="14"/>
          <w:color w:val="auto"/>
        </w:rPr>
        <w:t>first group of mice, referred to as the Empty Nanoparticle + Control Antibody Group and indicated in black, received empty nanoparticles with an isotype control antibody;</w:t>
      </w:r>
    </w:p>
    <w:p>
      <w:pPr>
        <w:spacing w:after="0" w:line="232" w:lineRule="exact"/>
        <w:rPr>
          <w:rFonts w:ascii="Arial" w:cs="Arial" w:eastAsia="Arial" w:hAnsi="Arial"/>
          <w:sz w:val="14"/>
          <w:szCs w:val="14"/>
          <w:color w:val="auto"/>
        </w:rPr>
      </w:pPr>
    </w:p>
    <w:p>
      <w:pPr>
        <w:ind w:left="467" w:right="120" w:hanging="467"/>
        <w:spacing w:after="0" w:line="282" w:lineRule="auto"/>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second group of mice, referred to as the Empty Nanoparticle + Anti-PD-L1 Antibody Group and indicated in blue, received empty nanoparticles with a PD-L1-specific monoclonal antibody;</w:t>
      </w:r>
    </w:p>
    <w:p>
      <w:pPr>
        <w:spacing w:after="0" w:line="162" w:lineRule="exact"/>
        <w:rPr>
          <w:rFonts w:ascii="Arial" w:cs="Arial" w:eastAsia="Arial" w:hAnsi="Arial"/>
          <w:sz w:val="15"/>
          <w:szCs w:val="15"/>
          <w:color w:val="auto"/>
        </w:rPr>
      </w:pPr>
    </w:p>
    <w:p>
      <w:pPr>
        <w:ind w:left="467" w:right="60" w:hanging="467"/>
        <w:spacing w:after="0" w:line="282" w:lineRule="auto"/>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third group of mice, referred to as the SVP-TRP-2 + Control Antibody Group and indicated in green, received SVP encapsulating the TRP-2 peptide antigen and a TLR agonist with an isotype control antibody; and</w:t>
      </w:r>
    </w:p>
    <w:p>
      <w:pPr>
        <w:spacing w:after="0" w:line="162" w:lineRule="exact"/>
        <w:rPr>
          <w:rFonts w:ascii="Arial" w:cs="Arial" w:eastAsia="Arial" w:hAnsi="Arial"/>
          <w:sz w:val="15"/>
          <w:szCs w:val="15"/>
          <w:color w:val="auto"/>
        </w:rPr>
      </w:pPr>
    </w:p>
    <w:p>
      <w:pPr>
        <w:ind w:left="467" w:right="160" w:hanging="467"/>
        <w:spacing w:after="0" w:line="282" w:lineRule="auto"/>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fourth group of mice, referred to as the SVP-TRP-2 + Anti-PD-L1 Antibody Group and indicated in red, received SVP encapsulating the TRP-2 peptide antigen and a TLR agonist with a PD-L1-specific monoclonal antibody.</w:t>
      </w:r>
    </w:p>
    <w:p>
      <w:pPr>
        <w:spacing w:after="0" w:line="151"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We evaluated the presence of tumors over time in the mice to determine the efficacy of treatment. We observed that more mice in the SVP-TRP-2 + Control Antibody Group remained tumor-free and over a longer period of time than that of the Empty Nanoparticle + Control Antibody and the Empty Nanoparticle + Anti-PD-L1 Antibody Groups. The SVP-TRP-2 + Anti-PD-L1 Group showed even better efficacy, with approximately 66% of mice remaining tumor free at day 76, compared to approximately 25% of mice in the SVP-TRP-2 + Control Antibody Group and 0% of mice in each of the Empty Nanoparticle + Control Antibody and the Empty Nanoparticle + Anti-PD-L1 Antibody Groups.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5"/>
          <w:szCs w:val="15"/>
          <w:color w:val="auto"/>
        </w:rPr>
        <w:t>Based on our observations, we believe our SVP technology may have synergistic effects with certain checkpoint inhibitors to treat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130175</wp:posOffset>
            </wp:positionV>
            <wp:extent cx="4412615" cy="27578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412615" cy="275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28. Preclinical Study: Administration of SVP Encapsulating the TRP-2 Peptide Antigen and TLR Agonist in B16F1-Melanoma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53" w:name="page154"/>
    <w:bookmarkEnd w:id="1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OTHER PROGRAMS</w:t>
      </w:r>
    </w:p>
    <w:p>
      <w:pPr>
        <w:spacing w:after="0" w:line="195"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Our other immune stimulation programs are a prophylactic malaria vaccine, funded by a grant from The Bill and Melinda Gates Foundation, and a therapeutic vaccine for smoking cessation and relapse prevention, funded by a grant from the NIDA part of the National Institutes of Health.</w:t>
      </w:r>
    </w:p>
    <w:p>
      <w:pPr>
        <w:spacing w:after="0" w:line="151"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malaria program is designed to be a dual action, immune-stimulating SVP nanoparticle vaccine that we believe may offer the potential to protect against malaria by preventing infection and transmission. This program is in the discovery phase.</w:t>
      </w:r>
    </w:p>
    <w:p>
      <w:pPr>
        <w:spacing w:after="0" w:line="151" w:lineRule="exact"/>
        <w:rPr>
          <w:sz w:val="20"/>
          <w:szCs w:val="20"/>
          <w:color w:val="auto"/>
        </w:rPr>
      </w:pPr>
    </w:p>
    <w:p>
      <w:pPr>
        <w:ind w:right="260"/>
        <w:spacing w:after="0" w:line="284" w:lineRule="auto"/>
        <w:rPr>
          <w:sz w:val="20"/>
          <w:szCs w:val="20"/>
          <w:color w:val="auto"/>
        </w:rPr>
      </w:pPr>
      <w:r>
        <w:rPr>
          <w:rFonts w:ascii="Arial" w:cs="Arial" w:eastAsia="Arial" w:hAnsi="Arial"/>
          <w:sz w:val="14"/>
          <w:szCs w:val="14"/>
          <w:color w:val="auto"/>
        </w:rPr>
        <w:t>The smoking cessation and relapse prevention program aims to stimulate the immune system to produce nicotine-specific antibodies in smokers. We believe such antibodies have the potential to bind to the inhaled nicotine and prevent the inhaled nicotine from reaching the brain thereby reducing levels of nicotine in the brain to support smoking cessation and relapse prevention. The SVP-nicotine program, SEL-070, is in preclinical development. We had a prior SVP-nicotine product candidate that was partly sponsored by a grant from NIDA, which entered clinical development. Results from a Phase 1 clinical trial conducted in smokers and non-smokers with this prior product candidate showed that it was well tolerated and that nicotine-specific antibodies were induced, but at sub-therapeutic levels. On the basis of the data from this Phase 1 trial, we obtained a new grant from NIDA to further optimize our SVP-nicotine product candidate. We are currently conducting GLP toxicology studies for our optimized smoking cessation candidate.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We manufacture SVP using a readily-scalable, self-assembly nanoemulsion process with well-defined, robust commercial pharmaceutical unit operations. This proprietary, highly specialized and precisely controlled manufacturing process enables us to reproducibly manufacture SVP across many production scales, from milligram-scale at the laboratory bench, to tens of grams to support investigational new drug application-enabling toxicology studies and early phase clinical studies, to hundreds of grams to multi-kilogram scale for commercial production. This well-defined process has been produced at multiple scales. We have also developed and executed the required detailed analytic characterization of our products. We have completed and released multiple cGMP batches of nanoparticles at the 50 gram scale for our SVP-Rapamycin program and at the 10 and 20 gram scale for our nicotine program.</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For the SEL-212 program, we have scaled-up the SVP-Rapamycin production to a 50 gram scale and have initiated development at the 200 gram scale, which, at the current projected clinical dose, we believe would be suitable for commercial launch. The process is designed such that this same equipment is capable of potentially producing up to a one kilogram batch size scale. As our nanoparticle manufacturing process is compact, and therefore also portable, our strategy is to transfer our custom designed process skids to our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pegsiticase enzyme is produced by fermentation in E. Coli and is sourced from 3SBio in China. 3SBio is a Chinese pharmaceutical company that produces multiple approved products in China and also has product sales in other countries around the world. 3SBio supplies the pegsiticase used in the current clinical trials of SEL-212 in the United States. Through a licensing arrangement, we own exclusive worldwide rights to pegsiticase outside of China, with co-ownership of rights in Japan and with 3SBio owning all rights in China. Under this arrangement, 3SBio has agreed to supply us with pegsiticase. We are in the process of evaluating a back-up supplier for pegsiticase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4" w:name="page155"/>
    <w:bookmarkEnd w:id="1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LICENSES AND COLLABORATIONS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Massachusetts Institute of Technology</w:t>
      </w:r>
    </w:p>
    <w:p>
      <w:pPr>
        <w:spacing w:after="0" w:line="195" w:lineRule="exact"/>
        <w:rPr>
          <w:sz w:val="20"/>
          <w:szCs w:val="20"/>
          <w:color w:val="auto"/>
        </w:rPr>
      </w:pPr>
    </w:p>
    <w:p>
      <w:pPr>
        <w:ind w:right="80"/>
        <w:spacing w:after="0" w:line="313" w:lineRule="auto"/>
        <w:rPr>
          <w:sz w:val="20"/>
          <w:szCs w:val="20"/>
          <w:color w:val="auto"/>
        </w:rPr>
      </w:pPr>
      <w:r>
        <w:rPr>
          <w:rFonts w:ascii="Arial" w:cs="Arial" w:eastAsia="Arial" w:hAnsi="Arial"/>
          <w:sz w:val="13"/>
          <w:szCs w:val="13"/>
          <w:color w:val="auto"/>
        </w:rPr>
        <w:t>In November 2008, we entered into a license agreement with MIT, which we refer to as the MIT License. We amended the MIT License in January 2010, November 2012 and August 2013.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the President and Fellows of Harvard College, and the Children's Medical Center Corporation and its subsidiary, the Children's Hospital Corporation (formerly, the Immune Disease Institute). Our exclusivity is subject to certain retained rights of these institutions and other third parties.</w:t>
      </w:r>
    </w:p>
    <w:p>
      <w:pPr>
        <w:spacing w:after="0" w:line="13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MIT License, we are required to use diligent efforts to develop and commercialize one or more licensed products or licensed processes, and to thereafter make such products and processes reasonably available to the public, which include annual minimum spending on research, development and commercialization by us or our sublicensees. 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annual maintenance fees, which may be credited against the low-single-digit running royalty on annual net sales that we are also obligated to pay. Additionally, we are required to pay MIT (i) developmental milestones up to an aggregate of $1,450,000, (ii) a mid-single digit percentage of income received in consideration of practice of patent rights or development of the products or processes in collaboration with or on behalf of a non-sublicensee corporate partner, (iii) a specified percentage of income received from sublicensees in the low thirties prior to November 25, 2009 and, after that, between 10% and 20%, and (iv) certain fees and costs. Pursuant to the MIT License, we are required to use diligent efforts to develop and commercialize one or more licensed products or licensed processes, and to thereafter make such products and processes reasonably available to the public, which include annual minimum spending of a specified amount in the low-to-mid-six figures in 2008 and 2009 and, thereafter, in the low seven figures, on research, development and commercialization by or our sublicensees.</w:t>
      </w:r>
    </w:p>
    <w:p>
      <w:pPr>
        <w:spacing w:after="0" w:line="15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We may terminate the MIT License at any time upon six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 days' written notice thereof. Absent early termination, the MIT License will continue until the expiration or abandonment of the last to expire patent right subject to the MIT License.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Sanofi</w:t>
      </w:r>
    </w:p>
    <w:p>
      <w:pPr>
        <w:spacing w:after="0" w:line="19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November 2012, we entered into a license and research collaboration agreement with Sanofi, which we refer to as the Sanofi Agreement. Under the terms of the Sanofi Agreement, we granted Sanofi an exclusive, worldwide license to certain intellectual property rights and technologies owned by or licensed exclusively to us, including a sublicense under the MIT License, for the research, development and commercialization of one or more treatments for food allergies. The Sanofi Agreement contains an option to extend the license grant for two additional allergy indications, including celiac disease but excluding house dust mite allergies. In November 2014, Sanofi exercised the option to include celiac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5" w:name="page156"/>
    <w:bookmarkEnd w:id="1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disease as an additional indication and the Sanofi Agreement was amended to add terms specific to the celiac disease indication and to terminate Sanofi's right to exercise its option for any additional indications in May 2015. Except as authorized by Sanofi or permitted under the Sanofi Agreement, during the term of the Sanofi Agreement, our exclusivity obligations prevent us from researching, developing, or commercializing products in these indications or granting third party licenses under the intellectual property rights and technologies licensed to Sanofi for use in these indications.</w:t>
      </w:r>
    </w:p>
    <w:p>
      <w:pPr>
        <w:spacing w:after="0" w:line="162"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Under the terms of the research collaboration portion of the Sanofi Agreement, we are required to use commercially reasonable efforts to perform the activities set out for us in the research and development plans created and overseen by a joint research committee. We are responsible for manufacturing all vaccines required for research, development and commercialization of licensed products.</w:t>
      </w:r>
    </w:p>
    <w:p>
      <w:pPr>
        <w:spacing w:after="0" w:line="159"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The research term for the first indication expired on the third anniversary of the Sanofi Agreement (November 27, 2015). We completed our research obligations within the initial three year period and are not obligated to perform any further research on the specific indication under the Sanofi Agreement. A vaccine candidate for development and commercialization was not selected by Sanofi by the end of the research plan. However, we are in discussions with Sanofi to extend the research term for the first indication by one year (until November 27, 2016).</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The research term for the second indication (celiac disease) will expire upon the earlier of (a) the nomination of a development candidate for the second indication and (b) May 7, 2019. In the event that we are unable to complete our research obligations by May 7, 2019, our obligation will be limited to exercising commercially reasonable efforts to complete such research up to one year after the end of the research term. Each party is responsible for its own internal costs, as well as any third-party or out-of-pocket costs incurred in the performance of the activities laid out in the research plan. If the parties agree to expand our scope of work, such costs will be reimbursed by Sanofi based on an agreed upon budget. Once a development candidate is nominated, all development activities will be under the direction of Sanofi pursuant to a development plan to be negotiated and agreed to at that time and Sanofi will pay us for expenses incurred within certain approved limits.</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Pursuant to the Sanofi Agreement, Sanofi paid us an initial payment of $2,000,000 for the initial indication and an additional $2,000,000 for the second indication (celiac disease). Sanofi is obligated to make additional payments to us during preclinical research totaling up to $3,000,000 for each indication, which has been achieved for the food allergy indication. For each indication, we are also eligible for (i) a $5,000,000 development candidate milestone payable to us at the start of preclinical development, (ii) further development milestones up to an aggregate of $127,000,000, which includes up to an aggregate of $57.0 million following the initiation of Phase I, Phase II and Phase III clinical trials for the indication and filing of the first biologic license application, more than two-thirds of which is attributable to the initiation of the Phase 3 clinical trial and the filing of the first biologic license application, and an aggregate of $70.0 million upon achieving various regulatory approvals in the United States, European Union, Japan and Brazil, Russia, India or China, of which the majority is attributable to regulatory approvals in the United States, (iii) sales milestones of up to an aggregate of $170,000,000, and (iv) tiered royalties on annual net sales of licensed products at percentages ranging from mid-single to low double-digits.</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These royalty rates are subject to certain reductions. If no vaccine candidates are nominated for development for any indication by 2019, the Sanofi Agreement will expire in its entirety in 2021 and all rights granted thereunder will terminate. If licensed products have been developed pursuant to this agreement, the term will continue until the expiration of all royalty payment obligations, after which time Sanofi will have a royalty-free, perpetual license. In certain circumstances, following termination of the Sanofi Agreement, we may elect to continue developing product candidates or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6" w:name="page157"/>
    <w:bookmarkEnd w:id="1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on our own, and if we choose to do so, we will be required to pay Sanofi low-single digit royalties on net sales and a percentage of licensing revenue ranging from mid-single to low-double digits.</w:t>
      </w:r>
    </w:p>
    <w:p>
      <w:pPr>
        <w:spacing w:after="0" w:line="151"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Sanofi may terminate the Sanofi Agreement in the event of our uncured material breach, or may terminate for any reason on 6 months' written notice. In case of our uncured material breach, Sanofi may elect, instead of terminating, to continue the Sanofi Agreement and offset any damages incurred due to the default against Sanofi's payments due to us thereunder. We may terminate the Sanofi Agreement in the event of Sanofi's uncured material breach or Sanofi's challenge or assistance of others in challenging our or MIT's licensed patents.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Shenyang Sunshine Pharmaceutical Co., Ltd.</w:t>
      </w:r>
    </w:p>
    <w:p>
      <w:pPr>
        <w:spacing w:after="0" w:line="195"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In May 2014, we entered into a license agreement with 3SBio, which we refer to as the 3SBio License. Pursuant to the 3SBio License, we were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SVP technology with pegsiticase or related compounds supplied by 3SBio (or otherwise supplied if our rights to manufacture are in effect) for human therapeutic, diagnostic and prophylactic use. We were also granted a co-exclusive license to manufacture and have manufactured pegsiticase and related compounds for our preclinical and clinical use or, if the 3SBio License is terminated for 3SBio's material breach, for any use under the 3SBio License. Otherwise, we are obligated to obtain all of our supply of such compounds for Phase 3 clinical trials and commercial use from 3SBio under the terms of supply agreements to be negotiated.</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3SBio License, we are required to use our commercially reasonable efforts to develop and commercialize a product containing pegsiticase or a related compound. If we do</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not commercialize any such product in a particular country in Asia, Africa or South America within 48 months after approval of any such product in the U.S. or a major European country,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then 3SBio will have the right to do so, but only until we commercialize a product combining our SVP technology with any such compound in such country. We have paid to 3SBio an</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aggregate of $1,000,000 in upfront and milestone-based payments under the 3SBio License. We are required to make future payments to 3SBio contingent upon the occurrence of events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related to the achievement of clinical and regulatory approval milestones of up to an aggregate of $21,000,000 for products containing our SVP technology, and up to an aggregate of</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$41,500,000 for products without our SVP technology. We are also required to pay 3SBio tiered royalties on annual worldwide net sales (on a country-by-country and product-by-product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basis) related to the pegsiticase component of products at percentages ranging from the low-to-mid single digits for products containing our SVP technology, and a range of no more than ten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percentage points from the mid-single digits to low double-digits for products without our SVP technology. We will pay these royalties to 3SBio, subject to specified reductions, on a</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country-by-country and product-by-product basis until the later of (i) the date that all of the patent rights for that product have expired in that country, or (ii) a specified number of years from</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the first commercial sale of such product in such country.</w:t>
      </w:r>
    </w:p>
    <w:p>
      <w:pPr>
        <w:spacing w:after="0" w:line="193"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The 3SBio License expires on the date of expiration of all of our royalty payment obligations unless earlier terminated by either party for an uncured material default or for the other party's bankruptcy. Any such termination by 3SBio for our material default may be on a country-by country or product-by-product basis in certain circumstances. We may also terminate the 3SBio License on a country-by-country or product-by-product basis for any reason effective upon 60 days' prior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57" w:name="page158"/>
    <w:bookmarkEnd w:id="1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notice to 3SBio or, with respect to a given product, immediately upon written notice to 3SBio if we identify a safety or efficacy concern related to such product.</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BIND</w:t>
      </w:r>
    </w:p>
    <w:p>
      <w:pPr>
        <w:spacing w:after="0" w:line="195" w:lineRule="exact"/>
        <w:rPr>
          <w:sz w:val="20"/>
          <w:szCs w:val="20"/>
          <w:color w:val="auto"/>
        </w:rPr>
      </w:pPr>
    </w:p>
    <w:p>
      <w:pPr>
        <w:ind w:right="80"/>
        <w:spacing w:after="0" w:line="308" w:lineRule="auto"/>
        <w:rPr>
          <w:sz w:val="20"/>
          <w:szCs w:val="20"/>
          <w:color w:val="auto"/>
        </w:rPr>
      </w:pPr>
      <w:r>
        <w:rPr>
          <w:rFonts w:ascii="Arial" w:cs="Arial" w:eastAsia="Arial" w:hAnsi="Arial"/>
          <w:sz w:val="13"/>
          <w:szCs w:val="13"/>
          <w:color w:val="auto"/>
        </w:rPr>
        <w:t>In December 2008, we entered into a cross-license agreement with BIND Therapeutics, Inc. (formerly BIND Biosciences, Inc.), or BIND, which we refer to as the BIND Agreement. Pursuant to the BIND Agreement, BIND granted us a perpetual, irrevocable, royalty-free worldwide non-exclusive license under certain of BIND's existing and future patent rights to make, have made, use, sell, offer for sale and import products and services covered by such patents and patent applications in the field of certain prophylactic and therapeutic vaccines. The time period for adding new patent rights, not included in the families of previously licensed patent rights, to our license grant from BIND has expired. Pursuant to the BIND Agreement, we granted BIND a perpetual, irrevocable, royalty-free, worldwide non-exclusive license under certain of our current and future patent rights to make, have made, use, sell, offer for sale and import products and services covered by such patents and patent applications in all other fields, in each case, excluding certain future patent rights of each party related to novel targeting agents. The time period for adding new patent rights, not included in the families of previously licensed patent rights, to BIND's license grant from us has expired.</w:t>
      </w:r>
    </w:p>
    <w:p>
      <w:pPr>
        <w:spacing w:after="0" w:line="139"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We have paid BIND an upfront license issuance fee and reimbursed certain of BIND's fees in connection with the entry into the BIND Agreement. No royalties or other payments are due to or by either party. The BIND Agreement expires upon expiration of the last patent right covered by the BIND Agreement. Neither party may unilaterally terminate the BIND Agreement for any reason. If either party materially breaches the BIND Agreement, fails to expend a specified amount in research and development activities related to the BIND Agreement, undergoes bankruptcy or insolvency, or undergoes a change of control, the future patent rights to be included in the license grant to the party breaching, failing to expend such amounts or undergoing such event under the BIND Agreement will no longer be granted to the breaching party.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Massachusetts Eye and Ear Infirmary</w:t>
      </w:r>
    </w:p>
    <w:p>
      <w:pPr>
        <w:spacing w:after="0" w:line="19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 May 2016, we entered into a license agreement with the Massachusetts Eye and Ear Infirmary and The Schepens Eye Research Institute, Inc., or, collectively, MEE, which we refer to as the MEE License. Under the MEE License, we were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know-how owned or controlled by MEE, for use of Anc80 gene therapy vectors for gene augmentation therapies expressing certain target sequences.</w:t>
      </w:r>
    </w:p>
    <w:p>
      <w:pPr>
        <w:spacing w:after="0" w:line="148"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MEE also granted us exclusive options to exclusively license certain of their intellectual property rights relating to several additional target sequences and variations thereof each linked to a specified disease. During a defined option period, we may exercise this right for up to a designated number of target sequences. If we exercise our options, under certain circumstances, we may substitute alternative target sequences for previously selected target sequences.</w:t>
      </w:r>
    </w:p>
    <w:p>
      <w:pPr>
        <w:spacing w:after="0" w:line="159"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We agreed to use commercially reasonable efforts to develop and commercialize licensed products pursuant to a development plan, and to market and sell at least one product for each target sequence for which we exercised our option as soon as reasonably practicable. Subject to certain exceptions, following commercial launch we must use commercially reasonable efforts to market, sell, and maintain public availability of licensed products in a certain number of specified 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8" w:name="page159"/>
    <w:bookmarkEnd w:id="1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Pursuant to the MEE Agreement, we agreed to pay MEE a license fee in the low six figures, annual license maintenance fees ranging from the mid-twenty thousands to mid-seventy thousands and an option maintenance fee in the low five figures for each exercisable option. We also agreed to reimburse MEE for a specified percentage of the past patent expenses for the patents licensed to us. We also agreed to pay development milestones on a licensed product-by-licensed product basis, totaling up to an aggregate of between $4,175,000 to $37,025,000 and sales milestones on a licensed product-by-licensed product basis, totaling up to an aggregate of between $50,000,000 to $70,000,000; tiered royalties on a licensed product-by-licensed product and country-by-country basis equal to a percentage of net sales ranging from mid-single digits to mid-teens, subject to the prevalence of the targeted disease and certain reductions; and a percentage, in a range expected to be in the mid-teens depending on timing, of any sublicense income we receive from sublicensing our rights granted thereunder, subject to certain reductions and exclusions. Upon exercise of each option, we agreed to pay MEE an option exercise fee ranging from low-six figures to mid-six figures, depending on the prevalence of the targeted disease.</w:t>
      </w:r>
    </w:p>
    <w:p>
      <w:pPr>
        <w:spacing w:after="0" w:line="167"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The MEE License will continue until the expiration of the last to expire of the patent rights licensed thereunder. We may terminate the MEE License in whole or in part upon prior written notice. MEE may terminate the MEE License on a target sequence-by-target sequence basis if we fail to make any scheduled payments in respect of such target sequence or if we materially breach a diligence obligation in respect of such target sequence, in each case if we fail to cure within a specified time period. MEE may terminate the MEE License in its entirety if we materially breach certain of our obligations related to diligence, representations and warranties, and maintenance of insurance; if we challenge the validity or enforceability of any patents licensed thereunder; if any of our executive officers are convicted of a felony relating to manufacture, use, sale or importation of licensed products; or upon our insolvency or bankruptcy.</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right="100"/>
        <w:spacing w:after="0" w:line="306" w:lineRule="auto"/>
        <w:rPr>
          <w:sz w:val="20"/>
          <w:szCs w:val="20"/>
          <w:color w:val="auto"/>
        </w:rPr>
      </w:pPr>
      <w:r>
        <w:rPr>
          <w:rFonts w:ascii="Arial" w:cs="Arial" w:eastAsia="Arial" w:hAnsi="Arial"/>
          <w:sz w:val="13"/>
          <w:szCs w:val="13"/>
          <w:color w:val="auto"/>
        </w:rPr>
        <w:t>We endeavor to protect our SVP based immunotherapy program technology, which we consider fundamental to our business, by seeking, maintaining and defending patent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 in jurisdictions 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continuing innovation and in-licensing opportunities to maintain, advance and fortify our proprietary position in our SVP-based immunotherapy program and product candidates. Our commercial success will depend in part on our ability to obtain and maintain patent and other proprietary protection for our program technology,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143" w:lineRule="exact"/>
        <w:rPr>
          <w:sz w:val="20"/>
          <w:szCs w:val="20"/>
          <w:color w:val="auto"/>
        </w:rPr>
      </w:pPr>
    </w:p>
    <w:p>
      <w:pPr>
        <w:jc w:val="both"/>
        <w:ind w:right="220"/>
        <w:spacing w:after="0" w:line="270" w:lineRule="auto"/>
        <w:rPr>
          <w:sz w:val="20"/>
          <w:szCs w:val="20"/>
          <w:color w:val="auto"/>
        </w:rPr>
      </w:pPr>
      <w:r>
        <w:rPr>
          <w:rFonts w:ascii="Arial" w:cs="Arial" w:eastAsia="Arial" w:hAnsi="Arial"/>
          <w:sz w:val="15"/>
          <w:szCs w:val="15"/>
          <w:color w:val="auto"/>
        </w:rPr>
        <w:t>We have developed and in-licensed numerous patents and patent applications and possess substantial know-how and trade secrets relating to our SVP-based immunotherapy technology, program and product candidates. Our patent portfolio contains nine issued patents in the United States and seven foreign issued patents, in all cases, owned solely by us. We also have 50 pending patent applications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59" w:name="page160"/>
    <w:bookmarkEnd w:id="15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United States as well as 307 foreign pending patent applications, in all cases, owned solely by us. These patents and patent applications include claims directed to:</w:t>
      </w:r>
    </w:p>
    <w:p>
      <w:pPr>
        <w:spacing w:after="0" w:line="210" w:lineRule="exact"/>
        <w:rPr>
          <w:sz w:val="20"/>
          <w:szCs w:val="20"/>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tolerance and cancer immunotherapy programs;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other immune stimulation programs;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tolerance applications, including:</w:t>
      </w:r>
    </w:p>
    <w:p>
      <w:pPr>
        <w:spacing w:after="0" w:line="395" w:lineRule="exact"/>
        <w:rPr>
          <w:rFonts w:ascii="Arial" w:cs="Arial" w:eastAsia="Arial" w:hAnsi="Arial"/>
          <w:sz w:val="15"/>
          <w:szCs w:val="15"/>
          <w:color w:val="auto"/>
        </w:rPr>
      </w:pPr>
    </w:p>
    <w:p>
      <w:pPr>
        <w:ind w:left="1387" w:hanging="461"/>
        <w:spacing w:after="0"/>
        <w:tabs>
          <w:tab w:leader="none" w:pos="1387" w:val="left"/>
        </w:tabs>
        <w:numPr>
          <w:ilvl w:val="1"/>
          <w:numId w:val="92"/>
        </w:numPr>
        <w:rPr>
          <w:rFonts w:ascii="Arial" w:cs="Arial" w:eastAsia="Arial" w:hAnsi="Arial"/>
          <w:sz w:val="15"/>
          <w:szCs w:val="15"/>
          <w:color w:val="auto"/>
        </w:rPr>
      </w:pPr>
      <w:r>
        <w:rPr>
          <w:rFonts w:ascii="Arial" w:cs="Arial" w:eastAsia="Arial" w:hAnsi="Arial"/>
          <w:sz w:val="15"/>
          <w:szCs w:val="15"/>
          <w:color w:val="auto"/>
        </w:rPr>
        <w:t>mitigating or treating anti-drug antibodies association with protein drugs (such as SEL-212), and</w:t>
      </w:r>
    </w:p>
    <w:p>
      <w:pPr>
        <w:spacing w:after="0" w:line="221" w:lineRule="exact"/>
        <w:rPr>
          <w:rFonts w:ascii="Arial" w:cs="Arial" w:eastAsia="Arial" w:hAnsi="Arial"/>
          <w:sz w:val="15"/>
          <w:szCs w:val="15"/>
          <w:color w:val="auto"/>
        </w:rPr>
      </w:pPr>
    </w:p>
    <w:p>
      <w:pPr>
        <w:ind w:left="1387" w:hanging="461"/>
        <w:spacing w:after="0"/>
        <w:tabs>
          <w:tab w:leader="none" w:pos="1387" w:val="left"/>
        </w:tabs>
        <w:numPr>
          <w:ilvl w:val="1"/>
          <w:numId w:val="92"/>
        </w:numPr>
        <w:rPr>
          <w:rFonts w:ascii="Arial" w:cs="Arial" w:eastAsia="Arial" w:hAnsi="Arial"/>
          <w:sz w:val="15"/>
          <w:szCs w:val="15"/>
          <w:color w:val="auto"/>
        </w:rPr>
      </w:pPr>
      <w:r>
        <w:rPr>
          <w:rFonts w:ascii="Arial" w:cs="Arial" w:eastAsia="Arial" w:hAnsi="Arial"/>
          <w:sz w:val="15"/>
          <w:szCs w:val="15"/>
          <w:color w:val="auto"/>
        </w:rPr>
        <w:t>genetic therapies (such as viral delivery of genes);</w:t>
      </w:r>
    </w:p>
    <w:p>
      <w:pPr>
        <w:spacing w:after="0" w:line="395" w:lineRule="exact"/>
        <w:rPr>
          <w:rFonts w:ascii="Arial" w:cs="Arial" w:eastAsia="Arial" w:hAnsi="Arial"/>
          <w:sz w:val="15"/>
          <w:szCs w:val="15"/>
          <w:color w:val="auto"/>
        </w:rPr>
      </w:pPr>
    </w:p>
    <w:p>
      <w:pPr>
        <w:ind w:left="467" w:right="480" w:hanging="467"/>
        <w:spacing w:after="0" w:line="282" w:lineRule="auto"/>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development and commercialization of SEL-212, including both composition of matter and method of treatment claims (there are three patent families that cover the SEL-212 product, one of which is a licensed, issued U.S. patent that covers the SEL-212 product, which expires in 2021); and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cancer immunotherapy applications, including:</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1387" w:hanging="461"/>
        <w:spacing w:after="0"/>
        <w:tabs>
          <w:tab w:leader="none" w:pos="1387" w:val="left"/>
        </w:tabs>
        <w:numPr>
          <w:ilvl w:val="1"/>
          <w:numId w:val="92"/>
        </w:numPr>
        <w:rPr>
          <w:rFonts w:ascii="Arial" w:cs="Arial" w:eastAsia="Arial" w:hAnsi="Arial"/>
          <w:sz w:val="15"/>
          <w:szCs w:val="15"/>
          <w:color w:val="auto"/>
        </w:rPr>
      </w:pPr>
      <w:r>
        <w:rPr>
          <w:rFonts w:ascii="Arial" w:cs="Arial" w:eastAsia="Arial" w:hAnsi="Arial"/>
          <w:sz w:val="15"/>
          <w:szCs w:val="15"/>
          <w:color w:val="auto"/>
        </w:rPr>
        <w:t>creating various cancer vaccines, and</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92"/>
        </w:numPr>
        <w:rPr>
          <w:rFonts w:ascii="Arial" w:cs="Arial" w:eastAsia="Arial" w:hAnsi="Arial"/>
          <w:sz w:val="15"/>
          <w:szCs w:val="15"/>
          <w:color w:val="auto"/>
        </w:rPr>
      </w:pPr>
      <w:r>
        <w:rPr>
          <w:rFonts w:ascii="Arial" w:cs="Arial" w:eastAsia="Arial" w:hAnsi="Arial"/>
          <w:sz w:val="15"/>
          <w:szCs w:val="15"/>
          <w:color w:val="auto"/>
        </w:rPr>
        <w:t>combination treatments, including co-treatment with PD-1/PDL-1 checkpoint inhibitors.</w:t>
      </w:r>
    </w:p>
    <w:p>
      <w:pPr>
        <w:spacing w:after="0" w:line="198"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Set forth below is a table indicating the expiration dates for our owned patent families, or expected expiration dates in the case of our owned patent application families, corresponding to each of our programs.</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0" w:type="dxa"/>
            <w:vAlign w:val="bottom"/>
          </w:tcPr>
          <w:p>
            <w:pPr>
              <w:jc w:val="right"/>
              <w:ind w:right="407"/>
              <w:spacing w:after="0"/>
              <w:rPr>
                <w:sz w:val="20"/>
                <w:szCs w:val="20"/>
                <w:color w:val="auto"/>
              </w:rPr>
            </w:pPr>
            <w:r>
              <w:rPr>
                <w:rFonts w:ascii="Arial" w:cs="Arial" w:eastAsia="Arial" w:hAnsi="Arial"/>
                <w:sz w:val="12"/>
                <w:szCs w:val="12"/>
                <w:b w:val="1"/>
                <w:bCs w:val="1"/>
                <w:color w:val="auto"/>
              </w:rPr>
              <w:t>Patent</w:t>
            </w:r>
          </w:p>
        </w:tc>
        <w:tc>
          <w:tcPr>
            <w:tcW w:w="1740" w:type="dxa"/>
            <w:vAlign w:val="bottom"/>
          </w:tcPr>
          <w:p>
            <w:pPr>
              <w:spacing w:after="0"/>
              <w:rPr>
                <w:sz w:val="12"/>
                <w:szCs w:val="12"/>
                <w:color w:val="auto"/>
              </w:rPr>
            </w:pPr>
          </w:p>
        </w:tc>
      </w:tr>
      <w:tr>
        <w:trPr>
          <w:trHeight w:val="149"/>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Program</w:t>
            </w:r>
          </w:p>
        </w:tc>
        <w:tc>
          <w:tcPr>
            <w:tcW w:w="4320" w:type="dxa"/>
            <w:vAlign w:val="bottom"/>
            <w:tcBorders>
              <w:bottom w:val="single" w:sz="8" w:color="auto"/>
            </w:tcBorders>
          </w:tcPr>
          <w:p>
            <w:pPr>
              <w:ind w:left="2340"/>
              <w:spacing w:after="0"/>
              <w:rPr>
                <w:sz w:val="20"/>
                <w:szCs w:val="20"/>
                <w:color w:val="auto"/>
              </w:rPr>
            </w:pPr>
            <w:r>
              <w:rPr>
                <w:rFonts w:ascii="Arial" w:cs="Arial" w:eastAsia="Arial" w:hAnsi="Arial"/>
                <w:sz w:val="12"/>
                <w:szCs w:val="12"/>
                <w:b w:val="1"/>
                <w:bCs w:val="1"/>
                <w:color w:val="auto"/>
              </w:rPr>
              <w:t>Description</w:t>
            </w: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Family(1)</w:t>
            </w:r>
          </w:p>
        </w:tc>
        <w:tc>
          <w:tcPr>
            <w:tcW w:w="1740" w:type="dxa"/>
            <w:vAlign w:val="bottom"/>
            <w:tcBorders>
              <w:bottom w:val="single" w:sz="8" w:color="auto"/>
            </w:tcBorders>
          </w:tcPr>
          <w:p>
            <w:pPr>
              <w:jc w:val="center"/>
              <w:ind w:right="186"/>
              <w:spacing w:after="0"/>
              <w:rPr>
                <w:sz w:val="20"/>
                <w:szCs w:val="20"/>
                <w:color w:val="auto"/>
              </w:rPr>
            </w:pPr>
            <w:r>
              <w:rPr>
                <w:rFonts w:ascii="Arial" w:cs="Arial" w:eastAsia="Arial" w:hAnsi="Arial"/>
                <w:sz w:val="12"/>
                <w:szCs w:val="12"/>
                <w:b w:val="1"/>
                <w:bCs w:val="1"/>
                <w:color w:val="auto"/>
              </w:rPr>
              <w:t>Expiration(2)</w:t>
            </w:r>
          </w:p>
        </w:tc>
      </w:tr>
      <w:tr>
        <w:trPr>
          <w:trHeight w:val="182"/>
        </w:trPr>
        <w:tc>
          <w:tcPr>
            <w:tcW w:w="3780" w:type="dxa"/>
            <w:vAlign w:val="bottom"/>
            <w:gridSpan w:val="2"/>
          </w:tcPr>
          <w:p>
            <w:pPr>
              <w:spacing w:after="0"/>
              <w:rPr>
                <w:sz w:val="20"/>
                <w:szCs w:val="20"/>
                <w:color w:val="auto"/>
              </w:rPr>
            </w:pPr>
            <w:r>
              <w:rPr>
                <w:rFonts w:ascii="Arial" w:cs="Arial" w:eastAsia="Arial" w:hAnsi="Arial"/>
                <w:sz w:val="15"/>
                <w:szCs w:val="15"/>
                <w:color w:val="auto"/>
              </w:rPr>
              <w:t>Refractory and chronic tophaceous gout (SEL-212)</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co-administered with pegsiticase</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19</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87"/>
        </w:trPr>
        <w:tc>
          <w:tcPr>
            <w:tcW w:w="3780" w:type="dxa"/>
            <w:vAlign w:val="bottom"/>
            <w:gridSpan w:val="2"/>
          </w:tcPr>
          <w:p>
            <w:pPr>
              <w:spacing w:after="0"/>
              <w:rPr>
                <w:sz w:val="20"/>
                <w:szCs w:val="20"/>
                <w:color w:val="auto"/>
              </w:rPr>
            </w:pPr>
            <w:r>
              <w:rPr>
                <w:rFonts w:ascii="Arial" w:cs="Arial" w:eastAsia="Arial" w:hAnsi="Arial"/>
                <w:sz w:val="15"/>
                <w:szCs w:val="15"/>
                <w:color w:val="auto"/>
              </w:rPr>
              <w:t>Gene therapy</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co-administered with AAV vector</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19</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Food allergy</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SVP-food allergen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Celiac disease</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and SVP-gluten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Type 1 diabetes</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and SVP-insulin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15</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Smoking cessation and relapse prevention (SEL-070)</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SVP-nicotine</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HPV-associated cancer (SEL-701)</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SVP-HPV antigen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Malaria</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SVP-malaria antigen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95"/>
        </w:trPr>
        <w:tc>
          <w:tcPr>
            <w:tcW w:w="116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r>
    </w:tbl>
    <w:p>
      <w:pPr>
        <w:spacing w:after="0" w:line="165" w:lineRule="exact"/>
        <w:rPr>
          <w:sz w:val="20"/>
          <w:szCs w:val="20"/>
          <w:color w:val="auto"/>
        </w:rPr>
      </w:pPr>
    </w:p>
    <w:p>
      <w:pPr>
        <w:ind w:left="467" w:hanging="467"/>
        <w:spacing w:after="0"/>
        <w:tabs>
          <w:tab w:leader="none" w:pos="467"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Reflects number of relevant patent and patent application families.</w:t>
      </w:r>
    </w:p>
    <w:p>
      <w:pPr>
        <w:spacing w:after="0" w:line="105" w:lineRule="exact"/>
        <w:rPr>
          <w:rFonts w:ascii="Arial" w:cs="Arial" w:eastAsia="Arial" w:hAnsi="Arial"/>
          <w:sz w:val="12"/>
          <w:szCs w:val="12"/>
          <w:color w:val="auto"/>
        </w:rPr>
      </w:pPr>
    </w:p>
    <w:p>
      <w:pPr>
        <w:ind w:left="467" w:hanging="467"/>
        <w:spacing w:after="0"/>
        <w:tabs>
          <w:tab w:leader="none" w:pos="467"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Reflects expiration date and estimated expiration date ranges of issued patents and patent applications, respectively.</w:t>
      </w:r>
    </w:p>
    <w:p>
      <w:pPr>
        <w:spacing w:after="0" w:line="177"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In addition, we have exclusively or non-exclusively licensed intellectual property, including the following patent portfolio: 18 U.S. issued patents; 16 foreign issued patents; 9 U.S. pending patent applications; and 56 foreign pending applications. The licensed patents and patent applications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0" w:name="page161"/>
    <w:bookmarkEnd w:id="1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various aspects of the technology being developed by us, including claims directed to compositions of matter and methods of use, and have been filed in various countries worldwide including in North America, Europe and Asia, with material expiration dates varying from 2021 to, if claims are issued, 2028.</w:t>
      </w:r>
    </w:p>
    <w:p>
      <w:pPr>
        <w:spacing w:after="0" w:line="151" w:lineRule="exact"/>
        <w:rPr>
          <w:sz w:val="20"/>
          <w:szCs w:val="20"/>
          <w:color w:val="auto"/>
        </w:rPr>
      </w:pPr>
    </w:p>
    <w:p>
      <w:pPr>
        <w:ind w:right="20"/>
        <w:spacing w:after="0" w:line="313" w:lineRule="auto"/>
        <w:rPr>
          <w:sz w:val="20"/>
          <w:szCs w:val="20"/>
          <w:color w:val="auto"/>
        </w:rPr>
      </w:pPr>
      <w:r>
        <w:rPr>
          <w:rFonts w:ascii="Arial" w:cs="Arial" w:eastAsia="Arial" w:hAnsi="Arial"/>
          <w:sz w:val="13"/>
          <w:szCs w:val="13"/>
          <w:color w:val="auto"/>
        </w:rPr>
        <w:t>As we continue to develop the SVP-based immunotherapy program technology, we intend to pursue, when possible, patent protection for product candidates, methods of use and processes for manufacture. We continually evaluate and enhance our intellectual property strategy as we develop new program technologies and product candidates. To that end, we are prepared to file additional patent applications if our intellectual property strategy requires such filings, or where we seek to adapt to competition or seize business opportunities. In addition to filing and prosecuting patent applications in the United States, we often file analogous patent applications in the European Union and in additional foreign countries where we believe such filing is likely to be beneficial, including but not limited to Australia, Brazil, China, Eurasia, including the Russian Federation, Europe, South Korea, Mexico, India, Israel and Japan.</w:t>
      </w:r>
    </w:p>
    <w:p>
      <w:pPr>
        <w:spacing w:after="0" w:line="13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We intend to apply for patent term extensions on patents covering our product candidates if and when they receive FDA approval. We expect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 Currently, we own or license patents with material expiration dates ranging from 2021 to 2032. If patents are issued on pending patent applications that we own or license, the resulting patents are expected to have material expiration dates ranging from 2027 to 2035.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55" w:lineRule="exact"/>
        <w:rPr>
          <w:sz w:val="20"/>
          <w:szCs w:val="20"/>
          <w:color w:val="auto"/>
        </w:rPr>
      </w:pPr>
    </w:p>
    <w:p>
      <w:pPr>
        <w:ind w:right="40"/>
        <w:spacing w:after="0" w:line="310" w:lineRule="auto"/>
        <w:rPr>
          <w:sz w:val="20"/>
          <w:szCs w:val="20"/>
          <w:color w:val="auto"/>
        </w:rPr>
      </w:pPr>
      <w:r>
        <w:rPr>
          <w:rFonts w:ascii="Arial" w:cs="Arial" w:eastAsia="Arial" w:hAnsi="Arial"/>
          <w:sz w:val="13"/>
          <w:szCs w:val="13"/>
          <w:color w:val="auto"/>
        </w:rPr>
        <w:t>Generally, the patent positions of companies similar to ours are uncertain and encompass complex legal and factual questions. There has been no consistent policy regarding the scope of claims allowable in patents in the field of immunotherapy in the United States The foreign patent situation is even more uncertain. Changes in the patent laws and rules, either by legislation, judicial decisions, or regulatory interpretation in the United States and other countries may lessen our ability to protect our intellectual property and enforce our proprietary rights, and more generally could affect the value of our intellectual property. Specifically, our ability to stop third parties from making, using, selling, offering to sell, or importing any of our patented inventions, either directly or indirectly, will depend in part on our success in obtaining and enforcing patent claims that cover our program technology, inventions and improvements. With respect to both company-owned and in-licensed intellectual property, we cannot be certain that patents will be granted with respect to any of our pending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1" w:name="page162"/>
    <w:bookmarkEnd w:id="1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applications or with respect to any patent applications filed by us in the future, nor can we be sure that any of our existing patents or any patents that may be granted to us in the future will be commercially beneficial in protecting our programs and product candidates and the methods used to manufacture those programs and product candidates. Moreover, even our issued patents do not guarantee us the right to practice our technology in relation to the commercialization of our programs or product candidates. The field of patent and other intellectual property rights in biotechnology is an evolving one with many risks and uncertainties, and third parties may have blocking patents that could be used to prevent us from commercializing our patented immunotherapy technology, programs and product candidates and practicing our proprietary technology. Our issued patents and those that may issue in the future may be challenged, invalidated, or circumvented, which could inhibit our ability to stop competitors from marketing related programs or product candidates or limit the length of the term of patent protection that we may have for our immunotherapy technology, programs and product candidates. Additionally, the rights granted under any issued patents may not provide us with protection or competitive advantages against competitors with similar technology. Furthermore, our competitors may independently develop similar technologies. Consequently, we may have competition for our immunotherapy technology, programs and product candidates. Moreover, because of the extensive time required for development, testing and regulatory review of a potential product, it is possible that, before any particular product candidate can be commercialized, any related patent may expire or remain in force for only a short period following commercialization, thereby reducing any economic advantage of the patent. For this and more comprehensive risks related to our proprietary technology, inventions, improvements, programs and product candidates, please see the section entitled "Risk factors—Risks related to our intellectual property."</w:t>
      </w:r>
    </w:p>
    <w:p>
      <w:pPr>
        <w:spacing w:after="0" w:line="155"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We currently have three trademark registrations, one in the United States, one in Europe and one in Russia. We intend to file applications for trademark registrations in connection with our product candidates in various jurisdictions, including the United States.</w:t>
      </w:r>
    </w:p>
    <w:p>
      <w:pPr>
        <w:spacing w:after="0" w:line="151"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We may also rely on trade secrets to protect our confidential and proprietary information. However, trade secrets are difficult to protect. Although we seek to protect our program technology and product candidates as trade secrets, in part, by entering into confidentiality agreements with those who have access to our confidential information, including our employees, contractors, consultants, collaborators and advisors, third parties may independently discover substantially equivalent trade secrets or otherwise gain access to our trade secrets or disclose our technology. It is our policy to require our employees, contractors, consultants, collaborators and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 To the extent that our employees, contractors, consultants, collaborators, and advisors use intellectual property owned by others in their work for us, disputes may arise as to the rights in related or resulting know-how and inventions.</w:t>
      </w:r>
    </w:p>
    <w:p>
      <w:pPr>
        <w:spacing w:after="0" w:line="158"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We also seek to protect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2" w:name="page163"/>
    <w:bookmarkEnd w:id="1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 biotechnology and pharmaceutical industries are characterized by rapidly advancing technologies, intense competition and a strong emphasis on proprietary products. While we believe that our SVP technology, our expertise in triggering antigen-specific immune responses, integrated research, clinical and manufacturing capabilities, development experience, scientific knowledge and portfolio strategy provide us with competitive advantages,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167"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32"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key competitive factors affecting the success of SEL-212, and any other tolerance or immune stimulation product candidates that we develop, if approved, are likely to be their efficacy, safety, convenience, price, the level of generic competition and the availability of reimbursement from government and other third-party payors.</w:t>
      </w:r>
    </w:p>
    <w:p>
      <w:pPr>
        <w:spacing w:after="0" w:line="15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 SEL-212 may compete with others in the gout market, including Krystexxa, which contains a pegylated uricase similar to the Pegsiticase component of SEL-212 and is indicated for the treatment of refractory gout. Horizon Pharma plc, whose affiliates recently acquired Krystexxa, may find other approaches to eliminate undesired immunogenicity to Krystexxa. Long-term treatment with global immunosuppressive products may increase the susceptibility to contract infections, tumors and may lead to organ failure. Large companies with active research to prevent the formation of ADAs and treat allergies or autoimmune diseases include Sanofi, Pfizer Inc., or Pfizer, and Merck &amp; Co., Inc., or Merck. Small, early-stage biopharmaceutical companies active in the research for new technologies to induce antigen-specific tolerance include Anokion SA, Cour Pharmaceutical Development Company, Inc., Apitope International NV, Evotec AG and Dendright International, Inc. We believe that desensitization strategies are restricted to allergies, take more time to achieve a therapeutic effect than therapies that use an immuno-modulator and are more restricted in breadth of efficacy and applications than SVP products.</w:t>
      </w:r>
    </w:p>
    <w:p>
      <w:pPr>
        <w:spacing w:after="0" w:line="153"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Our immunostimulatory therapies are also subject to intense competition. In cancer therapy, the most common methods of treating patients are surgery, radiation and drug therapy, including chemotherapy and immunotherapy. Large pharmaceutical companies, including AstraZeneca PLC, or AstraZeneca, Roche Holding AG, Pfizer, Merck, Bristol-Myers Squibb Company, and Amgen Inc., as well as smaller biopharmaceutical companies including Immune Design Corp. are active in the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3" w:name="page164"/>
    <w:bookmarkEnd w:id="16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80"/>
        <w:spacing w:after="0" w:line="263" w:lineRule="auto"/>
        <w:rPr>
          <w:sz w:val="20"/>
          <w:szCs w:val="20"/>
          <w:color w:val="auto"/>
        </w:rPr>
      </w:pPr>
      <w:r>
        <w:rPr>
          <w:rFonts w:ascii="Arial" w:cs="Arial" w:eastAsia="Arial" w:hAnsi="Arial"/>
          <w:sz w:val="15"/>
          <w:szCs w:val="15"/>
          <w:color w:val="auto"/>
        </w:rPr>
        <w:t>development of cancer vaccines. There are a variety of vaccine approaches to treat HPV-associated cancer including the use of DNA vaccines, novel adjuvants, novel antigens and novel delivery vectors for the antigen. Clinical-stage companies with these approaches include, among others, Inovio Pharmaceuticals, Inc., in Phase 2 clinical development with VGX3100, ISA Pharmaceuticals, B.V., in Phase 2 clinical development with ISA-101, Genticel, in Phase 2 clinical development with GTL001, and AstraZeneca, in Phase 1 clinical development with INO-3112, which it licensed from Inovio Pharmaceuticals, Inc. We believe that our approach shares the safety of approved vaccine technologies that use antigens and adjuvants and could be synergistic with the use of checkpoint inhibitors such as PD-1 and PD-L1 inhibitors.</w:t>
      </w:r>
    </w:p>
    <w:p>
      <w:pPr>
        <w:spacing w:after="0" w:line="167" w:lineRule="exact"/>
        <w:rPr>
          <w:sz w:val="20"/>
          <w:szCs w:val="20"/>
          <w:color w:val="auto"/>
        </w:rPr>
      </w:pPr>
    </w:p>
    <w:p>
      <w:pPr>
        <w:ind w:left="7" w:right="560"/>
        <w:spacing w:after="0" w:line="282" w:lineRule="auto"/>
        <w:rPr>
          <w:sz w:val="20"/>
          <w:szCs w:val="20"/>
          <w:color w:val="auto"/>
        </w:rPr>
      </w:pPr>
      <w:r>
        <w:rPr>
          <w:rFonts w:ascii="Arial" w:cs="Arial" w:eastAsia="Arial" w:hAnsi="Arial"/>
          <w:sz w:val="15"/>
          <w:szCs w:val="15"/>
          <w:color w:val="auto"/>
        </w:rPr>
        <w:t>We are also competing in the development of new prophylactic vaccines with large pharmaceutical companies such as Sanofi, Pfizer, Merck, GlaxoSmithKline Pharmaceuticals Ltd, Johnson &amp; Johnson, and AstraZeneca and smaller biopharmaceutical companies such as Genocea Biosciences, Inc. and Novavax Inc.</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7" w:right="120"/>
        <w:spacing w:after="0" w:line="281"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Our most advanced product candidate, 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our SEL-212, we believe that the primary mode of action is attributable to the biologic component of the product. In the case of SEL-212, which we believe will be regulated as a therapeutic biologic, the FDA's Center for Drug Evaluation and Research, or CDER, will have primary jurisdiction over premarket development. The CDER currently has regulatory responsibility, including premarket review and continuing oversight, over certain therapeutic biologic products that were previously regulated by the Center for Biologics Evaluation and Research, or CBER. We expect to seek approval of SEL-212 through a single Biologics License Application, or BLA, reviewed by CDER, and we do not expect that the FDA will require a separate marketing authorization for each constituent of SEL-212.</w:t>
      </w:r>
    </w:p>
    <w:p>
      <w:pPr>
        <w:spacing w:after="0" w:line="153"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U.S. biological products development process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process required by the FDA before a biologic, including a gene therapy, may be marketed in the United States generally involves the following:</w:t>
      </w:r>
    </w:p>
    <w:p>
      <w:pPr>
        <w:spacing w:after="0" w:line="210" w:lineRule="exact"/>
        <w:rPr>
          <w:sz w:val="20"/>
          <w:szCs w:val="20"/>
          <w:color w:val="auto"/>
        </w:rPr>
      </w:pPr>
    </w:p>
    <w:p>
      <w:pPr>
        <w:ind w:left="467" w:hanging="467"/>
        <w:spacing w:after="0" w:line="282" w:lineRule="auto"/>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completion of extensive nonclinical testing, sometimes referred to as preclinical testing, including laboratory tests, animal trials and formulation studies in accordance with applicable regulations, including good laboratory practices, or GLPs, and applicable requirements for humane use of laboratory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64" w:name="page165"/>
    <w:bookmarkEnd w:id="16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submission to the FDA of an investigational new drug, or IND, application, which must become effective before human clinical trials may begin;</w:t>
      </w:r>
    </w:p>
    <w:p>
      <w:pPr>
        <w:spacing w:after="0" w:line="221" w:lineRule="exact"/>
        <w:rPr>
          <w:rFonts w:ascii="Arial" w:cs="Arial" w:eastAsia="Arial" w:hAnsi="Arial"/>
          <w:sz w:val="15"/>
          <w:szCs w:val="15"/>
          <w:color w:val="auto"/>
        </w:rPr>
      </w:pPr>
    </w:p>
    <w:p>
      <w:pPr>
        <w:ind w:left="467" w:hanging="467"/>
        <w:spacing w:after="0" w:line="270" w:lineRule="auto"/>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purity and potency of the proposed biological product for its intended use;</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95"/>
        </w:numPr>
        <w:rPr>
          <w:rFonts w:ascii="Arial" w:cs="Arial" w:eastAsia="Arial" w:hAnsi="Arial"/>
          <w:sz w:val="14"/>
          <w:szCs w:val="14"/>
          <w:color w:val="auto"/>
        </w:rPr>
      </w:pPr>
      <w:r>
        <w:rPr>
          <w:rFonts w:ascii="Arial" w:cs="Arial" w:eastAsia="Arial" w:hAnsi="Arial"/>
          <w:sz w:val="14"/>
          <w:szCs w:val="14"/>
          <w:color w:val="auto"/>
        </w:rPr>
        <w:t>submission to the FDA of a BLA for marketing approval that includes substantive evidence of safety, purity, and potency from results of nonclinical testing and clinical trials;</w:t>
      </w:r>
    </w:p>
    <w:p>
      <w:pPr>
        <w:spacing w:after="0" w:line="221" w:lineRule="exact"/>
        <w:rPr>
          <w:rFonts w:ascii="Arial" w:cs="Arial" w:eastAsia="Arial" w:hAnsi="Arial"/>
          <w:sz w:val="14"/>
          <w:szCs w:val="14"/>
          <w:color w:val="auto"/>
        </w:rPr>
      </w:pPr>
    </w:p>
    <w:p>
      <w:pPr>
        <w:ind w:left="467" w:right="400" w:hanging="467"/>
        <w:spacing w:after="0" w:line="270" w:lineRule="auto"/>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biological product is produced to assess compliance with current good manufacturing practice, or cGMP, requirements to assure that the facilities, methods and controls are adequate to preserve the biological product's identity, strength, quality and purity;</w:t>
      </w:r>
    </w:p>
    <w:p>
      <w:pPr>
        <w:spacing w:after="0" w:line="182" w:lineRule="exact"/>
        <w:rPr>
          <w:rFonts w:ascii="Arial" w:cs="Arial" w:eastAsia="Arial" w:hAnsi="Arial"/>
          <w:sz w:val="15"/>
          <w:szCs w:val="15"/>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potential FDA audit of the nonclinical and clinical study sites that generated the data in support of the BLA;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FDA review and approval, or licensure, of the BLA.</w:t>
      </w:r>
    </w:p>
    <w:p>
      <w:pPr>
        <w:spacing w:after="0" w:line="198" w:lineRule="exact"/>
        <w:rPr>
          <w:sz w:val="20"/>
          <w:szCs w:val="20"/>
          <w:color w:val="auto"/>
        </w:rPr>
      </w:pPr>
    </w:p>
    <w:p>
      <w:pPr>
        <w:ind w:left="7" w:right="520"/>
        <w:spacing w:after="0" w:line="270" w:lineRule="auto"/>
        <w:rPr>
          <w:sz w:val="20"/>
          <w:szCs w:val="20"/>
          <w:color w:val="auto"/>
        </w:rPr>
      </w:pPr>
      <w:r>
        <w:rPr>
          <w:rFonts w:ascii="Arial" w:cs="Arial" w:eastAsia="Arial" w:hAnsi="Arial"/>
          <w:sz w:val="15"/>
          <w:szCs w:val="15"/>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59" w:lineRule="exact"/>
        <w:rPr>
          <w:sz w:val="20"/>
          <w:szCs w:val="20"/>
          <w:color w:val="auto"/>
        </w:rPr>
      </w:pPr>
    </w:p>
    <w:p>
      <w:pPr>
        <w:ind w:left="7" w:right="220"/>
        <w:spacing w:after="0" w:line="287" w:lineRule="auto"/>
        <w:rPr>
          <w:sz w:val="20"/>
          <w:szCs w:val="20"/>
          <w:color w:val="auto"/>
        </w:rPr>
      </w:pPr>
      <w:r>
        <w:rPr>
          <w:rFonts w:ascii="Arial" w:cs="Arial" w:eastAsia="Arial" w:hAnsi="Arial"/>
          <w:sz w:val="14"/>
          <w:szCs w:val="14"/>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49" w:lineRule="exact"/>
        <w:rPr>
          <w:sz w:val="20"/>
          <w:szCs w:val="20"/>
          <w:color w:val="auto"/>
        </w:rPr>
      </w:pPr>
    </w:p>
    <w:p>
      <w:pPr>
        <w:ind w:left="7" w:right="100"/>
        <w:spacing w:after="0" w:line="260" w:lineRule="auto"/>
        <w:rPr>
          <w:sz w:val="20"/>
          <w:szCs w:val="20"/>
          <w:color w:val="auto"/>
        </w:rPr>
      </w:pPr>
      <w:r>
        <w:rPr>
          <w:rFonts w:ascii="Arial" w:cs="Arial" w:eastAsia="Arial" w:hAnsi="Arial"/>
          <w:sz w:val="15"/>
          <w:szCs w:val="15"/>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expected benefits. The IRB also approves the form and content of the informed consent that must be signed by each clinical study subject or his or her legal representative and must monitor the clinical study until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66305"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5" w:name="page166"/>
    <w:bookmarkEnd w:id="16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Human clinical trials are typically conducted in three sequential phases that may overlap or be combined:</w:t>
      </w:r>
    </w:p>
    <w:p>
      <w:pPr>
        <w:spacing w:after="0" w:line="210" w:lineRule="exact"/>
        <w:rPr>
          <w:sz w:val="20"/>
          <w:szCs w:val="20"/>
          <w:color w:val="auto"/>
        </w:rPr>
      </w:pPr>
    </w:p>
    <w:p>
      <w:pPr>
        <w:ind w:left="467" w:right="500" w:hanging="467"/>
        <w:spacing w:after="0" w:line="362" w:lineRule="auto"/>
        <w:tabs>
          <w:tab w:leader="none" w:pos="467" w:val="left"/>
        </w:tabs>
        <w:numPr>
          <w:ilvl w:val="0"/>
          <w:numId w:val="96"/>
        </w:numPr>
        <w:rPr>
          <w:rFonts w:ascii="Arial" w:cs="Arial" w:eastAsia="Arial" w:hAnsi="Arial"/>
          <w:sz w:val="13"/>
          <w:szCs w:val="13"/>
          <w:color w:val="auto"/>
        </w:rPr>
      </w:pPr>
      <w:r>
        <w:rPr>
          <w:rFonts w:ascii="Arial" w:cs="Arial" w:eastAsia="Arial" w:hAnsi="Arial"/>
          <w:sz w:val="13"/>
          <w:szCs w:val="13"/>
          <w:i w:val="1"/>
          <w:iCs w:val="1"/>
          <w:color w:val="auto"/>
        </w:rPr>
        <w:t>Phase I</w:t>
      </w:r>
      <w:r>
        <w:rPr>
          <w:rFonts w:ascii="Arial" w:cs="Arial" w:eastAsia="Arial" w:hAnsi="Arial"/>
          <w:sz w:val="13"/>
          <w:szCs w:val="13"/>
          <w:color w:val="auto"/>
        </w:rPr>
        <w:t>. The biological product candidate is initially introduced into healthy human subjects and tested for safety. In the case of some products for severe or life-threatening</w:t>
      </w:r>
      <w:r>
        <w:rPr>
          <w:rFonts w:ascii="Arial" w:cs="Arial" w:eastAsia="Arial" w:hAnsi="Arial"/>
          <w:sz w:val="13"/>
          <w:szCs w:val="13"/>
          <w:i w:val="1"/>
          <w:iCs w:val="1"/>
          <w:color w:val="auto"/>
        </w:rPr>
        <w:t xml:space="preserve"> </w:t>
      </w:r>
      <w:r>
        <w:rPr>
          <w:rFonts w:ascii="Arial" w:cs="Arial" w:eastAsia="Arial" w:hAnsi="Arial"/>
          <w:sz w:val="13"/>
          <w:szCs w:val="13"/>
          <w:color w:val="auto"/>
        </w:rPr>
        <w:t>diseases, especially when the product may be too inherently toxic to ethically administer to healthy volunteers, the initial human testing is often conducted in patients.</w:t>
      </w:r>
    </w:p>
    <w:p>
      <w:pPr>
        <w:spacing w:after="0" w:line="128" w:lineRule="exact"/>
        <w:rPr>
          <w:rFonts w:ascii="Arial" w:cs="Arial" w:eastAsia="Arial" w:hAnsi="Arial"/>
          <w:sz w:val="13"/>
          <w:szCs w:val="13"/>
          <w:color w:val="auto"/>
        </w:rPr>
      </w:pPr>
    </w:p>
    <w:p>
      <w:pPr>
        <w:ind w:left="467" w:right="140" w:hanging="467"/>
        <w:spacing w:after="0" w:line="282" w:lineRule="auto"/>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i w:val="1"/>
          <w:iCs w:val="1"/>
          <w:color w:val="auto"/>
        </w:rPr>
        <w:t>Phase II</w:t>
      </w:r>
      <w:r>
        <w:rPr>
          <w:rFonts w:ascii="Arial" w:cs="Arial" w:eastAsia="Arial" w:hAnsi="Arial"/>
          <w:sz w:val="15"/>
          <w:szCs w:val="15"/>
          <w:color w:val="auto"/>
        </w:rPr>
        <w:t>. The biological product candidate is evaluated in a limited patient population to identify possible adverse effects and safety risks, to preliminarily evaluate the efficacy of</w:t>
      </w:r>
      <w:r>
        <w:rPr>
          <w:rFonts w:ascii="Arial" w:cs="Arial" w:eastAsia="Arial" w:hAnsi="Arial"/>
          <w:sz w:val="15"/>
          <w:szCs w:val="15"/>
          <w:i w:val="1"/>
          <w:iCs w:val="1"/>
          <w:color w:val="auto"/>
        </w:rPr>
        <w:t xml:space="preserve"> </w:t>
      </w:r>
      <w:r>
        <w:rPr>
          <w:rFonts w:ascii="Arial" w:cs="Arial" w:eastAsia="Arial" w:hAnsi="Arial"/>
          <w:sz w:val="15"/>
          <w:szCs w:val="15"/>
          <w:color w:val="auto"/>
        </w:rPr>
        <w:t>the product for specific targeted diseases and to determine dosage tolerance, optimal dosage and dosing schedule.</w:t>
      </w:r>
    </w:p>
    <w:p>
      <w:pPr>
        <w:spacing w:after="0" w:line="162" w:lineRule="exact"/>
        <w:rPr>
          <w:rFonts w:ascii="Arial" w:cs="Arial" w:eastAsia="Arial" w:hAnsi="Arial"/>
          <w:sz w:val="15"/>
          <w:szCs w:val="15"/>
          <w:color w:val="auto"/>
        </w:rPr>
      </w:pPr>
    </w:p>
    <w:p>
      <w:pPr>
        <w:ind w:left="467" w:right="40" w:hanging="467"/>
        <w:spacing w:after="0" w:line="319" w:lineRule="auto"/>
        <w:tabs>
          <w:tab w:leader="none" w:pos="467" w:val="left"/>
        </w:tabs>
        <w:numPr>
          <w:ilvl w:val="0"/>
          <w:numId w:val="96"/>
        </w:numPr>
        <w:rPr>
          <w:rFonts w:ascii="Arial" w:cs="Arial" w:eastAsia="Arial" w:hAnsi="Arial"/>
          <w:sz w:val="14"/>
          <w:szCs w:val="14"/>
          <w:color w:val="auto"/>
        </w:rPr>
      </w:pPr>
      <w:r>
        <w:rPr>
          <w:rFonts w:ascii="Arial" w:cs="Arial" w:eastAsia="Arial" w:hAnsi="Arial"/>
          <w:sz w:val="14"/>
          <w:szCs w:val="14"/>
          <w:i w:val="1"/>
          <w:iCs w:val="1"/>
          <w:color w:val="auto"/>
        </w:rPr>
        <w:t>Phase III</w:t>
      </w:r>
      <w:r>
        <w:rPr>
          <w:rFonts w:ascii="Arial" w:cs="Arial" w:eastAsia="Arial" w:hAnsi="Arial"/>
          <w:sz w:val="14"/>
          <w:szCs w:val="14"/>
          <w:color w:val="auto"/>
        </w:rPr>
        <w:t>. Clinical trials are undertaken to further evaluate dosage, clinical efficacy, potency, and safety in an expanded patient population at geographically dispersed clinical study</w:t>
      </w:r>
      <w:r>
        <w:rPr>
          <w:rFonts w:ascii="Arial" w:cs="Arial" w:eastAsia="Arial" w:hAnsi="Arial"/>
          <w:sz w:val="14"/>
          <w:szCs w:val="14"/>
          <w:i w:val="1"/>
          <w:iCs w:val="1"/>
          <w:color w:val="auto"/>
        </w:rPr>
        <w:t xml:space="preserve"> </w:t>
      </w:r>
      <w:r>
        <w:rPr>
          <w:rFonts w:ascii="Arial" w:cs="Arial" w:eastAsia="Arial" w:hAnsi="Arial"/>
          <w:sz w:val="14"/>
          <w:szCs w:val="14"/>
          <w:color w:val="auto"/>
        </w:rPr>
        <w:t>sites. These clinical trials are intended to establish the overall risk/benefit ratio of the product and provide an adequate basis for product labelling.</w:t>
      </w:r>
    </w:p>
    <w:p>
      <w:pPr>
        <w:spacing w:after="0" w:line="128"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Post-approval clinical trials, sometimes referred to as Phase IV clinical trials, may be conducted after initial marketing approval. These clinical trials are used to gain additional experience from the treatment of patients in the intended therapeutic indication, particularly for long-term safety follow-up.</w:t>
      </w:r>
    </w:p>
    <w:p>
      <w:pPr>
        <w:spacing w:after="0" w:line="151" w:lineRule="exact"/>
        <w:rPr>
          <w:sz w:val="20"/>
          <w:szCs w:val="20"/>
          <w:color w:val="auto"/>
        </w:rPr>
      </w:pPr>
    </w:p>
    <w:p>
      <w:pPr>
        <w:ind w:left="7" w:right="80"/>
        <w:spacing w:after="0" w:line="260" w:lineRule="auto"/>
        <w:rPr>
          <w:sz w:val="20"/>
          <w:szCs w:val="20"/>
          <w:color w:val="auto"/>
        </w:rPr>
      </w:pPr>
      <w:r>
        <w:rPr>
          <w:rFonts w:ascii="Arial" w:cs="Arial" w:eastAsia="Arial" w:hAnsi="Arial"/>
          <w:sz w:val="15"/>
          <w:szCs w:val="15"/>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171" w:lineRule="exact"/>
        <w:rPr>
          <w:sz w:val="20"/>
          <w:szCs w:val="20"/>
          <w:color w:val="auto"/>
        </w:rPr>
      </w:pPr>
    </w:p>
    <w:p>
      <w:pPr>
        <w:ind w:left="7" w:right="40"/>
        <w:spacing w:after="0" w:line="319" w:lineRule="auto"/>
        <w:rPr>
          <w:sz w:val="20"/>
          <w:szCs w:val="20"/>
          <w:color w:val="auto"/>
        </w:rPr>
      </w:pPr>
      <w:r>
        <w:rPr>
          <w:rFonts w:ascii="Arial" w:cs="Arial" w:eastAsia="Arial" w:hAnsi="Arial"/>
          <w:sz w:val="13"/>
          <w:szCs w:val="13"/>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32"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Concurrent with clinical trials, companies usually complete additional animal trials and must also develop additional information about the physical characteristics of the biological product candidate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66" w:name="page167"/>
    <w:bookmarkEnd w:id="16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20"/>
        <w:spacing w:after="0" w:line="297" w:lineRule="auto"/>
        <w:rPr>
          <w:sz w:val="20"/>
          <w:szCs w:val="20"/>
          <w:color w:val="auto"/>
        </w:rPr>
      </w:pPr>
      <w:r>
        <w:rPr>
          <w:rFonts w:ascii="Arial" w:cs="Arial" w:eastAsia="Arial" w:hAnsi="Arial"/>
          <w:sz w:val="14"/>
          <w:szCs w:val="14"/>
          <w:color w:val="auto"/>
        </w:rPr>
        <w:t>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review and approval processes</w:t>
      </w:r>
    </w:p>
    <w:p>
      <w:pPr>
        <w:spacing w:after="0" w:line="195"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67" w:lineRule="exact"/>
        <w:rPr>
          <w:sz w:val="20"/>
          <w:szCs w:val="20"/>
          <w:color w:val="auto"/>
        </w:rPr>
      </w:pPr>
    </w:p>
    <w:p>
      <w:pPr>
        <w:jc w:val="both"/>
        <w:ind w:right="40"/>
        <w:spacing w:after="0" w:line="270" w:lineRule="auto"/>
        <w:rPr>
          <w:sz w:val="20"/>
          <w:szCs w:val="20"/>
          <w:color w:val="auto"/>
        </w:rPr>
      </w:pPr>
      <w:r>
        <w:rPr>
          <w:rFonts w:ascii="Arial" w:cs="Arial" w:eastAsia="Arial" w:hAnsi="Arial"/>
          <w:sz w:val="15"/>
          <w:szCs w:val="15"/>
          <w:color w:val="auto"/>
        </w:rPr>
        <w:t>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5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requirements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7" w:name="page168"/>
    <w:bookmarkEnd w:id="16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330" w:lineRule="auto"/>
        <w:rPr>
          <w:sz w:val="20"/>
          <w:szCs w:val="20"/>
          <w:color w:val="auto"/>
        </w:rPr>
      </w:pPr>
      <w:r>
        <w:rPr>
          <w:rFonts w:ascii="Arial" w:cs="Arial" w:eastAsia="Arial" w:hAnsi="Arial"/>
          <w:sz w:val="13"/>
          <w:szCs w:val="13"/>
          <w:color w:val="auto"/>
        </w:rPr>
        <w:t>Before approving a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w:t>
      </w:r>
    </w:p>
    <w:p>
      <w:pPr>
        <w:spacing w:after="0" w:line="125"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IV clinical trials, designed to further assess a biological product's safety and effectiveness, and testing and surveillance programs to monitor the safety of approved products that have been commercialized.</w:t>
      </w:r>
    </w:p>
    <w:p>
      <w:pPr>
        <w:spacing w:after="0" w:line="167"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One of the performance goals agreed to by the FDA under the PDUFA is to review 90% of standard BLAs in 10 months from the filing date and 90% of priority BLAs in six months from the filing date,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Orphan designation</w:t>
      </w:r>
    </w:p>
    <w:p>
      <w:pPr>
        <w:spacing w:after="0" w:line="195" w:lineRule="exact"/>
        <w:rPr>
          <w:sz w:val="20"/>
          <w:szCs w:val="20"/>
          <w:color w:val="auto"/>
        </w:rPr>
      </w:pPr>
    </w:p>
    <w:p>
      <w:pPr>
        <w:ind w:right="60"/>
        <w:spacing w:after="0" w:line="319" w:lineRule="auto"/>
        <w:rPr>
          <w:sz w:val="20"/>
          <w:szCs w:val="20"/>
          <w:color w:val="auto"/>
        </w:rPr>
      </w:pPr>
      <w:r>
        <w:rPr>
          <w:rFonts w:ascii="Arial" w:cs="Arial" w:eastAsia="Arial" w:hAnsi="Arial"/>
          <w:sz w:val="13"/>
          <w:szCs w:val="13"/>
          <w:color w:val="auto"/>
        </w:rPr>
        <w:t>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32" w:lineRule="exact"/>
        <w:rPr>
          <w:sz w:val="20"/>
          <w:szCs w:val="20"/>
          <w:color w:val="auto"/>
        </w:rPr>
      </w:pPr>
    </w:p>
    <w:p>
      <w:pPr>
        <w:jc w:val="both"/>
        <w:ind w:right="300"/>
        <w:spacing w:after="0" w:line="270" w:lineRule="auto"/>
        <w:rPr>
          <w:sz w:val="20"/>
          <w:szCs w:val="20"/>
          <w:color w:val="auto"/>
        </w:rPr>
      </w:pPr>
      <w:r>
        <w:rPr>
          <w:rFonts w:ascii="Arial" w:cs="Arial" w:eastAsia="Arial" w:hAnsi="Arial"/>
          <w:sz w:val="15"/>
          <w:szCs w:val="15"/>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8" w:name="page169"/>
    <w:bookmarkEnd w:id="16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154"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We have not requested orphan designation for our product candidates, but depending on the proposed indication for which we intend to develop our future products, we may in the future request such designation.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Expedited development and review programs</w:t>
      </w:r>
    </w:p>
    <w:p>
      <w:pPr>
        <w:spacing w:after="0" w:line="195"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3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In addition, the FDA currently requires as a condition for accelerated approval pre-approval of promotional materials, which could adversely impact the timing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69" w:name="page170"/>
    <w:bookmarkEnd w:id="16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commercial launch of the product. Fast Track designation, priority review and accelerated approval do not change the standards for approval but may expedite the development or approval process.</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 certain actions, such as holding timely meetings and providing advice, intended to expedite the development and review of an application for approval of a breakthrough therapy. Requests for breakthrough therapy designation will be reviewed within 60 days of receipt, and FDA will either grant or deny the request.</w:t>
      </w:r>
    </w:p>
    <w:p>
      <w:pPr>
        <w:spacing w:after="0" w:line="167"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Fast Track designation, priority review, accelerated approval and breakthrough therapy designation do not change the standards for approval but may expedite the development or approval process. Even if we receive one of these designations for our product candidates, the FDA may later decide that our product candidates no longer meet the conditions for qualification. In addition, these designations may not provide us with a material commercial advantage.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 therapy products</w:t>
      </w:r>
    </w:p>
    <w:p>
      <w:pPr>
        <w:spacing w:after="0" w:line="195"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With respect to any gene therapy products we may develop, the FDA works closely with the NIH and its Recombinant DNA Advisory Committee, or RAC, a federal advisory committee that discusses protocols that raise novel or particularly important scientific, safety or ethical considerations at one of its quarterly public meetings. 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or OBA, pursuant to the NIH Guidelines for Research Involving Recombinant DNA Molecules, or NIH Guidelines.</w:t>
      </w:r>
    </w:p>
    <w:p>
      <w:pPr>
        <w:spacing w:after="0" w:line="1"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Compliance with the NIH Guidelines is mandatory for investigators at institutions receiving NIH funds for research involving recombinant DNA, however many companies and other institutions not otherwise subject to the NIH Guidelines voluntarily follow them. The FDA also has published guidance documents related to, among other things, gene therapy products in general, their preclinical assessment, observing subjects involved in gene therapy clinical trials for delayed adverse events, potency testing, and chemistry, manufacturing and control information in gene therapy INDs.</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The OBA will notify the FDA of the RAC's decision regarding the necessity for full public review of a gene therapy protocol. RAC proceedings and reports are posted to the OBA web site and may be accessed by the public.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w:t>
      </w:r>
    </w:p>
    <w:p>
      <w:pPr>
        <w:spacing w:after="0" w:line="144" w:lineRule="exact"/>
        <w:rPr>
          <w:sz w:val="20"/>
          <w:szCs w:val="20"/>
          <w:color w:val="auto"/>
        </w:rPr>
      </w:pPr>
    </w:p>
    <w:p>
      <w:pPr>
        <w:ind w:right="420"/>
        <w:spacing w:after="0" w:line="282" w:lineRule="auto"/>
        <w:rPr>
          <w:sz w:val="20"/>
          <w:szCs w:val="20"/>
          <w:color w:val="auto"/>
        </w:rPr>
      </w:pPr>
      <w:r>
        <w:rPr>
          <w:rFonts w:ascii="Arial" w:cs="Arial" w:eastAsia="Arial" w:hAnsi="Arial"/>
          <w:sz w:val="15"/>
          <w:szCs w:val="15"/>
          <w:color w:val="auto"/>
        </w:rPr>
        <w:t>In addition, there is a publicly accessible database, the Genetic Modification Clinical Research Information System, which includes information on gene transfer trials and serves as an electronic tool to facilitate the reporting and analysis of adverse events in these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0" w:name="page171"/>
    <w:bookmarkEnd w:id="1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Post-approval requirements</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149"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We also must comply with the FDA's advertising and promotion requirements, such as those related to direct-to-consumer advertising, the prohibition on promoting products for uses or in patient populations that are not described in the product's approved labelling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GMP compliance.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Biosimilars and exclusivity</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Patient Protection and Affordable Care Act, or Affordable Care Act,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 To date, only one biosimilar has been licensed under the BPCIA, although numerous biosimilars have been approved in Europe. The FDA has issued several guidance documents outlining an approach to review and approval of biosimilars.</w:t>
      </w:r>
    </w:p>
    <w:p>
      <w:pPr>
        <w:spacing w:after="0" w:line="162"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1" w:name="page172"/>
    <w:bookmarkEnd w:id="1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48" w:lineRule="exact"/>
        <w:rPr>
          <w:sz w:val="20"/>
          <w:szCs w:val="20"/>
          <w:color w:val="auto"/>
        </w:rPr>
      </w:pPr>
    </w:p>
    <w:p>
      <w:pPr>
        <w:ind w:right="220"/>
        <w:spacing w:after="0" w:line="262" w:lineRule="auto"/>
        <w:rPr>
          <w:sz w:val="20"/>
          <w:szCs w:val="20"/>
          <w:color w:val="auto"/>
        </w:rPr>
      </w:pPr>
      <w:r>
        <w:rPr>
          <w:rFonts w:ascii="Arial" w:cs="Arial" w:eastAsia="Arial" w:hAnsi="Arial"/>
          <w:sz w:val="15"/>
          <w:szCs w:val="15"/>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certain biosimilars approved as interchangeable products. At this juncture, it is unclear whether products deemed "interchangeable" by the FDA will, in fact, be readily substituted by pharmacies, which are governed by state pharmacy law.</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59"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 outside of the United States</w:t>
      </w:r>
    </w:p>
    <w:p>
      <w:pPr>
        <w:spacing w:after="0" w:line="195" w:lineRule="exact"/>
        <w:rPr>
          <w:sz w:val="20"/>
          <w:szCs w:val="20"/>
          <w:color w:val="auto"/>
        </w:rPr>
      </w:pPr>
    </w:p>
    <w:p>
      <w:pPr>
        <w:ind w:right="220"/>
        <w:spacing w:after="0" w:line="319" w:lineRule="auto"/>
        <w:rPr>
          <w:sz w:val="20"/>
          <w:szCs w:val="20"/>
          <w:color w:val="auto"/>
        </w:rPr>
      </w:pPr>
      <w:r>
        <w:rPr>
          <w:rFonts w:ascii="Arial" w:cs="Arial" w:eastAsia="Arial" w:hAnsi="Arial"/>
          <w:sz w:val="14"/>
          <w:szCs w:val="14"/>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28"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authorization,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67" w:lineRule="exact"/>
        <w:rPr>
          <w:sz w:val="20"/>
          <w:szCs w:val="20"/>
          <w:color w:val="auto"/>
        </w:rPr>
      </w:pPr>
    </w:p>
    <w:p>
      <w:pPr>
        <w:ind w:right="420"/>
        <w:spacing w:after="0" w:line="319" w:lineRule="auto"/>
        <w:rPr>
          <w:sz w:val="20"/>
          <w:szCs w:val="20"/>
          <w:color w:val="auto"/>
        </w:rPr>
      </w:pPr>
      <w:r>
        <w:rPr>
          <w:rFonts w:ascii="Arial" w:cs="Arial" w:eastAsia="Arial" w:hAnsi="Arial"/>
          <w:sz w:val="14"/>
          <w:szCs w:val="14"/>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2" w:name="page173"/>
    <w:bookmarkEnd w:id="17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There are two types of MAs.</w:t>
      </w:r>
    </w:p>
    <w:p>
      <w:pPr>
        <w:spacing w:after="0" w:line="210" w:lineRule="exact"/>
        <w:rPr>
          <w:sz w:val="20"/>
          <w:szCs w:val="20"/>
          <w:color w:val="auto"/>
        </w:rPr>
      </w:pPr>
    </w:p>
    <w:p>
      <w:pPr>
        <w:ind w:left="467" w:right="20" w:hanging="467"/>
        <w:spacing w:after="0" w:line="260" w:lineRule="auto"/>
        <w:tabs>
          <w:tab w:leader="none" w:pos="467"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194" w:lineRule="exact"/>
        <w:rPr>
          <w:rFonts w:ascii="Arial" w:cs="Arial" w:eastAsia="Arial" w:hAnsi="Arial"/>
          <w:sz w:val="15"/>
          <w:szCs w:val="15"/>
          <w:color w:val="auto"/>
        </w:rPr>
      </w:pPr>
    </w:p>
    <w:p>
      <w:pPr>
        <w:ind w:left="467" w:right="60" w:hanging="467"/>
        <w:spacing w:after="0" w:line="266" w:lineRule="auto"/>
        <w:tabs>
          <w:tab w:leader="none" w:pos="467" w:val="left"/>
        </w:tabs>
        <w:numPr>
          <w:ilvl w:val="0"/>
          <w:numId w:val="97"/>
        </w:numPr>
        <w:rPr>
          <w:rFonts w:ascii="Arial" w:cs="Arial" w:eastAsia="Arial" w:hAnsi="Arial"/>
          <w:sz w:val="15"/>
          <w:szCs w:val="15"/>
          <w:color w:val="auto"/>
        </w:rPr>
      </w:pPr>
      <w:r>
        <w:rPr>
          <w:rFonts w:ascii="Arial" w:cs="Arial" w:eastAsia="Arial" w:hAnsi="Arial"/>
          <w:sz w:val="15"/>
          <w:szCs w:val="15"/>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62" w:lineRule="exact"/>
        <w:rPr>
          <w:sz w:val="20"/>
          <w:szCs w:val="20"/>
          <w:color w:val="auto"/>
        </w:rPr>
      </w:pPr>
    </w:p>
    <w:p>
      <w:pPr>
        <w:ind w:left="7"/>
        <w:spacing w:after="0" w:line="260" w:lineRule="auto"/>
        <w:rPr>
          <w:sz w:val="20"/>
          <w:szCs w:val="20"/>
          <w:color w:val="auto"/>
        </w:rPr>
      </w:pPr>
      <w:r>
        <w:rPr>
          <w:rFonts w:ascii="Arial" w:cs="Arial" w:eastAsia="Arial" w:hAnsi="Arial"/>
          <w:sz w:val="15"/>
          <w:szCs w:val="15"/>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71"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73" w:name="page174"/>
    <w:bookmarkEnd w:id="17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a life-threatening or chronically debilitating condition; (2) either (a) such condition affects no more than five in 10,000 persons in the European Union when the application is made, or</w:t>
      </w:r>
    </w:p>
    <w:p>
      <w:pPr>
        <w:spacing w:after="0" w:line="29" w:lineRule="exact"/>
        <w:rPr>
          <w:sz w:val="20"/>
          <w:szCs w:val="20"/>
          <w:color w:val="auto"/>
        </w:rPr>
      </w:pPr>
    </w:p>
    <w:p>
      <w:pPr>
        <w:ind w:left="7" w:right="60" w:hanging="7"/>
        <w:spacing w:after="0" w:line="260" w:lineRule="auto"/>
        <w:tabs>
          <w:tab w:leader="none" w:pos="221"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0" w:lineRule="exact"/>
        <w:rPr>
          <w:sz w:val="20"/>
          <w:szCs w:val="20"/>
          <w:color w:val="auto"/>
        </w:rPr>
      </w:pPr>
    </w:p>
    <w:p>
      <w:pPr>
        <w:jc w:val="both"/>
        <w:ind w:left="7" w:right="20"/>
        <w:spacing w:after="0" w:line="270" w:lineRule="auto"/>
        <w:rPr>
          <w:sz w:val="20"/>
          <w:szCs w:val="20"/>
          <w:color w:val="auto"/>
        </w:rPr>
      </w:pPr>
      <w:r>
        <w:rPr>
          <w:rFonts w:ascii="Arial" w:cs="Arial" w:eastAsia="Arial" w:hAnsi="Arial"/>
          <w:sz w:val="15"/>
          <w:szCs w:val="15"/>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w:t>
      </w:r>
    </w:p>
    <w:p>
      <w:pPr>
        <w:spacing w:after="0" w:line="171" w:lineRule="exact"/>
        <w:rPr>
          <w:sz w:val="20"/>
          <w:szCs w:val="20"/>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second applicant can establish that its product, although similar, is safer, more effective or otherwise clinically superior;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applicant consents to a second orphan medicinal product application;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applicant cannot supply enough orphan medicinal product.</w:t>
      </w:r>
    </w:p>
    <w:p>
      <w:pPr>
        <w:spacing w:after="0" w:line="198"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59" w:lineRule="exact"/>
        <w:rPr>
          <w:sz w:val="20"/>
          <w:szCs w:val="20"/>
          <w:color w:val="auto"/>
        </w:rPr>
      </w:pPr>
    </w:p>
    <w:p>
      <w:pPr>
        <w:ind w:left="7" w:right="320"/>
        <w:spacing w:after="0" w:line="282" w:lineRule="auto"/>
        <w:rPr>
          <w:sz w:val="20"/>
          <w:szCs w:val="20"/>
          <w:color w:val="auto"/>
        </w:rPr>
      </w:pPr>
      <w:r>
        <w:rPr>
          <w:rFonts w:ascii="Arial" w:cs="Arial" w:eastAsia="Arial" w:hAnsi="Arial"/>
          <w:sz w:val="15"/>
          <w:szCs w:val="15"/>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healthcare laws</w:t>
      </w:r>
    </w:p>
    <w:p>
      <w:pPr>
        <w:spacing w:after="0" w:line="195" w:lineRule="exact"/>
        <w:rPr>
          <w:sz w:val="20"/>
          <w:szCs w:val="20"/>
          <w:color w:val="auto"/>
        </w:rPr>
      </w:pPr>
    </w:p>
    <w:p>
      <w:pPr>
        <w:ind w:left="7" w:right="640"/>
        <w:spacing w:after="0" w:line="362" w:lineRule="auto"/>
        <w:rPr>
          <w:sz w:val="20"/>
          <w:szCs w:val="20"/>
          <w:color w:val="auto"/>
        </w:rPr>
      </w:pPr>
      <w:r>
        <w:rPr>
          <w:rFonts w:ascii="Arial" w:cs="Arial" w:eastAsia="Arial" w:hAnsi="Arial"/>
          <w:sz w:val="13"/>
          <w:szCs w:val="13"/>
          <w:color w:val="auto"/>
        </w:rPr>
        <w:t>In addition to FDA restrictions on marketing of pharmaceutical and biological products, other U.S. federal and state healthcare regulatory laws restrict business practices in the biopharmaceutical industry, which include, but are not limited to, state and federal anti-kickback, false claims, data privacy and security, and physician payment transparency laws.</w:t>
      </w:r>
    </w:p>
    <w:p>
      <w:pPr>
        <w:spacing w:after="0" w:line="105" w:lineRule="exact"/>
        <w:rPr>
          <w:sz w:val="20"/>
          <w:szCs w:val="20"/>
          <w:color w:val="auto"/>
        </w:rPr>
      </w:pPr>
    </w:p>
    <w:p>
      <w:pPr>
        <w:ind w:left="7" w:right="200"/>
        <w:spacing w:after="0" w:line="263" w:lineRule="auto"/>
        <w:rPr>
          <w:sz w:val="20"/>
          <w:szCs w:val="20"/>
          <w:color w:val="auto"/>
        </w:rPr>
      </w:pPr>
      <w:r>
        <w:rPr>
          <w:rFonts w:ascii="Arial" w:cs="Arial" w:eastAsia="Arial" w:hAnsi="Arial"/>
          <w:sz w:val="15"/>
          <w:szCs w:val="15"/>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Although there are a number of statutory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74" w:name="page175"/>
    <w:bookmarkEnd w:id="1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67" w:lineRule="exact"/>
        <w:rPr>
          <w:sz w:val="20"/>
          <w:szCs w:val="20"/>
          <w:color w:val="auto"/>
        </w:rPr>
      </w:pPr>
    </w:p>
    <w:p>
      <w:pPr>
        <w:jc w:val="both"/>
        <w:ind w:right="160"/>
        <w:spacing w:after="0" w:line="290" w:lineRule="auto"/>
        <w:rPr>
          <w:sz w:val="20"/>
          <w:szCs w:val="20"/>
          <w:color w:val="auto"/>
        </w:rPr>
      </w:pPr>
      <w:r>
        <w:rPr>
          <w:rFonts w:ascii="Arial" w:cs="Arial" w:eastAsia="Arial" w:hAnsi="Arial"/>
          <w:sz w:val="14"/>
          <w:szCs w:val="14"/>
          <w:color w:val="auto"/>
        </w:rPr>
        <w:t>Additionally, the intent standard under the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4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(e.g.,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58"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5" w:name="page176"/>
    <w:bookmarkEnd w:id="17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 person or entity does not need to have actual knowledge of the statute or specific intent to violate it in order to have committed a violation.</w:t>
      </w:r>
    </w:p>
    <w:p>
      <w:pPr>
        <w:spacing w:after="0" w:line="198"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by the 90th day of each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67"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57"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62"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6" w:name="page177"/>
    <w:bookmarkEnd w:id="17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Coverage and reimbursement</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14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Healthcare reform</w:t>
      </w:r>
    </w:p>
    <w:p>
      <w:pPr>
        <w:spacing w:after="0" w:line="195"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7" w:name="page178"/>
    <w:bookmarkEnd w:id="1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imposed an annual excise tax of 2.3% on any entity that manufactures or imports medical devices, which was suspended from January 1, 2016, to December 31, 2017, by the Consolidated Appropriations Act of 2016, but will be reinstated starting January 1, 2018, absent further action.</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Additionally, on August 2, 2011, the Budget Control Act of 2011 created measures for spending reductions by Congress. A Joint Select Committee on Deficit Reduction, tasked with recommending a targeted deficit reduction of at least $1.2 trillion for the fiscal years 2012 through 2021, was unable to reach required goals, thereby triggering the legislation's automatic reduction to several government programs. This included aggregate reductions of Medicare payments to providers of up to 2% per fiscal year, which went into effect on April 1, 2013 and, due to the Bipartisan Budget Act of 2015, will stay in effect through 2025 unless additional Congressional action is taken. On January 2, 2013, the American Taxpayer Relief Act was signed into law, which, among other things, further reduced Medicare payments to several providers, including hospitals and imaging centers.</w:t>
      </w:r>
    </w:p>
    <w:p>
      <w:pPr>
        <w:spacing w:after="0" w:line="149"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are not currently a party to any material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FACILITIES</w:t>
      </w:r>
    </w:p>
    <w:p>
      <w:pPr>
        <w:spacing w:after="0" w:line="195"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Our headquarters are located in Watertown, Massachusetts, where we occupy 27,833 square feet of office and laboratory space. The term of the lease expires on March 31, 2017. We also lease approximately 2,500 square feet of office and laboratory space in Moscow, Russia on a month to month basis.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2016, we had 54 full-time employees, 44 of whom were primarily engaged in research and development activities. A total of 25 employees have an M.D. or Ph.D. degree.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None of our employees is represented by a labor union and we consider our employee relations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8" w:name="page179"/>
    <w:bookmarkEnd w:id="17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KEY EMPLOYEE, DIRECTORS AND DIRECTOR NOMINEE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name, age and position of each of our executive officers, key employee, directors and director nominee as of June 8, 2016.</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2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640" w:type="dxa"/>
            <w:vAlign w:val="bottom"/>
          </w:tcPr>
          <w:p>
            <w:pPr>
              <w:jc w:val="right"/>
              <w:ind w:right="185"/>
              <w:spacing w:after="0"/>
              <w:rPr>
                <w:sz w:val="20"/>
                <w:szCs w:val="20"/>
                <w:color w:val="auto"/>
              </w:rPr>
            </w:pPr>
            <w:r>
              <w:rPr>
                <w:rFonts w:ascii="Arial" w:cs="Arial" w:eastAsia="Arial" w:hAnsi="Arial"/>
                <w:sz w:val="12"/>
                <w:szCs w:val="12"/>
                <w:b w:val="1"/>
                <w:bCs w:val="1"/>
                <w:color w:val="auto"/>
              </w:rPr>
              <w:t>Age</w:t>
            </w:r>
          </w:p>
        </w:tc>
        <w:tc>
          <w:tcPr>
            <w:tcW w:w="4220" w:type="dxa"/>
            <w:vAlign w:val="bottom"/>
          </w:tcPr>
          <w:p>
            <w:pPr>
              <w:ind w:left="1920"/>
              <w:spacing w:after="0"/>
              <w:rPr>
                <w:sz w:val="20"/>
                <w:szCs w:val="20"/>
                <w:color w:val="auto"/>
              </w:rPr>
            </w:pPr>
            <w:r>
              <w:rPr>
                <w:rFonts w:ascii="Arial" w:cs="Arial" w:eastAsia="Arial" w:hAnsi="Arial"/>
                <w:sz w:val="12"/>
                <w:szCs w:val="12"/>
                <w:b w:val="1"/>
                <w:bCs w:val="1"/>
                <w:color w:val="auto"/>
              </w:rPr>
              <w:t>Position</w:t>
            </w:r>
          </w:p>
        </w:tc>
      </w:tr>
      <w:tr>
        <w:trPr>
          <w:trHeight w:val="177"/>
        </w:trPr>
        <w:tc>
          <w:tcPr>
            <w:tcW w:w="20" w:type="dxa"/>
            <w:vAlign w:val="bottom"/>
          </w:tcPr>
          <w:p>
            <w:pPr>
              <w:spacing w:after="0"/>
              <w:rPr>
                <w:sz w:val="15"/>
                <w:szCs w:val="15"/>
                <w:color w:val="auto"/>
              </w:rPr>
            </w:pPr>
          </w:p>
        </w:tc>
        <w:tc>
          <w:tcPr>
            <w:tcW w:w="3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Executive Officers</w:t>
            </w:r>
          </w:p>
        </w:tc>
        <w:tc>
          <w:tcPr>
            <w:tcW w:w="1640" w:type="dxa"/>
            <w:vAlign w:val="bottom"/>
            <w:tcBorders>
              <w:top w:val="single" w:sz="8" w:color="auto"/>
            </w:tcBorders>
            <w:shd w:val="clear" w:color="auto" w:fill="CCEEFF"/>
          </w:tcPr>
          <w:p>
            <w:pPr>
              <w:spacing w:after="0"/>
              <w:rPr>
                <w:sz w:val="15"/>
                <w:szCs w:val="15"/>
                <w:color w:val="auto"/>
              </w:rPr>
            </w:pPr>
          </w:p>
        </w:tc>
        <w:tc>
          <w:tcPr>
            <w:tcW w:w="4220" w:type="dxa"/>
            <w:vAlign w:val="bottom"/>
            <w:tcBorders>
              <w:top w:val="single" w:sz="8" w:color="auto"/>
            </w:tcBorders>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Werner Cautreels, Ph.D.</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63</w:t>
            </w:r>
          </w:p>
        </w:tc>
        <w:tc>
          <w:tcPr>
            <w:tcW w:w="4220" w:type="dxa"/>
            <w:vAlign w:val="bottom"/>
          </w:tcPr>
          <w:p>
            <w:pPr>
              <w:ind w:left="120"/>
              <w:spacing w:after="0"/>
              <w:rPr>
                <w:sz w:val="20"/>
                <w:szCs w:val="20"/>
                <w:color w:val="auto"/>
              </w:rPr>
            </w:pPr>
            <w:r>
              <w:rPr>
                <w:rFonts w:ascii="Arial" w:cs="Arial" w:eastAsia="Arial" w:hAnsi="Arial"/>
                <w:sz w:val="15"/>
                <w:szCs w:val="15"/>
                <w:color w:val="auto"/>
              </w:rPr>
              <w:t>President and Chief Executive Officer and Director</w:t>
            </w:r>
          </w:p>
        </w:tc>
      </w:tr>
      <w:tr>
        <w:trPr>
          <w:trHeight w:val="178"/>
        </w:trPr>
        <w:tc>
          <w:tcPr>
            <w:tcW w:w="20" w:type="dxa"/>
            <w:vAlign w:val="bottom"/>
          </w:tcPr>
          <w:p>
            <w:pPr>
              <w:spacing w:after="0"/>
              <w:rPr>
                <w:sz w:val="15"/>
                <w:szCs w:val="15"/>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Lloyd Johnston, Ph.D.</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4"/>
              </w:rPr>
              <w:t>Chief Operating Officer and Senior Vice President, Research and</w:t>
            </w:r>
          </w:p>
        </w:tc>
      </w:tr>
      <w:tr>
        <w:trPr>
          <w:trHeight w:val="192"/>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Development</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Takashi Kei Kishimoto, Ph.D.</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56</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Scientific Officer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Keller, M.Sci.</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45</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Business Officer</w:t>
            </w:r>
          </w:p>
        </w:tc>
      </w:tr>
      <w:tr>
        <w:trPr>
          <w:trHeight w:val="178"/>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David Abraham, J.D.</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50</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Compliance Officer, General Counsel and Corporate</w:t>
            </w:r>
          </w:p>
        </w:tc>
      </w:tr>
      <w:tr>
        <w:trPr>
          <w:trHeight w:val="190"/>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Arial" w:cs="Arial" w:eastAsia="Arial" w:hAnsi="Arial"/>
                <w:sz w:val="15"/>
                <w:szCs w:val="15"/>
                <w:color w:val="auto"/>
              </w:rPr>
              <w:t>Secretary</w:t>
            </w:r>
          </w:p>
        </w:tc>
      </w:tr>
      <w:tr>
        <w:trPr>
          <w:trHeight w:val="188"/>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 Sands, M.D.</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Medical Officer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David Siewers, CPA</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62</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Financial Officer</w:t>
            </w:r>
          </w:p>
        </w:tc>
      </w:tr>
      <w:tr>
        <w:trPr>
          <w:trHeight w:val="371"/>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Other Key Employee</w:t>
            </w:r>
          </w:p>
        </w:tc>
        <w:tc>
          <w:tcPr>
            <w:tcW w:w="16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Dmitry Ovchinnikov, Ph.D.</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38</w:t>
            </w:r>
          </w:p>
        </w:tc>
        <w:tc>
          <w:tcPr>
            <w:tcW w:w="4220" w:type="dxa"/>
            <w:vAlign w:val="bottom"/>
          </w:tcPr>
          <w:p>
            <w:pPr>
              <w:ind w:left="120"/>
              <w:spacing w:after="0"/>
              <w:rPr>
                <w:sz w:val="20"/>
                <w:szCs w:val="20"/>
                <w:color w:val="auto"/>
              </w:rPr>
            </w:pPr>
            <w:r>
              <w:rPr>
                <w:rFonts w:ascii="Arial" w:cs="Arial" w:eastAsia="Arial" w:hAnsi="Arial"/>
                <w:sz w:val="15"/>
                <w:szCs w:val="15"/>
                <w:color w:val="auto"/>
              </w:rPr>
              <w:t>General Director, Selecta RUS</w:t>
            </w:r>
          </w:p>
        </w:tc>
      </w:tr>
      <w:tr>
        <w:trPr>
          <w:trHeight w:val="371"/>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Directors and Director Nominee</w:t>
            </w:r>
          </w:p>
        </w:tc>
        <w:tc>
          <w:tcPr>
            <w:tcW w:w="16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Omid Farokhzad, M.D.(3)</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47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Ph.D.(1)</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51</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Peter Barton Hutt, LL.B., LL.M.(2)</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81</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Kania(1)(2)</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Robert Langer, Sc.D.(4)</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67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Sc.D.(1)(3)</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43</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Aymeric Sallin, M.S.(2)</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42</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Leysan Shaydullina, M.D.(4)</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37</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George Siber, M.D.(4)</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71</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Timothy A. Springer, Ph.D.(3)(5)</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 Nominee</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2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Member of the audit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Member of the nominating and corporate governance committee.</w:t>
      </w:r>
    </w:p>
    <w:p>
      <w:pPr>
        <w:spacing w:after="0" w:line="105" w:lineRule="exact"/>
        <w:rPr>
          <w:rFonts w:ascii="Arial" w:cs="Arial" w:eastAsia="Arial" w:hAnsi="Arial"/>
          <w:sz w:val="12"/>
          <w:szCs w:val="12"/>
          <w:color w:val="auto"/>
        </w:rPr>
      </w:pPr>
    </w:p>
    <w:p>
      <w:pPr>
        <w:ind w:left="1600" w:hanging="463"/>
        <w:spacing w:after="0" w:line="238" w:lineRule="auto"/>
        <w:tabs>
          <w:tab w:leader="none" w:pos="16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Each of Drs. Langer and Siber will resign from our board of directors contingent upon, and effective immediately prior to, the effectiveness of the registration statement of which this prospectus forms a part. Dr. Shaydullina will resign from our board of directors contingent upon, and effective immediately prior to, the closing of this offering.</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Dr. Springer will be elected to our board of directors contingent upon, and effective upon, the effectiveness of the registration statement of which this prospectus forms a part.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AND KEY EMPLOYEES</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i w:val="1"/>
          <w:iCs w:val="1"/>
          <w:color w:val="auto"/>
        </w:rPr>
        <w:t xml:space="preserve">Werner Cautreels, Ph.D. </w:t>
      </w:r>
      <w:r>
        <w:rPr>
          <w:rFonts w:ascii="Arial" w:cs="Arial" w:eastAsia="Arial" w:hAnsi="Arial"/>
          <w:sz w:val="15"/>
          <w:szCs w:val="15"/>
          <w:color w:val="auto"/>
        </w:rPr>
        <w:t>has served as our President, Chief Executive Officer and member of our board of directors since July 2010. Prior to joining Selecta, Dr. Cautreels was Chief</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 of Solvay Pharmaceuticals, the pharmaceuticals division of the Solvay Group, in Brussels, Belgium, from 2005 until Solvay Pharmaceuticals was acquired by Abbott Laboratories in February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60"/>
          </w:cols>
          <w:pgMar w:left="240" w:top="132" w:right="499" w:bottom="1440" w:gutter="0" w:footer="0" w:header="0"/>
        </w:sectPr>
      </w:pPr>
    </w:p>
    <w:bookmarkStart w:id="179" w:name="page180"/>
    <w:bookmarkEnd w:id="17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313" w:lineRule="auto"/>
        <w:rPr>
          <w:sz w:val="20"/>
          <w:szCs w:val="20"/>
          <w:color w:val="auto"/>
        </w:rPr>
      </w:pPr>
      <w:r>
        <w:rPr>
          <w:rFonts w:ascii="Arial" w:cs="Arial" w:eastAsia="Arial" w:hAnsi="Arial"/>
          <w:sz w:val="13"/>
          <w:szCs w:val="13"/>
          <w:color w:val="auto"/>
        </w:rPr>
        <w:t>Before becoming the CEO of Solvay Pharmaceuticals, Dr. Cautreels was their Global Head of R&amp;D from 1998. Prior to joining Solvay, he was employed by Sanofi, Sterling-Winthrop from 1979 to 1994, and Nycomed-Amersham from 1994 to 1998 in a variety of R&amp;D management positions in Europe and in the United States. Dr. Cautreels was a director of Innogenetics NV in Gent, Belgium and ArQule Inc., in Woburn, Massachusetts from 1999 to 2006. He currently serves as a director of Seres Therapeutics, Inc. and Galapagos NV, in Mechelen, Belgium. He was the President of the Belgian-Luxemburg Chamber of Commerce for Russia and Belarus until June 2010. Dr. Cautreels received his Ph.D. in Chemistry, specializing in Mass Spectrometry, from the University of Antwerp (Antwerp, Belgium), and his financial and business training from the Advanced Management Program at Harvard Business School.</w:t>
      </w:r>
    </w:p>
    <w:p>
      <w:pPr>
        <w:spacing w:after="0" w:line="137"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i w:val="1"/>
          <w:iCs w:val="1"/>
          <w:color w:val="auto"/>
        </w:rPr>
        <w:t xml:space="preserve">Lloyd Johnston, Ph.D. </w:t>
      </w:r>
      <w:r>
        <w:rPr>
          <w:rFonts w:ascii="Arial" w:cs="Arial" w:eastAsia="Arial" w:hAnsi="Arial"/>
          <w:sz w:val="14"/>
          <w:szCs w:val="14"/>
          <w:color w:val="auto"/>
        </w:rPr>
        <w:t>has served as our Chief Operating Officer and Senior Vice President, Research and Development since January 2014. Dr. Johnston served as Selecta's Senior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54"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i w:val="1"/>
          <w:iCs w:val="1"/>
          <w:color w:val="auto"/>
        </w:rPr>
        <w:t xml:space="preserve">Takashi Kei Kishimoto, Ph.D. </w:t>
      </w:r>
      <w:r>
        <w:rPr>
          <w:rFonts w:ascii="Arial" w:cs="Arial" w:eastAsia="Arial" w:hAnsi="Arial"/>
          <w:sz w:val="15"/>
          <w:szCs w:val="15"/>
          <w:color w:val="auto"/>
        </w:rPr>
        <w:t>has served as our Chief Scientific Officer since June 2011. Prior to joining Selecta, Dr. Kishimoto was Vice President of Discovery Research at Momenta</w:t>
      </w:r>
      <w:r>
        <w:rPr>
          <w:rFonts w:ascii="Arial" w:cs="Arial" w:eastAsia="Arial" w:hAnsi="Arial"/>
          <w:sz w:val="15"/>
          <w:szCs w:val="15"/>
          <w:i w:val="1"/>
          <w:iCs w:val="1"/>
          <w:color w:val="auto"/>
        </w:rPr>
        <w:t xml:space="preserve"> </w:t>
      </w:r>
      <w:r>
        <w:rPr>
          <w:rFonts w:ascii="Arial" w:cs="Arial" w:eastAsia="Arial" w:hAnsi="Arial"/>
          <w:sz w:val="15"/>
          <w:szCs w:val="15"/>
          <w:color w:val="auto"/>
        </w:rPr>
        <w:t>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50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167"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i w:val="1"/>
          <w:iCs w:val="1"/>
          <w:color w:val="auto"/>
        </w:rPr>
        <w:t xml:space="preserve">Peter Keller, M.Sci. </w:t>
      </w:r>
      <w:r>
        <w:rPr>
          <w:rFonts w:ascii="Arial" w:cs="Arial" w:eastAsia="Arial" w:hAnsi="Arial"/>
          <w:sz w:val="15"/>
          <w:szCs w:val="15"/>
          <w:color w:val="auto"/>
        </w:rPr>
        <w:t>has served as our Chief Business Officer since he joined Selecta from Abbott Laboratories in February 2011. After the acquisition of Solvay Pharmaceuticals in February</w:t>
      </w:r>
      <w:r>
        <w:rPr>
          <w:rFonts w:ascii="Arial" w:cs="Arial" w:eastAsia="Arial" w:hAnsi="Arial"/>
          <w:sz w:val="15"/>
          <w:szCs w:val="15"/>
          <w:i w:val="1"/>
          <w:iCs w:val="1"/>
          <w:color w:val="auto"/>
        </w:rPr>
        <w:t xml:space="preserve"> </w:t>
      </w:r>
      <w:r>
        <w:rPr>
          <w:rFonts w:ascii="Arial" w:cs="Arial" w:eastAsia="Arial" w:hAnsi="Arial"/>
          <w:sz w:val="15"/>
          <w:szCs w:val="15"/>
          <w:color w:val="auto"/>
        </w:rPr>
        <w:t>2010 by Abbott Laboratories, he led the integration process for five R&amp;D and manufacturing facilities in Europe. Before the acquisition, Mr. Keller was Vice President, Head of Mergers &amp; Acquisitions and Alliance Management at Solvay Pharmaceuticals from March 2007 to February 2010, where he negotiated license and acquisition agreements in various therapeutic areas such as vaccines, neurology, and cardiology. He was the lead negotiator for the $1.5 billion fenofibrate alliance between Solvay Pharmaceuticals and Abbott Laboratories and instrumental in the $6.2 billion acquisition of Solvay Pharmaceuticals by Abbott Laboratories. Mr. Keller previously worked in management consulting at McKinsey &amp; Company from October 2000 to February 2007 and Simon Kucher &amp; Partners from July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0" w:name="page181"/>
    <w:bookmarkEnd w:id="18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1998 to September 2000. Mr. Keller received his M.Sci. in Industrial Engineering and Management from the Technical University of Karlsruhe in Karlsruhe, Germany.</w:t>
      </w:r>
    </w:p>
    <w:p>
      <w:pPr>
        <w:spacing w:after="0" w:line="198"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i w:val="1"/>
          <w:iCs w:val="1"/>
          <w:color w:val="auto"/>
        </w:rPr>
        <w:t xml:space="preserve">David Abraham, J.D. </w:t>
      </w:r>
      <w:r>
        <w:rPr>
          <w:rFonts w:ascii="Arial" w:cs="Arial" w:eastAsia="Arial" w:hAnsi="Arial"/>
          <w:sz w:val="15"/>
          <w:szCs w:val="15"/>
          <w:color w:val="auto"/>
        </w:rPr>
        <w:t>has served as our General Counsel and Corporate Secretary since he joined Selecta in May 2011. From January 2009 to April 2011, Mr. Abraham was a member of</w:t>
      </w:r>
      <w:r>
        <w:rPr>
          <w:rFonts w:ascii="Arial" w:cs="Arial" w:eastAsia="Arial" w:hAnsi="Arial"/>
          <w:sz w:val="15"/>
          <w:szCs w:val="15"/>
          <w:i w:val="1"/>
          <w:iCs w:val="1"/>
          <w:color w:val="auto"/>
        </w:rPr>
        <w:t xml:space="preserve"> </w:t>
      </w:r>
      <w:r>
        <w:rPr>
          <w:rFonts w:ascii="Arial" w:cs="Arial" w:eastAsia="Arial" w:hAnsi="Arial"/>
          <w:sz w:val="15"/>
          <w:szCs w:val="15"/>
          <w:color w:val="auto"/>
        </w:rPr>
        <w:t>Innovation Legal Group, a boutique intellectual property law firm. From August 2006 to December 2008, Mr. Abraham was Executive Director for Patents at Durect Corporation, a small-cap specialty pharmaceutical company. From February 2004 to August 2006, he was Senior Patent Counsel for ALZA Corporation, or ALZA, a Johnson &amp; Johnson company. Prior to working at Durect and ALZA, Mr. Abraham was employed by the law firms of Wilson Sonsini Goodrich and Rosati, and Finnegan Henderson Farabow Garrett and Dunner. Mr. Abraham also was a Patent Examiner at the USPTO. Mr. Abraham received his B.S. in Chemical Engineering from the University of Rochester and his J.D. from the George Washington School of Law.</w:t>
      </w:r>
    </w:p>
    <w:p>
      <w:pPr>
        <w:spacing w:after="0" w:line="167" w:lineRule="exact"/>
        <w:rPr>
          <w:sz w:val="20"/>
          <w:szCs w:val="20"/>
          <w:color w:val="auto"/>
        </w:rPr>
      </w:pPr>
    </w:p>
    <w:p>
      <w:pPr>
        <w:ind w:right="60"/>
        <w:spacing w:after="0" w:line="305" w:lineRule="auto"/>
        <w:rPr>
          <w:sz w:val="20"/>
          <w:szCs w:val="20"/>
          <w:color w:val="auto"/>
        </w:rPr>
      </w:pPr>
      <w:r>
        <w:rPr>
          <w:rFonts w:ascii="Arial" w:cs="Arial" w:eastAsia="Arial" w:hAnsi="Arial"/>
          <w:sz w:val="13"/>
          <w:szCs w:val="13"/>
          <w:i w:val="1"/>
          <w:iCs w:val="1"/>
          <w:color w:val="auto"/>
        </w:rPr>
        <w:t xml:space="preserve">Earl Sands, M.D. </w:t>
      </w:r>
      <w:r>
        <w:rPr>
          <w:rFonts w:ascii="Arial" w:cs="Arial" w:eastAsia="Arial" w:hAnsi="Arial"/>
          <w:sz w:val="13"/>
          <w:szCs w:val="13"/>
          <w:color w:val="auto"/>
        </w:rPr>
        <w:t>has served as our Chief Medical Officer since July 2015. From July 2014 to May 2015, Dr. Sands served as the Chief Medical Officer of Targacept, Inc., now part of</w:t>
      </w:r>
      <w:r>
        <w:rPr>
          <w:rFonts w:ascii="Arial" w:cs="Arial" w:eastAsia="Arial" w:hAnsi="Arial"/>
          <w:sz w:val="13"/>
          <w:szCs w:val="13"/>
          <w:i w:val="1"/>
          <w:iCs w:val="1"/>
          <w:color w:val="auto"/>
        </w:rPr>
        <w:t xml:space="preserve"> </w:t>
      </w:r>
      <w:r>
        <w:rPr>
          <w:rFonts w:ascii="Arial" w:cs="Arial" w:eastAsia="Arial" w:hAnsi="Arial"/>
          <w:sz w:val="13"/>
          <w:szCs w:val="13"/>
          <w:color w:val="auto"/>
        </w:rPr>
        <w:t>Catalyst Biosciences, a biopharmaceutical company focused on protease therapeutic agents, where he was responsible for providing strategic and scientific input on intellectual property matters and in-licensing opportunities. From 2013 to 2014, Dr. Sands was the Chief Medical Officer of Plasma Surgical, Inc., a developer of surgical and therapeutic applications, where he was responsible for strategic integrated clinical development plans and execution. From 2011 to 2013, Dr. Sands served as President of Alpha Med Solutions, LLC, a consulting firm. From 2003 to 2011, Dr. Sands served in various capacities at Solvay Pharmaceuticals, both prior to and following the acquisition by Abbott Laboratories, including Executive Vice President, Market Access, from 2008 to 2011, Senior Vice President of R&amp;D and acting Chief Medical Officer from 2006 to 2008, and Director of Women's Health from 2003 to 2006. Previously, Dr. Sands served as Senior Regional Medical Director, Professional and Scientific Relations, at Procter &amp; Gamble Pharmaceuticals, was a founding partner and medical director at Innovation in Medical Education and Training, was a Managing Partner of Women's Health Care, PC and was Chairman of the OB/GYN department at Pottstown Memorial Medical Center in Pottstown, Pennsylvania. Dr. Sands received his B.A. in Premedical Sciences from Lehigh University and his M.D. from Hahnemann University School of Medicine.</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5"/>
          <w:szCs w:val="15"/>
          <w:i w:val="1"/>
          <w:iCs w:val="1"/>
          <w:color w:val="auto"/>
        </w:rPr>
        <w:t xml:space="preserve">David Siewers </w:t>
      </w:r>
      <w:r>
        <w:rPr>
          <w:rFonts w:ascii="Arial" w:cs="Arial" w:eastAsia="Arial" w:hAnsi="Arial"/>
          <w:sz w:val="15"/>
          <w:szCs w:val="15"/>
          <w:color w:val="auto"/>
        </w:rPr>
        <w:t>has served as our Chief Financial Officer since September 2009. Mr. Siewers has 30 years of experience in financial management, financial systems design and</w:t>
      </w:r>
      <w:r>
        <w:rPr>
          <w:rFonts w:ascii="Arial" w:cs="Arial" w:eastAsia="Arial" w:hAnsi="Arial"/>
          <w:sz w:val="15"/>
          <w:szCs w:val="15"/>
          <w:i w:val="1"/>
          <w:iCs w:val="1"/>
          <w:color w:val="auto"/>
        </w:rPr>
        <w:t xml:space="preserve"> </w:t>
      </w:r>
      <w:r>
        <w:rPr>
          <w:rFonts w:ascii="Arial" w:cs="Arial" w:eastAsia="Arial" w:hAnsi="Arial"/>
          <w:sz w:val="15"/>
          <w:szCs w:val="15"/>
          <w:color w:val="auto"/>
        </w:rPr>
        <w:t>implementation, equity and debt financing and mergers and acquisitions. Prior to joining Selecta, Mr. Siewers was an independent consultant from 2002 to 2009, providing strategic guidance and tactical implementation of accounting systems, management and regulatory reporting, internal controls, profitability and cost analysis to an array of clients ranging from startups to mid-level companies. Previously, Mr. Siewers held various positions in the financial services industry, including Senior Vice President and Divisional Chief Financial Officer roles within Fleet Financial Group and Senior Vice President of Putnam Investments. Mr. Siewers received his B.S. in Accounting from Marietta College and received his CPA in 1978 while working at KPMG.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KEY EMPLOYEES</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i w:val="1"/>
          <w:iCs w:val="1"/>
          <w:color w:val="auto"/>
        </w:rPr>
        <w:t xml:space="preserve">Dmitry Ovchinnikov, Ph.D. </w:t>
      </w:r>
      <w:r>
        <w:rPr>
          <w:rFonts w:ascii="Arial" w:cs="Arial" w:eastAsia="Arial" w:hAnsi="Arial"/>
          <w:sz w:val="15"/>
          <w:szCs w:val="15"/>
          <w:color w:val="auto"/>
        </w:rPr>
        <w:t>has served as the General Director of our Russian operations since August 2013, and served as General Deputy Director from May 2012 to August 2013. Prior to</w:t>
      </w:r>
      <w:r>
        <w:rPr>
          <w:rFonts w:ascii="Arial" w:cs="Arial" w:eastAsia="Arial" w:hAnsi="Arial"/>
          <w:sz w:val="15"/>
          <w:szCs w:val="15"/>
          <w:i w:val="1"/>
          <w:iCs w:val="1"/>
          <w:color w:val="auto"/>
        </w:rPr>
        <w:t xml:space="preserve"> </w:t>
      </w:r>
      <w:r>
        <w:rPr>
          <w:rFonts w:ascii="Arial" w:cs="Arial" w:eastAsia="Arial" w:hAnsi="Arial"/>
          <w:sz w:val="15"/>
          <w:szCs w:val="15"/>
          <w:color w:val="auto"/>
        </w:rPr>
        <w:t>joining Selecta, Dr. Ovchinnikov was a medical director for ZAO Sandoz (Russia), a Novartis company, from December 2010 to May 2012, and was responsible for medical support and compliance, clinical trials and pharmacovigilance. Dr. Ovchinnikov was also a member of the Russia executive committee at Sandoz and took part in the elaboration of development strategy for the Russian branch.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81" w:name="page182"/>
    <w:bookmarkEnd w:id="18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40"/>
        <w:spacing w:after="0" w:line="297" w:lineRule="auto"/>
        <w:rPr>
          <w:sz w:val="20"/>
          <w:szCs w:val="20"/>
          <w:color w:val="auto"/>
        </w:rPr>
      </w:pPr>
      <w:r>
        <w:rPr>
          <w:rFonts w:ascii="Arial" w:cs="Arial" w:eastAsia="Arial" w:hAnsi="Arial"/>
          <w:sz w:val="14"/>
          <w:szCs w:val="14"/>
          <w:color w:val="auto"/>
        </w:rPr>
        <w:t>November 2006 to December 2010, Dr. Ovchinnikov worked at Janssen-Cilag, a Johnson &amp; Johnson company, as a medical manager for Russia and the Commonwealth of Independent States, and from December 2004 to November 2006 he served as a clinical research associate for PAREXEL RUS LLC, a life sciences consulting firm and a division of PAREXEL International. Dr. Ovchinnikov received his M.S. and Ph.D. in Biochemistry/Oncology/Virology from Lomonosov Moscow State University in Moscow, Russia.</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w:t>
      </w:r>
    </w:p>
    <w:p>
      <w:pPr>
        <w:spacing w:after="0" w:line="19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i w:val="1"/>
          <w:iCs w:val="1"/>
          <w:color w:val="auto"/>
        </w:rPr>
        <w:t xml:space="preserve">Omid Farokhzad, M.D. </w:t>
      </w:r>
      <w:r>
        <w:rPr>
          <w:rFonts w:ascii="Arial" w:cs="Arial" w:eastAsia="Arial" w:hAnsi="Arial"/>
          <w:sz w:val="14"/>
          <w:szCs w:val="14"/>
          <w:color w:val="auto"/>
        </w:rPr>
        <w:t>is one of our co-founders and has served as a member of our board of directors since 2007. Dr. Farokhzad is an Associate Professor at Harvard Medical School, or</w:t>
      </w:r>
      <w:r>
        <w:rPr>
          <w:rFonts w:ascii="Arial" w:cs="Arial" w:eastAsia="Arial" w:hAnsi="Arial"/>
          <w:sz w:val="14"/>
          <w:szCs w:val="14"/>
          <w:i w:val="1"/>
          <w:iCs w:val="1"/>
          <w:color w:val="auto"/>
        </w:rPr>
        <w:t xml:space="preserve"> </w:t>
      </w:r>
      <w:r>
        <w:rPr>
          <w:rFonts w:ascii="Arial" w:cs="Arial" w:eastAsia="Arial" w:hAnsi="Arial"/>
          <w:sz w:val="14"/>
          <w:szCs w:val="14"/>
          <w:color w:val="auto"/>
        </w:rPr>
        <w:t>HMS and a physician-scientist in the Department of Anesthesiology at Brigham and Women's Hospital, or BWH, positions he has held since 2004. Dr. Farokhzad directs the Laboratory of Nanomedicine and Biomaterials at BWH. Prior to joining the HMS faculty, Dr. Farokhzad completed his postgraduate clinical and postdoctoral research trainings, respectively, at BWH/HMS and MIT in the laboratory of Dr. Langer. He is the recipient of the 2013 RUSNANOPRIZE. Dr. Farokhzad has been directly involved in the launch and development of four biotechnology companies and, on occasion, has assumed additional roles in support of management. From 2006 to 2014, Dr. Farokhzad served on the Board of Directors of BIND Therapeutics, Inc. He received his M.D. and M.A. from Boston University School of Medicine, and his M.B.A. from MIT. Dr. Farokhzad's extensive knowledge of our business and the nanomedicine field and his medical training contributed to our board of directors' conclusion that he should serve as a director of our company.</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4"/>
          <w:szCs w:val="14"/>
          <w:i w:val="1"/>
          <w:iCs w:val="1"/>
          <w:color w:val="auto"/>
        </w:rPr>
        <w:t xml:space="preserve">Carl Gordon, Ph.D. </w:t>
      </w:r>
      <w:r>
        <w:rPr>
          <w:rFonts w:ascii="Arial" w:cs="Arial" w:eastAsia="Arial" w:hAnsi="Arial"/>
          <w:sz w:val="14"/>
          <w:szCs w:val="14"/>
          <w:color w:val="auto"/>
        </w:rPr>
        <w:t>has served as a member of our board of directors since 2010. Dr. Gordon serves as General Partner and Co-Head of Private Equity of OrbiMed Advisors LLC, which he</w:t>
      </w:r>
      <w:r>
        <w:rPr>
          <w:rFonts w:ascii="Arial" w:cs="Arial" w:eastAsia="Arial" w:hAnsi="Arial"/>
          <w:sz w:val="14"/>
          <w:szCs w:val="14"/>
          <w:i w:val="1"/>
          <w:iCs w:val="1"/>
          <w:color w:val="auto"/>
        </w:rPr>
        <w:t xml:space="preserve"> </w:t>
      </w:r>
      <w:r>
        <w:rPr>
          <w:rFonts w:ascii="Arial" w:cs="Arial" w:eastAsia="Arial" w:hAnsi="Arial"/>
          <w:sz w:val="14"/>
          <w:szCs w:val="14"/>
          <w:color w:val="auto"/>
        </w:rPr>
        <w:t>co-founded in 1998. From 1995 to 1997 he was a senior biotechnology analyst at Mehta and Isaly, and from 1993 to 1995 he was a Fellow at The Rockefeller University. Dr. Gordon currently serves on the board of directors of numerous private companies. Previously, Dr. Gordon had served on the board of directors of Acceleron Pharma Inc., Amarin Corporation plc and Pacira Pharmaceuticals, Inc. Dr. Gordon received his B.S. in Chemistry from Harvard College and his Ph.D. in Molecular Biology from MIT. Dr. Gordon's venture capital experience, expertise in the scientific field of molecular biology and financial credentials contributed to our board of directors' conclusion that he should serve as a director of our company.</w:t>
      </w:r>
    </w:p>
    <w:p>
      <w:pPr>
        <w:spacing w:after="0" w:line="149"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i w:val="1"/>
          <w:iCs w:val="1"/>
          <w:color w:val="auto"/>
        </w:rPr>
        <w:t xml:space="preserve">Peter Barton Hutt, LL.B., LL.M. </w:t>
      </w:r>
      <w:r>
        <w:rPr>
          <w:rFonts w:ascii="Arial" w:cs="Arial" w:eastAsia="Arial" w:hAnsi="Arial"/>
          <w:sz w:val="14"/>
          <w:szCs w:val="14"/>
          <w:color w:val="auto"/>
        </w:rPr>
        <w:t>has served as a member of our board of directors since 2010. Mr. Hutt is a senior counsel in the Washington, D.C. law firm of Covington &amp; Burling</w:t>
      </w:r>
      <w:r>
        <w:rPr>
          <w:rFonts w:ascii="Arial" w:cs="Arial" w:eastAsia="Arial" w:hAnsi="Arial"/>
          <w:sz w:val="14"/>
          <w:szCs w:val="14"/>
          <w:i w:val="1"/>
          <w:iCs w:val="1"/>
          <w:color w:val="auto"/>
        </w:rPr>
        <w:t xml:space="preserve"> </w:t>
      </w:r>
      <w:r>
        <w:rPr>
          <w:rFonts w:ascii="Arial" w:cs="Arial" w:eastAsia="Arial" w:hAnsi="Arial"/>
          <w:sz w:val="14"/>
          <w:szCs w:val="14"/>
          <w:color w:val="auto"/>
        </w:rPr>
        <w:t>specializing in food and drug law. Mr. Hutt began his law practice with the firm in 1960 and, except for his four years in the government, has continued at the firm ever since. Mr. Hutt served as Chief Counsel for the FDA during 1971 to 1975. Since 1994 he has taught a course on Food and Drug Law at Harvard Law School. Mr. Hutt serves on the board of directors of Seres Therapeutics, Inc., Xoma Corp., BIND Therapeutics, Inc., Concert Pharmaceuticals, Inc., Flex Pharma, Inc. and Q Therapeutics, Inc. From 2009 to 2015, Mr. Hutt served on the board of directors of DBV Technologies, from 2001 to 2014 he served on the board of Momenta Pharmaceuticals, Inc., from 2008 to 2011, he served on the board of Celera Corp and from 2002 to 2012 he served on the board of ISTA Pharmaceuticals, Inc. Mr. Hutt received his B.A. from Yale University, his LL.B. from Harvard Law School and his LL.M. from New York University. Mr. Hutt's extensive knowledge of and experience with food and drug law and his service on numerous boards of directors in the biotechnology and pharmaceutical industries contributed to our board of directors' conclusion that he should serve as a director of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Edwin M. Kania </w:t>
      </w:r>
      <w:r>
        <w:rPr>
          <w:rFonts w:ascii="Arial" w:cs="Arial" w:eastAsia="Arial" w:hAnsi="Arial"/>
          <w:sz w:val="13"/>
          <w:szCs w:val="13"/>
          <w:color w:val="auto"/>
        </w:rPr>
        <w:t>has served as a member of our board of directors since 2013. Mr. Kania is Co-Founder of Flagship Ventures, a Boston-based venture capital firm, and serves as 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7266305"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2" w:name="page183"/>
    <w:bookmarkEnd w:id="18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Partner for several of its funds. He served as Chairman of Flagship Ventures between 2001 and 2014. Prior to co-founding Flagship Ventures in 2000, Mr. Kania was a General Partner at OneLiberty Ventures and its predecessor firm, Morgan Holland Ventures. His direct investment experience covers over 100 companies. Since 2004, he has served on the board of directors of Acceleron Pharma Inc., a clinical stage biopharmaceutical company that focuses on regulating cellular growth. Mr. Kania has also served on the boards of Aspect Medical, EXACT Sciences and other public and private companies. Mr. Kania received his B.S. in Physics from Dartmouth College and his M.B.A. from Harvard Business School. Mr. Kania's extensive investment experience in the biotechnology sector contributed to our board of directors' conclusion that he should serve as a director of our company.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Robert Langer, Sc.D. </w:t>
      </w:r>
      <w:r>
        <w:rPr>
          <w:rFonts w:ascii="Arial" w:cs="Arial" w:eastAsia="Arial" w:hAnsi="Arial"/>
          <w:sz w:val="14"/>
          <w:szCs w:val="14"/>
          <w:color w:val="auto"/>
        </w:rPr>
        <w:t>is one of our co-founders and has served as a member of our board of directors since 2007. Dr. Langer also serves as Chairman of our scientific advisory board.</w:t>
      </w:r>
    </w:p>
    <w:p>
      <w:pPr>
        <w:spacing w:after="0" w:line="29"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Dr. Langer has been an Institute Professor at MIT since 2005, and prior to that was an Assistant Professor, Associate Professor and then Professor at MIT starting in 1977. Dr. Langer has received the National Medal of Science, National Medal of Technology and Innovation, Wolf Prize in Chemistry, Charles Stark Draper Prize, Albany Medical Center Prize in Medicine and Biomedical Research and the Lemelson-MIT Prize for Invention and Innovation. Dr. Langer is one of the very few individuals ever elected to the American Institute of Medical and Biological Engineering, the National Academy of Engineering and the National Academy of Sciences. He currently serves on the board of directors of Ocata Therapeutics, BIND Therapeutics, Inc. and PureTech Health PLC, and previously served as a director of Momenta Pharmaceuticals from 2001 to 2009, Wyeth from 2004 to 2009, Fibrocell Science, Inc. from 2010 to 2012 and Millipore Corp from 2009 to 2010. Dr. Langer received his B.S. from Cornell University and his Sc.D. from MIT, both in Chemical Engineering. Dr. Langer's pioneering academic work in nanotechnology and drug delivery contributed to our board of directors' conclusion that he should serve as a director of our company. Dr. Langer will resign from our board of directors contingent upon, and effective immediately prior to, the effectiveness of the registration statement of which this prospectus forms a part.</w:t>
      </w:r>
    </w:p>
    <w:p>
      <w:pPr>
        <w:spacing w:after="0" w:line="155"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i w:val="1"/>
          <w:iCs w:val="1"/>
          <w:color w:val="auto"/>
        </w:rPr>
        <w:t xml:space="preserve">Amir Nashat, Sc.D. </w:t>
      </w:r>
      <w:r>
        <w:rPr>
          <w:rFonts w:ascii="Arial" w:cs="Arial" w:eastAsia="Arial" w:hAnsi="Arial"/>
          <w:sz w:val="14"/>
          <w:szCs w:val="14"/>
          <w:color w:val="auto"/>
        </w:rPr>
        <w:t>has served as a member of our board of directors since 2008. Dr. Nashat has been a Managing General Partner at Polaris Venture Partners, a venture capital firm, since</w:t>
      </w:r>
      <w:r>
        <w:rPr>
          <w:rFonts w:ascii="Arial" w:cs="Arial" w:eastAsia="Arial" w:hAnsi="Arial"/>
          <w:sz w:val="14"/>
          <w:szCs w:val="14"/>
          <w:i w:val="1"/>
          <w:iCs w:val="1"/>
          <w:color w:val="auto"/>
        </w:rPr>
        <w:t xml:space="preserve"> </w:t>
      </w:r>
      <w:r>
        <w:rPr>
          <w:rFonts w:ascii="Arial" w:cs="Arial" w:eastAsia="Arial" w:hAnsi="Arial"/>
          <w:sz w:val="14"/>
          <w:szCs w:val="14"/>
          <w:color w:val="auto"/>
        </w:rPr>
        <w:t>2009 and focuses on investments in the life sciences. He currently serves on the board of directors of Fate Therapeutics, Inc., BIND Therapeutics, Inc., aTyr Pharma, Inc. and several private companies. Dr. Nashat has also served as a director of Receptos, Inc., Adnexus Therapeutics, Inc. (acquired by Bristol-Myers Squibb Company) and other private companies. Dr. Nashat completed his Sc.D. as a Hertz Fellow in Chemical Engineering at MIT with a minor in biology under the guidance of Dr. Langer. Dr. Nashat earned both his M.S. and B.S. in materials science and mechanical engineering at the University of California, Berkeley. Dr. Nashat's extensive experience as a venture capitalist and board member to numerous companies in the biotechnology industry contributed to our board of directors' conclusion that he should serve as a director of our company.</w:t>
      </w:r>
    </w:p>
    <w:p>
      <w:pPr>
        <w:spacing w:after="0" w:line="154" w:lineRule="exact"/>
        <w:rPr>
          <w:sz w:val="20"/>
          <w:szCs w:val="20"/>
          <w:color w:val="auto"/>
        </w:rPr>
      </w:pPr>
    </w:p>
    <w:p>
      <w:pPr>
        <w:ind w:right="40"/>
        <w:spacing w:after="0" w:line="300" w:lineRule="auto"/>
        <w:rPr>
          <w:sz w:val="20"/>
          <w:szCs w:val="20"/>
          <w:color w:val="auto"/>
        </w:rPr>
      </w:pPr>
      <w:r>
        <w:rPr>
          <w:rFonts w:ascii="Arial" w:cs="Arial" w:eastAsia="Arial" w:hAnsi="Arial"/>
          <w:sz w:val="13"/>
          <w:szCs w:val="13"/>
          <w:i w:val="1"/>
          <w:iCs w:val="1"/>
          <w:color w:val="auto"/>
        </w:rPr>
        <w:t xml:space="preserve">Aymeric Sallin, M.S. </w:t>
      </w:r>
      <w:r>
        <w:rPr>
          <w:rFonts w:ascii="Arial" w:cs="Arial" w:eastAsia="Arial" w:hAnsi="Arial"/>
          <w:sz w:val="13"/>
          <w:szCs w:val="13"/>
          <w:color w:val="auto"/>
        </w:rPr>
        <w:t>has served as a member of our board of directors since 2008. Mr. Sallin has served as the Chief Executive Officer of NanoDimension, a venture capital firm, since 2002</w:t>
      </w:r>
      <w:r>
        <w:rPr>
          <w:rFonts w:ascii="Arial" w:cs="Arial" w:eastAsia="Arial" w:hAnsi="Arial"/>
          <w:sz w:val="13"/>
          <w:szCs w:val="13"/>
          <w:i w:val="1"/>
          <w:iCs w:val="1"/>
          <w:color w:val="auto"/>
        </w:rPr>
        <w:t xml:space="preserve"> </w:t>
      </w:r>
      <w:r>
        <w:rPr>
          <w:rFonts w:ascii="Arial" w:cs="Arial" w:eastAsia="Arial" w:hAnsi="Arial"/>
          <w:sz w:val="13"/>
          <w:szCs w:val="13"/>
          <w:color w:val="auto"/>
        </w:rPr>
        <w:t>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w:t>
      </w:r>
    </w:p>
    <w:p>
      <w:pPr>
        <w:ind w:right="140"/>
        <w:spacing w:after="0" w:line="266" w:lineRule="auto"/>
        <w:rPr>
          <w:sz w:val="20"/>
          <w:szCs w:val="20"/>
          <w:color w:val="auto"/>
        </w:rPr>
      </w:pPr>
      <w:r>
        <w:rPr>
          <w:rFonts w:ascii="Arial" w:cs="Arial" w:eastAsia="Arial" w:hAnsi="Arial"/>
          <w:sz w:val="15"/>
          <w:szCs w:val="15"/>
          <w:color w:val="auto"/>
        </w:rPr>
        <w:t>Mr. Sallin has worked to generate and close investments of hundreds of millions of dollars into several of NanoDimension's portfolio companies. He currently serves as a board member of View, Inc., CROCUS Technology and Tarveda Therapeutics. Mr. Sallin is also a member of the Swiss Academy of Technical Sciences. Mr. Sallin received his Masters in Physical Engineering from EPFL in Lausanne, Switzerland. Mr. Sallin's extensive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7266305"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83" w:name="page184"/>
    <w:bookmarkEnd w:id="18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of our business and the nanomedicine field contributed to our board of directors' conclusion that he should serve as a director of our company.</w:t>
      </w:r>
    </w:p>
    <w:p>
      <w:pPr>
        <w:spacing w:after="0" w:line="198"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i w:val="1"/>
          <w:iCs w:val="1"/>
          <w:color w:val="auto"/>
        </w:rPr>
        <w:t xml:space="preserve">Leysan Shaydullina, M.D. </w:t>
      </w:r>
      <w:r>
        <w:rPr>
          <w:rFonts w:ascii="Arial" w:cs="Arial" w:eastAsia="Arial" w:hAnsi="Arial"/>
          <w:sz w:val="14"/>
          <w:szCs w:val="14"/>
          <w:color w:val="auto"/>
        </w:rPr>
        <w:t>has served as a member of our board of directors since April 2015. Since October 2014, Dr. Shaydullina has served as Managing Director of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RUSNANO LLC. From April 2009 to October 2014, she served as Investment Director of JSC RUSNANO Management Company and then of RUSNANO management company. She also served as an associate at JSC RUSNANO from 2008 to 2009. In 2008, Dr. Shaydullina served as a senior consultant with Regionatistica LLC, a Russian-based consulting company. From 2004 to 2008, she was head of the investment department and manager of innovative projects at Innovative Technopark IDEA, or Technopark, a Russian-based business incubator. Prior to Technopark, in 2004, Dr. Shaydullina served as a senior health insurance expert at ROSNO, now part of Allianz Insurance, a Russian insurance provider, and served as a surgeon for the Children's Republican Clinical Hospital of the Ministry of Health in Russia from 2001 to 2003. Dr. Shaydullina received her M.B.A. from the Academy of National Economy under the Government of the Russian Federation, and her M.D. from Kazan State Medical University in Kazan, Russia. Dr. Shaydullina's experience in business strategy, managing investments and the life sciences industry contributed to our board of directors' conclusion that she should serve as a director of our company. Dr. Shaydullina will resign from our board of directors contingent upon, and effective immediately prior to, the closing of this offering.</w:t>
      </w:r>
    </w:p>
    <w:p>
      <w:pPr>
        <w:spacing w:after="0" w:line="157"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i w:val="1"/>
          <w:iCs w:val="1"/>
          <w:color w:val="auto"/>
        </w:rPr>
        <w:t xml:space="preserve">George Siber, M.D. </w:t>
      </w:r>
      <w:r>
        <w:rPr>
          <w:rFonts w:ascii="Arial" w:cs="Arial" w:eastAsia="Arial" w:hAnsi="Arial"/>
          <w:sz w:val="14"/>
          <w:szCs w:val="14"/>
          <w:color w:val="auto"/>
        </w:rPr>
        <w:t>has served as a member of our board of directors since 2009. Since 2008, Dr. Siber has served as an Adjunct Professor at John Hopkins University in the School of</w:t>
      </w:r>
      <w:r>
        <w:rPr>
          <w:rFonts w:ascii="Arial" w:cs="Arial" w:eastAsia="Arial" w:hAnsi="Arial"/>
          <w:sz w:val="14"/>
          <w:szCs w:val="14"/>
          <w:i w:val="1"/>
          <w:iCs w:val="1"/>
          <w:color w:val="auto"/>
        </w:rPr>
        <w:t xml:space="preserve"> </w:t>
      </w:r>
      <w:r>
        <w:rPr>
          <w:rFonts w:ascii="Arial" w:cs="Arial" w:eastAsia="Arial" w:hAnsi="Arial"/>
          <w:sz w:val="14"/>
          <w:szCs w:val="14"/>
          <w:color w:val="auto"/>
        </w:rPr>
        <w:t>Public Health. From 1996 to 2006, Dr. Siber served in various capacities at Wyeth Lederle Vaccines and Wyeth Vaccines Research, including Executive Vice President and Chief Scientific Officer. While at Wyeth, Dr. Siber oversaw the development and approval of multiple widely-used childhood vaccines, including Prevnar, a pneumococcal vaccine which has achieved multibillion dollar revenues, Acel-Imune, an acellular pertussis vaccine, and Meningitec, a meningococcal meningitis vaccine. Prior to Wyeth, Dr. Siber was Director of the Massachusetts Public Health Biologic Laboratories and a Harvard Medical School Associate Professor of Medicine at Dana Farber Cancer Institute. During this time, Dr. Siber led the research and manufacturing of multiple vaccines and immune globulins including Respigam, a human immune globulin against respiratory syncytial virus. Dr. Siber has served as executive director and scientific advisory board chairman of Genocea Biosciences, Inc. since 2013, and served as executive chairman from 2007 to 2013. Dr. Siber received his B.Sc. from Bishop's University in Quebec, Canada, and received his M.D.C.M. from McGill University in Quebec, Canada. He completed his post-doctoral training in internal medicine at Rush-Presbyterian-St. Luke's Medical Center in Chicago and Beth Israel Deaconess Medical Center in Boston, and his post-doctoral training in infectious disease and vaccinology at Children's Hospital and Beth Israel, in affiliation with Harvard Medical School in Boston. We believe that Dr. Siber's experience in life sciences and vaccine industries and his experience overseeing the development of multiple vaccines qualified him to serve as a member of our board of directors. Dr. Siber will resign from our board of directors contingent upon, and effective immediately prior to, the effectiveness of the registration statement of which this prospectus forms a part.</w:t>
      </w:r>
    </w:p>
    <w:p>
      <w:pPr>
        <w:spacing w:after="0" w:line="155"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i w:val="1"/>
          <w:iCs w:val="1"/>
          <w:color w:val="auto"/>
        </w:rPr>
        <w:t xml:space="preserve">Timothy A. Springer, Ph.D. </w:t>
      </w:r>
      <w:r>
        <w:rPr>
          <w:rFonts w:ascii="Arial" w:cs="Arial" w:eastAsia="Arial" w:hAnsi="Arial"/>
          <w:sz w:val="14"/>
          <w:szCs w:val="14"/>
          <w:color w:val="auto"/>
        </w:rPr>
        <w:t>will serve as a member of our board of directors contingent upon, and effective upon, the effectiveness of the registration statement of which this prospectus</w:t>
      </w:r>
      <w:r>
        <w:rPr>
          <w:rFonts w:ascii="Arial" w:cs="Arial" w:eastAsia="Arial" w:hAnsi="Arial"/>
          <w:sz w:val="14"/>
          <w:szCs w:val="14"/>
          <w:i w:val="1"/>
          <w:iCs w:val="1"/>
          <w:color w:val="auto"/>
        </w:rPr>
        <w:t xml:space="preserve"> </w:t>
      </w:r>
      <w:r>
        <w:rPr>
          <w:rFonts w:ascii="Arial" w:cs="Arial" w:eastAsia="Arial" w:hAnsi="Arial"/>
          <w:sz w:val="14"/>
          <w:szCs w:val="14"/>
          <w:color w:val="auto"/>
        </w:rPr>
        <w:t>forms a part. Dr. Springer has served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4" w:name="page185"/>
    <w:bookmarkEnd w:id="18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Founder of LeukoSite, a biotechnology company acquired by Millennium Pharmaceuticals in 1999.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COMPOSITION AND ELECTION OF DIRECTORS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ind w:left="7" w:right="40"/>
        <w:spacing w:after="0" w:line="283" w:lineRule="auto"/>
        <w:rPr>
          <w:sz w:val="20"/>
          <w:szCs w:val="20"/>
          <w:color w:val="auto"/>
        </w:rPr>
      </w:pPr>
      <w:r>
        <w:rPr>
          <w:rFonts w:ascii="Arial" w:cs="Arial" w:eastAsia="Arial" w:hAnsi="Arial"/>
          <w:sz w:val="14"/>
          <w:szCs w:val="14"/>
          <w:color w:val="auto"/>
        </w:rPr>
        <w:t>Our board of directors currently consists of ten members. However, Drs. Langer and Siber will resign from our board of directors contingent upon, and effective immediately prior to, the effectiveness of the registration statement of which this prospectus forms a part. Dr. Shaydullina will resign from our board of directors contingent upon, and effective immediately prior to, the closing of this offering. In addition, Dr. Springer will be elected to our board of directors contingent upon, and effective upon, the effectiveness of the registration statement of which this prospectus forms a part. Accordingly, upon the completion of this offering, our board of directors will consist of eight members. Our board of directors has determined that, of these eight directors, Carl Gordon, Peter Barton Hutt, Edwin Kania, Amir Nashat, Aymeric Sallin and Timothy Springer do not have a relationship that would interfere with the exercise of independent judgment in carrying out the responsibilities of a director and that each of these directors is "independent" as that term is defined under the rules of The NASDAQ Stock Market LLC, or NASDAQ. There are no family relationships among any of our directors or executive officers.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Classified board of directors</w:t>
      </w:r>
    </w:p>
    <w:p>
      <w:pPr>
        <w:spacing w:after="0" w:line="195" w:lineRule="exact"/>
        <w:rPr>
          <w:sz w:val="20"/>
          <w:szCs w:val="20"/>
          <w:color w:val="auto"/>
        </w:rPr>
      </w:pPr>
    </w:p>
    <w:p>
      <w:pPr>
        <w:ind w:left="7" w:right="200"/>
        <w:spacing w:after="0" w:line="297" w:lineRule="auto"/>
        <w:rPr>
          <w:sz w:val="20"/>
          <w:szCs w:val="20"/>
          <w:color w:val="auto"/>
        </w:rPr>
      </w:pPr>
      <w:r>
        <w:rPr>
          <w:rFonts w:ascii="Arial" w:cs="Arial" w:eastAsia="Arial" w:hAnsi="Arial"/>
          <w:sz w:val="14"/>
          <w:szCs w:val="14"/>
          <w:color w:val="auto"/>
        </w:rPr>
        <w:t>In accordance with our restated certificate of incorporation that will go into effect upon the closing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closing of this offering, our directors will be divided among the three classes as follows:</w:t>
      </w:r>
    </w:p>
    <w:p>
      <w:pPr>
        <w:spacing w:after="0" w:line="155" w:lineRule="exact"/>
        <w:rPr>
          <w:sz w:val="20"/>
          <w:szCs w:val="20"/>
          <w:color w:val="auto"/>
        </w:rPr>
      </w:pPr>
    </w:p>
    <w:p>
      <w:pPr>
        <w:ind w:left="467" w:hanging="467"/>
        <w:spacing w:after="0"/>
        <w:tabs>
          <w:tab w:leader="none" w:pos="46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Class I directors will be Carl Gordon, Edwin Kania and Timothy Springer, and their terms will expire at our first annual meeting of stockholders following this offering;</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Class II directors will be Omid Farokhzad, Amir Nashat and Aymeric Sallin, and their terms will expire at our second annual meeting of stockholders following this offering; and</w:t>
      </w:r>
    </w:p>
    <w:p>
      <w:pPr>
        <w:spacing w:after="0" w:line="232" w:lineRule="exact"/>
        <w:rPr>
          <w:rFonts w:ascii="Arial" w:cs="Arial" w:eastAsia="Arial" w:hAnsi="Arial"/>
          <w:sz w:val="13"/>
          <w:szCs w:val="13"/>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Class III directors will be Werner Cautreels and Peter Barton Hutt, and their terms will expire at the third annual meeting of stockholders following this offering.</w:t>
      </w:r>
    </w:p>
    <w:p>
      <w:pPr>
        <w:spacing w:after="0" w:line="198"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185" w:name="page186"/>
    <w:bookmarkEnd w:id="18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LEADERSHIP STRUCTURE</w:t>
      </w:r>
    </w:p>
    <w:p>
      <w:pPr>
        <w:spacing w:after="0" w:line="195" w:lineRule="exact"/>
        <w:rPr>
          <w:sz w:val="20"/>
          <w:szCs w:val="20"/>
          <w:color w:val="auto"/>
        </w:rPr>
      </w:pPr>
    </w:p>
    <w:p>
      <w:pPr>
        <w:ind w:left="7" w:right="60"/>
        <w:spacing w:after="0" w:line="313" w:lineRule="auto"/>
        <w:rPr>
          <w:sz w:val="20"/>
          <w:szCs w:val="20"/>
          <w:color w:val="auto"/>
        </w:rPr>
      </w:pPr>
      <w:r>
        <w:rPr>
          <w:rFonts w:ascii="Arial" w:cs="Arial" w:eastAsia="Arial" w:hAnsi="Arial"/>
          <w:sz w:val="13"/>
          <w:szCs w:val="13"/>
          <w:color w:val="auto"/>
        </w:rPr>
        <w:t>Our board of directors is currently chaired by our President and Chief Executive Officer, Werner Cautreels. Our corporate governance guidelines provide that, if the chairman of the board is a member of management or does not otherwise qualify as independent, the independent directors of the board may or may not elect a lead director. Amir Nashat currently serves as our lead director. The lead director's responsibilities include, but are not limited to: presiding over all meetings of the board of directors at which the chairman is not present, including any executive sessions of the independent directors; approving board meeting schedules and agendas; and acting as the liaison between the independent directors and the chief executive officer and chairman of the board. Our corporate governance guidelines further provide the flexibility for our board of directors to modify our leadership structure in the future as it deems appropriate.</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ROLE OF THE BOARD IN RISK OVERSIGHT</w:t>
      </w:r>
    </w:p>
    <w:p>
      <w:pPr>
        <w:spacing w:after="0" w:line="195" w:lineRule="exact"/>
        <w:rPr>
          <w:sz w:val="20"/>
          <w:szCs w:val="20"/>
          <w:color w:val="auto"/>
        </w:rPr>
      </w:pPr>
    </w:p>
    <w:p>
      <w:pPr>
        <w:ind w:left="7" w:right="40"/>
        <w:spacing w:after="0" w:line="260" w:lineRule="auto"/>
        <w:rPr>
          <w:sz w:val="20"/>
          <w:szCs w:val="20"/>
          <w:color w:val="auto"/>
        </w:rPr>
      </w:pPr>
      <w:r>
        <w:rPr>
          <w:rFonts w:ascii="Arial" w:cs="Arial" w:eastAsia="Arial" w:hAnsi="Arial"/>
          <w:sz w:val="15"/>
          <w:szCs w:val="15"/>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While each committee is responsible for evaluating certain risks and overseeing the management of such risks, our entire board of directors is regularly informed through committee reports about such risks.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COMMITTEES</w:t>
      </w:r>
    </w:p>
    <w:p>
      <w:pPr>
        <w:spacing w:after="0" w:line="195"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 xml:space="preserve">Our board of directors has established three standing committees—audit, compensation and nominating and corporate governance—each of which operates under a charter that has been approved by our board of directors. Upon the closing of this offering, each committee's charter will be available 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The reference to our website address does not constitute incorporation by reference of the information contained at or available through our website, and you should not</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 it to be a part of this prospectus.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Audit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audit committee's responsibilities include:</w:t>
      </w:r>
    </w:p>
    <w:p>
      <w:pPr>
        <w:spacing w:after="0" w:line="210" w:lineRule="exact"/>
        <w:rPr>
          <w:sz w:val="20"/>
          <w:szCs w:val="20"/>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appointing, approving the compensation of, and assessing the independence of our registered public accounting firm;</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overseeing the work of our registered public accounting firm, including through the receipt and consideration of reports from such firm;</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reviewing and discussing with management and the registered public accounting firm our annual and quarterly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86" w:name="page187"/>
    <w:bookmarkEnd w:id="18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monitoring our internal control over financial reporting, disclosure controls and procedures and code of business conduct and ethics;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discussing our risk management policies;</w:t>
      </w:r>
    </w:p>
    <w:p>
      <w:pPr>
        <w:spacing w:after="0" w:line="209" w:lineRule="exact"/>
        <w:rPr>
          <w:rFonts w:ascii="Arial" w:cs="Arial" w:eastAsia="Arial" w:hAnsi="Arial"/>
          <w:sz w:val="15"/>
          <w:szCs w:val="15"/>
          <w:color w:val="auto"/>
        </w:rPr>
      </w:pPr>
    </w:p>
    <w:p>
      <w:pPr>
        <w:ind w:left="467" w:right="340" w:hanging="467"/>
        <w:spacing w:after="0" w:line="282" w:lineRule="auto"/>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establishing policies regarding hiring employees from the registered public accounting firm and procedures for the receipt and retention of accounting related complaints and concerns;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meeting independently with our internal auditing staff, if any, registered public accounting firm and management;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reviewing and approving or ratifying any related person transactions;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preparing the audit committee report required by Securities Exchange Commission, or SEC, rules.</w:t>
      </w:r>
    </w:p>
    <w:p>
      <w:pPr>
        <w:spacing w:after="0" w:line="198" w:lineRule="exact"/>
        <w:rPr>
          <w:sz w:val="20"/>
          <w:szCs w:val="20"/>
          <w:color w:val="auto"/>
        </w:rPr>
      </w:pPr>
    </w:p>
    <w:p>
      <w:pPr>
        <w:jc w:val="both"/>
        <w:ind w:left="7"/>
        <w:spacing w:after="0" w:line="287" w:lineRule="auto"/>
        <w:rPr>
          <w:sz w:val="20"/>
          <w:szCs w:val="20"/>
          <w:color w:val="auto"/>
        </w:rPr>
      </w:pPr>
      <w:r>
        <w:rPr>
          <w:rFonts w:ascii="Arial" w:cs="Arial" w:eastAsia="Arial" w:hAnsi="Arial"/>
          <w:sz w:val="14"/>
          <w:szCs w:val="14"/>
          <w:color w:val="auto"/>
        </w:rPr>
        <w:t>Effective immediately prior to the effectiveness of the registration statement of which this prospectus forms a part, the members of our audit committee will be Carl Gordon, Edwin Kania and Amir Nashat. Edwin Kania will serve as chairperson of the committee. All members of our audit committee meet the requirements for financial literacy under the applicable rules and regulations of the SEC and The NASDAQ Global Market. Our board of directors has determined that Carl Gordon, Edwin Kania and Amir Nashat meet the independence requirements of Rule 10A-3 under the Exchange Act and the applicable listing standards of NASDAQ. Our board of directors has determined that Edwin Kania is an "audit committee financial expert" as defined by applicable SEC rules and has the requisite financial sophistication as defined under the applicable NASDAQ rules and regulations.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compensation committee's responsibilities include:</w:t>
      </w:r>
    </w:p>
    <w:p>
      <w:pPr>
        <w:spacing w:after="0" w:line="210" w:lineRule="exact"/>
        <w:rPr>
          <w:sz w:val="20"/>
          <w:szCs w:val="20"/>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annually reviewing and approving corporate goals and objectives relevant to CEO compensation;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determining our CEO's compensation;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reviewing and approving, or making recommendations to our board with respect to, the compensation of our other executive officers;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overseeing an evaluation of our senior executives;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overseeing and administering our cash and equity incentive plans;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director compensation;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reviewing and discussing annually with management our "Compensation Discussion and Analysis";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preparing the annual compensation committee report required by SEC rules.</w:t>
      </w:r>
    </w:p>
    <w:p>
      <w:pPr>
        <w:spacing w:after="0" w:line="198"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Effective immediately prior to the effectiveness of the registration statement of which this prospectus forms a part, the members of our compensation committee will be Peter Barton Hutt, Edwin Kania and Aymeric Sallin. Peter Barton Hutt will serve as chairperson of the committee. Our board of directors has determined that each of Peter Barton Hutt, Edwin Kania and Aymeric Sallin is independent under the applicable NASDAQ rules and regulations, is a "non-employee director" as defined in Rule 16b-3 promulgated under the Exchange Act and is an "outside director" as that term is defined in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7"/>
          </w:cols>
          <w:pgMar w:left="233" w:top="132" w:right="419" w:bottom="1440" w:gutter="0" w:footer="0" w:header="0"/>
        </w:sectPr>
      </w:pPr>
    </w:p>
    <w:bookmarkStart w:id="187" w:name="page188"/>
    <w:bookmarkEnd w:id="18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Nominating and corporate governance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nominating and corporate governance committee's responsibilities include:</w:t>
      </w:r>
    </w:p>
    <w:p>
      <w:pPr>
        <w:spacing w:after="0" w:line="210" w:lineRule="exact"/>
        <w:rPr>
          <w:sz w:val="20"/>
          <w:szCs w:val="20"/>
          <w:color w:val="auto"/>
        </w:rPr>
      </w:pPr>
    </w:p>
    <w:p>
      <w:pPr>
        <w:ind w:left="467" w:hanging="467"/>
        <w:spacing w:after="0"/>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identifying individuals qualified to become board members;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recommending to our board of directors the persons to be nominated for election as directors and to each board committee;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management succession planning;</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developing and recommending to our board of directors corporate governance principles;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overseeing an annual evaluation of our board of directors.</w:t>
      </w:r>
    </w:p>
    <w:p>
      <w:pPr>
        <w:spacing w:after="0" w:line="198" w:lineRule="exact"/>
        <w:rPr>
          <w:sz w:val="20"/>
          <w:szCs w:val="20"/>
          <w:color w:val="auto"/>
        </w:rPr>
      </w:pPr>
    </w:p>
    <w:p>
      <w:pPr>
        <w:ind w:left="7" w:right="20"/>
        <w:spacing w:after="0" w:line="261" w:lineRule="auto"/>
        <w:rPr>
          <w:sz w:val="20"/>
          <w:szCs w:val="20"/>
          <w:color w:val="auto"/>
        </w:rPr>
      </w:pPr>
      <w:r>
        <w:rPr>
          <w:rFonts w:ascii="Arial" w:cs="Arial" w:eastAsia="Arial" w:hAnsi="Arial"/>
          <w:sz w:val="15"/>
          <w:szCs w:val="15"/>
          <w:color w:val="auto"/>
        </w:rPr>
        <w:t>Effective upon the effectiveness of the registration statement of which this prospectus forms a part, the members of our nominating and corporate governance committee will be Omid Farokhzad, Amir Nashat and Timothy Springer. Amir Nashat will serve as the chairperson of the committee. Our board of directors has determined that Amir Nashat and Timothy Springer are independent under the applicable NASDAQ rules and regulations. Under the applicable NASDAQ rules, we are permitted to phase-in our compliance with the independent nominating and corporate governance committee requirements of NASDAQ as follows: (1) one independent member at the time of listing, (2) a majority of independent members within 90 days of listing and (3) all independent members within one year of listing. Within one year of our listing on The NASDAQ Global Market, we expect that Dr. Farokhzad will have resigned from our nominating and corporate governance committee and that any new director added to the nominating and corporate governance committee will be independent under the applicable NASDAQ rules.</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No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2015.</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Code of ethics and code of conduct</w:t>
      </w:r>
    </w:p>
    <w:p>
      <w:pPr>
        <w:spacing w:after="0" w:line="195"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Upon the closing of this offering, our code of business conduct and ethics will be available 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88" w:name="page189"/>
    <w:bookmarkEnd w:id="18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Executive and director compensation</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This section discusses the material components of the executive compensation program offered to our named executive officers identified below. For 2015, our named executive officers were:</w:t>
      </w:r>
    </w:p>
    <w:p>
      <w:pPr>
        <w:spacing w:after="0" w:line="162" w:lineRule="exact"/>
        <w:rPr>
          <w:sz w:val="20"/>
          <w:szCs w:val="20"/>
          <w:color w:val="auto"/>
        </w:rPr>
      </w:pPr>
    </w:p>
    <w:p>
      <w:pPr>
        <w:ind w:left="467" w:hanging="467"/>
        <w:spacing w:after="0"/>
        <w:tabs>
          <w:tab w:leader="none" w:pos="46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Werner Cautreels, Ph.D., President and Chief Executive Officer;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Earl Sands, M.D., Chief Medical Officer;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Takashi Kishimoto, Ph.D., Chief Scientific Officer.</w:t>
      </w:r>
    </w:p>
    <w:p>
      <w:pPr>
        <w:spacing w:after="0" w:line="198" w:lineRule="exact"/>
        <w:rPr>
          <w:sz w:val="20"/>
          <w:szCs w:val="20"/>
          <w:color w:val="auto"/>
        </w:rPr>
      </w:pPr>
    </w:p>
    <w:p>
      <w:pPr>
        <w:ind w:left="7" w:right="300"/>
        <w:spacing w:after="0" w:line="282" w:lineRule="auto"/>
        <w:rPr>
          <w:sz w:val="20"/>
          <w:szCs w:val="20"/>
          <w:color w:val="auto"/>
        </w:rPr>
      </w:pPr>
      <w:r>
        <w:rPr>
          <w:rFonts w:ascii="Arial" w:cs="Arial" w:eastAsia="Arial" w:hAnsi="Arial"/>
          <w:sz w:val="15"/>
          <w:szCs w:val="15"/>
          <w:color w:val="auto"/>
        </w:rPr>
        <w:t>We are an "emerging growth company," within the meaning of the JOBS Act, and have elected to comply with the reduced compensation disclosure requirements available to emerging growth companies under the JOBS Act.</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2015 SUMMARY COMPENSATION TABLE</w:t>
      </w:r>
    </w:p>
    <w:p>
      <w:pPr>
        <w:spacing w:after="0" w:line="192"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ind w:right="21"/>
              <w:spacing w:after="0"/>
              <w:rPr>
                <w:sz w:val="20"/>
                <w:szCs w:val="20"/>
                <w:color w:val="auto"/>
              </w:rPr>
            </w:pPr>
            <w:r>
              <w:rPr>
                <w:rFonts w:ascii="Arial" w:cs="Arial" w:eastAsia="Arial" w:hAnsi="Arial"/>
                <w:sz w:val="12"/>
                <w:szCs w:val="12"/>
                <w:b w:val="1"/>
                <w:bCs w:val="1"/>
                <w:color w:val="auto"/>
              </w:rPr>
              <w:t>Non-equity</w:t>
            </w:r>
          </w:p>
        </w:tc>
        <w:tc>
          <w:tcPr>
            <w:tcW w:w="1060" w:type="dxa"/>
            <w:vAlign w:val="bottom"/>
          </w:tcPr>
          <w:p>
            <w:pPr>
              <w:jc w:val="center"/>
              <w:ind w:right="101"/>
              <w:spacing w:after="0"/>
              <w:rPr>
                <w:sz w:val="20"/>
                <w:szCs w:val="20"/>
                <w:color w:val="auto"/>
              </w:rPr>
            </w:pPr>
            <w:r>
              <w:rPr>
                <w:rFonts w:ascii="Arial" w:cs="Arial" w:eastAsia="Arial" w:hAnsi="Arial"/>
                <w:sz w:val="12"/>
                <w:szCs w:val="12"/>
                <w:b w:val="1"/>
                <w:bCs w:val="1"/>
                <w:color w:val="auto"/>
              </w:rPr>
              <w:t>All other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ind w:right="21"/>
              <w:spacing w:after="0"/>
              <w:rPr>
                <w:sz w:val="20"/>
                <w:szCs w:val="20"/>
                <w:color w:val="auto"/>
              </w:rPr>
            </w:pPr>
            <w:r>
              <w:rPr>
                <w:rFonts w:ascii="Arial" w:cs="Arial" w:eastAsia="Arial" w:hAnsi="Arial"/>
                <w:sz w:val="12"/>
                <w:szCs w:val="12"/>
                <w:b w:val="1"/>
                <w:bCs w:val="1"/>
                <w:color w:val="auto"/>
              </w:rPr>
              <w:t>incentive plan</w:t>
            </w:r>
          </w:p>
        </w:tc>
        <w:tc>
          <w:tcPr>
            <w:tcW w:w="1060" w:type="dxa"/>
            <w:vAlign w:val="bottom"/>
          </w:tcPr>
          <w:p>
            <w:pPr>
              <w:jc w:val="center"/>
              <w:ind w:right="101"/>
              <w:spacing w:after="0"/>
              <w:rPr>
                <w:sz w:val="20"/>
                <w:szCs w:val="20"/>
                <w:color w:val="auto"/>
              </w:rPr>
            </w:pPr>
            <w:r>
              <w:rPr>
                <w:rFonts w:ascii="Arial" w:cs="Arial" w:eastAsia="Arial" w:hAnsi="Arial"/>
                <w:sz w:val="12"/>
                <w:szCs w:val="12"/>
                <w:b w:val="1"/>
                <w:bCs w:val="1"/>
                <w:color w:val="auto"/>
              </w:rPr>
              <w:t>compensation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280" w:type="dxa"/>
            <w:vAlign w:val="bottom"/>
            <w:gridSpan w:val="3"/>
          </w:tcPr>
          <w:p>
            <w:pPr>
              <w:spacing w:after="0"/>
              <w:rPr>
                <w:sz w:val="20"/>
                <w:szCs w:val="20"/>
                <w:color w:val="auto"/>
              </w:rPr>
            </w:pPr>
            <w:r>
              <w:rPr>
                <w:rFonts w:ascii="Arial" w:cs="Arial" w:eastAsia="Arial" w:hAnsi="Arial"/>
                <w:sz w:val="12"/>
                <w:szCs w:val="12"/>
                <w:b w:val="1"/>
                <w:bCs w:val="1"/>
                <w:color w:val="auto"/>
              </w:rPr>
              <w:t>Name and principal position</w:t>
            </w:r>
          </w:p>
        </w:tc>
        <w:tc>
          <w:tcPr>
            <w:tcW w:w="580" w:type="dxa"/>
            <w:vAlign w:val="bottom"/>
          </w:tcPr>
          <w:p>
            <w:pPr>
              <w:jc w:val="right"/>
              <w:ind w:right="81"/>
              <w:spacing w:after="0"/>
              <w:rPr>
                <w:sz w:val="20"/>
                <w:szCs w:val="20"/>
                <w:color w:val="auto"/>
              </w:rPr>
            </w:pPr>
            <w:r>
              <w:rPr>
                <w:rFonts w:ascii="Arial" w:cs="Arial" w:eastAsia="Arial" w:hAnsi="Arial"/>
                <w:sz w:val="12"/>
                <w:szCs w:val="12"/>
                <w:b w:val="1"/>
                <w:bCs w:val="1"/>
                <w:color w:val="auto"/>
              </w:rPr>
              <w:t>Year</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Salary ($)</w:t>
            </w:r>
          </w:p>
        </w:tc>
        <w:tc>
          <w:tcPr>
            <w:tcW w:w="1300" w:type="dxa"/>
            <w:vAlign w:val="bottom"/>
          </w:tcPr>
          <w:p>
            <w:pPr>
              <w:jc w:val="right"/>
              <w:ind w:right="41"/>
              <w:spacing w:after="0"/>
              <w:rPr>
                <w:sz w:val="20"/>
                <w:szCs w:val="20"/>
                <w:color w:val="auto"/>
              </w:rPr>
            </w:pPr>
            <w:r>
              <w:rPr>
                <w:rFonts w:ascii="Arial" w:cs="Arial" w:eastAsia="Arial" w:hAnsi="Arial"/>
                <w:sz w:val="12"/>
                <w:szCs w:val="12"/>
                <w:b w:val="1"/>
                <w:bCs w:val="1"/>
                <w:color w:val="auto"/>
              </w:rPr>
              <w:t>Option awards ($)(1)</w:t>
            </w:r>
          </w:p>
        </w:tc>
        <w:tc>
          <w:tcPr>
            <w:tcW w:w="1440" w:type="dxa"/>
            <w:vAlign w:val="bottom"/>
          </w:tcPr>
          <w:p>
            <w:pPr>
              <w:jc w:val="center"/>
              <w:ind w:right="61"/>
              <w:spacing w:after="0"/>
              <w:rPr>
                <w:sz w:val="20"/>
                <w:szCs w:val="20"/>
                <w:color w:val="auto"/>
              </w:rPr>
            </w:pPr>
            <w:r>
              <w:rPr>
                <w:rFonts w:ascii="Arial" w:cs="Arial" w:eastAsia="Arial" w:hAnsi="Arial"/>
                <w:sz w:val="12"/>
                <w:szCs w:val="12"/>
                <w:b w:val="1"/>
                <w:bCs w:val="1"/>
                <w:color w:val="auto"/>
              </w:rPr>
              <w:t>compensation ($)(2)</w:t>
            </w:r>
          </w:p>
        </w:tc>
        <w:tc>
          <w:tcPr>
            <w:tcW w:w="1060" w:type="dxa"/>
            <w:vAlign w:val="bottom"/>
          </w:tcPr>
          <w:p>
            <w:pPr>
              <w:jc w:val="center"/>
              <w:ind w:right="141"/>
              <w:spacing w:after="0"/>
              <w:rPr>
                <w:sz w:val="20"/>
                <w:szCs w:val="20"/>
                <w:color w:val="auto"/>
              </w:rPr>
            </w:pPr>
            <w:r>
              <w:rPr>
                <w:rFonts w:ascii="Arial" w:cs="Arial" w:eastAsia="Arial" w:hAnsi="Arial"/>
                <w:sz w:val="12"/>
                <w:szCs w:val="12"/>
                <w:b w:val="1"/>
                <w:bCs w:val="1"/>
                <w:color w:val="auto"/>
              </w:rPr>
              <w:t>($)(3)</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r>
      <w:tr>
        <w:trPr>
          <w:trHeight w:val="119"/>
        </w:trPr>
        <w:tc>
          <w:tcPr>
            <w:tcW w:w="20" w:type="dxa"/>
            <w:vAlign w:val="bottom"/>
          </w:tcPr>
          <w:p>
            <w:pPr>
              <w:spacing w:after="0"/>
              <w:rPr>
                <w:sz w:val="10"/>
                <w:szCs w:val="10"/>
                <w:color w:val="auto"/>
              </w:rPr>
            </w:pPr>
          </w:p>
        </w:tc>
        <w:tc>
          <w:tcPr>
            <w:tcW w:w="3260" w:type="dxa"/>
            <w:vAlign w:val="bottom"/>
            <w:tcBorders>
              <w:top w:val="single" w:sz="8" w:color="auto"/>
            </w:tcBorders>
            <w:gridSpan w:val="2"/>
            <w:shd w:val="clear" w:color="auto" w:fill="CCEEFF"/>
          </w:tcPr>
          <w:p>
            <w:pPr>
              <w:spacing w:after="0" w:line="119" w:lineRule="exact"/>
              <w:rPr>
                <w:sz w:val="20"/>
                <w:szCs w:val="20"/>
                <w:color w:val="auto"/>
              </w:rPr>
            </w:pPr>
            <w:r>
              <w:rPr>
                <w:rFonts w:ascii="Arial" w:cs="Arial" w:eastAsia="Arial" w:hAnsi="Arial"/>
                <w:sz w:val="12"/>
                <w:szCs w:val="12"/>
                <w:color w:val="auto"/>
              </w:rPr>
              <w:t>Werner Cautreels, Ph.D.</w:t>
            </w:r>
          </w:p>
        </w:tc>
        <w:tc>
          <w:tcPr>
            <w:tcW w:w="580" w:type="dxa"/>
            <w:vAlign w:val="bottom"/>
            <w:tcBorders>
              <w:top w:val="single" w:sz="8" w:color="auto"/>
            </w:tcBorders>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2015</w:t>
            </w:r>
          </w:p>
        </w:tc>
        <w:tc>
          <w:tcPr>
            <w:tcW w:w="840" w:type="dxa"/>
            <w:vAlign w:val="bottom"/>
            <w:tcBorders>
              <w:top w:val="single" w:sz="8" w:color="auto"/>
            </w:tcBorders>
            <w:shd w:val="clear" w:color="auto" w:fill="CCEEFF"/>
          </w:tcPr>
          <w:p>
            <w:pPr>
              <w:ind w:left="320"/>
              <w:spacing w:after="0" w:line="119" w:lineRule="exact"/>
              <w:rPr>
                <w:sz w:val="20"/>
                <w:szCs w:val="20"/>
                <w:color w:val="auto"/>
              </w:rPr>
            </w:pPr>
            <w:r>
              <w:rPr>
                <w:rFonts w:ascii="Arial" w:cs="Arial" w:eastAsia="Arial" w:hAnsi="Arial"/>
                <w:sz w:val="12"/>
                <w:szCs w:val="12"/>
                <w:color w:val="auto"/>
              </w:rPr>
              <w:t>400,000</w:t>
            </w:r>
          </w:p>
        </w:tc>
        <w:tc>
          <w:tcPr>
            <w:tcW w:w="1300" w:type="dxa"/>
            <w:vAlign w:val="bottom"/>
            <w:tcBorders>
              <w:top w:val="single" w:sz="8" w:color="auto"/>
            </w:tcBorders>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568,798</w:t>
            </w:r>
          </w:p>
        </w:tc>
        <w:tc>
          <w:tcPr>
            <w:tcW w:w="1440" w:type="dxa"/>
            <w:vAlign w:val="bottom"/>
            <w:tcBorders>
              <w:top w:val="single" w:sz="8" w:color="auto"/>
            </w:tcBorders>
            <w:shd w:val="clear" w:color="auto" w:fill="CCEEFF"/>
          </w:tcPr>
          <w:p>
            <w:pPr>
              <w:jc w:val="right"/>
              <w:ind w:right="81"/>
              <w:spacing w:after="0" w:line="119" w:lineRule="exact"/>
              <w:rPr>
                <w:sz w:val="20"/>
                <w:szCs w:val="20"/>
                <w:color w:val="auto"/>
              </w:rPr>
            </w:pPr>
            <w:r>
              <w:rPr>
                <w:rFonts w:ascii="Arial" w:cs="Arial" w:eastAsia="Arial" w:hAnsi="Arial"/>
                <w:sz w:val="12"/>
                <w:szCs w:val="12"/>
                <w:color w:val="auto"/>
              </w:rPr>
              <w:t>130,000</w:t>
            </w:r>
          </w:p>
        </w:tc>
        <w:tc>
          <w:tcPr>
            <w:tcW w:w="1060" w:type="dxa"/>
            <w:vAlign w:val="bottom"/>
            <w:tcBorders>
              <w:top w:val="single" w:sz="8" w:color="auto"/>
            </w:tcBorders>
            <w:shd w:val="clear" w:color="auto" w:fill="CCEEFF"/>
          </w:tcPr>
          <w:p>
            <w:pPr>
              <w:jc w:val="right"/>
              <w:ind w:right="101"/>
              <w:spacing w:after="0" w:line="119" w:lineRule="exact"/>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1,098,798</w:t>
            </w:r>
          </w:p>
        </w:tc>
        <w:tc>
          <w:tcPr>
            <w:tcW w:w="140" w:type="dxa"/>
            <w:vAlign w:val="bottom"/>
            <w:shd w:val="clear" w:color="auto" w:fill="CCEEFF"/>
          </w:tcPr>
          <w:p>
            <w:pPr>
              <w:spacing w:after="0"/>
              <w:rPr>
                <w:sz w:val="10"/>
                <w:szCs w:val="10"/>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100"/>
              <w:spacing w:after="0" w:line="128" w:lineRule="exact"/>
              <w:rPr>
                <w:sz w:val="20"/>
                <w:szCs w:val="20"/>
                <w:color w:val="auto"/>
              </w:rPr>
            </w:pPr>
            <w:r>
              <w:rPr>
                <w:rFonts w:ascii="Arial" w:cs="Arial" w:eastAsia="Arial" w:hAnsi="Arial"/>
                <w:sz w:val="12"/>
                <w:szCs w:val="12"/>
                <w:color w:val="auto"/>
              </w:rPr>
              <w:t>President and Chief Executive</w:t>
            </w:r>
          </w:p>
        </w:tc>
        <w:tc>
          <w:tcPr>
            <w:tcW w:w="58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2014</w:t>
            </w:r>
          </w:p>
        </w:tc>
        <w:tc>
          <w:tcPr>
            <w:tcW w:w="84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447,545</w:t>
            </w:r>
          </w:p>
        </w:tc>
        <w:tc>
          <w:tcPr>
            <w:tcW w:w="130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374,504</w:t>
            </w:r>
          </w:p>
        </w:tc>
        <w:tc>
          <w:tcPr>
            <w:tcW w:w="1440" w:type="dxa"/>
            <w:vAlign w:val="bottom"/>
            <w:shd w:val="clear" w:color="auto" w:fill="CCEEFF"/>
          </w:tcPr>
          <w:p>
            <w:pPr>
              <w:jc w:val="right"/>
              <w:ind w:right="81"/>
              <w:spacing w:after="0" w:line="128" w:lineRule="exact"/>
              <w:rPr>
                <w:sz w:val="20"/>
                <w:szCs w:val="20"/>
                <w:color w:val="auto"/>
              </w:rPr>
            </w:pPr>
            <w:r>
              <w:rPr>
                <w:rFonts w:ascii="Arial" w:cs="Arial" w:eastAsia="Arial" w:hAnsi="Arial"/>
                <w:sz w:val="12"/>
                <w:szCs w:val="12"/>
                <w:color w:val="auto"/>
              </w:rPr>
              <w:t>140,000</w:t>
            </w:r>
          </w:p>
        </w:tc>
        <w:tc>
          <w:tcPr>
            <w:tcW w:w="1060" w:type="dxa"/>
            <w:vAlign w:val="bottom"/>
            <w:shd w:val="clear" w:color="auto" w:fill="CCEEFF"/>
          </w:tcPr>
          <w:p>
            <w:pPr>
              <w:jc w:val="right"/>
              <w:ind w:right="101"/>
              <w:spacing w:after="0" w:line="128" w:lineRule="exact"/>
              <w:rPr>
                <w:sz w:val="20"/>
                <w:szCs w:val="20"/>
                <w:color w:val="auto"/>
              </w:rPr>
            </w:pPr>
            <w:r>
              <w:rPr>
                <w:rFonts w:ascii="Arial" w:cs="Arial" w:eastAsia="Arial" w:hAnsi="Arial"/>
                <w:sz w:val="12"/>
                <w:szCs w:val="12"/>
                <w:color w:val="auto"/>
              </w:rPr>
              <w:t>38,130</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1,000,179</w:t>
            </w:r>
          </w:p>
        </w:tc>
        <w:tc>
          <w:tcPr>
            <w:tcW w:w="140" w:type="dxa"/>
            <w:vAlign w:val="bottom"/>
            <w:shd w:val="clear" w:color="auto" w:fill="CCEEFF"/>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220"/>
              <w:spacing w:after="0" w:line="128" w:lineRule="exact"/>
              <w:rPr>
                <w:sz w:val="20"/>
                <w:szCs w:val="20"/>
                <w:color w:val="auto"/>
              </w:rPr>
            </w:pPr>
            <w:r>
              <w:rPr>
                <w:rFonts w:ascii="Arial" w:cs="Arial" w:eastAsia="Arial" w:hAnsi="Arial"/>
                <w:sz w:val="12"/>
                <w:szCs w:val="12"/>
                <w:color w:val="auto"/>
              </w:rPr>
              <w:t>Officer</w:t>
            </w: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69"/>
        </w:trPr>
        <w:tc>
          <w:tcPr>
            <w:tcW w:w="3280" w:type="dxa"/>
            <w:vAlign w:val="bottom"/>
            <w:gridSpan w:val="3"/>
          </w:tcPr>
          <w:p>
            <w:pPr>
              <w:spacing w:after="0"/>
              <w:rPr>
                <w:sz w:val="20"/>
                <w:szCs w:val="20"/>
                <w:color w:val="auto"/>
              </w:rPr>
            </w:pPr>
            <w:r>
              <w:rPr>
                <w:rFonts w:ascii="Arial" w:cs="Arial" w:eastAsia="Arial" w:hAnsi="Arial"/>
                <w:sz w:val="12"/>
                <w:szCs w:val="12"/>
                <w:color w:val="auto"/>
              </w:rPr>
              <w:t>Earl Sands, M.D</w:t>
            </w: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2015</w:t>
            </w:r>
          </w:p>
        </w:tc>
        <w:tc>
          <w:tcPr>
            <w:tcW w:w="840" w:type="dxa"/>
            <w:vAlign w:val="bottom"/>
          </w:tcPr>
          <w:p>
            <w:pPr>
              <w:ind w:left="320"/>
              <w:spacing w:after="0"/>
              <w:rPr>
                <w:sz w:val="20"/>
                <w:szCs w:val="20"/>
                <w:color w:val="auto"/>
              </w:rPr>
            </w:pPr>
            <w:r>
              <w:rPr>
                <w:rFonts w:ascii="Arial" w:cs="Arial" w:eastAsia="Arial" w:hAnsi="Arial"/>
                <w:sz w:val="12"/>
                <w:szCs w:val="12"/>
                <w:color w:val="auto"/>
                <w:w w:val="86"/>
              </w:rPr>
              <w:t>143,231(4)</w:t>
            </w:r>
          </w:p>
        </w:tc>
        <w:tc>
          <w:tcPr>
            <w:tcW w:w="1300" w:type="dxa"/>
            <w:vAlign w:val="bottom"/>
          </w:tcPr>
          <w:p>
            <w:pPr>
              <w:jc w:val="right"/>
              <w:ind w:right="21"/>
              <w:spacing w:after="0"/>
              <w:rPr>
                <w:sz w:val="20"/>
                <w:szCs w:val="20"/>
                <w:color w:val="auto"/>
              </w:rPr>
            </w:pPr>
            <w:r>
              <w:rPr>
                <w:rFonts w:ascii="Arial" w:cs="Arial" w:eastAsia="Arial" w:hAnsi="Arial"/>
                <w:sz w:val="12"/>
                <w:szCs w:val="12"/>
                <w:color w:val="auto"/>
              </w:rPr>
              <w:t>388,147</w:t>
            </w:r>
          </w:p>
        </w:tc>
        <w:tc>
          <w:tcPr>
            <w:tcW w:w="1440" w:type="dxa"/>
            <w:vAlign w:val="bottom"/>
          </w:tcPr>
          <w:p>
            <w:pPr>
              <w:jc w:val="right"/>
              <w:spacing w:after="0"/>
              <w:rPr>
                <w:sz w:val="20"/>
                <w:szCs w:val="20"/>
                <w:color w:val="auto"/>
              </w:rPr>
            </w:pPr>
            <w:r>
              <w:rPr>
                <w:rFonts w:ascii="Arial" w:cs="Arial" w:eastAsia="Arial" w:hAnsi="Arial"/>
                <w:sz w:val="12"/>
                <w:szCs w:val="12"/>
                <w:color w:val="auto"/>
              </w:rPr>
              <w:t>40,000(4)</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22,847</w:t>
            </w:r>
          </w:p>
        </w:tc>
        <w:tc>
          <w:tcPr>
            <w:tcW w:w="620" w:type="dxa"/>
            <w:vAlign w:val="bottom"/>
          </w:tcPr>
          <w:p>
            <w:pPr>
              <w:jc w:val="right"/>
              <w:spacing w:after="0"/>
              <w:rPr>
                <w:sz w:val="20"/>
                <w:szCs w:val="20"/>
                <w:color w:val="auto"/>
              </w:rPr>
            </w:pPr>
            <w:r>
              <w:rPr>
                <w:rFonts w:ascii="Arial" w:cs="Arial" w:eastAsia="Arial" w:hAnsi="Arial"/>
                <w:sz w:val="12"/>
                <w:szCs w:val="12"/>
                <w:color w:val="auto"/>
              </w:rPr>
              <w:t>594,225</w:t>
            </w:r>
          </w:p>
        </w:tc>
        <w:tc>
          <w:tcPr>
            <w:tcW w:w="140" w:type="dxa"/>
            <w:vAlign w:val="bottom"/>
          </w:tcPr>
          <w:p>
            <w:pPr>
              <w:spacing w:after="0"/>
              <w:rPr>
                <w:sz w:val="23"/>
                <w:szCs w:val="23"/>
                <w:color w:val="auto"/>
              </w:rPr>
            </w:pPr>
          </w:p>
        </w:tc>
      </w:tr>
      <w:tr>
        <w:trPr>
          <w:trHeight w:val="136"/>
        </w:trPr>
        <w:tc>
          <w:tcPr>
            <w:tcW w:w="20" w:type="dxa"/>
            <w:vAlign w:val="bottom"/>
          </w:tcPr>
          <w:p>
            <w:pPr>
              <w:spacing w:after="0"/>
              <w:rPr>
                <w:sz w:val="11"/>
                <w:szCs w:val="11"/>
                <w:color w:val="auto"/>
              </w:rPr>
            </w:pPr>
          </w:p>
        </w:tc>
        <w:tc>
          <w:tcPr>
            <w:tcW w:w="326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Chief Medical Officer</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8"/>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Takashi Kishimoto, Ph.D.</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2015</w:t>
            </w:r>
          </w:p>
        </w:tc>
        <w:tc>
          <w:tcPr>
            <w:tcW w:w="8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290,000</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92,266</w:t>
            </w:r>
          </w:p>
        </w:tc>
        <w:tc>
          <w:tcPr>
            <w:tcW w:w="14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85,000</w:t>
            </w:r>
          </w:p>
        </w:tc>
        <w:tc>
          <w:tcPr>
            <w:tcW w:w="10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3,400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470,666</w:t>
            </w:r>
          </w:p>
        </w:tc>
        <w:tc>
          <w:tcPr>
            <w:tcW w:w="140" w:type="dxa"/>
            <w:vAlign w:val="bottom"/>
            <w:shd w:val="clear" w:color="auto" w:fill="CCEEFF"/>
          </w:tcPr>
          <w:p>
            <w:pPr>
              <w:spacing w:after="0"/>
              <w:rPr>
                <w:sz w:val="24"/>
                <w:szCs w:val="24"/>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100"/>
              <w:spacing w:after="0" w:line="128" w:lineRule="exact"/>
              <w:rPr>
                <w:sz w:val="20"/>
                <w:szCs w:val="20"/>
                <w:color w:val="auto"/>
              </w:rPr>
            </w:pPr>
            <w:r>
              <w:rPr>
                <w:rFonts w:ascii="Arial" w:cs="Arial" w:eastAsia="Arial" w:hAnsi="Arial"/>
                <w:sz w:val="12"/>
                <w:szCs w:val="12"/>
                <w:color w:val="auto"/>
              </w:rPr>
              <w:t>Chief Scientific Officer</w:t>
            </w:r>
          </w:p>
        </w:tc>
        <w:tc>
          <w:tcPr>
            <w:tcW w:w="58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2014</w:t>
            </w:r>
          </w:p>
        </w:tc>
        <w:tc>
          <w:tcPr>
            <w:tcW w:w="84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275,000</w:t>
            </w:r>
          </w:p>
        </w:tc>
        <w:tc>
          <w:tcPr>
            <w:tcW w:w="130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90,101</w:t>
            </w:r>
          </w:p>
        </w:tc>
        <w:tc>
          <w:tcPr>
            <w:tcW w:w="1440" w:type="dxa"/>
            <w:vAlign w:val="bottom"/>
            <w:shd w:val="clear" w:color="auto" w:fill="CCEEFF"/>
          </w:tcPr>
          <w:p>
            <w:pPr>
              <w:jc w:val="right"/>
              <w:ind w:right="81"/>
              <w:spacing w:after="0" w:line="128" w:lineRule="exact"/>
              <w:rPr>
                <w:sz w:val="20"/>
                <w:szCs w:val="20"/>
                <w:color w:val="auto"/>
              </w:rPr>
            </w:pPr>
            <w:r>
              <w:rPr>
                <w:rFonts w:ascii="Arial" w:cs="Arial" w:eastAsia="Arial" w:hAnsi="Arial"/>
                <w:sz w:val="12"/>
                <w:szCs w:val="12"/>
                <w:color w:val="auto"/>
              </w:rPr>
              <w:t>80,000</w:t>
            </w:r>
          </w:p>
        </w:tc>
        <w:tc>
          <w:tcPr>
            <w:tcW w:w="1060" w:type="dxa"/>
            <w:vAlign w:val="bottom"/>
            <w:shd w:val="clear" w:color="auto" w:fill="CCEEFF"/>
          </w:tcPr>
          <w:p>
            <w:pPr>
              <w:jc w:val="right"/>
              <w:ind w:right="101"/>
              <w:spacing w:after="0" w:line="128" w:lineRule="exact"/>
              <w:rPr>
                <w:sz w:val="20"/>
                <w:szCs w:val="20"/>
                <w:color w:val="auto"/>
              </w:rPr>
            </w:pPr>
            <w:r>
              <w:rPr>
                <w:rFonts w:ascii="Arial" w:cs="Arial" w:eastAsia="Arial" w:hAnsi="Arial"/>
                <w:sz w:val="12"/>
                <w:szCs w:val="12"/>
                <w:color w:val="auto"/>
              </w:rPr>
              <w:t>3,400</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448,501</w:t>
            </w:r>
          </w:p>
        </w:tc>
        <w:tc>
          <w:tcPr>
            <w:tcW w:w="140" w:type="dxa"/>
            <w:vAlign w:val="bottom"/>
            <w:shd w:val="clear" w:color="auto" w:fill="CCEEFF"/>
          </w:tcPr>
          <w:p>
            <w:pPr>
              <w:spacing w:after="0"/>
              <w:rPr>
                <w:sz w:val="11"/>
                <w:szCs w:val="1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607" w:right="200" w:hanging="463"/>
        <w:spacing w:after="0" w:line="238" w:lineRule="auto"/>
        <w:tabs>
          <w:tab w:leader="none" w:pos="1607" w:val="left"/>
        </w:tabs>
        <w:numPr>
          <w:ilvl w:val="0"/>
          <w:numId w:val="107"/>
        </w:numPr>
        <w:rPr>
          <w:rFonts w:ascii="Arial" w:cs="Arial" w:eastAsia="Arial" w:hAnsi="Arial"/>
          <w:sz w:val="12"/>
          <w:szCs w:val="12"/>
          <w:color w:val="auto"/>
        </w:rPr>
      </w:pPr>
      <w:r>
        <w:rPr>
          <w:rFonts w:ascii="Arial" w:cs="Arial" w:eastAsia="Arial" w:hAnsi="Arial"/>
          <w:sz w:val="12"/>
          <w:szCs w:val="12"/>
          <w:color w:val="auto"/>
        </w:rPr>
        <w:t>Represents the aggregate grant date fair value of stock options computed in accordance with ASC Topic 718, excluding the effect of estimated forfeitures. For a description of the assumptions used in valuing these awards, see Note 11 to our audited financial statements included elsewhere in this prospectus.</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107"/>
        </w:numPr>
        <w:rPr>
          <w:rFonts w:ascii="Arial" w:cs="Arial" w:eastAsia="Arial" w:hAnsi="Arial"/>
          <w:sz w:val="12"/>
          <w:szCs w:val="12"/>
          <w:color w:val="auto"/>
        </w:rPr>
      </w:pPr>
      <w:r>
        <w:rPr>
          <w:rFonts w:ascii="Arial" w:cs="Arial" w:eastAsia="Arial" w:hAnsi="Arial"/>
          <w:sz w:val="12"/>
          <w:szCs w:val="12"/>
          <w:color w:val="auto"/>
        </w:rPr>
        <w:t>Represents amounts earned under our annual performance based bonus program. For additional information, see "Performance Bonuses" below.</w:t>
      </w:r>
    </w:p>
    <w:p>
      <w:pPr>
        <w:spacing w:after="0" w:line="105" w:lineRule="exact"/>
        <w:rPr>
          <w:rFonts w:ascii="Arial" w:cs="Arial" w:eastAsia="Arial" w:hAnsi="Arial"/>
          <w:sz w:val="12"/>
          <w:szCs w:val="12"/>
          <w:color w:val="auto"/>
        </w:rPr>
      </w:pPr>
    </w:p>
    <w:p>
      <w:pPr>
        <w:ind w:left="1607" w:hanging="463"/>
        <w:spacing w:after="0" w:line="238" w:lineRule="auto"/>
        <w:tabs>
          <w:tab w:leader="none" w:pos="1607" w:val="left"/>
        </w:tabs>
        <w:numPr>
          <w:ilvl w:val="0"/>
          <w:numId w:val="107"/>
        </w:numPr>
        <w:rPr>
          <w:rFonts w:ascii="Arial" w:cs="Arial" w:eastAsia="Arial" w:hAnsi="Arial"/>
          <w:sz w:val="12"/>
          <w:szCs w:val="12"/>
          <w:color w:val="auto"/>
        </w:rPr>
      </w:pPr>
      <w:r>
        <w:rPr>
          <w:rFonts w:ascii="Arial" w:cs="Arial" w:eastAsia="Arial" w:hAnsi="Arial"/>
          <w:sz w:val="12"/>
          <w:szCs w:val="12"/>
          <w:color w:val="auto"/>
        </w:rPr>
        <w:t>For Dr. Kishimoto, the 2015 amount represents our company's matching contributions to 401(k) plan accounts. For Dr. Sands, the amount represents $3,400 in our company's matching contributions to his 401(k) plan account and $19,447 in reimbursements for expenses incurred in 2015 for travel between his home in Georgia and our offices in Massachusetts.</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107"/>
        </w:numPr>
        <w:rPr>
          <w:rFonts w:ascii="Arial" w:cs="Arial" w:eastAsia="Arial" w:hAnsi="Arial"/>
          <w:sz w:val="12"/>
          <w:szCs w:val="12"/>
          <w:color w:val="auto"/>
        </w:rPr>
      </w:pPr>
      <w:r>
        <w:rPr>
          <w:rFonts w:ascii="Arial" w:cs="Arial" w:eastAsia="Arial" w:hAnsi="Arial"/>
          <w:sz w:val="12"/>
          <w:szCs w:val="12"/>
          <w:color w:val="auto"/>
        </w:rPr>
        <w:t>Dr. Sands commenced employment with us in July 2015 and amounts shown reflect his partial year of employment with our company.</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NARRATIVE DISCLOSURE TO SUMMARY COMPENSATION TABLE</w:t>
      </w:r>
    </w:p>
    <w:p>
      <w:pPr>
        <w:spacing w:after="0" w:line="195" w:lineRule="exact"/>
        <w:rPr>
          <w:sz w:val="20"/>
          <w:szCs w:val="20"/>
          <w:color w:val="auto"/>
        </w:rPr>
      </w:pPr>
    </w:p>
    <w:p>
      <w:pPr>
        <w:ind w:left="7" w:right="60"/>
        <w:spacing w:after="0" w:line="282" w:lineRule="auto"/>
        <w:rPr>
          <w:sz w:val="20"/>
          <w:szCs w:val="20"/>
          <w:color w:val="auto"/>
        </w:rPr>
      </w:pPr>
      <w:r>
        <w:rPr>
          <w:rFonts w:ascii="Arial" w:cs="Arial" w:eastAsia="Arial" w:hAnsi="Arial"/>
          <w:sz w:val="15"/>
          <w:szCs w:val="15"/>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Base salaries</w:t>
      </w:r>
    </w:p>
    <w:p>
      <w:pPr>
        <w:spacing w:after="0" w:line="195" w:lineRule="exact"/>
        <w:rPr>
          <w:sz w:val="20"/>
          <w:szCs w:val="20"/>
          <w:color w:val="auto"/>
        </w:rPr>
      </w:pPr>
    </w:p>
    <w:p>
      <w:pPr>
        <w:ind w:left="7" w:right="200"/>
        <w:spacing w:after="0" w:line="270" w:lineRule="auto"/>
        <w:rPr>
          <w:sz w:val="20"/>
          <w:szCs w:val="20"/>
          <w:color w:val="auto"/>
        </w:rPr>
      </w:pPr>
      <w:r>
        <w:rPr>
          <w:rFonts w:ascii="Arial" w:cs="Arial" w:eastAsia="Arial" w:hAnsi="Arial"/>
          <w:sz w:val="15"/>
          <w:szCs w:val="15"/>
          <w:color w:val="auto"/>
        </w:rPr>
        <w:t>We pay our named executive officers a base salary to compensate them for the satisfactory performance of services rendered to our company. The base salary payable to each named executive officer is intended to provide a fixed component of compensation reflecting the executive's skill set, experience, role and responsibilities. Base salaries for our named executive officers have generally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89" w:name="page190"/>
    <w:bookmarkEnd w:id="18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set at levels deemed necessary to attract and retain individuals with superior talent and were originally established in each named executive officer's employment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In early 2015, the compensation committee of our board of directors, or the Compensation Committee, approved an increase in Dr. Kishimoto's annual base salary from $275,000 to</w:t>
      </w:r>
    </w:p>
    <w:p>
      <w:pPr>
        <w:spacing w:after="0" w:line="29"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auto"/>
        </w:rPr>
        <w:t>$290,000, effective January 1, 2015. Dr. Sands commenced employment with us in July 2015 and, pursuant to the terms of his employment agreement, was entitled to an initial annual base salary of $280,000. Dr. Cautreels did not receive a base salary increase in 2015.</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Our named executive officers' base salaries for 2015 were $400,000 for Dr. Cautreels, $280,000 for Dr. Sands and $290,000 for Dr. Kishimoto.</w:t>
      </w:r>
    </w:p>
    <w:p>
      <w:pPr>
        <w:spacing w:after="0" w:line="198"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In early 2016, our board of directors approved increases in the annual base salaries of our named executive officers. Following this increase, Dr. Cautreel's annual base salary is $425,000, Dr. Sands' annual base salary is $300,000 and Dr. Kishimoto's annual base salary is $315,000.</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bonuses</w:t>
      </w:r>
    </w:p>
    <w:p>
      <w:pPr>
        <w:spacing w:after="0" w:line="195"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We offer our named executive officers the opportunity to earn annual cash bonuses to compensate them for attaining short-term company and individual performance goals. Each named executive officer has an annual target bonus that that is expressed as a percentage of his annual base salary. The 2015 target bonus percentage for our named executive officers was 25% of their respective base salaries. Dr. Sands' 2015 cash bonus was pro-rated for his partial year of employment with our company.</w:t>
      </w:r>
    </w:p>
    <w:p>
      <w:pPr>
        <w:spacing w:after="0" w:line="159" w:lineRule="exact"/>
        <w:rPr>
          <w:sz w:val="20"/>
          <w:szCs w:val="20"/>
          <w:color w:val="auto"/>
        </w:rPr>
      </w:pPr>
    </w:p>
    <w:p>
      <w:pPr>
        <w:ind w:right="300"/>
        <w:spacing w:after="0" w:line="330" w:lineRule="auto"/>
        <w:rPr>
          <w:sz w:val="20"/>
          <w:szCs w:val="20"/>
          <w:color w:val="auto"/>
        </w:rPr>
      </w:pPr>
      <w:r>
        <w:rPr>
          <w:rFonts w:ascii="Arial" w:cs="Arial" w:eastAsia="Arial" w:hAnsi="Arial"/>
          <w:sz w:val="13"/>
          <w:szCs w:val="13"/>
          <w:color w:val="auto"/>
        </w:rPr>
        <w:t>Our Compensation Committee, based upon the recommendation of our chief executive officer, establishes company performance goals each year and, at the completion of the year, determines actual bonus payouts after assessing company performance against these goals and each named executive officer's individual performance and contributions to the company's achievements. The 2015 company performance goals were based on attaining financing and business development milestones and the expansion of our business portfolio.</w:t>
      </w:r>
    </w:p>
    <w:p>
      <w:pPr>
        <w:spacing w:after="0" w:line="125"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The actual cash bonuses earned by our named executive officers for 2015 are reported under the "Non-equity incentive award" column of the 2015 and 2014 Summary Compensation Table above.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We grant stock options to our named executive officers as the long-term incentive component of their compensation. We have historically granted stock options to named executive officers when they commenced employment with us and have from time to time thereafter made additional grants as, and when, our board of directors determined appropriate to reward, retain or encourage particular named executive officers.</w:t>
      </w:r>
    </w:p>
    <w:p>
      <w:pPr>
        <w:spacing w:after="0" w:line="159"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Our stock options have an exercise price at least equal to the fair market value of our common stock on the date of grant, as determined by our board of directors, and vest as to 25% of the underlying shares on the first anniversary of the date of grant and in equal monthly installments over the following 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options may be intended to qualify as incentive stock options under the Code and generally permit "early exercise" of any unvested portion in exchange for shares of restricted stock subject to the same vesting schedule as the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0" w:name="page191"/>
    <w:bookmarkEnd w:id="19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We granted stock options in the following amounts to our named executive officers during 2015:</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260" w:type="dxa"/>
            <w:vAlign w:val="bottom"/>
            <w:gridSpan w:val="2"/>
          </w:tcPr>
          <w:p>
            <w:pPr>
              <w:jc w:val="center"/>
              <w:ind w:left="3070"/>
              <w:spacing w:after="0"/>
              <w:rPr>
                <w:sz w:val="20"/>
                <w:szCs w:val="20"/>
                <w:color w:val="auto"/>
              </w:rPr>
            </w:pPr>
            <w:r>
              <w:rPr>
                <w:rFonts w:ascii="Arial" w:cs="Arial" w:eastAsia="Arial" w:hAnsi="Arial"/>
                <w:sz w:val="12"/>
                <w:szCs w:val="12"/>
                <w:b w:val="1"/>
                <w:bCs w:val="1"/>
                <w:color w:val="auto"/>
              </w:rPr>
              <w:t>2015 options</w:t>
            </w:r>
          </w:p>
        </w:tc>
      </w:tr>
      <w:tr>
        <w:trPr>
          <w:trHeight w:val="149"/>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Named executive officer</w:t>
            </w:r>
          </w:p>
        </w:tc>
        <w:tc>
          <w:tcPr>
            <w:tcW w:w="4260" w:type="dxa"/>
            <w:vAlign w:val="bottom"/>
            <w:gridSpan w:val="2"/>
          </w:tcPr>
          <w:p>
            <w:pPr>
              <w:jc w:val="center"/>
              <w:ind w:left="3030"/>
              <w:spacing w:after="0"/>
              <w:rPr>
                <w:sz w:val="20"/>
                <w:szCs w:val="20"/>
                <w:color w:val="auto"/>
              </w:rPr>
            </w:pPr>
            <w:r>
              <w:rPr>
                <w:rFonts w:ascii="Arial" w:cs="Arial" w:eastAsia="Arial" w:hAnsi="Arial"/>
                <w:sz w:val="12"/>
                <w:szCs w:val="12"/>
                <w:b w:val="1"/>
                <w:bCs w:val="1"/>
                <w:color w:val="auto"/>
              </w:rPr>
              <w:t>granted (#)</w:t>
            </w:r>
          </w:p>
        </w:tc>
      </w:tr>
      <w:tr>
        <w:trPr>
          <w:trHeight w:val="177"/>
        </w:trPr>
        <w:tc>
          <w:tcPr>
            <w:tcW w:w="20" w:type="dxa"/>
            <w:vAlign w:val="bottom"/>
          </w:tcPr>
          <w:p>
            <w:pPr>
              <w:spacing w:after="0"/>
              <w:rPr>
                <w:sz w:val="15"/>
                <w:szCs w:val="15"/>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Werner Cautreels, Ph.D.</w:t>
            </w:r>
          </w:p>
        </w:tc>
        <w:tc>
          <w:tcPr>
            <w:tcW w:w="4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123,076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Earl Sands, M.D.</w:t>
            </w:r>
          </w:p>
        </w:tc>
        <w:tc>
          <w:tcPr>
            <w:tcW w:w="4120" w:type="dxa"/>
            <w:vAlign w:val="bottom"/>
          </w:tcPr>
          <w:p>
            <w:pPr>
              <w:jc w:val="right"/>
              <w:spacing w:after="0"/>
              <w:rPr>
                <w:sz w:val="20"/>
                <w:szCs w:val="20"/>
                <w:color w:val="auto"/>
              </w:rPr>
            </w:pPr>
            <w:r>
              <w:rPr>
                <w:rFonts w:ascii="Arial" w:cs="Arial" w:eastAsia="Arial" w:hAnsi="Arial"/>
                <w:sz w:val="15"/>
                <w:szCs w:val="15"/>
                <w:color w:val="auto"/>
              </w:rPr>
              <w:t>102,564</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Takashi Kishimoto, Ph.D.</w:t>
            </w:r>
          </w:p>
        </w:tc>
        <w:tc>
          <w:tcPr>
            <w:tcW w:w="4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12,820</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These options were granted under our 2008 Equity Incentive Plan, or the 2008 Plan, with exercise prices equal to the fair market value on the date of grant, as determined by our board of directors, and are subject to our standard vesting schedule described above.</w:t>
      </w:r>
    </w:p>
    <w:p>
      <w:pPr>
        <w:spacing w:after="0" w:line="151"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In connection with this offering, we adopted a 2016 Incentive Award Plan, or the 2016 Plan, to facilitate the grant of cash and equity incentives to our directors, employees (including our named executive officers) and consultants and to enable our company to obtain and retain the services of these individuals, which we believe is essential to our long-term success. Following the effective date of our 2016 Plan, we will not make any further grants under our 2008 Plan. However, the 2008 Plan will continue to govern the terms and conditions of the outstanding awards granted under it. For additional information about the 2016 Plan, please see the section titled "2016 Incentive Award Plan" below.</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health, welfare and additional benefits</w:t>
      </w:r>
    </w:p>
    <w:p>
      <w:pPr>
        <w:spacing w:after="0" w:line="195"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 Dr. Sands is entitled to be reimbursed up to $6,100 per month for expenses incurred for lodging and travel between his home in Georgia and our offices in Massachusetts while performing duties for us.</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1" w:name="page192"/>
    <w:bookmarkEnd w:id="19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2015 FISCAL YEAR-END</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00" w:type="dxa"/>
            <w:vAlign w:val="bottom"/>
            <w:gridSpan w:val="2"/>
          </w:tcPr>
          <w:p>
            <w:pPr>
              <w:ind w:left="840"/>
              <w:spacing w:after="0"/>
              <w:rPr>
                <w:sz w:val="20"/>
                <w:szCs w:val="20"/>
                <w:color w:val="auto"/>
              </w:rPr>
            </w:pPr>
            <w:r>
              <w:rPr>
                <w:rFonts w:ascii="Arial" w:cs="Arial" w:eastAsia="Arial" w:hAnsi="Arial"/>
                <w:sz w:val="12"/>
                <w:szCs w:val="12"/>
                <w:b w:val="1"/>
                <w:bCs w:val="1"/>
                <w:color w:val="auto"/>
              </w:rPr>
              <w:t>Option awards</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Number of</w:t>
            </w:r>
          </w:p>
        </w:tc>
        <w:tc>
          <w:tcPr>
            <w:tcW w:w="960" w:type="dxa"/>
            <w:vAlign w:val="bottom"/>
            <w:tcBorders>
              <w:top w:val="single" w:sz="8" w:color="auto"/>
            </w:tcBorders>
          </w:tcPr>
          <w:p>
            <w:pPr>
              <w:jc w:val="center"/>
              <w:ind w:right="1"/>
              <w:spacing w:after="0" w:line="121" w:lineRule="exact"/>
              <w:rPr>
                <w:sz w:val="20"/>
                <w:szCs w:val="20"/>
                <w:color w:val="auto"/>
              </w:rPr>
            </w:pPr>
            <w:r>
              <w:rPr>
                <w:rFonts w:ascii="Arial" w:cs="Arial" w:eastAsia="Arial" w:hAnsi="Arial"/>
                <w:sz w:val="12"/>
                <w:szCs w:val="12"/>
                <w:b w:val="1"/>
                <w:bCs w:val="1"/>
                <w:color w:val="auto"/>
              </w:rPr>
              <w:t>Number of</w:t>
            </w:r>
          </w:p>
        </w:tc>
        <w:tc>
          <w:tcPr>
            <w:tcW w:w="7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8"/>
              </w:rPr>
              <w:t>Market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w w:val="99"/>
              </w:rPr>
              <w:t>securities</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Number of</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Vesting</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unexercised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Option</w:t>
            </w:r>
          </w:p>
        </w:tc>
        <w:tc>
          <w:tcPr>
            <w:tcW w:w="740" w:type="dxa"/>
            <w:vAlign w:val="bottom"/>
          </w:tcPr>
          <w:p>
            <w:pPr>
              <w:jc w:val="center"/>
              <w:ind w:left="1"/>
              <w:spacing w:after="0"/>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that have</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that have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commencement</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options (#)</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options (#)</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9"/>
              </w:rPr>
              <w:t>exercise</w:t>
            </w:r>
          </w:p>
        </w:tc>
        <w:tc>
          <w:tcPr>
            <w:tcW w:w="740" w:type="dxa"/>
            <w:vAlign w:val="bottom"/>
          </w:tcPr>
          <w:p>
            <w:pPr>
              <w:jc w:val="center"/>
              <w:ind w:left="1"/>
              <w:spacing w:after="0"/>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not vested</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not vested</w:t>
            </w:r>
          </w:p>
        </w:tc>
        <w:tc>
          <w:tcPr>
            <w:tcW w:w="0" w:type="dxa"/>
            <w:vAlign w:val="bottom"/>
          </w:tcPr>
          <w:p>
            <w:pPr>
              <w:spacing w:after="0"/>
              <w:rPr>
                <w:sz w:val="1"/>
                <w:szCs w:val="1"/>
                <w:color w:val="auto"/>
              </w:rPr>
            </w:pPr>
          </w:p>
        </w:tc>
      </w:tr>
      <w:tr>
        <w:trPr>
          <w:trHeight w:val="149"/>
        </w:trPr>
        <w:tc>
          <w:tcPr>
            <w:tcW w:w="28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date</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exercisable(1)</w:t>
            </w:r>
          </w:p>
        </w:tc>
        <w:tc>
          <w:tcPr>
            <w:tcW w:w="960" w:type="dxa"/>
            <w:vAlign w:val="bottom"/>
          </w:tcPr>
          <w:p>
            <w:pPr>
              <w:jc w:val="center"/>
              <w:ind w:right="41"/>
              <w:spacing w:after="0"/>
              <w:rPr>
                <w:sz w:val="20"/>
                <w:szCs w:val="20"/>
                <w:color w:val="auto"/>
              </w:rPr>
            </w:pPr>
            <w:r>
              <w:rPr>
                <w:rFonts w:ascii="Arial" w:cs="Arial" w:eastAsia="Arial" w:hAnsi="Arial"/>
                <w:sz w:val="12"/>
                <w:szCs w:val="12"/>
                <w:b w:val="1"/>
                <w:bCs w:val="1"/>
                <w:color w:val="auto"/>
              </w:rPr>
              <w:t>unexercisable</w:t>
            </w:r>
          </w:p>
        </w:tc>
        <w:tc>
          <w:tcPr>
            <w:tcW w:w="700" w:type="dxa"/>
            <w:vAlign w:val="bottom"/>
          </w:tcPr>
          <w:p>
            <w:pPr>
              <w:jc w:val="center"/>
              <w:ind w:right="1"/>
              <w:spacing w:after="0"/>
              <w:rPr>
                <w:sz w:val="20"/>
                <w:szCs w:val="20"/>
                <w:color w:val="auto"/>
              </w:rPr>
            </w:pPr>
            <w:r>
              <w:rPr>
                <w:rFonts w:ascii="Arial" w:cs="Arial" w:eastAsia="Arial" w:hAnsi="Arial"/>
                <w:sz w:val="12"/>
                <w:szCs w:val="12"/>
                <w:b w:val="1"/>
                <w:bCs w:val="1"/>
                <w:color w:val="auto"/>
              </w:rPr>
              <w:t>price ($)</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7"/>
              </w:rPr>
              <w:t>date</w:t>
            </w:r>
          </w:p>
        </w:tc>
        <w:tc>
          <w:tcPr>
            <w:tcW w:w="960" w:type="dxa"/>
            <w:vAlign w:val="bottom"/>
            <w:gridSpan w:val="2"/>
          </w:tcPr>
          <w:p>
            <w:pPr>
              <w:jc w:val="center"/>
              <w:ind w:right="1"/>
              <w:spacing w:after="0"/>
              <w:rPr>
                <w:sz w:val="20"/>
                <w:szCs w:val="20"/>
                <w:color w:val="auto"/>
              </w:rPr>
            </w:pPr>
            <w:r>
              <w:rPr>
                <w:rFonts w:ascii="Arial" w:cs="Arial" w:eastAsia="Arial" w:hAnsi="Arial"/>
                <w:sz w:val="12"/>
                <w:szCs w:val="12"/>
                <w:b w:val="1"/>
                <w:bCs w:val="1"/>
                <w:color w:val="auto"/>
                <w:w w:val="95"/>
              </w:rPr>
              <w:t>(#)</w:t>
            </w:r>
          </w:p>
        </w:tc>
        <w:tc>
          <w:tcPr>
            <w:tcW w:w="680" w:type="dxa"/>
            <w:vAlign w:val="bottom"/>
          </w:tcPr>
          <w:p>
            <w:pPr>
              <w:jc w:val="center"/>
              <w:ind w:right="1"/>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780" w:type="dxa"/>
            <w:vAlign w:val="bottom"/>
            <w:gridSpan w:val="2"/>
            <w:shd w:val="clear" w:color="auto" w:fill="CCEEFF"/>
          </w:tcPr>
          <w:p>
            <w:pPr>
              <w:spacing w:after="0" w:line="119" w:lineRule="exact"/>
              <w:rPr>
                <w:sz w:val="20"/>
                <w:szCs w:val="20"/>
                <w:color w:val="auto"/>
              </w:rPr>
            </w:pPr>
            <w:r>
              <w:rPr>
                <w:rFonts w:ascii="Arial" w:cs="Arial" w:eastAsia="Arial" w:hAnsi="Arial"/>
                <w:sz w:val="12"/>
                <w:szCs w:val="12"/>
                <w:color w:val="auto"/>
              </w:rPr>
              <w:t>Werner Cautreels, Ph.D.</w:t>
            </w:r>
          </w:p>
        </w:tc>
        <w:tc>
          <w:tcPr>
            <w:tcW w:w="114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12/4/2015</w:t>
            </w:r>
          </w:p>
        </w:tc>
        <w:tc>
          <w:tcPr>
            <w:tcW w:w="11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123,076(2)</w:t>
            </w:r>
          </w:p>
        </w:tc>
        <w:tc>
          <w:tcPr>
            <w:tcW w:w="960" w:type="dxa"/>
            <w:vAlign w:val="bottom"/>
            <w:shd w:val="clear" w:color="auto" w:fill="CCEEFF"/>
          </w:tcPr>
          <w:p>
            <w:pPr>
              <w:ind w:left="760"/>
              <w:spacing w:after="0" w:line="119"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6.40</w:t>
            </w: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12/4/2025</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101"/>
              <w:spacing w:after="0" w:line="11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57,692(2)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8.97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16,613(2)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2.77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5,895(4)</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40,010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1/1/2012</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41,025(3)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3.44</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3/29/2022</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8"/>
        </w:trPr>
        <w:tc>
          <w:tcPr>
            <w:tcW w:w="2800" w:type="dxa"/>
            <w:vAlign w:val="bottom"/>
            <w:gridSpan w:val="3"/>
          </w:tcPr>
          <w:p>
            <w:pPr>
              <w:spacing w:after="0"/>
              <w:rPr>
                <w:sz w:val="20"/>
                <w:szCs w:val="20"/>
                <w:color w:val="auto"/>
              </w:rPr>
            </w:pPr>
            <w:r>
              <w:rPr>
                <w:rFonts w:ascii="Arial" w:cs="Arial" w:eastAsia="Arial" w:hAnsi="Arial"/>
                <w:sz w:val="12"/>
                <w:szCs w:val="12"/>
                <w:color w:val="auto"/>
              </w:rPr>
              <w:t>Earl Sands, M.D.</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9/8/2015</w:t>
            </w:r>
          </w:p>
        </w:tc>
        <w:tc>
          <w:tcPr>
            <w:tcW w:w="1140" w:type="dxa"/>
            <w:vAlign w:val="bottom"/>
          </w:tcPr>
          <w:p>
            <w:pPr>
              <w:jc w:val="right"/>
              <w:spacing w:after="0"/>
              <w:rPr>
                <w:sz w:val="20"/>
                <w:szCs w:val="20"/>
                <w:color w:val="auto"/>
              </w:rPr>
            </w:pPr>
            <w:r>
              <w:rPr>
                <w:rFonts w:ascii="Arial" w:cs="Arial" w:eastAsia="Arial" w:hAnsi="Arial"/>
                <w:sz w:val="12"/>
                <w:szCs w:val="12"/>
                <w:color w:val="auto"/>
              </w:rPr>
              <w:t>102,563(2)</w:t>
            </w:r>
          </w:p>
        </w:tc>
        <w:tc>
          <w:tcPr>
            <w:tcW w:w="960" w:type="dxa"/>
            <w:vAlign w:val="bottom"/>
          </w:tcPr>
          <w:p>
            <w:pPr>
              <w:ind w:left="7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9.36</w:t>
            </w:r>
          </w:p>
        </w:tc>
        <w:tc>
          <w:tcPr>
            <w:tcW w:w="740" w:type="dxa"/>
            <w:vAlign w:val="bottom"/>
          </w:tcPr>
          <w:p>
            <w:pPr>
              <w:jc w:val="right"/>
              <w:spacing w:after="0"/>
              <w:rPr>
                <w:sz w:val="20"/>
                <w:szCs w:val="20"/>
                <w:color w:val="auto"/>
              </w:rPr>
            </w:pPr>
            <w:r>
              <w:rPr>
                <w:rFonts w:ascii="Arial" w:cs="Arial" w:eastAsia="Arial" w:hAnsi="Arial"/>
                <w:sz w:val="12"/>
                <w:szCs w:val="12"/>
                <w:color w:val="auto"/>
              </w:rPr>
              <w:t>9/8/2025</w:t>
            </w:r>
          </w:p>
        </w:tc>
        <w:tc>
          <w:tcPr>
            <w:tcW w:w="140" w:type="dxa"/>
            <w:vAlign w:val="bottom"/>
          </w:tcPr>
          <w:p>
            <w:pPr>
              <w:spacing w:after="0"/>
              <w:rPr>
                <w:sz w:val="24"/>
                <w:szCs w:val="24"/>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Takashi Kishimoto, Ph.D.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1/1/2015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12,819(2)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9.36</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2/21/2025</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12,820(2)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8.97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6,410(2)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2.77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7/11/2011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89,743(3)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2.77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9/7/2021</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line="333" w:lineRule="auto"/>
        <w:tabs>
          <w:tab w:leader="none" w:pos="160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All stock options held by our named executive officers, whether vested or unvested, are immediately exercisable on the date of grant. Shares purchased upon exercise of an unvested option become restricted stock and are subject to our right of repurchase in the event the option holder's service with us terminates prior to the date the shares vest for a purchase price equal to the exercise price paid for the shares.</w:t>
      </w:r>
    </w:p>
    <w:p>
      <w:pPr>
        <w:spacing w:after="0" w:line="51" w:lineRule="exact"/>
        <w:rPr>
          <w:rFonts w:ascii="Arial" w:cs="Arial" w:eastAsia="Arial" w:hAnsi="Arial"/>
          <w:sz w:val="10"/>
          <w:szCs w:val="10"/>
          <w:color w:val="auto"/>
        </w:rPr>
      </w:pPr>
    </w:p>
    <w:p>
      <w:pPr>
        <w:ind w:left="1600" w:right="20" w:hanging="463"/>
        <w:spacing w:after="0" w:line="226" w:lineRule="auto"/>
        <w:tabs>
          <w:tab w:leader="none" w:pos="16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 As of December 31, 2015, (i) for Dr. Cautreels, all shares underlying the option with a December 4, 2015 vesting commencement date were unvested, 30,048 shares underlying the option with a January 1, 2014 vesting commencement date were unvested, and 4,153 shares underlying the option with a January 1, 2013 vesting commencement date were unvested; (ii) for Dr. Sands, 102,564 shares underlying the option with a September 8, 2015 vesting commencement date were unvested; and (iii) for Dr. Kishimoto, 12,819 shares underlying the option with a January 1, 2015 vesting commencement date were unvested, 6,677 shares underlying the option with a January 1, 2014 vesting commencement date were unvested, and 1,736 shares underlying the option with a January 1, 2013 vesting commencement date were unvested.</w:t>
      </w:r>
    </w:p>
    <w:p>
      <w:pPr>
        <w:spacing w:after="0" w:line="98" w:lineRule="exact"/>
        <w:rPr>
          <w:rFonts w:ascii="Arial" w:cs="Arial" w:eastAsia="Arial" w:hAnsi="Arial"/>
          <w:sz w:val="12"/>
          <w:szCs w:val="12"/>
          <w:color w:val="auto"/>
        </w:rPr>
      </w:pPr>
    </w:p>
    <w:p>
      <w:pPr>
        <w:ind w:left="1600" w:hanging="463"/>
        <w:spacing w:after="0"/>
        <w:tabs>
          <w:tab w:leader="none" w:pos="16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All shares underlying the option are fully vested.</w:t>
      </w:r>
    </w:p>
    <w:p>
      <w:pPr>
        <w:spacing w:after="0" w:line="105" w:lineRule="exact"/>
        <w:rPr>
          <w:rFonts w:ascii="Arial" w:cs="Arial" w:eastAsia="Arial" w:hAnsi="Arial"/>
          <w:sz w:val="12"/>
          <w:szCs w:val="12"/>
          <w:color w:val="auto"/>
        </w:rPr>
      </w:pPr>
    </w:p>
    <w:p>
      <w:pPr>
        <w:ind w:left="1600" w:right="60" w:hanging="463"/>
        <w:spacing w:after="0" w:line="233" w:lineRule="auto"/>
        <w:tabs>
          <w:tab w:leader="none" w:pos="16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Represents shares of restricted stock obtained upon early exercise of an option on November 30, 2013. The shares vest as to 25% of the total shares on the one year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entered into employment agreements with each of our named executive officers. Certain key terms of these agreements and letters are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 Cautreels, Dr. Kishimoto and Dr. Sands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We entered into an employment agreement with Dr. Cautreels in July 2010, with Dr. Kishimoto in June 2011 and with Dr. Sands in July 2015. The employment agreements are for unspecified terms and entitle Dr. Cautreels, Dr. Kishimoto and Dr. Sands to annual target bonus opportunities of 25% of their respective annual base salaries. Their current base salaries are discussed in more detail above in the section titled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2" w:name="page193"/>
    <w:bookmarkEnd w:id="19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0"/>
        <w:spacing w:after="0" w:line="300" w:lineRule="auto"/>
        <w:rPr>
          <w:sz w:val="20"/>
          <w:szCs w:val="20"/>
          <w:color w:val="auto"/>
        </w:rPr>
      </w:pPr>
      <w:r>
        <w:rPr>
          <w:rFonts w:ascii="Arial" w:cs="Arial" w:eastAsia="Arial" w:hAnsi="Arial"/>
          <w:sz w:val="13"/>
          <w:szCs w:val="13"/>
          <w:color w:val="auto"/>
        </w:rPr>
        <w:t>In the event either of Dr. Cautreels, Dr. Kishimoto or Dr. Sands is terminated by us without "cause" or he resigns for "good reason," subject to his timely executing a release of claims in our favor, he is entitled to receive base salary continuation for a period of 9 months for Dr. Cautreels or 6 months for Dr. Kishimoto and Dr. Sands, payment of all bonuses earned but unpaid as of the date of termination and continued health coverage for a period of 9 months for Dr. Cautreels or 6 months for Dr. Kishimoto and Dr. Sands. If, however, any of Dr. Cautreels,</w:t>
      </w:r>
    </w:p>
    <w:p>
      <w:pPr>
        <w:jc w:val="both"/>
        <w:spacing w:after="0" w:line="266" w:lineRule="auto"/>
        <w:rPr>
          <w:sz w:val="20"/>
          <w:szCs w:val="20"/>
          <w:color w:val="auto"/>
        </w:rPr>
      </w:pPr>
      <w:r>
        <w:rPr>
          <w:rFonts w:ascii="Arial" w:cs="Arial" w:eastAsia="Arial" w:hAnsi="Arial"/>
          <w:sz w:val="15"/>
          <w:szCs w:val="15"/>
          <w:color w:val="auto"/>
        </w:rPr>
        <w:t>Dr. Kishimoto or Dr. Sands begins a subsequent consulting or employment arrangement during the period in which he is otherwise entitled to receive these payments and benefits, then any cash compensation paid to him in connection with the subsequent arrangement will be credited towards any severance amounts owed by us and we will not be required to provide or pay for any benefits that are provided to him through the subsequent arrangement.</w:t>
      </w:r>
    </w:p>
    <w:p>
      <w:pPr>
        <w:spacing w:after="0" w:line="163"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The employment agreements contain restrictive covenants pursuant to which each of Dr. Cautreels, Dr. Kishimoto and Dr. Sands has agreed to refrain from competing with us or soliciting our employees or consultants following his termination of employment for a period of one year. However, the restricted period will be extended to two years in the event the named executive officer is terminated by the company for "cause."</w:t>
      </w:r>
    </w:p>
    <w:p>
      <w:pPr>
        <w:spacing w:after="0" w:line="159"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For purposes of the employment agreements, "cause" generally means Dr. Cautreels', Dr. Kishimoto's or Dr. Sands' commission of, or indictment or conviction of, any felony or any crime involving dishonesty, participation in any fraud against the company, intentional damage to any company property, misconduct which materially and adversely reflects upon the business, operations or reputation of the company, which misconduct has not been cured (or cannot be cured) within 10 days after the company gives written notice regarding such misconduct, or breach of any material provision of the employment agreement or any agreement between him and the company, which breach has not been cured (or cannot be cured) within 10 days after the company gives written notice regarding such breach.</w:t>
      </w:r>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For purposes of the employment agreements, "good reason" generally means, subject to certain cure rights, Dr. Cautreels', Dr. Kishimoto's or Dr. Sands' termination of his employment due to the company's breach of any one or more of the material provisions of the employment agreement, a material reduction by the company of his responsibilities or base salary, or, with respect to Dr. Cautreels and Dr. Kishimoto only, a relocation by the company of his place of employment by more than 40 miles.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PAYMENTS UPON A CHANGE IN CONTROL</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agreements governing the named executive officers' unvested stock options provide for full accelerated vesting if the named executive officers' employment is terminated by us without cause or if they resign for good reason, in either case, within 12 months following a change in control.</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DEVELOPMENTS REGARDING EXECUTIVE COMPENSATION</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In May 2016, in anticipation of and subject to the consummation of this offering, our board of directors approved certain changes to our named executive officers' compensation arrangements. These included adjusting our named executive officers' target bonus opportunities, granting equity incentive awards and entering into new employment agreements, each as described in more detail below.</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Target bonuses</w:t>
      </w:r>
    </w:p>
    <w:p>
      <w:pPr>
        <w:spacing w:after="0" w:line="195"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Our board of directors approved increases to the target bonus amounts for our named executive officers to 45% of his base salary for Dr. Cautreels and 35% of his base salary for each of Drs. Sands and Kishimoto. The target bonus increases will become effective upon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93" w:name="page194"/>
    <w:bookmarkEnd w:id="19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incentive awards</w:t>
      </w:r>
    </w:p>
    <w:p>
      <w:pPr>
        <w:spacing w:after="0" w:line="195"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Effective on the effectiveness of the registration statement of which this prospectus forms a part, our board of directors approved stock option grants under the 2016 Plan to our named executive officers in the following amounts: Dr. Cautreels: 115,384 shares, Dr. Sands: 53,999 shares and Dr. Kishimoto: 24,512 shares. The shares will have a per share exercise price equal to the initial public offering price of our common stock and will vest as to 25% of the total number of shares on the first anniversary of the grant date and in 36 substantially equal monthly installments thereafter.</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entered into new employment agreements with each of our named executive officers, effective on the closing of this offering.</w:t>
      </w:r>
    </w:p>
    <w:p>
      <w:pPr>
        <w:spacing w:after="0" w:line="198"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The agreements entitle our named executives officers to continue to receive their current annual base salaries set forth above and to receive the new target bonus opportunities described above under the heading "Target Bonuses."</w:t>
      </w:r>
    </w:p>
    <w:p>
      <w:pPr>
        <w:spacing w:after="0" w:line="15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If we terminate Dr. Cautreels, Dr. Sands or Dr. Kishimoto without "cause" or he resigns for "good reason," subject to his timely executing a release of claims in our favor and continued compliance with a separate restrictive covenant agreement, he is entitled to receive (i) base salary continuation for a period of 12 months, (ii) a prorated portion of the annual bonus he would otherwise have earned for the year of termination, based on actual performance for the full year (or based on his target bonus if such termination occurs during the first quarter of the calendar year), and (iii) direct payment of or reimbursement for continued medical, dental or vision coverage pursuant to COBRA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company equity awards that vest solely based on the passage of time. The company must provide a named executive officer 30 days' notice, or pay in lieu of notice, in the event we terminate such named executive officer for any reason other than "cause".</w:t>
      </w:r>
    </w:p>
    <w:p>
      <w:pPr>
        <w:spacing w:after="0" w:line="154" w:lineRule="exact"/>
        <w:rPr>
          <w:sz w:val="20"/>
          <w:szCs w:val="20"/>
          <w:color w:val="auto"/>
        </w:rPr>
      </w:pPr>
    </w:p>
    <w:p>
      <w:pPr>
        <w:ind w:right="80"/>
        <w:spacing w:after="0" w:line="308" w:lineRule="auto"/>
        <w:rPr>
          <w:sz w:val="20"/>
          <w:szCs w:val="20"/>
          <w:color w:val="auto"/>
        </w:rPr>
      </w:pPr>
      <w:r>
        <w:rPr>
          <w:rFonts w:ascii="Arial" w:cs="Arial" w:eastAsia="Arial" w:hAnsi="Arial"/>
          <w:sz w:val="13"/>
          <w:szCs w:val="13"/>
          <w:color w:val="auto"/>
        </w:rPr>
        <w:t>For purposes of the new employment agreements, "cause" generally means, subject to applicable cure rights, the named executive officer's (i) commission of, or indictment or conviction of, any felony or any crime involving dishonesty; (ii) participation in any fraud against the company; (iii) intentional damage to any company property; (iv) misconduct which materially and adversely reflects upon the business, operations, or reputation of the company; or (v) breach of any material provision of the employment agreement or any other written agreement with the company. "Good reason" generally means, subject to the company's cure rights, the occurrence of any of the following, without the named executive officer's written consent (i) a material reduction in his base salary or target bonus opportunity; (ii) a material diminution in his authority, title, duties or areas of responsibility; (iii) the requirement that he report to someone other than the board of directors with respect to Dr. Cautreels or the chief executive officer with respect to Drs. Sands and Kishimoto; (iv) the relocation of his primary office to a location more than 40 miles from the Boston metropolitan area; or (v) a material breach by the company of the employment agreement or any other written agreement with the named executive officer.</w:t>
      </w:r>
    </w:p>
    <w:p>
      <w:pPr>
        <w:spacing w:after="0" w:line="140"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We also expect to enter into non-disclosure, non-competition and assignment of intellectual property agreements with the named executive officers pursuant to which each of Drs. Cautreels, Sands and Kishimoto will agree to refrain from engaging in direct competition with us or soliciting our employees, in each case, while employed and following his termination of employment for any reason for a period of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4" w:name="page195"/>
    <w:bookmarkEnd w:id="19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INCENTIVE PLANS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summarizes the material terms of the incentive plans in which our employees, including the named executive officers, participate.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Incentive Award Plan</w:t>
      </w:r>
    </w:p>
    <w:p>
      <w:pPr>
        <w:spacing w:after="0" w:line="195"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Effective the day prior to the first public trading date of our common stock, we adopted and our stockholders approved the 2016 Incentive Award Plan, or the 2016 Plan, under which we may grant cash and equity-based incentive awards to eligible service providers in order to attract, retain and motivate the persons who make important contributions to our company. The material terms of the 2016 Plan are summarized below.</w:t>
      </w:r>
    </w:p>
    <w:p>
      <w:pPr>
        <w:spacing w:after="0" w:line="159"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i w:val="1"/>
          <w:iCs w:val="1"/>
          <w:color w:val="auto"/>
        </w:rPr>
        <w:t xml:space="preserve">Eligibility and administration. </w:t>
      </w:r>
      <w:r>
        <w:rPr>
          <w:rFonts w:ascii="Arial" w:cs="Arial" w:eastAsia="Arial" w:hAnsi="Arial"/>
          <w:sz w:val="15"/>
          <w:szCs w:val="15"/>
          <w:color w:val="auto"/>
        </w:rPr>
        <w:t>Our employees, consultants and directors, and employees and consultants of our subsidiaries, will be eligible to receive awards under the 2016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2016 Plan will be administered by our board of directors, which may delegate its duties and responsibilities to one or more committees of our directors and/or officers (referred to collectively as the plan administrator below), subject to the limitations imposed under the 2016 Plan, Section 16 of the Exchange Act, stock exchange rules and other applicable laws. The plan administrator will have the authority to take all actions and make all determinations under the 2016 Plan, to interpret the 2016 Plan and award agreements and to adopt, amend and repeal rules for the administration of the 2016 Plan as it deems advisable. The plan administrator will also have the authority to determine which eligible service providers receive awards, grant awards and set the terms and conditions of all awards under the 2016 Plan, including any vesting and vesting acceleration provisions, subject to the conditions and limitations in the 2016 Plan.</w:t>
      </w:r>
    </w:p>
    <w:p>
      <w:pPr>
        <w:spacing w:after="0" w:line="16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i w:val="1"/>
          <w:iCs w:val="1"/>
          <w:color w:val="auto"/>
        </w:rPr>
        <w:t xml:space="preserve">Shares available for awards. </w:t>
      </w:r>
      <w:r>
        <w:rPr>
          <w:rFonts w:ascii="Arial" w:cs="Arial" w:eastAsia="Arial" w:hAnsi="Arial"/>
          <w:sz w:val="15"/>
          <w:szCs w:val="15"/>
          <w:color w:val="auto"/>
        </w:rPr>
        <w:t>An aggregate of 1,210,256 shares of our common stock will initially be available for issuance under the 2016 Plan. The number of shares initially available</w:t>
      </w:r>
      <w:r>
        <w:rPr>
          <w:rFonts w:ascii="Arial" w:cs="Arial" w:eastAsia="Arial" w:hAnsi="Arial"/>
          <w:sz w:val="15"/>
          <w:szCs w:val="15"/>
          <w:i w:val="1"/>
          <w:iCs w:val="1"/>
          <w:color w:val="auto"/>
        </w:rPr>
        <w:t xml:space="preserve"> </w:t>
      </w:r>
      <w:r>
        <w:rPr>
          <w:rFonts w:ascii="Arial" w:cs="Arial" w:eastAsia="Arial" w:hAnsi="Arial"/>
          <w:sz w:val="15"/>
          <w:szCs w:val="15"/>
          <w:color w:val="auto"/>
        </w:rPr>
        <w:t>for issuance will be increased by an annual increase on January 1 of each calendar year beginning in 2017 and ending in and including 2026, equal to the least of (A) 4% of the shares of common stock outstanding on the final day of the immediately preceding calendar year and (B) a smaller number of shares determined by our board of directors. No more than 8,133,333 shares of common stock may be issued under the 2016 Plan upon the exercise of incentive stock options. Shares issued under the 2016 Plan may be authorized but unissued shares, shares purchased on the open market or treasury shares.</w:t>
      </w:r>
    </w:p>
    <w:p>
      <w:pPr>
        <w:spacing w:after="0" w:line="167" w:lineRule="exact"/>
        <w:rPr>
          <w:sz w:val="20"/>
          <w:szCs w:val="20"/>
          <w:color w:val="auto"/>
        </w:rPr>
      </w:pPr>
    </w:p>
    <w:p>
      <w:pPr>
        <w:ind w:right="40"/>
        <w:spacing w:after="0" w:line="319" w:lineRule="auto"/>
        <w:rPr>
          <w:sz w:val="20"/>
          <w:szCs w:val="20"/>
          <w:color w:val="auto"/>
        </w:rPr>
      </w:pPr>
      <w:r>
        <w:rPr>
          <w:rFonts w:ascii="Arial" w:cs="Arial" w:eastAsia="Arial" w:hAnsi="Arial"/>
          <w:sz w:val="13"/>
          <w:szCs w:val="13"/>
          <w:color w:val="auto"/>
        </w:rPr>
        <w:t>If an award under the 2016 Plan or the 2008 Plan expires, lapses or is terminated, exchanged for cash, surrendered, repurchased, canceled without having been fully exercised or forfeited, any unused shares subject to the award will, as applicable, become or again be available for new grants under the 2016 Plan. Awards granted under the 2016 Plan in substitution for any options or other stock or stock-based awards granted by an entity before the entity's merger or consolidation with us or our acquisition of the entity's property or stock will not reduce the shares available for grant under the 2016 Plan, but will count against the maximum number of shares that may be issued upon the exercise of incentive stock options.</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4"/>
          <w:szCs w:val="14"/>
          <w:i w:val="1"/>
          <w:iCs w:val="1"/>
          <w:color w:val="auto"/>
        </w:rPr>
        <w:t xml:space="preserve">Awards. </w:t>
      </w:r>
      <w:r>
        <w:rPr>
          <w:rFonts w:ascii="Arial" w:cs="Arial" w:eastAsia="Arial" w:hAnsi="Arial"/>
          <w:sz w:val="14"/>
          <w:szCs w:val="14"/>
          <w:color w:val="auto"/>
        </w:rPr>
        <w:t>The 2016 Plan provides for the grant of stock options, including incentive stock options, or ISOs, and nonqualified stock options, or NSOs, stock appreciation rights, or SARs,</w:t>
      </w:r>
      <w:r>
        <w:rPr>
          <w:rFonts w:ascii="Arial" w:cs="Arial" w:eastAsia="Arial" w:hAnsi="Arial"/>
          <w:sz w:val="14"/>
          <w:szCs w:val="14"/>
          <w:i w:val="1"/>
          <w:iCs w:val="1"/>
          <w:color w:val="auto"/>
        </w:rPr>
        <w:t xml:space="preserve"> </w:t>
      </w:r>
      <w:r>
        <w:rPr>
          <w:rFonts w:ascii="Arial" w:cs="Arial" w:eastAsia="Arial" w:hAnsi="Arial"/>
          <w:sz w:val="14"/>
          <w:szCs w:val="14"/>
          <w:color w:val="auto"/>
        </w:rPr>
        <w:t>restricted stock, dividend equivalents, restricted stock units, or RSUs, and other stock or cash based awards. Certain awards under the 2016 Plan may constitute or provide for payment of "nonqualified deferred compensation" under Section 409A of the Code. All awards under the 2016 Plan will be set forth in award agreements, which will detail the terms and conditions of awards, including any applicable vesting and payment terms and post-termination exercise limitations. A brief description of each award type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sectPr>
      </w:pPr>
    </w:p>
    <w:bookmarkStart w:id="195" w:name="page196"/>
    <w:bookmarkEnd w:id="19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60" w:hanging="467"/>
        <w:spacing w:after="0" w:line="299" w:lineRule="auto"/>
        <w:tabs>
          <w:tab w:leader="none" w:pos="467" w:val="left"/>
        </w:tabs>
        <w:numPr>
          <w:ilvl w:val="0"/>
          <w:numId w:val="109"/>
        </w:numPr>
        <w:rPr>
          <w:rFonts w:ascii="Arial" w:cs="Arial" w:eastAsia="Arial" w:hAnsi="Arial"/>
          <w:sz w:val="13"/>
          <w:szCs w:val="13"/>
          <w:color w:val="auto"/>
        </w:rPr>
      </w:pPr>
      <w:r>
        <w:rPr>
          <w:rFonts w:ascii="Arial" w:cs="Arial" w:eastAsia="Arial" w:hAnsi="Arial"/>
          <w:sz w:val="13"/>
          <w:szCs w:val="13"/>
          <w:i w:val="1"/>
          <w:iCs w:val="1"/>
          <w:color w:val="auto"/>
        </w:rPr>
        <w:t xml:space="preserve">Stock options and SARs. </w:t>
      </w:r>
      <w:r>
        <w:rPr>
          <w:rFonts w:ascii="Arial" w:cs="Arial" w:eastAsia="Arial" w:hAnsi="Arial"/>
          <w:sz w:val="13"/>
          <w:szCs w:val="13"/>
          <w:color w:val="auto"/>
        </w:rPr>
        <w:t>Stock options provide for the purchase of shares of our common stock in the future at an exercise price set on the grant date. ISOs, in contrast to NSOs, may</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w:t>
      </w:r>
    </w:p>
    <w:p>
      <w:pPr>
        <w:spacing w:after="0" w:line="1" w:lineRule="exact"/>
        <w:rPr>
          <w:sz w:val="20"/>
          <w:szCs w:val="20"/>
          <w:color w:val="auto"/>
        </w:rPr>
      </w:pPr>
    </w:p>
    <w:p>
      <w:pPr>
        <w:ind w:left="467" w:right="20"/>
        <w:spacing w:after="0" w:line="297" w:lineRule="auto"/>
        <w:rPr>
          <w:sz w:val="20"/>
          <w:szCs w:val="20"/>
          <w:color w:val="auto"/>
        </w:rPr>
      </w:pPr>
      <w:r>
        <w:rPr>
          <w:rFonts w:ascii="Arial" w:cs="Arial" w:eastAsia="Arial" w:hAnsi="Arial"/>
          <w:sz w:val="13"/>
          <w:szCs w:val="13"/>
          <w:color w:val="auto"/>
        </w:rPr>
        <w:t>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 The maximum aggregate number of shares of common</w:t>
      </w:r>
    </w:p>
    <w:p>
      <w:pPr>
        <w:spacing w:after="0" w:line="1" w:lineRule="exact"/>
        <w:rPr>
          <w:sz w:val="20"/>
          <w:szCs w:val="20"/>
          <w:color w:val="auto"/>
        </w:rPr>
      </w:pPr>
    </w:p>
    <w:p>
      <w:pPr>
        <w:ind w:left="467"/>
        <w:spacing w:after="0"/>
        <w:tabs>
          <w:tab w:leader="none" w:pos="9607" w:val="left"/>
        </w:tabs>
        <w:rPr>
          <w:sz w:val="20"/>
          <w:szCs w:val="20"/>
          <w:color w:val="auto"/>
        </w:rPr>
      </w:pPr>
      <w:r>
        <w:rPr>
          <w:rFonts w:ascii="Arial" w:cs="Arial" w:eastAsia="Arial" w:hAnsi="Arial"/>
          <w:sz w:val="15"/>
          <w:szCs w:val="15"/>
          <w:color w:val="auto"/>
        </w:rPr>
        <w:t>stock with respect to one or more options or SARs that may be granted to any one person during any fiscal year of the company will be</w:t>
      </w:r>
      <w:r>
        <w:rPr>
          <w:sz w:val="20"/>
          <w:szCs w:val="20"/>
          <w:color w:val="auto"/>
        </w:rPr>
        <w:tab/>
      </w:r>
      <w:r>
        <w:rPr>
          <w:rFonts w:ascii="Arial" w:cs="Arial" w:eastAsia="Arial" w:hAnsi="Arial"/>
          <w:sz w:val="14"/>
          <w:szCs w:val="14"/>
          <w:color w:val="auto"/>
        </w:rPr>
        <w:t>.</w:t>
      </w:r>
    </w:p>
    <w:p>
      <w:pPr>
        <w:spacing w:after="0" w:line="216" w:lineRule="exact"/>
        <w:rPr>
          <w:sz w:val="20"/>
          <w:szCs w:val="20"/>
          <w:color w:val="auto"/>
        </w:rPr>
      </w:pPr>
    </w:p>
    <w:p>
      <w:pPr>
        <w:ind w:left="467" w:right="60" w:hanging="467"/>
        <w:spacing w:after="0" w:line="313" w:lineRule="auto"/>
        <w:tabs>
          <w:tab w:leader="none" w:pos="467" w:val="left"/>
        </w:tabs>
        <w:numPr>
          <w:ilvl w:val="0"/>
          <w:numId w:val="110"/>
        </w:numPr>
        <w:rPr>
          <w:rFonts w:ascii="Arial" w:cs="Arial" w:eastAsia="Arial" w:hAnsi="Arial"/>
          <w:sz w:val="13"/>
          <w:szCs w:val="13"/>
          <w:color w:val="auto"/>
        </w:rPr>
      </w:pPr>
      <w:r>
        <w:rPr>
          <w:rFonts w:ascii="Arial" w:cs="Arial" w:eastAsia="Arial" w:hAnsi="Arial"/>
          <w:sz w:val="13"/>
          <w:szCs w:val="13"/>
          <w:i w:val="1"/>
          <w:iCs w:val="1"/>
          <w:color w:val="auto"/>
        </w:rPr>
        <w:t xml:space="preserve">Restricted stock and RSUs. </w:t>
      </w:r>
      <w:r>
        <w:rPr>
          <w:rFonts w:ascii="Arial" w:cs="Arial" w:eastAsia="Arial" w:hAnsi="Arial"/>
          <w:sz w:val="13"/>
          <w:szCs w:val="13"/>
          <w:color w:val="auto"/>
        </w:rPr>
        <w:t>Restricted stock is an award of nontransferable shares of our common stock that remain forfeitable unless and until specified conditions are met and</w:t>
      </w:r>
      <w:r>
        <w:rPr>
          <w:rFonts w:ascii="Arial" w:cs="Arial" w:eastAsia="Arial" w:hAnsi="Arial"/>
          <w:sz w:val="13"/>
          <w:szCs w:val="13"/>
          <w:i w:val="1"/>
          <w:iCs w:val="1"/>
          <w:color w:val="auto"/>
        </w:rPr>
        <w:t xml:space="preserve"> </w:t>
      </w:r>
      <w:r>
        <w:rPr>
          <w:rFonts w:ascii="Arial" w:cs="Arial" w:eastAsia="Arial" w:hAnsi="Arial"/>
          <w:sz w:val="13"/>
          <w:szCs w:val="13"/>
          <w:color w:val="auto"/>
        </w:rPr>
        <w:t>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2016 Plan.</w:t>
      </w:r>
    </w:p>
    <w:p>
      <w:pPr>
        <w:spacing w:after="0" w:line="148" w:lineRule="exact"/>
        <w:rPr>
          <w:rFonts w:ascii="Arial" w:cs="Arial" w:eastAsia="Arial" w:hAnsi="Arial"/>
          <w:sz w:val="13"/>
          <w:szCs w:val="13"/>
          <w:color w:val="auto"/>
        </w:rPr>
      </w:pPr>
    </w:p>
    <w:p>
      <w:pPr>
        <w:ind w:left="467" w:right="160" w:hanging="467"/>
        <w:spacing w:after="0" w:line="319" w:lineRule="auto"/>
        <w:tabs>
          <w:tab w:leader="none" w:pos="467" w:val="left"/>
        </w:tabs>
        <w:numPr>
          <w:ilvl w:val="0"/>
          <w:numId w:val="110"/>
        </w:numPr>
        <w:rPr>
          <w:rFonts w:ascii="Arial" w:cs="Arial" w:eastAsia="Arial" w:hAnsi="Arial"/>
          <w:sz w:val="13"/>
          <w:szCs w:val="13"/>
          <w:color w:val="auto"/>
        </w:rPr>
      </w:pPr>
      <w:r>
        <w:rPr>
          <w:rFonts w:ascii="Arial" w:cs="Arial" w:eastAsia="Arial" w:hAnsi="Arial"/>
          <w:sz w:val="13"/>
          <w:szCs w:val="13"/>
          <w:i w:val="1"/>
          <w:iCs w:val="1"/>
          <w:color w:val="auto"/>
        </w:rPr>
        <w:t xml:space="preserve">Other stock or cash based awards. </w:t>
      </w:r>
      <w:r>
        <w:rPr>
          <w:rFonts w:ascii="Arial" w:cs="Arial" w:eastAsia="Arial" w:hAnsi="Arial"/>
          <w:sz w:val="13"/>
          <w:szCs w:val="13"/>
          <w:color w:val="auto"/>
        </w:rPr>
        <w:t>Other stock or cash based awards are awards of cash, fully vested shares of our common stock and other awards valued wholly or partially by</w:t>
      </w:r>
      <w:r>
        <w:rPr>
          <w:rFonts w:ascii="Arial" w:cs="Arial" w:eastAsia="Arial" w:hAnsi="Arial"/>
          <w:sz w:val="13"/>
          <w:szCs w:val="13"/>
          <w:i w:val="1"/>
          <w:iCs w:val="1"/>
          <w:color w:val="auto"/>
        </w:rPr>
        <w:t xml:space="preserve"> </w:t>
      </w:r>
      <w:r>
        <w:rPr>
          <w:rFonts w:ascii="Arial" w:cs="Arial" w:eastAsia="Arial" w:hAnsi="Arial"/>
          <w:sz w:val="13"/>
          <w:szCs w:val="13"/>
          <w:color w:val="auto"/>
        </w:rPr>
        <w:t>referring to, or otherwise based on, shares of our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32" w:lineRule="exact"/>
        <w:rPr>
          <w:sz w:val="20"/>
          <w:szCs w:val="20"/>
          <w:color w:val="auto"/>
        </w:rPr>
      </w:pPr>
    </w:p>
    <w:p>
      <w:pPr>
        <w:ind w:left="7" w:right="100"/>
        <w:spacing w:after="0" w:line="281" w:lineRule="auto"/>
        <w:rPr>
          <w:sz w:val="20"/>
          <w:szCs w:val="20"/>
          <w:color w:val="auto"/>
        </w:rPr>
      </w:pPr>
      <w:r>
        <w:rPr>
          <w:rFonts w:ascii="Arial" w:cs="Arial" w:eastAsia="Arial" w:hAnsi="Arial"/>
          <w:sz w:val="14"/>
          <w:szCs w:val="14"/>
          <w:i w:val="1"/>
          <w:iCs w:val="1"/>
          <w:color w:val="auto"/>
        </w:rPr>
        <w:t xml:space="preserve">Performance criteria. </w:t>
      </w:r>
      <w:r>
        <w:rPr>
          <w:rFonts w:ascii="Arial" w:cs="Arial" w:eastAsia="Arial" w:hAnsi="Arial"/>
          <w:sz w:val="14"/>
          <w:szCs w:val="14"/>
          <w:color w:val="auto"/>
        </w:rPr>
        <w:t>The plan administrator may select performance criteria for an award to establish performance goals for a performance period. Performance criteria under the 2016</w:t>
      </w:r>
      <w:r>
        <w:rPr>
          <w:rFonts w:ascii="Arial" w:cs="Arial" w:eastAsia="Arial" w:hAnsi="Arial"/>
          <w:sz w:val="14"/>
          <w:szCs w:val="14"/>
          <w:i w:val="1"/>
          <w:iCs w:val="1"/>
          <w:color w:val="auto"/>
        </w:rPr>
        <w:t xml:space="preserve"> </w:t>
      </w:r>
      <w:r>
        <w:rPr>
          <w:rFonts w:ascii="Arial" w:cs="Arial" w:eastAsia="Arial" w:hAnsi="Arial"/>
          <w:sz w:val="14"/>
          <w:szCs w:val="14"/>
          <w:color w:val="auto"/>
        </w:rPr>
        <w:t>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266305"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6" w:name="page197"/>
    <w:bookmarkEnd w:id="19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57" w:lineRule="exact"/>
        <w:rPr>
          <w:sz w:val="20"/>
          <w:szCs w:val="20"/>
          <w:color w:val="auto"/>
        </w:rPr>
      </w:pPr>
    </w:p>
    <w:p>
      <w:pPr>
        <w:ind w:right="100"/>
        <w:spacing w:after="0" w:line="284"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In connection with certain corporate transactions and events affecting our common stock, including a change in control, or change in any applicable laws or</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principles, the plan administrator has broad discretion to take action under the 2016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2016 Plan and replacing or terminating awards under the 2016 Plan. In addition, in the event of certain non-reciprocal transactions with our stockholders, the plan administrator will make equitable adjustments to the 2016 Plan and outstanding awards as it deems appropriate to reflect the transaction.</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5"/>
          <w:szCs w:val="15"/>
          <w:i w:val="1"/>
          <w:iCs w:val="1"/>
          <w:color w:val="auto"/>
        </w:rPr>
        <w:t xml:space="preserve">Provisions of the 2016 Plan Relating to Director Compensation. </w:t>
      </w:r>
      <w:r>
        <w:rPr>
          <w:rFonts w:ascii="Arial" w:cs="Arial" w:eastAsia="Arial" w:hAnsi="Arial"/>
          <w:sz w:val="15"/>
          <w:szCs w:val="15"/>
          <w:color w:val="auto"/>
        </w:rPr>
        <w:t>The 2016 Plan provides that the plan administrator may establish compensation for non-employee directors from time to</w:t>
      </w:r>
      <w:r>
        <w:rPr>
          <w:rFonts w:ascii="Arial" w:cs="Arial" w:eastAsia="Arial" w:hAnsi="Arial"/>
          <w:sz w:val="15"/>
          <w:szCs w:val="15"/>
          <w:i w:val="1"/>
          <w:iCs w:val="1"/>
          <w:color w:val="auto"/>
        </w:rPr>
        <w:t xml:space="preserve"> </w:t>
      </w:r>
      <w:r>
        <w:rPr>
          <w:rFonts w:ascii="Arial" w:cs="Arial" w:eastAsia="Arial" w:hAnsi="Arial"/>
          <w:sz w:val="15"/>
          <w:szCs w:val="15"/>
          <w:color w:val="auto"/>
        </w:rPr>
        <w:t>time subject to the 2016 Plan's limitations. Prior to commencing this offering, our stockholders approved the initial terms of our non-employee director compensation program, which is described below under the heading "Director Compensation." Our board of directors or its authorized committee may modify the non-employee director compensation program from time to time in the exercise of its business judgment, taking into account such factors, circumstances and considerations as it shall deem relevant from time to time, provided that the sum of any cash compensation or other compensation and the grant date fair value of any equity awards granted under the 2016 Plan as compensation for services as a non-employee director during any fiscal year may not exceed $1,000,000 in the fiscal year of a non-employee director's initial service as a non-employee director or $750,000 in any subsequent fiscal year. The plan administrator may make exceptions to this limit for individual non-employee directors in extraordinary circumstances, as the plan administrator may determine in its discretion, subject to the limitations in the 2016 Plan.</w:t>
      </w:r>
    </w:p>
    <w:p>
      <w:pPr>
        <w:spacing w:after="0" w:line="167"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i w:val="1"/>
          <w:iCs w:val="1"/>
          <w:color w:val="auto"/>
        </w:rPr>
        <w:t xml:space="preserve">Plan amendment and termination. </w:t>
      </w:r>
      <w:r>
        <w:rPr>
          <w:rFonts w:ascii="Arial" w:cs="Arial" w:eastAsia="Arial" w:hAnsi="Arial"/>
          <w:sz w:val="14"/>
          <w:szCs w:val="14"/>
          <w:color w:val="auto"/>
        </w:rPr>
        <w:t>Our board of directors may amend or terminate the 2016 Plan at any time; however, no amendment, other than an amendment that increases the number</w:t>
      </w:r>
      <w:r>
        <w:rPr>
          <w:rFonts w:ascii="Arial" w:cs="Arial" w:eastAsia="Arial" w:hAnsi="Arial"/>
          <w:sz w:val="14"/>
          <w:szCs w:val="14"/>
          <w:i w:val="1"/>
          <w:iCs w:val="1"/>
          <w:color w:val="auto"/>
        </w:rPr>
        <w:t xml:space="preserve"> </w:t>
      </w:r>
      <w:r>
        <w:rPr>
          <w:rFonts w:ascii="Arial" w:cs="Arial" w:eastAsia="Arial" w:hAnsi="Arial"/>
          <w:sz w:val="14"/>
          <w:szCs w:val="14"/>
          <w:color w:val="auto"/>
        </w:rPr>
        <w:t>of shares available under the 2016 Plan, may materially and adversely affect an award outstanding under the 2016 Plan without the consent of the affected participant and stockholder approval will be obtained for any amendment to the extent necessary to comply with applicable laws. Further, the plan administrator can, without the approval of our stockholders, amend any outstanding stock option or SAR to reduce its price per share. The 2016 Plan will remain in effect until the tenth anniversary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7" w:name="page198"/>
    <w:bookmarkEnd w:id="19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effective date, unless earlier terminated by our board of directors. No awards may be granted under the 2016 Plan after its termination.</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5"/>
          <w:szCs w:val="15"/>
          <w:i w:val="1"/>
          <w:iCs w:val="1"/>
          <w:color w:val="auto"/>
        </w:rPr>
        <w:t xml:space="preserve">Foreign participants, claw-back provisions, transferability and participant payments. </w:t>
      </w:r>
      <w:r>
        <w:rPr>
          <w:rFonts w:ascii="Arial" w:cs="Arial" w:eastAsia="Arial" w:hAnsi="Arial"/>
          <w:sz w:val="15"/>
          <w:szCs w:val="15"/>
          <w:color w:val="auto"/>
        </w:rPr>
        <w:t>The plan administrator may modify awards granted to participants who are foreign nationals or</w:t>
      </w:r>
      <w:r>
        <w:rPr>
          <w:rFonts w:ascii="Arial" w:cs="Arial" w:eastAsia="Arial" w:hAnsi="Arial"/>
          <w:sz w:val="15"/>
          <w:szCs w:val="15"/>
          <w:i w:val="1"/>
          <w:iCs w:val="1"/>
          <w:color w:val="auto"/>
        </w:rPr>
        <w:t xml:space="preserve"> </w:t>
      </w:r>
      <w:r>
        <w:rPr>
          <w:rFonts w:ascii="Arial" w:cs="Arial" w:eastAsia="Arial" w:hAnsi="Arial"/>
          <w:sz w:val="15"/>
          <w:szCs w:val="15"/>
          <w:color w:val="auto"/>
        </w:rPr>
        <w:t>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2016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2016 Plan, and exercise price obligations arising in connection with the exercise of stock options under the 2016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Employee Stock Purchase Plan</w:t>
      </w:r>
    </w:p>
    <w:p>
      <w:pPr>
        <w:spacing w:after="0" w:line="195"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Effective the day prior to the first public trading date of our common stock, we adopted and our stockholders approved the 2016 Employee Stock Purchase Plan, or the 2016 ESPP. The material terms of the 2016 ESPP are summarized below.</w:t>
      </w:r>
    </w:p>
    <w:p>
      <w:pPr>
        <w:spacing w:after="0" w:line="151"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i w:val="1"/>
          <w:iCs w:val="1"/>
          <w:color w:val="auto"/>
        </w:rPr>
        <w:t xml:space="preserve">Shares available for awards; administration. </w:t>
      </w:r>
      <w:r>
        <w:rPr>
          <w:rFonts w:ascii="Arial" w:cs="Arial" w:eastAsia="Arial" w:hAnsi="Arial"/>
          <w:sz w:val="15"/>
          <w:szCs w:val="15"/>
          <w:color w:val="auto"/>
        </w:rPr>
        <w:t>A total of 173,076 shares of our common stock will initially be reserved for issuance under the 2016 ESPP. In addition, the number of shares</w:t>
      </w:r>
      <w:r>
        <w:rPr>
          <w:rFonts w:ascii="Arial" w:cs="Arial" w:eastAsia="Arial" w:hAnsi="Arial"/>
          <w:sz w:val="15"/>
          <w:szCs w:val="15"/>
          <w:i w:val="1"/>
          <w:iCs w:val="1"/>
          <w:color w:val="auto"/>
        </w:rPr>
        <w:t xml:space="preserve"> </w:t>
      </w:r>
      <w:r>
        <w:rPr>
          <w:rFonts w:ascii="Arial" w:cs="Arial" w:eastAsia="Arial" w:hAnsi="Arial"/>
          <w:sz w:val="15"/>
          <w:szCs w:val="15"/>
          <w:color w:val="auto"/>
        </w:rPr>
        <w:t>available for issuance under the 2016 ESPP will be annually increased on January 1 of each calendar year beginning in 2017 and ending in and including 2026, by an amount equal to the least of (A) 1% of the shares outstanding on the final day of the immediately preceding calendar year and (B) such smaller number of shares as is determined by our board of directors, provided that no more than 1,903,846 shares of our common stock may be issued under the 2016 ESPP. The foregoing numbers are subject to adjustment in certain events, as described below.</w:t>
      </w:r>
    </w:p>
    <w:p>
      <w:pPr>
        <w:spacing w:after="0" w:line="167" w:lineRule="exact"/>
        <w:rPr>
          <w:sz w:val="20"/>
          <w:szCs w:val="20"/>
          <w:color w:val="auto"/>
        </w:rPr>
      </w:pPr>
    </w:p>
    <w:p>
      <w:pPr>
        <w:ind w:right="480"/>
        <w:spacing w:after="0" w:line="282" w:lineRule="auto"/>
        <w:rPr>
          <w:sz w:val="20"/>
          <w:szCs w:val="20"/>
          <w:color w:val="auto"/>
        </w:rPr>
      </w:pPr>
      <w:r>
        <w:rPr>
          <w:rFonts w:ascii="Arial" w:cs="Arial" w:eastAsia="Arial" w:hAnsi="Arial"/>
          <w:sz w:val="15"/>
          <w:szCs w:val="15"/>
          <w:color w:val="auto"/>
        </w:rPr>
        <w:t>Our board of directors or a committee of our board of directors will have authority to interpret the terms of the 2016 ESPP and determine eligibility of participants. We expect that the compensation committee will be the initial administrator of the 2016 ESPP.</w:t>
      </w:r>
    </w:p>
    <w:p>
      <w:pPr>
        <w:spacing w:after="0" w:line="151"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Our employees are eligible to participate in the 2016 ESPP if they are customarily employed by us or a participating subsidiary for more than 20 hours per week and more than</w:t>
      </w:r>
      <w:r>
        <w:rPr>
          <w:rFonts w:ascii="Arial" w:cs="Arial" w:eastAsia="Arial" w:hAnsi="Arial"/>
          <w:sz w:val="14"/>
          <w:szCs w:val="14"/>
          <w:i w:val="1"/>
          <w:iCs w:val="1"/>
          <w:color w:val="auto"/>
        </w:rPr>
        <w:t xml:space="preserve"> </w:t>
      </w:r>
      <w:r>
        <w:rPr>
          <w:rFonts w:ascii="Arial" w:cs="Arial" w:eastAsia="Arial" w:hAnsi="Arial"/>
          <w:sz w:val="14"/>
          <w:szCs w:val="14"/>
          <w:color w:val="auto"/>
        </w:rPr>
        <w:t>five months in any calendar year. However, an employee may not be granted rights to purchase stock under our 2016 ESPP if such employee, immediately after the grant, would own (directly or through attribution) stock possessing 5% or more of the total combined voting power or value of all classes of our common or other class of stock.</w:t>
      </w:r>
    </w:p>
    <w:p>
      <w:pPr>
        <w:spacing w:after="0" w:line="144"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i w:val="1"/>
          <w:iCs w:val="1"/>
          <w:color w:val="auto"/>
        </w:rPr>
        <w:t xml:space="preserve">Grant of rights. </w:t>
      </w:r>
      <w:r>
        <w:rPr>
          <w:rFonts w:ascii="Arial" w:cs="Arial" w:eastAsia="Arial" w:hAnsi="Arial"/>
          <w:sz w:val="14"/>
          <w:szCs w:val="14"/>
          <w:color w:val="auto"/>
        </w:rPr>
        <w:t>The 2016 ESPP is intended to qualify under Section 423 of the Code and stock will be offered under the 2016 ESPP during offering periods. The length of the offering</w:t>
      </w:r>
      <w:r>
        <w:rPr>
          <w:rFonts w:ascii="Arial" w:cs="Arial" w:eastAsia="Arial" w:hAnsi="Arial"/>
          <w:sz w:val="14"/>
          <w:szCs w:val="14"/>
          <w:i w:val="1"/>
          <w:iCs w:val="1"/>
          <w:color w:val="auto"/>
        </w:rPr>
        <w:t xml:space="preserve"> </w:t>
      </w:r>
      <w:r>
        <w:rPr>
          <w:rFonts w:ascii="Arial" w:cs="Arial" w:eastAsia="Arial" w:hAnsi="Arial"/>
          <w:sz w:val="14"/>
          <w:szCs w:val="14"/>
          <w:color w:val="auto"/>
        </w:rPr>
        <w:t>periods under the 2016 ESPP will be determined by the plan administrator and may be up to 27 months long. Employee payroll deductions will be used to purchase shares on each purchase date during an offering period. The purchase dates for each offering period will be the final trading day in the offering period. Offering periods under the 2016 ESPP will commence when determined by the plan administrator. The plan administrator may, in its discretion, modify the terms of future offering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8" w:name="page199"/>
    <w:bookmarkEnd w:id="19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313" w:lineRule="auto"/>
        <w:rPr>
          <w:sz w:val="20"/>
          <w:szCs w:val="20"/>
          <w:color w:val="auto"/>
        </w:rPr>
      </w:pPr>
      <w:r>
        <w:rPr>
          <w:rFonts w:ascii="Arial" w:cs="Arial" w:eastAsia="Arial" w:hAnsi="Arial"/>
          <w:sz w:val="13"/>
          <w:szCs w:val="13"/>
          <w:color w:val="auto"/>
        </w:rPr>
        <w:t>The 2016 ESPP permits participants to purchase common stock through payroll deductions of up to 25% of their eligible compensation, which includes a participant's gross base compensation for services to us, including overtime payments and excluding sales commissions, incentive compensation, bonuses, expense reimbursements, fringe benefits and other special payments. The plan administrator will establish a maximum number of shares that may be purchased by a participant during any offering period, which, in the absence of a contrary designation, will be 6,410 shares. In addition, no employee will be permitted to accrue the right to purchase stock under the 2016 ESPP at a rate in excess of $25,000 worth of shares during any calendar year during which such a purchase right is outstanding (based on the fair market value per share of our common stock as of the first day of the offering period).</w:t>
      </w:r>
    </w:p>
    <w:p>
      <w:pPr>
        <w:spacing w:after="0" w:line="137"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On the first trading day of each offering period, each participant will automatically be granted an option to purchase shares of our common stock. The option will expire at the end of the applicable offering period, and will be exercised at that time to the extent of the payroll deductions accumulated during the offering period. The purchase price of the shares, in the absence of a contrary designation, will be 85% of the lower of the fair market value of our common stock on the first trading day of the offering period or on the purchase date, which will be the final trading day of the offering period. Participants may voluntarily end their participation in the 2016 ESPP at any time at least one week prior to the end of the applicable offering period, and will be paid their accrued payroll deductions that have not yet been used to purchase shares of common stock. Participation ends automatically upon a participant's termination of employment.</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A participant may not transfer rights granted under the 2016 ESPP other than by will or the laws of descent and distribution.</w:t>
      </w:r>
    </w:p>
    <w:p>
      <w:pPr>
        <w:spacing w:after="0" w:line="198" w:lineRule="exact"/>
        <w:rPr>
          <w:sz w:val="20"/>
          <w:szCs w:val="20"/>
          <w:color w:val="auto"/>
        </w:rPr>
      </w:pPr>
    </w:p>
    <w:p>
      <w:pPr>
        <w:ind w:left="7" w:right="80"/>
        <w:spacing w:after="0" w:line="299" w:lineRule="auto"/>
        <w:rPr>
          <w:sz w:val="20"/>
          <w:szCs w:val="20"/>
          <w:color w:val="auto"/>
        </w:rPr>
      </w:pPr>
      <w:r>
        <w:rPr>
          <w:rFonts w:ascii="Arial" w:cs="Arial" w:eastAsia="Arial" w:hAnsi="Arial"/>
          <w:sz w:val="13"/>
          <w:szCs w:val="13"/>
          <w:i w:val="1"/>
          <w:iCs w:val="1"/>
          <w:color w:val="auto"/>
        </w:rPr>
        <w:t xml:space="preserve">Certain transactions. </w:t>
      </w:r>
      <w:r>
        <w:rPr>
          <w:rFonts w:ascii="Arial" w:cs="Arial" w:eastAsia="Arial" w:hAnsi="Arial"/>
          <w:sz w:val="13"/>
          <w:szCs w:val="13"/>
          <w:color w:val="auto"/>
        </w:rPr>
        <w:t>In the event of certain non-reciprocal transactions or events affecting our common stock known as "equity restructurings," the plan administrator will make equitable</w:t>
      </w:r>
      <w:r>
        <w:rPr>
          <w:rFonts w:ascii="Arial" w:cs="Arial" w:eastAsia="Arial" w:hAnsi="Arial"/>
          <w:sz w:val="13"/>
          <w:szCs w:val="13"/>
          <w:i w:val="1"/>
          <w:iCs w:val="1"/>
          <w:color w:val="auto"/>
        </w:rPr>
        <w:t xml:space="preserve"> </w:t>
      </w:r>
      <w:r>
        <w:rPr>
          <w:rFonts w:ascii="Arial" w:cs="Arial" w:eastAsia="Arial" w:hAnsi="Arial"/>
          <w:sz w:val="13"/>
          <w:szCs w:val="13"/>
          <w:color w:val="auto"/>
        </w:rPr>
        <w:t>adjustments to the 2016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w:t>
      </w:r>
    </w:p>
    <w:p>
      <w:pPr>
        <w:spacing w:after="0" w:line="1" w:lineRule="exact"/>
        <w:rPr>
          <w:sz w:val="20"/>
          <w:szCs w:val="20"/>
          <w:color w:val="auto"/>
        </w:rPr>
      </w:pPr>
    </w:p>
    <w:p>
      <w:pPr>
        <w:ind w:left="7" w:right="200" w:hanging="7"/>
        <w:spacing w:after="0" w:line="275" w:lineRule="auto"/>
        <w:tabs>
          <w:tab w:leader="none" w:pos="221"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56"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i w:val="1"/>
          <w:iCs w:val="1"/>
          <w:color w:val="auto"/>
        </w:rPr>
        <w:t xml:space="preserve">Plan amendment. </w:t>
      </w:r>
      <w:r>
        <w:rPr>
          <w:rFonts w:ascii="Arial" w:cs="Arial" w:eastAsia="Arial" w:hAnsi="Arial"/>
          <w:sz w:val="15"/>
          <w:szCs w:val="15"/>
          <w:color w:val="auto"/>
        </w:rPr>
        <w:t>The plan administrator may amend, suspend or terminate the 2016 ESPP at any time. However, stockholder approval of any amendment to the 2016 ESPP will be</w:t>
      </w:r>
      <w:r>
        <w:rPr>
          <w:rFonts w:ascii="Arial" w:cs="Arial" w:eastAsia="Arial" w:hAnsi="Arial"/>
          <w:sz w:val="15"/>
          <w:szCs w:val="15"/>
          <w:i w:val="1"/>
          <w:iCs w:val="1"/>
          <w:color w:val="auto"/>
        </w:rPr>
        <w:t xml:space="preserve"> </w:t>
      </w:r>
      <w:r>
        <w:rPr>
          <w:rFonts w:ascii="Arial" w:cs="Arial" w:eastAsia="Arial" w:hAnsi="Arial"/>
          <w:sz w:val="15"/>
          <w:szCs w:val="15"/>
          <w:color w:val="auto"/>
        </w:rPr>
        <w:t>obtained for any amendment which increases the aggregate number or changes the type of shares that may be sold pursuant to rights under the 2016 ESPP, changes the corporations or classes of corporations whose employees are eligible to participate in the 2016 ESPP or changes the 2016 ESPP in any manner that would cause the 2016 ESPP to no longer be an employee stock purchase plan within the meaning of Section 423(b) of the Code.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2008 Plan</w:t>
      </w:r>
    </w:p>
    <w:p>
      <w:pPr>
        <w:spacing w:after="0" w:line="195" w:lineRule="exact"/>
        <w:rPr>
          <w:sz w:val="20"/>
          <w:szCs w:val="20"/>
          <w:color w:val="auto"/>
        </w:rPr>
      </w:pPr>
    </w:p>
    <w:p>
      <w:pPr>
        <w:ind w:left="7" w:right="500"/>
        <w:spacing w:after="0" w:line="319" w:lineRule="auto"/>
        <w:rPr>
          <w:sz w:val="20"/>
          <w:szCs w:val="20"/>
          <w:color w:val="auto"/>
        </w:rPr>
      </w:pPr>
      <w:r>
        <w:rPr>
          <w:rFonts w:ascii="Arial" w:cs="Arial" w:eastAsia="Arial" w:hAnsi="Arial"/>
          <w:sz w:val="14"/>
          <w:szCs w:val="14"/>
          <w:color w:val="auto"/>
        </w:rPr>
        <w:t>Our board of directors and stockholders have approved the 2008 Plan, under which we may grant stock options and restricted stock awards to employees, directors and consultants or advisors of our company or its affiliates. We had reserved a total of 2,200,592 shares of our common stock for issuance under the 2008 Plan as of June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66305"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9" w:name="page200"/>
    <w:bookmarkEnd w:id="19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20"/>
        <w:spacing w:after="0" w:line="297" w:lineRule="auto"/>
        <w:rPr>
          <w:sz w:val="20"/>
          <w:szCs w:val="20"/>
          <w:color w:val="auto"/>
        </w:rPr>
      </w:pPr>
      <w:r>
        <w:rPr>
          <w:rFonts w:ascii="Arial" w:cs="Arial" w:eastAsia="Arial" w:hAnsi="Arial"/>
          <w:sz w:val="14"/>
          <w:szCs w:val="14"/>
          <w:color w:val="auto"/>
        </w:rPr>
        <w:t>Following the effectiveness of the 2016 Plan, we will not make any further grants under the 2008 Plan. However, the 2008 Plan will continue to govern the terms and conditions of the outstanding awards granted under it. Shares of our common stock subject to awards granted under the 2008 Plan that are forfeited, lapse unexercised or are settled in cash and which following the effective date of the 2016 Plan are not issued under the 2008 Plan will be available for issuance under the 2016 Plan.</w:t>
      </w:r>
    </w:p>
    <w:p>
      <w:pPr>
        <w:spacing w:after="0" w:line="144"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Our board of directors administers the 2008 Plan and has the authority to issue awards under the 2008 Plan, to interpret the 2008 Plan and awards outstanding thereunder,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to prescribe, amend and rescind rules and regulations relating to the 2008 Plan, to determine the terms and provisions of award agreements under the 2008 Plan, to correct any defect, omission or inconsistency in the 2008 Plan or in any award agreement, and to make all other determinations in the judgment of the board of directors that are necessary and desirable for the administration of the 2008 Plan. The board of directors may delegate its authority under the 2008 Plan to a committee of the board. Following the effectiveness of this offering, we expect that the board of directors will delegate its general administrative authority under the 2008 Plan to its Compensation Committee.</w:t>
      </w:r>
    </w:p>
    <w:p>
      <w:pPr>
        <w:spacing w:after="0" w:line="149"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2008 Plan provides for the grant of non-qualified and incentive stock options and restricted stock awards to employees, directors and consultants or advisors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its affiliates, except that stock options intended to qualify as incentive stock options under the Code may only be granted to employees. As of the date of this prospectus, awards of stock options and restricted stock are outstanding under the 2008 Plan.</w:t>
      </w:r>
    </w:p>
    <w:p>
      <w:pPr>
        <w:spacing w:after="0" w:line="159"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If certain changes are made in, or events occur with respect to, our common stock, the 2008 Plan and outstanding awards will be appropriately adjusted in the class,</w:t>
      </w:r>
      <w:r>
        <w:rPr>
          <w:rFonts w:ascii="Arial" w:cs="Arial" w:eastAsia="Arial" w:hAnsi="Arial"/>
          <w:sz w:val="14"/>
          <w:szCs w:val="14"/>
          <w:i w:val="1"/>
          <w:iCs w:val="1"/>
          <w:color w:val="auto"/>
        </w:rPr>
        <w:t xml:space="preserve"> </w:t>
      </w:r>
      <w:r>
        <w:rPr>
          <w:rFonts w:ascii="Arial" w:cs="Arial" w:eastAsia="Arial" w:hAnsi="Arial"/>
          <w:sz w:val="14"/>
          <w:szCs w:val="14"/>
          <w:color w:val="auto"/>
        </w:rPr>
        <w:t>number and, as applicable, exercise price of securities as determined by the board of directors. In the event of certain corporate transactions, including a consolidation, merger, sale of all or substantially all of our assets or a liquidation, our board or the board of directors of any corporation assuming the obligations under the 2008 Plan, may, in its discretion, take any one or more of the following actions, as to some or all options outstanding under the 2008 Plan (and need not take the same action as to each such option): (i) provide for the assumption or substitution of the option; (ii) upon written notice to the optionee, provide for the termination of all unexercised options unless exercised within a specified period; (iii) in the event of a merger in which stockholders receive cash payment for shares surrendered, make or provide for a cash payment to optionees based on the difference between (A) the merger consideration times the number of shares subject to outstanding options and (B) the aggregate exercise price of the outstanding options, in exchange for termination of such options; and (iv) provide that all outstanding options shall become exercisable in part or in full immediately prior to such event. With respect to shares of restricted stock, any securities, cash or other property received in exchange for such shares shall continue to be governed by the provisions of any restricted stock agreement pursuant to which they were issued.</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i w:val="1"/>
          <w:iCs w:val="1"/>
          <w:color w:val="auto"/>
        </w:rPr>
        <w:t xml:space="preserve">Amendment and termination. </w:t>
      </w:r>
      <w:r>
        <w:rPr>
          <w:rFonts w:ascii="Arial" w:cs="Arial" w:eastAsia="Arial" w:hAnsi="Arial"/>
          <w:sz w:val="15"/>
          <w:szCs w:val="15"/>
          <w:color w:val="auto"/>
        </w:rPr>
        <w:t>The board of directors may terminate, modify or amend the 2008 Plan from time to time, provided that any amendment or modification may not adversely</w:t>
      </w:r>
      <w:r>
        <w:rPr>
          <w:rFonts w:ascii="Arial" w:cs="Arial" w:eastAsia="Arial" w:hAnsi="Arial"/>
          <w:sz w:val="15"/>
          <w:szCs w:val="15"/>
          <w:i w:val="1"/>
          <w:iCs w:val="1"/>
          <w:color w:val="auto"/>
        </w:rPr>
        <w:t xml:space="preserve"> </w:t>
      </w:r>
      <w:r>
        <w:rPr>
          <w:rFonts w:ascii="Arial" w:cs="Arial" w:eastAsia="Arial" w:hAnsi="Arial"/>
          <w:sz w:val="15"/>
          <w:szCs w:val="15"/>
          <w:color w:val="auto"/>
        </w:rPr>
        <w:t>affect the rights of a holder of an outstanding award without such holder's consent. The board of directors may amend or modify the 2008 Plan and any outstanding incentive stock options to the extent necessary to qualify any or all such options for favorable federal income tax treatment.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While certain of our non-employee directors receive consulting fees under the terms of consulting agreements with our company, we have not historically paid cash fees to our non-employee directors for their service on our board but have, from time to time, granted stock options to non-employee directors and founders to compensate them for their board service. Dr. Cautreels, our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00" w:name="page201"/>
    <w:bookmarkEnd w:id="20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 also serves on our board of directors but receives no additional compensation for this service.</w:t>
      </w:r>
    </w:p>
    <w:p>
      <w:pPr>
        <w:spacing w:after="0" w:line="198"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Other than as set forth in the table below with respect to amounts earned under consulting agreements with certain directors, our non-employee directors did not receive any compensation for their service on our board of directors during 2015.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2015 DIRECTOR COMPENSATION TABLE</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jc w:val="right"/>
              <w:ind w:right="47"/>
              <w:spacing w:after="0"/>
              <w:rPr>
                <w:sz w:val="20"/>
                <w:szCs w:val="20"/>
                <w:color w:val="auto"/>
              </w:rPr>
            </w:pPr>
            <w:r>
              <w:rPr>
                <w:rFonts w:ascii="Arial" w:cs="Arial" w:eastAsia="Arial" w:hAnsi="Arial"/>
                <w:sz w:val="12"/>
                <w:szCs w:val="12"/>
                <w:b w:val="1"/>
                <w:bCs w:val="1"/>
                <w:color w:val="auto"/>
              </w:rPr>
              <w:t>Fees earned or</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Option awards</w:t>
            </w:r>
          </w:p>
        </w:tc>
        <w:tc>
          <w:tcPr>
            <w:tcW w:w="1080" w:type="dxa"/>
            <w:vAlign w:val="bottom"/>
          </w:tcPr>
          <w:p>
            <w:pPr>
              <w:jc w:val="center"/>
              <w:ind w:right="8"/>
              <w:spacing w:after="0"/>
              <w:rPr>
                <w:sz w:val="20"/>
                <w:szCs w:val="20"/>
                <w:color w:val="auto"/>
              </w:rPr>
            </w:pPr>
            <w:r>
              <w:rPr>
                <w:rFonts w:ascii="Arial" w:cs="Arial" w:eastAsia="Arial" w:hAnsi="Arial"/>
                <w:sz w:val="12"/>
                <w:szCs w:val="12"/>
                <w:b w:val="1"/>
                <w:bCs w:val="1"/>
                <w:color w:val="auto"/>
              </w:rPr>
              <w:t>compensation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440" w:type="dxa"/>
            <w:vAlign w:val="bottom"/>
          </w:tcPr>
          <w:p>
            <w:pPr>
              <w:jc w:val="right"/>
              <w:ind w:right="47"/>
              <w:spacing w:after="0"/>
              <w:rPr>
                <w:sz w:val="20"/>
                <w:szCs w:val="20"/>
                <w:color w:val="auto"/>
              </w:rPr>
            </w:pPr>
            <w:r>
              <w:rPr>
                <w:rFonts w:ascii="Arial" w:cs="Arial" w:eastAsia="Arial" w:hAnsi="Arial"/>
                <w:sz w:val="12"/>
                <w:szCs w:val="12"/>
                <w:b w:val="1"/>
                <w:bCs w:val="1"/>
                <w:color w:val="auto"/>
              </w:rPr>
              <w:t>paid in cash ($)</w:t>
            </w:r>
          </w:p>
        </w:tc>
        <w:tc>
          <w:tcPr>
            <w:tcW w:w="1100" w:type="dxa"/>
            <w:vAlign w:val="bottom"/>
          </w:tcPr>
          <w:p>
            <w:pPr>
              <w:ind w:left="440"/>
              <w:spacing w:after="0"/>
              <w:rPr>
                <w:sz w:val="20"/>
                <w:szCs w:val="20"/>
                <w:color w:val="auto"/>
              </w:rPr>
            </w:pPr>
            <w:r>
              <w:rPr>
                <w:rFonts w:ascii="Arial" w:cs="Arial" w:eastAsia="Arial" w:hAnsi="Arial"/>
                <w:sz w:val="12"/>
                <w:szCs w:val="12"/>
                <w:b w:val="1"/>
                <w:bCs w:val="1"/>
                <w:color w:val="auto"/>
              </w:rPr>
              <w:t>($)</w:t>
            </w:r>
          </w:p>
        </w:tc>
        <w:tc>
          <w:tcPr>
            <w:tcW w:w="1080" w:type="dxa"/>
            <w:vAlign w:val="bottom"/>
          </w:tcPr>
          <w:p>
            <w:pPr>
              <w:jc w:val="center"/>
              <w:ind w:right="28"/>
              <w:spacing w:after="0"/>
              <w:rPr>
                <w:sz w:val="20"/>
                <w:szCs w:val="20"/>
                <w:color w:val="auto"/>
              </w:rPr>
            </w:pPr>
            <w:r>
              <w:rPr>
                <w:rFonts w:ascii="Arial" w:cs="Arial" w:eastAsia="Arial" w:hAnsi="Arial"/>
                <w:sz w:val="12"/>
                <w:szCs w:val="12"/>
                <w:b w:val="1"/>
                <w:bCs w:val="1"/>
                <w:color w:val="auto"/>
              </w:rPr>
              <w:t>($)(1)</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 ($)</w:t>
            </w:r>
          </w:p>
        </w:tc>
      </w:tr>
      <w:tr>
        <w:trPr>
          <w:trHeight w:val="177"/>
        </w:trPr>
        <w:tc>
          <w:tcPr>
            <w:tcW w:w="20" w:type="dxa"/>
            <w:vAlign w:val="bottom"/>
          </w:tcPr>
          <w:p>
            <w:pPr>
              <w:spacing w:after="0"/>
              <w:rPr>
                <w:sz w:val="15"/>
                <w:szCs w:val="15"/>
                <w:color w:val="auto"/>
              </w:rPr>
            </w:pPr>
          </w:p>
        </w:tc>
        <w:tc>
          <w:tcPr>
            <w:tcW w:w="3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Omid Farokhzad, M.D.</w:t>
            </w:r>
          </w:p>
        </w:tc>
        <w:tc>
          <w:tcPr>
            <w:tcW w:w="2440" w:type="dxa"/>
            <w:vAlign w:val="bottom"/>
            <w:tcBorders>
              <w:top w:val="single" w:sz="8" w:color="auto"/>
            </w:tcBorders>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147,000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147,000</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Carl Gordon, Ph.D.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Barton Hutt J.D., L.L.B., L.L.M</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Edwin M. Kania</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Langer, Sc.D.(2)</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75,000</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Amir Nashat, Sc.D.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Leysan Shaydullina, M.D.(2)(4)</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Siber, M.D.(2)</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36,000</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36,000</w:t>
            </w:r>
          </w:p>
        </w:tc>
        <w:tc>
          <w:tcPr>
            <w:tcW w:w="1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Yurii Udaltsov, Cand. Sc.(3)</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65" w:lineRule="exact"/>
        <w:rPr>
          <w:sz w:val="20"/>
          <w:szCs w:val="20"/>
          <w:color w:val="auto"/>
        </w:rPr>
      </w:pPr>
    </w:p>
    <w:p>
      <w:pPr>
        <w:ind w:left="1600" w:right="300" w:hanging="463"/>
        <w:spacing w:after="0" w:line="238" w:lineRule="auto"/>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Represents compensation earned in 2015 under the consulting agreements with the company and, with respect to Dr. Farokhzad, an additional $72,000 pursuant to an unwritten arrangement. For additional information regarding these agreements, see "Certain relationships and related party transactions."</w:t>
      </w:r>
    </w:p>
    <w:p>
      <w:pPr>
        <w:spacing w:after="0" w:line="96" w:lineRule="exact"/>
        <w:rPr>
          <w:rFonts w:ascii="Arial" w:cs="Arial" w:eastAsia="Arial" w:hAnsi="Arial"/>
          <w:sz w:val="12"/>
          <w:szCs w:val="12"/>
          <w:color w:val="auto"/>
        </w:rPr>
      </w:pPr>
    </w:p>
    <w:p>
      <w:pPr>
        <w:ind w:left="1600" w:right="580" w:hanging="463"/>
        <w:spacing w:after="0" w:line="238" w:lineRule="auto"/>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Drs. Langer and Siber will resign from our board of directors contingent upon, and effective immediately prior to, the effectiveness of the registration statement of which this prospectus forms a part. Dr. Shaydullina will resign from our board of directors contingent upon, and effective immediately prior to, the closing of this offering.</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Yurii Udaltsov resigned from our board of directors effective in April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Dr. Shaydullina joined our board of directors in April 2015.</w:t>
      </w:r>
    </w:p>
    <w:p>
      <w:pPr>
        <w:spacing w:after="0" w:line="177"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The table below shows the aggregate number of option awards (exercisable and unexercisable) held by each non-employee director as of December 31, 2015. None of our non-employee directors held stock awards in our company as of that date.</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540" w:type="dxa"/>
            <w:vAlign w:val="bottom"/>
            <w:gridSpan w:val="2"/>
          </w:tcPr>
          <w:p>
            <w:pPr>
              <w:ind w:left="2180"/>
              <w:spacing w:after="0"/>
              <w:rPr>
                <w:sz w:val="20"/>
                <w:szCs w:val="20"/>
                <w:color w:val="auto"/>
              </w:rPr>
            </w:pPr>
            <w:r>
              <w:rPr>
                <w:rFonts w:ascii="Arial" w:cs="Arial" w:eastAsia="Arial" w:hAnsi="Arial"/>
                <w:sz w:val="12"/>
                <w:szCs w:val="12"/>
                <w:b w:val="1"/>
                <w:bCs w:val="1"/>
                <w:color w:val="auto"/>
              </w:rPr>
              <w:t>Options outstanding</w:t>
            </w:r>
          </w:p>
        </w:tc>
      </w:tr>
      <w:tr>
        <w:trPr>
          <w:trHeight w:val="149"/>
        </w:trPr>
        <w:tc>
          <w:tcPr>
            <w:tcW w:w="4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Name</w:t>
            </w:r>
          </w:p>
        </w:tc>
        <w:tc>
          <w:tcPr>
            <w:tcW w:w="342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at fiscal year end</w:t>
            </w:r>
          </w:p>
        </w:tc>
        <w:tc>
          <w:tcPr>
            <w:tcW w:w="120" w:type="dxa"/>
            <w:vAlign w:val="bottom"/>
          </w:tcPr>
          <w:p>
            <w:pPr>
              <w:spacing w:after="0"/>
              <w:rPr>
                <w:sz w:val="12"/>
                <w:szCs w:val="12"/>
                <w:color w:val="auto"/>
              </w:rPr>
            </w:pPr>
          </w:p>
        </w:tc>
      </w:tr>
      <w:tr>
        <w:trPr>
          <w:trHeight w:val="177"/>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Omid Farokhzad, M.D.</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61,913</w:t>
            </w:r>
          </w:p>
        </w:tc>
      </w:tr>
      <w:tr>
        <w:trPr>
          <w:trHeight w:val="185"/>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Carl Gordon, Ph.D.</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Peter Barton Hutt J.D., L.L.B., L.L.M</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44,871</w:t>
            </w:r>
          </w:p>
        </w:tc>
      </w:tr>
      <w:tr>
        <w:trPr>
          <w:trHeight w:val="185"/>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Edwin M. Kania</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Robert Langer, Sc.D.(1)</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73,451</w:t>
            </w:r>
          </w:p>
        </w:tc>
      </w:tr>
      <w:tr>
        <w:trPr>
          <w:trHeight w:val="185"/>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Amir Nashat, Sc.D.</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Aymeric Sallin, M.S.</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Leysan Shaydullina, M.D.(1)</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George Siber, M.D.(1)</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31,574</w:t>
            </w:r>
          </w:p>
        </w:tc>
      </w:tr>
      <w:tr>
        <w:trPr>
          <w:trHeight w:val="190"/>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Yurii Udaltsov, Cand. Sc.</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88"/>
        </w:trPr>
        <w:tc>
          <w:tcPr>
            <w:tcW w:w="820" w:type="dxa"/>
            <w:vAlign w:val="bottom"/>
            <w:tcBorders>
              <w:bottom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65" w:lineRule="exact"/>
        <w:rPr>
          <w:sz w:val="20"/>
          <w:szCs w:val="20"/>
          <w:color w:val="auto"/>
        </w:rPr>
      </w:pPr>
    </w:p>
    <w:p>
      <w:pPr>
        <w:ind w:left="2180" w:hanging="471"/>
        <w:spacing w:after="0" w:line="238" w:lineRule="auto"/>
        <w:tabs>
          <w:tab w:leader="none" w:pos="218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Drs. Langer and Siber will resign from our board of directors contingent upon, and effective immediately prior to, the effectiveness of the registration statement of which this prospectus forms a part. Dr. Shaydullina will resign from our board of directors contingent upon, and effective immediately prior to,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01" w:name="page202"/>
    <w:bookmarkEnd w:id="20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580"/>
        <w:spacing w:after="0" w:line="282" w:lineRule="auto"/>
        <w:rPr>
          <w:sz w:val="20"/>
          <w:szCs w:val="20"/>
          <w:color w:val="auto"/>
        </w:rPr>
      </w:pPr>
      <w:r>
        <w:rPr>
          <w:rFonts w:ascii="Arial" w:cs="Arial" w:eastAsia="Arial" w:hAnsi="Arial"/>
          <w:sz w:val="15"/>
          <w:szCs w:val="15"/>
          <w:color w:val="auto"/>
        </w:rPr>
        <w:t>Effective upon the effectiveness of the registration statement of which this prospectus forms a part, we adopted and our stockholders approved a compensation program for our non-employee directors under which each non-employee director will receive the following amounts for their services on our board of directors:</w:t>
      </w:r>
    </w:p>
    <w:p>
      <w:pPr>
        <w:spacing w:after="0" w:line="162" w:lineRule="exact"/>
        <w:rPr>
          <w:sz w:val="20"/>
          <w:szCs w:val="20"/>
          <w:color w:val="auto"/>
        </w:rPr>
      </w:pPr>
    </w:p>
    <w:p>
      <w:pPr>
        <w:ind w:left="467" w:hanging="467"/>
        <w:spacing w:after="0"/>
        <w:tabs>
          <w:tab w:leader="none" w:pos="467"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an option to purchase 12,820 shares of our common stock upon the director's initial election or appointment to our board of directors that occurs after our initial public offering,</w:t>
      </w:r>
    </w:p>
    <w:p>
      <w:pPr>
        <w:spacing w:after="0" w:line="232" w:lineRule="exact"/>
        <w:rPr>
          <w:rFonts w:ascii="Arial" w:cs="Arial" w:eastAsia="Arial" w:hAnsi="Arial"/>
          <w:sz w:val="14"/>
          <w:szCs w:val="14"/>
          <w:color w:val="auto"/>
        </w:rPr>
      </w:pPr>
    </w:p>
    <w:p>
      <w:pPr>
        <w:ind w:left="467" w:right="20" w:hanging="467"/>
        <w:spacing w:after="0" w:line="282" w:lineRule="auto"/>
        <w:tabs>
          <w:tab w:leader="none" w:pos="46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if the director has served on our board of directors for at least six months as of the date of an annual meeting of stockholders, an option to purchase 6,410 shares of our common stock on the date of the annual meeting;</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an annual director fee of $35,000,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if the director serves on a committee of our board of directors, an additional annual fee as follows:</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1387" w:hanging="461"/>
        <w:spacing w:after="0"/>
        <w:tabs>
          <w:tab w:leader="none" w:pos="1387" w:val="left"/>
        </w:tabs>
        <w:numPr>
          <w:ilvl w:val="1"/>
          <w:numId w:val="114"/>
        </w:numPr>
        <w:rPr>
          <w:rFonts w:ascii="Arial" w:cs="Arial" w:eastAsia="Arial" w:hAnsi="Arial"/>
          <w:sz w:val="15"/>
          <w:szCs w:val="15"/>
          <w:color w:val="auto"/>
        </w:rPr>
      </w:pPr>
      <w:r>
        <w:rPr>
          <w:rFonts w:ascii="Arial" w:cs="Arial" w:eastAsia="Arial" w:hAnsi="Arial"/>
          <w:sz w:val="15"/>
          <w:szCs w:val="15"/>
          <w:color w:val="auto"/>
        </w:rPr>
        <w:t>chairman of the board or lead independent director, $15,000,</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114"/>
        </w:numPr>
        <w:rPr>
          <w:rFonts w:ascii="Arial" w:cs="Arial" w:eastAsia="Arial" w:hAnsi="Arial"/>
          <w:sz w:val="15"/>
          <w:szCs w:val="15"/>
          <w:color w:val="auto"/>
        </w:rPr>
      </w:pPr>
      <w:r>
        <w:rPr>
          <w:rFonts w:ascii="Arial" w:cs="Arial" w:eastAsia="Arial" w:hAnsi="Arial"/>
          <w:sz w:val="15"/>
          <w:szCs w:val="15"/>
          <w:color w:val="auto"/>
        </w:rPr>
        <w:t>chairman of the audit committee, $15,000,</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114"/>
        </w:numPr>
        <w:rPr>
          <w:rFonts w:ascii="Arial" w:cs="Arial" w:eastAsia="Arial" w:hAnsi="Arial"/>
          <w:sz w:val="15"/>
          <w:szCs w:val="15"/>
          <w:color w:val="auto"/>
        </w:rPr>
      </w:pPr>
      <w:r>
        <w:rPr>
          <w:rFonts w:ascii="Arial" w:cs="Arial" w:eastAsia="Arial" w:hAnsi="Arial"/>
          <w:sz w:val="15"/>
          <w:szCs w:val="15"/>
          <w:color w:val="auto"/>
        </w:rPr>
        <w:t>audit committee member other than the chairman, $7,500,</w:t>
      </w:r>
    </w:p>
    <w:p>
      <w:pPr>
        <w:spacing w:after="0" w:line="221" w:lineRule="exact"/>
        <w:rPr>
          <w:rFonts w:ascii="Arial" w:cs="Arial" w:eastAsia="Arial" w:hAnsi="Arial"/>
          <w:sz w:val="15"/>
          <w:szCs w:val="15"/>
          <w:color w:val="auto"/>
        </w:rPr>
      </w:pPr>
    </w:p>
    <w:p>
      <w:pPr>
        <w:ind w:left="1387" w:hanging="461"/>
        <w:spacing w:after="0"/>
        <w:tabs>
          <w:tab w:leader="none" w:pos="1387" w:val="left"/>
        </w:tabs>
        <w:numPr>
          <w:ilvl w:val="1"/>
          <w:numId w:val="114"/>
        </w:numPr>
        <w:rPr>
          <w:rFonts w:ascii="Arial" w:cs="Arial" w:eastAsia="Arial" w:hAnsi="Arial"/>
          <w:sz w:val="15"/>
          <w:szCs w:val="15"/>
          <w:color w:val="auto"/>
        </w:rPr>
      </w:pPr>
      <w:r>
        <w:rPr>
          <w:rFonts w:ascii="Arial" w:cs="Arial" w:eastAsia="Arial" w:hAnsi="Arial"/>
          <w:sz w:val="15"/>
          <w:szCs w:val="15"/>
          <w:color w:val="auto"/>
        </w:rPr>
        <w:t>chairman of the compensation committee, $10,000,</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114"/>
        </w:numPr>
        <w:rPr>
          <w:rFonts w:ascii="Arial" w:cs="Arial" w:eastAsia="Arial" w:hAnsi="Arial"/>
          <w:sz w:val="15"/>
          <w:szCs w:val="15"/>
          <w:color w:val="auto"/>
        </w:rPr>
      </w:pPr>
      <w:r>
        <w:rPr>
          <w:rFonts w:ascii="Arial" w:cs="Arial" w:eastAsia="Arial" w:hAnsi="Arial"/>
          <w:sz w:val="15"/>
          <w:szCs w:val="15"/>
          <w:color w:val="auto"/>
        </w:rPr>
        <w:t>compensation committee member other than the chairman, $5,000,</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114"/>
        </w:numPr>
        <w:rPr>
          <w:rFonts w:ascii="Arial" w:cs="Arial" w:eastAsia="Arial" w:hAnsi="Arial"/>
          <w:sz w:val="15"/>
          <w:szCs w:val="15"/>
          <w:color w:val="auto"/>
        </w:rPr>
      </w:pPr>
      <w:r>
        <w:rPr>
          <w:rFonts w:ascii="Arial" w:cs="Arial" w:eastAsia="Arial" w:hAnsi="Arial"/>
          <w:sz w:val="15"/>
          <w:szCs w:val="15"/>
          <w:color w:val="auto"/>
        </w:rPr>
        <w:t>chairman of the nominating and corporate governance committee, $7,500, and</w:t>
      </w:r>
    </w:p>
    <w:p>
      <w:pPr>
        <w:spacing w:after="0" w:line="221" w:lineRule="exact"/>
        <w:rPr>
          <w:rFonts w:ascii="Arial" w:cs="Arial" w:eastAsia="Arial" w:hAnsi="Arial"/>
          <w:sz w:val="15"/>
          <w:szCs w:val="15"/>
          <w:color w:val="auto"/>
        </w:rPr>
      </w:pPr>
    </w:p>
    <w:p>
      <w:pPr>
        <w:ind w:left="1387" w:hanging="461"/>
        <w:spacing w:after="0"/>
        <w:tabs>
          <w:tab w:leader="none" w:pos="1387" w:val="left"/>
        </w:tabs>
        <w:numPr>
          <w:ilvl w:val="1"/>
          <w:numId w:val="114"/>
        </w:numPr>
        <w:rPr>
          <w:rFonts w:ascii="Arial" w:cs="Arial" w:eastAsia="Arial" w:hAnsi="Arial"/>
          <w:sz w:val="15"/>
          <w:szCs w:val="15"/>
          <w:color w:val="auto"/>
        </w:rPr>
      </w:pPr>
      <w:r>
        <w:rPr>
          <w:rFonts w:ascii="Arial" w:cs="Arial" w:eastAsia="Arial" w:hAnsi="Arial"/>
          <w:sz w:val="15"/>
          <w:szCs w:val="15"/>
          <w:color w:val="auto"/>
        </w:rPr>
        <w:t>nominating and corporate governance committee member other than the chairman, $3,500.</w:t>
      </w:r>
    </w:p>
    <w:p>
      <w:pPr>
        <w:spacing w:after="0" w:line="198"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Stock options granted to our non-employee directors under the program will have an exercise price equal to the fair market value of our common stock on the date of grant and will expire not later than ten years after the date of grant. The stock options granted upon a director's initial election or appointment will vest in substantially equal monthly installments over three years following the date of grant. The stock options granted annually to directors will vest in a single installment on the earlier of the day before the next annual meeting or the first anniversary of the date of grant. In addition, all unvested stock options will vest in full upon the occurrence of a change in control.</w:t>
      </w:r>
    </w:p>
    <w:p>
      <w:pPr>
        <w:spacing w:after="0" w:line="162" w:lineRule="exact"/>
        <w:rPr>
          <w:sz w:val="20"/>
          <w:szCs w:val="20"/>
          <w:color w:val="auto"/>
        </w:rPr>
      </w:pPr>
    </w:p>
    <w:p>
      <w:pPr>
        <w:jc w:val="both"/>
        <w:ind w:left="7" w:right="180"/>
        <w:spacing w:after="0" w:line="270" w:lineRule="auto"/>
        <w:rPr>
          <w:sz w:val="20"/>
          <w:szCs w:val="20"/>
          <w:color w:val="auto"/>
        </w:rPr>
      </w:pPr>
      <w:r>
        <w:rPr>
          <w:rFonts w:ascii="Arial" w:cs="Arial" w:eastAsia="Arial" w:hAnsi="Arial"/>
          <w:sz w:val="15"/>
          <w:szCs w:val="15"/>
          <w:color w:val="auto"/>
        </w:rPr>
        <w:t>Director fees under the program will be payable in arrears in four equal quarterly installments not later than the fifteenth day following the final day of each calendar quarter, provided that the amount of each payment will be prorated for any portion of a quarter that a director is not serving on our board and no fee will be payable in respect of any period prior to the effective date of the registration statement of which this prospectus is a part.</w:t>
      </w:r>
    </w:p>
    <w:p>
      <w:pPr>
        <w:spacing w:after="0" w:line="159"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02" w:name="page203"/>
    <w:bookmarkEnd w:id="20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Certain relationships and related person transactions</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includes a summary of transactions since January 1, 2013 to which we have been a party in which the amount involved exceeded or will exceed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 FINANCINGS AND CONVERTIBLE NOTES FINANCING</w:t>
      </w:r>
    </w:p>
    <w:p>
      <w:pPr>
        <w:spacing w:after="0" w:line="195"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i w:val="1"/>
          <w:iCs w:val="1"/>
          <w:color w:val="auto"/>
        </w:rPr>
        <w:t xml:space="preserve">Series D Preferred Stock Financing. </w:t>
      </w:r>
      <w:r>
        <w:rPr>
          <w:rFonts w:ascii="Arial" w:cs="Arial" w:eastAsia="Arial" w:hAnsi="Arial"/>
          <w:sz w:val="15"/>
          <w:szCs w:val="15"/>
          <w:color w:val="auto"/>
        </w:rPr>
        <w:t>Between April 7, 2014 and August 14, 2014, we sold to investors in private placements an aggregate of 3,211,105 shares of series D preferred stock at</w:t>
      </w:r>
      <w:r>
        <w:rPr>
          <w:rFonts w:ascii="Arial" w:cs="Arial" w:eastAsia="Arial" w:hAnsi="Arial"/>
          <w:sz w:val="15"/>
          <w:szCs w:val="15"/>
          <w:i w:val="1"/>
          <w:iCs w:val="1"/>
          <w:color w:val="auto"/>
        </w:rPr>
        <w:t xml:space="preserve"> </w:t>
      </w:r>
      <w:r>
        <w:rPr>
          <w:rFonts w:ascii="Arial" w:cs="Arial" w:eastAsia="Arial" w:hAnsi="Arial"/>
          <w:sz w:val="15"/>
          <w:szCs w:val="15"/>
          <w:color w:val="auto"/>
        </w:rPr>
        <w:t>a purchase price of $4.50 per share, for net aggregate consideration of approximately $14.3 million.</w:t>
      </w:r>
    </w:p>
    <w:p>
      <w:pPr>
        <w:spacing w:after="0" w:line="151" w:lineRule="exact"/>
        <w:rPr>
          <w:sz w:val="20"/>
          <w:szCs w:val="20"/>
          <w:color w:val="auto"/>
        </w:rPr>
      </w:pPr>
    </w:p>
    <w:p>
      <w:pPr>
        <w:jc w:val="both"/>
        <w:ind w:right="160"/>
        <w:spacing w:after="0" w:line="297" w:lineRule="auto"/>
        <w:rPr>
          <w:sz w:val="20"/>
          <w:szCs w:val="20"/>
          <w:color w:val="auto"/>
        </w:rPr>
      </w:pPr>
      <w:r>
        <w:rPr>
          <w:rFonts w:ascii="Arial" w:cs="Arial" w:eastAsia="Arial" w:hAnsi="Arial"/>
          <w:sz w:val="14"/>
          <w:szCs w:val="14"/>
          <w:i w:val="1"/>
          <w:iCs w:val="1"/>
          <w:color w:val="auto"/>
        </w:rPr>
        <w:t xml:space="preserve">Convertible Notes Financing. </w:t>
      </w:r>
      <w:r>
        <w:rPr>
          <w:rFonts w:ascii="Arial" w:cs="Arial" w:eastAsia="Arial" w:hAnsi="Arial"/>
          <w:sz w:val="14"/>
          <w:szCs w:val="14"/>
          <w:color w:val="auto"/>
        </w:rPr>
        <w:t>On April 10, 2015 and June 23, 2015, we sold to investors in private placements an aggregate of $7.1 million of convertible promissory notes, or the 2015</w:t>
      </w:r>
      <w:r>
        <w:rPr>
          <w:rFonts w:ascii="Arial" w:cs="Arial" w:eastAsia="Arial" w:hAnsi="Arial"/>
          <w:sz w:val="14"/>
          <w:szCs w:val="14"/>
          <w:i w:val="1"/>
          <w:iCs w:val="1"/>
          <w:color w:val="auto"/>
        </w:rPr>
        <w:t xml:space="preserve"> </w:t>
      </w:r>
      <w:r>
        <w:rPr>
          <w:rFonts w:ascii="Arial" w:cs="Arial" w:eastAsia="Arial" w:hAnsi="Arial"/>
          <w:sz w:val="14"/>
          <w:szCs w:val="14"/>
          <w:color w:val="auto"/>
        </w:rPr>
        <w:t>notes. The 2015 notes accrued at an interest rate of 8%, compounding monthly. In connection with the series E preferred stock financing described below, the principal amount of the 2015 notes and accrued interest thereon was automatically converted into an aggregate of 1,619,550 shares of our series E preferred stock in August 2015.</w:t>
      </w:r>
    </w:p>
    <w:p>
      <w:pPr>
        <w:spacing w:after="0" w:line="144"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i w:val="1"/>
          <w:iCs w:val="1"/>
          <w:color w:val="auto"/>
        </w:rPr>
        <w:t xml:space="preserve">Series E Preferred Stock Financing. </w:t>
      </w:r>
      <w:r>
        <w:rPr>
          <w:rFonts w:ascii="Arial" w:cs="Arial" w:eastAsia="Arial" w:hAnsi="Arial"/>
          <w:sz w:val="15"/>
          <w:szCs w:val="15"/>
          <w:color w:val="auto"/>
        </w:rPr>
        <w:t>On August 27, 2015, September 3, 2015 and September 17, 2015, we issued and sold to investors in private placements an aggregate 8,888,888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series E preferred stock at a purchase price of $4.50 per share, for aggregate consideration of approximately $40 million, including approximately $7.3 million in principal and accrued interest under the 2015 notes that converted into shares of series E preferred stock.</w:t>
      </w:r>
    </w:p>
    <w:p>
      <w:pPr>
        <w:spacing w:after="0" w:line="159" w:lineRule="exact"/>
        <w:rPr>
          <w:sz w:val="20"/>
          <w:szCs w:val="20"/>
          <w:color w:val="auto"/>
        </w:rPr>
      </w:pPr>
    </w:p>
    <w:p>
      <w:pPr>
        <w:jc w:val="both"/>
        <w:ind w:right="40"/>
        <w:spacing w:after="0" w:line="262" w:lineRule="auto"/>
        <w:rPr>
          <w:sz w:val="20"/>
          <w:szCs w:val="20"/>
          <w:color w:val="auto"/>
        </w:rPr>
      </w:pPr>
      <w:r>
        <w:rPr>
          <w:rFonts w:ascii="Arial" w:cs="Arial" w:eastAsia="Arial" w:hAnsi="Arial"/>
          <w:sz w:val="15"/>
          <w:szCs w:val="15"/>
          <w:color w:val="auto"/>
        </w:rPr>
        <w:t>The following table sets forth the aggregate number of shares of our capital stock acquired by beneficial owners of more than 5% of our capital stock in the financing transactions described above. Each share of our series D preferred stock identified in the following table will convert into 0.2683 shares of common stock upon the closing of this offering. Upon the closing of this offering, (i) our series E preferred stock will automatically convert into a number of shares of common stock and (ii) outstanding warrants to purchase shares of our series E 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See "Prospectus summary—The offering" for a related offering price per share sensitivity analysis.</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60" w:type="dxa"/>
            <w:vAlign w:val="bottom"/>
          </w:tcPr>
          <w:p>
            <w:pPr>
              <w:jc w:val="right"/>
              <w:ind w:right="248"/>
              <w:spacing w:after="0"/>
              <w:rPr>
                <w:sz w:val="20"/>
                <w:szCs w:val="20"/>
                <w:color w:val="auto"/>
              </w:rPr>
            </w:pPr>
            <w:r>
              <w:rPr>
                <w:rFonts w:ascii="Arial" w:cs="Arial" w:eastAsia="Arial" w:hAnsi="Arial"/>
                <w:sz w:val="12"/>
                <w:szCs w:val="12"/>
                <w:b w:val="1"/>
                <w:bCs w:val="1"/>
                <w:color w:val="auto"/>
              </w:rPr>
              <w:t>Series D</w:t>
            </w:r>
          </w:p>
        </w:tc>
        <w:tc>
          <w:tcPr>
            <w:tcW w:w="136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Series E</w:t>
            </w:r>
          </w:p>
        </w:tc>
      </w:tr>
      <w:tr>
        <w:trPr>
          <w:trHeight w:val="149"/>
        </w:trPr>
        <w:tc>
          <w:tcPr>
            <w:tcW w:w="5320" w:type="dxa"/>
            <w:vAlign w:val="bottom"/>
            <w:gridSpan w:val="3"/>
          </w:tcPr>
          <w:p>
            <w:pPr>
              <w:spacing w:after="0"/>
              <w:rPr>
                <w:sz w:val="20"/>
                <w:szCs w:val="20"/>
                <w:color w:val="auto"/>
              </w:rPr>
            </w:pPr>
            <w:r>
              <w:rPr>
                <w:rFonts w:ascii="Arial" w:cs="Arial" w:eastAsia="Arial" w:hAnsi="Arial"/>
                <w:sz w:val="12"/>
                <w:szCs w:val="12"/>
                <w:b w:val="1"/>
                <w:bCs w:val="1"/>
                <w:color w:val="auto"/>
              </w:rPr>
              <w:t>Participants</w:t>
            </w:r>
          </w:p>
        </w:tc>
        <w:tc>
          <w:tcPr>
            <w:tcW w:w="2460" w:type="dxa"/>
            <w:vAlign w:val="bottom"/>
          </w:tcPr>
          <w:p>
            <w:pPr>
              <w:jc w:val="right"/>
              <w:ind w:right="68"/>
              <w:spacing w:after="0"/>
              <w:rPr>
                <w:sz w:val="20"/>
                <w:szCs w:val="20"/>
                <w:color w:val="auto"/>
              </w:rPr>
            </w:pPr>
            <w:r>
              <w:rPr>
                <w:rFonts w:ascii="Arial" w:cs="Arial" w:eastAsia="Arial" w:hAnsi="Arial"/>
                <w:sz w:val="12"/>
                <w:szCs w:val="12"/>
                <w:b w:val="1"/>
                <w:bCs w:val="1"/>
                <w:color w:val="auto"/>
              </w:rPr>
              <w:t>preferred stock</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preferred stock</w:t>
            </w:r>
          </w:p>
        </w:tc>
      </w:tr>
      <w:tr>
        <w:trPr>
          <w:trHeight w:val="177"/>
        </w:trPr>
        <w:tc>
          <w:tcPr>
            <w:tcW w:w="20" w:type="dxa"/>
            <w:vAlign w:val="bottom"/>
          </w:tcPr>
          <w:p>
            <w:pPr>
              <w:spacing w:after="0"/>
              <w:rPr>
                <w:sz w:val="15"/>
                <w:szCs w:val="15"/>
                <w:color w:val="auto"/>
              </w:rPr>
            </w:pPr>
          </w:p>
        </w:tc>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5% or Greater Stockholders</w:t>
            </w:r>
            <w:r>
              <w:rPr>
                <w:rFonts w:ascii="Arial" w:cs="Arial" w:eastAsia="Arial" w:hAnsi="Arial"/>
                <w:sz w:val="15"/>
                <w:szCs w:val="15"/>
                <w:color w:val="auto"/>
              </w:rPr>
              <w:t>(1)</w:t>
            </w:r>
          </w:p>
        </w:tc>
        <w:tc>
          <w:tcPr>
            <w:tcW w:w="24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Partners(2)</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472,276</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638,420(4)</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461,922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487,532(5)</w:t>
            </w: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RUSNANO</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314,353</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781,322(6)</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LLC(3)</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149,894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1,798,762(7)</w:t>
            </w: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NanoDimension L.P.</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159,752</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363,006(8)</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TAS Partners LLC and Leukon Partners, LP, as affiliated entities</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219,580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637,952(9)</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Additional details regarding these stockholders and their equity holdings are provided in this prospectus under the caption "Principal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6" w:lineRule="exact"/>
        <w:rPr>
          <w:sz w:val="20"/>
          <w:szCs w:val="20"/>
          <w:color w:val="auto"/>
        </w:rPr>
      </w:pPr>
    </w:p>
    <w:p>
      <w:pPr>
        <w:ind w:left="1600" w:right="360" w:hanging="463"/>
        <w:spacing w:after="0" w:line="238" w:lineRule="auto"/>
        <w:tabs>
          <w:tab w:leader="none" w:pos="160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Represents securities acquired by Polaris Venture Partners V, L.P., Polaris Venture Partners Entrepreneurs' Fund V, L.P., Polaris Venture Partners Founders' Fund V, L.P. and Polaris Venture Partners Special Founders' Fund V, L.P.</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Represents securities acquired by OrbiMed Private Investments III, LP and OrbiMed Associates III, LP.</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Includes 416,198 shares of series E preferred stock issued upon conversion of an aggregate amount of $1.9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Includes 407,076 shares of series E preferred stock issued upon conversion of an aggregate amount of $1.8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Includes 259,100 shares of series E preferred stock issued upon conversion of an aggregate amount of $1.2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Includes 132,096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Includes 140,784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Includes 193,509 shares of series E preferred stock issued upon conversion of an aggregate amount of $0.9 million in principal and accrued interest of the 2015 notes.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Some of our directors and our director nominee are associated with our principal stockholders as indicated in the table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80" w:type="dxa"/>
            <w:vAlign w:val="bottom"/>
            <w:gridSpan w:val="3"/>
          </w:tcPr>
          <w:p>
            <w:pPr>
              <w:spacing w:after="0"/>
              <w:rPr>
                <w:sz w:val="20"/>
                <w:szCs w:val="20"/>
                <w:color w:val="auto"/>
              </w:rPr>
            </w:pPr>
            <w:r>
              <w:rPr>
                <w:rFonts w:ascii="Arial" w:cs="Arial" w:eastAsia="Arial" w:hAnsi="Arial"/>
                <w:sz w:val="12"/>
                <w:szCs w:val="12"/>
                <w:b w:val="1"/>
                <w:bCs w:val="1"/>
                <w:color w:val="auto"/>
              </w:rPr>
              <w:t>Director or director nominee</w:t>
            </w:r>
          </w:p>
        </w:tc>
        <w:tc>
          <w:tcPr>
            <w:tcW w:w="7060" w:type="dxa"/>
            <w:vAlign w:val="bottom"/>
          </w:tcPr>
          <w:p>
            <w:pPr>
              <w:ind w:left="3000"/>
              <w:spacing w:after="0"/>
              <w:rPr>
                <w:sz w:val="20"/>
                <w:szCs w:val="20"/>
                <w:color w:val="auto"/>
              </w:rPr>
            </w:pPr>
            <w:r>
              <w:rPr>
                <w:rFonts w:ascii="Arial" w:cs="Arial" w:eastAsia="Arial" w:hAnsi="Arial"/>
                <w:sz w:val="12"/>
                <w:szCs w:val="12"/>
                <w:b w:val="1"/>
                <w:bCs w:val="1"/>
                <w:color w:val="auto"/>
              </w:rPr>
              <w:t>Principal stockholder</w:t>
            </w:r>
          </w:p>
        </w:tc>
      </w:tr>
      <w:tr>
        <w:trPr>
          <w:trHeight w:val="177"/>
        </w:trPr>
        <w:tc>
          <w:tcPr>
            <w:tcW w:w="20" w:type="dxa"/>
            <w:vAlign w:val="bottom"/>
          </w:tcPr>
          <w:p>
            <w:pPr>
              <w:spacing w:after="0"/>
              <w:rPr>
                <w:sz w:val="15"/>
                <w:szCs w:val="15"/>
                <w:color w:val="auto"/>
              </w:rPr>
            </w:pPr>
          </w:p>
        </w:tc>
        <w:tc>
          <w:tcPr>
            <w:tcW w:w="2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Amir Nashat, Sc.D.</w:t>
            </w:r>
          </w:p>
        </w:tc>
        <w:tc>
          <w:tcPr>
            <w:tcW w:w="70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Entities affiliated with Polaris Venture Partners</w:t>
            </w:r>
          </w:p>
        </w:tc>
      </w:tr>
      <w:tr>
        <w:trPr>
          <w:trHeight w:val="185"/>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5"/>
                <w:szCs w:val="15"/>
                <w:color w:val="auto"/>
              </w:rPr>
              <w:t>Edwin M. Kania</w:t>
            </w:r>
          </w:p>
        </w:tc>
        <w:tc>
          <w:tcPr>
            <w:tcW w:w="7060" w:type="dxa"/>
            <w:vAlign w:val="bottom"/>
          </w:tcPr>
          <w:p>
            <w:pPr>
              <w:ind w:left="220"/>
              <w:spacing w:after="0"/>
              <w:rPr>
                <w:sz w:val="20"/>
                <w:szCs w:val="20"/>
                <w:color w:val="auto"/>
              </w:rPr>
            </w:pPr>
            <w:r>
              <w:rPr>
                <w:rFonts w:ascii="Arial" w:cs="Arial" w:eastAsia="Arial" w:hAnsi="Arial"/>
                <w:sz w:val="15"/>
                <w:szCs w:val="15"/>
                <w:color w:val="auto"/>
              </w:rPr>
              <w:t>Flagship Ventures Fund 2007, L.P.</w:t>
            </w:r>
          </w:p>
        </w:tc>
      </w:tr>
      <w:tr>
        <w:trPr>
          <w:trHeight w:val="185"/>
        </w:trPr>
        <w:tc>
          <w:tcPr>
            <w:tcW w:w="20" w:type="dxa"/>
            <w:vAlign w:val="bottom"/>
          </w:tcPr>
          <w:p>
            <w:pPr>
              <w:spacing w:after="0"/>
              <w:rPr>
                <w:sz w:val="16"/>
                <w:szCs w:val="16"/>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Leysan Shaydullina, M.D.(1)</w:t>
            </w:r>
          </w:p>
        </w:tc>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RUSNANO</w:t>
            </w:r>
          </w:p>
        </w:tc>
      </w:tr>
      <w:tr>
        <w:trPr>
          <w:trHeight w:val="185"/>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5"/>
                <w:szCs w:val="15"/>
                <w:color w:val="auto"/>
              </w:rPr>
              <w:t>Carl Gordon, Ph.D.</w:t>
            </w:r>
          </w:p>
        </w:tc>
        <w:tc>
          <w:tcPr>
            <w:tcW w:w="7060" w:type="dxa"/>
            <w:vAlign w:val="bottom"/>
          </w:tcPr>
          <w:p>
            <w:pPr>
              <w:ind w:left="220"/>
              <w:spacing w:after="0"/>
              <w:rPr>
                <w:sz w:val="20"/>
                <w:szCs w:val="20"/>
                <w:color w:val="auto"/>
              </w:rPr>
            </w:pPr>
            <w:r>
              <w:rPr>
                <w:rFonts w:ascii="Arial" w:cs="Arial" w:eastAsia="Arial" w:hAnsi="Arial"/>
                <w:sz w:val="15"/>
                <w:szCs w:val="15"/>
                <w:color w:val="auto"/>
              </w:rPr>
              <w:t>Entities affiliated with OrbiMed Advisors LLC</w:t>
            </w:r>
          </w:p>
        </w:tc>
      </w:tr>
      <w:tr>
        <w:trPr>
          <w:trHeight w:val="185"/>
        </w:trPr>
        <w:tc>
          <w:tcPr>
            <w:tcW w:w="20" w:type="dxa"/>
            <w:vAlign w:val="bottom"/>
          </w:tcPr>
          <w:p>
            <w:pPr>
              <w:spacing w:after="0"/>
              <w:rPr>
                <w:sz w:val="16"/>
                <w:szCs w:val="16"/>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NanoDimension L.P.</w:t>
            </w:r>
          </w:p>
        </w:tc>
      </w:tr>
      <w:tr>
        <w:trPr>
          <w:trHeight w:val="190"/>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5"/>
                <w:szCs w:val="15"/>
                <w:color w:val="auto"/>
              </w:rPr>
              <w:t>Timothy A. Springer, Ph.D.(2)</w:t>
            </w:r>
          </w:p>
        </w:tc>
        <w:tc>
          <w:tcPr>
            <w:tcW w:w="7060" w:type="dxa"/>
            <w:vAlign w:val="bottom"/>
          </w:tcPr>
          <w:p>
            <w:pPr>
              <w:ind w:left="220"/>
              <w:spacing w:after="0"/>
              <w:rPr>
                <w:sz w:val="20"/>
                <w:szCs w:val="20"/>
                <w:color w:val="auto"/>
              </w:rPr>
            </w:pPr>
            <w:r>
              <w:rPr>
                <w:rFonts w:ascii="Arial" w:cs="Arial" w:eastAsia="Arial" w:hAnsi="Arial"/>
                <w:sz w:val="15"/>
                <w:szCs w:val="15"/>
                <w:color w:val="auto"/>
              </w:rPr>
              <w:t>TAS Partners LLC and Leukon Partners, LP, as affiliated entities</w:t>
            </w: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7060" w:type="dxa"/>
            <w:vAlign w:val="bottom"/>
          </w:tcPr>
          <w:p>
            <w:pPr>
              <w:spacing w:after="0"/>
              <w:rPr>
                <w:sz w:val="7"/>
                <w:szCs w:val="7"/>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Dr. Shaydullina will resign from our board of directors contingent upon, and effective immediately prior to, the closing of this offering.</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Dr. Springer will be elected to our board of directors contingent upon, and effective upon, the effectiveness of the registration statement of which this prospectus forms a part.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INVESTORS' RIGHTS AGREEMENT</w:t>
      </w:r>
    </w:p>
    <w:p>
      <w:pPr>
        <w:spacing w:after="0" w:line="195"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We entered into an amended and restated investors' rights agreement in April 2014, which was further amended in July 2014, August 2015 and June 2016 with our directors Omid Farokhzad and Robert S. Langer, the holders of our preferred stock, including entities in which certain other of our directors are related, Ulrich von Andrian, a prior beneficial owner of 5% of our capital stock, and certain other stockholders. The agreement provides for certain rights relating to the registration of such holders' common stock, including shares issuable upon conversion of preferred stock, and a right of first refusal to purchase future securities sold by us. See "Description of capital stock—Registration rights" for additional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AGREEMENT</w:t>
      </w:r>
    </w:p>
    <w:p>
      <w:pPr>
        <w:spacing w:after="0" w:line="195"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We entered into an amended and restated voting agreement in August 2015, by and among us and certain of our stockholders, pursuant to which the following directors were elected to serve as members on our board of directors and, as of the date of this prospectus, continue to so serve: Amir Nashat Sc.D; Edwin M. Kania Jr.; Aymeric Sallin; Carl L. Gordon, Ph.D.; Leysan Shaydullina; Robert S. Langer, Jr., Sc.D.; Omid Farokhzad, M.D.; Werner Cautreels, Ph.D.; Peter Barton Hutt; and George Siber, M.D. Pursuant to the voting agreement, Drs. Farokhzad, and Langer were initially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04" w:name="page205"/>
    <w:bookmarkEnd w:id="20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selected to serve on our board of directors as representatives of holders of our common stock, as designated by a majority of our founders. Dr. Cautreels was initially selected to serve on our board of directors in his capacity as our Chief Executive Officer. Drs. Nashat and Gordon, Messrs. Kania and Sallin, and Dr. Shaydullina were initially selected to serve on our board of directors as representatives of holders of our preferred stock, as designated by Polaris Venture Partners IV, L.P., OrbiMed Private Investments III, LP, Flagship Ventures, NanoDimension L.P. and RUSNANO, respectively. Mr. Hutt and Dr. Siber were initially selected to serve on our board of directors as independent directors, as designated by a majority of the other directors.</w:t>
      </w:r>
    </w:p>
    <w:p>
      <w:pPr>
        <w:spacing w:after="0" w:line="132" w:lineRule="exact"/>
        <w:rPr>
          <w:sz w:val="20"/>
          <w:szCs w:val="20"/>
          <w:color w:val="auto"/>
        </w:rPr>
      </w:pPr>
    </w:p>
    <w:p>
      <w:pPr>
        <w:jc w:val="both"/>
        <w:ind w:right="40"/>
        <w:spacing w:after="0" w:line="300" w:lineRule="auto"/>
        <w:rPr>
          <w:sz w:val="20"/>
          <w:szCs w:val="20"/>
          <w:color w:val="auto"/>
        </w:rPr>
      </w:pPr>
      <w:r>
        <w:rPr>
          <w:rFonts w:ascii="Arial" w:cs="Arial" w:eastAsia="Arial" w:hAnsi="Arial"/>
          <w:sz w:val="13"/>
          <w:szCs w:val="13"/>
          <w:color w:val="auto"/>
        </w:rPr>
        <w:t>In addition, pursuant to the voting agreement, we, as the sole equity holder of our Russian subsidiary, Selecta RUS, elected the following directors of Selecta RUS who, as of the date of this prospectus, continue to so serve: Leysan Shaydullina, M.D., Alexander Korchevskiy, Werner Cautreels, Ph.D., Lloyd Johnston, Ph.D. and Dmitry Ovchinnokov, Ph.D. Pursuant to the voting agreement, Drs. Werner Cautreels, Lloyd Johnston and Dmitry Ovchinnokov were selected to serve on the Selecta RUS board of directors, as designated by our board of directors.</w:t>
      </w:r>
    </w:p>
    <w:p>
      <w:pPr>
        <w:ind w:right="280"/>
        <w:spacing w:after="0" w:line="312" w:lineRule="auto"/>
        <w:rPr>
          <w:sz w:val="20"/>
          <w:szCs w:val="20"/>
          <w:color w:val="auto"/>
        </w:rPr>
      </w:pPr>
      <w:r>
        <w:rPr>
          <w:rFonts w:ascii="Arial" w:cs="Arial" w:eastAsia="Arial" w:hAnsi="Arial"/>
          <w:sz w:val="14"/>
          <w:szCs w:val="14"/>
          <w:color w:val="auto"/>
        </w:rPr>
        <w:t>Mr. Korchevskiy was selected to serve on the Selecta RUS board of directors, as designated by VTB Capital I2BF Netherlands B.V., a Dutch limited company, and Selecta RKFN Ltd., a Russian limited liability company, or collectively I2BF. Dr. Shaydullina was selected to serve on the Selecta RUS board of directors, as designated by RUSNANO.</w:t>
      </w:r>
    </w:p>
    <w:p>
      <w:pPr>
        <w:spacing w:after="0" w:line="132" w:lineRule="exact"/>
        <w:rPr>
          <w:sz w:val="20"/>
          <w:szCs w:val="20"/>
          <w:color w:val="auto"/>
        </w:rPr>
      </w:pPr>
    </w:p>
    <w:p>
      <w:pPr>
        <w:ind w:right="780"/>
        <w:spacing w:after="0" w:line="282" w:lineRule="auto"/>
        <w:rPr>
          <w:sz w:val="20"/>
          <w:szCs w:val="20"/>
          <w:color w:val="auto"/>
        </w:rPr>
      </w:pPr>
      <w:r>
        <w:rPr>
          <w:rFonts w:ascii="Arial" w:cs="Arial" w:eastAsia="Arial" w:hAnsi="Arial"/>
          <w:sz w:val="15"/>
          <w:szCs w:val="15"/>
          <w:color w:val="auto"/>
        </w:rPr>
        <w:t>The voting agreement will terminate in its entirety in connection with this offering. The composition of our board of directors after this offering is described in more detail under "Management—Board composition and election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195"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We have entered into employment agreements or offer letters with our named executive officers. For more information regarding the agreements with our named executive officers, see "Executive and director compensation—Executive compensation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CONSULTING AGREEMENTS</w:t>
      </w:r>
    </w:p>
    <w:p>
      <w:pPr>
        <w:spacing w:after="0" w:line="195"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We entered into consulting agreements with directors Omid Farokhzad, Robert Langer and George Siber, and Ulrich von Andrian. Each of Drs. Langer and Siber will resign from our board of directors contingent upon, and effective immediately prior to, the effectiveness of the registration statement of which this prospectus forms a part.</w:t>
      </w:r>
    </w:p>
    <w:p>
      <w:pPr>
        <w:spacing w:after="0" w:line="151" w:lineRule="exact"/>
        <w:rPr>
          <w:sz w:val="20"/>
          <w:szCs w:val="20"/>
          <w:color w:val="auto"/>
        </w:rPr>
      </w:pPr>
    </w:p>
    <w:p>
      <w:pPr>
        <w:ind w:right="160"/>
        <w:spacing w:after="0" w:line="330" w:lineRule="auto"/>
        <w:rPr>
          <w:sz w:val="20"/>
          <w:szCs w:val="20"/>
          <w:color w:val="auto"/>
        </w:rPr>
      </w:pPr>
      <w:r>
        <w:rPr>
          <w:rFonts w:ascii="Arial" w:cs="Arial" w:eastAsia="Arial" w:hAnsi="Arial"/>
          <w:sz w:val="13"/>
          <w:szCs w:val="13"/>
          <w:color w:val="auto"/>
        </w:rPr>
        <w:t>The consulting agreements provide for annual payments of $75,000 for each of Drs. Farokhzad, Langer and von Andrian and $36,000 for Dr. Siber. Dr. Siber also received stock options to purchase up to 123,140 shares of common stock at an exercise price equal to fair market value on the date of grant. We also pay Dr. Farokhzad $72,000 per year in addition to the annual $75,000 payment under his consulting agreement, but have agreed with Dr. Farokhzad to discontinue this additional $72,000 per year payment upon the closing of this offering.</w:t>
      </w:r>
    </w:p>
    <w:p>
      <w:pPr>
        <w:spacing w:after="0" w:line="125"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The consulting agreements for each of Drs. Farokhzad, Langer and von Andrian provide that we may terminate the agreements at any time, but must deposit with an escrow agent the consulting fees for the prior 90 days which would then be payable to the consulting party post-termination. The agreements may also be terminated without penalty by both parties upon mutual consent or by the consulting party with 30 days' prior written notice. The consulting agreement for Dr. Siber provides that the agreement may be terminated by mutual consent of the parties or by either party upon 30 days' prior written notice. Each agreement contains provisions regarding intellectual property assignment, confidentiality, noncompetition and nonsolicitation. Our existing consulting agreement with Dr. Siber will terminate upon the closing of this offering. We expect to enter into a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5" w:name="page206"/>
    <w:bookmarkEnd w:id="20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agreement with Dr. Siber after this offering regarding his continued service on our scientific advisory board.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regarding compensation that we have paid to each of Drs. Farokhzad, Langer and Siber, see "Executive and director compensation—Director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195"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GRANTS TO EXECUTIVE OFFICERS AND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granted stock options to our executive officers and certain of our directors as more fully described in the section entitled "Executive and director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PARTICIPATION IN THIS OFFERING</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5"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Our board of directors has adopted a written related person transaction policy, to be effective immediately prior to the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of 1933, as amended, or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266305"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6" w:name="page207"/>
    <w:bookmarkEnd w:id="206"/>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0910" cy="7620"/>
                    </a:xfrm>
                    <a:prstGeom prst="rect">
                      <a:avLst/>
                    </a:prstGeom>
                    <a:noFill/>
                  </pic:spPr>
                </pic:pic>
              </a:graphicData>
            </a:graphic>
          </wp:anchor>
        </w:drawing>
        <w:t>Principal stockholders</w:t>
      </w:r>
    </w:p>
    <w:p>
      <w:pPr>
        <w:spacing w:after="0" w:line="183" w:lineRule="exact"/>
        <w:rPr>
          <w:sz w:val="20"/>
          <w:szCs w:val="20"/>
          <w:color w:val="auto"/>
        </w:rPr>
      </w:pPr>
    </w:p>
    <w:p>
      <w:pPr>
        <w:ind w:left="7" w:right="20"/>
        <w:spacing w:after="0" w:line="282" w:lineRule="auto"/>
        <w:rPr>
          <w:sz w:val="20"/>
          <w:szCs w:val="20"/>
          <w:color w:val="auto"/>
        </w:rPr>
      </w:pPr>
      <w:r>
        <w:rPr>
          <w:rFonts w:ascii="Arial" w:cs="Arial" w:eastAsia="Arial" w:hAnsi="Arial"/>
          <w:sz w:val="15"/>
          <w:szCs w:val="15"/>
          <w:color w:val="auto"/>
        </w:rPr>
        <w:t>The following table sets forth information with respect to the beneficial ownership of our common stock, as of May 31, 2016, and as adjusted to reflect the sale of shares of common stock in this offering, by:</w:t>
      </w:r>
    </w:p>
    <w:p>
      <w:pPr>
        <w:spacing w:after="0" w:line="162" w:lineRule="exact"/>
        <w:rPr>
          <w:sz w:val="20"/>
          <w:szCs w:val="20"/>
          <w:color w:val="auto"/>
        </w:rPr>
      </w:pPr>
    </w:p>
    <w:p>
      <w:pPr>
        <w:ind w:left="467" w:hanging="467"/>
        <w:spacing w:after="0"/>
        <w:tabs>
          <w:tab w:leader="none" w:pos="4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beneficially own more than 5% of our common stock;</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each of our directors and our director nominee;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all of our executive officers, directors and our director nominee as a group.</w:t>
      </w:r>
    </w:p>
    <w:p>
      <w:pPr>
        <w:spacing w:after="0" w:line="198" w:lineRule="exact"/>
        <w:rPr>
          <w:sz w:val="20"/>
          <w:szCs w:val="20"/>
          <w:color w:val="auto"/>
        </w:rPr>
      </w:pPr>
    </w:p>
    <w:p>
      <w:pPr>
        <w:ind w:left="7" w:right="20"/>
        <w:spacing w:after="0" w:line="306" w:lineRule="auto"/>
        <w:rPr>
          <w:sz w:val="20"/>
          <w:szCs w:val="20"/>
          <w:color w:val="auto"/>
        </w:rPr>
      </w:pPr>
      <w:r>
        <w:rPr>
          <w:rFonts w:ascii="Arial" w:cs="Arial" w:eastAsia="Arial" w:hAnsi="Arial"/>
          <w:sz w:val="13"/>
          <w:szCs w:val="13"/>
          <w:color w:val="auto"/>
        </w:rPr>
        <w:t>The number of shares beneficially owned by each stockholder is determined under rules issued by the Securities and Exchange Commission. Under these rules, beneficial ownership includes any shares as to which the individual or entity has sole or shared voting power or investment power. Applicable percentage ownership information is based on 12,664,048 shares of common stock outstanding as of May 31, 2016, which assumes the conversion of the 8,888,888 outstanding shares of our series E preferred stock as of May 31, 2016 into an aggregate of 3,297,480 shares of our common stock, which will automatically occur upon completion of this offering. Upon the closing of this offering, (i) our series E preferred stock will automatically convert into a number of shares of common stock and (ii) outstanding warrants to purchase shares of our series E 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Accordingly, the number of shares of our common stock issuable upon conversion of all of our preferred stock and exercise of our warrants outstanding would correspondingly increase or decrease, as applicable, in the event of any change in the initial public offering price per share. See "Prospectus summary—The offering."</w:t>
      </w:r>
    </w:p>
    <w:p>
      <w:pPr>
        <w:spacing w:after="0" w:line="143" w:lineRule="exact"/>
        <w:rPr>
          <w:sz w:val="20"/>
          <w:szCs w:val="20"/>
          <w:color w:val="auto"/>
        </w:rPr>
      </w:pPr>
    </w:p>
    <w:p>
      <w:pPr>
        <w:ind w:left="7" w:right="140"/>
        <w:spacing w:after="0" w:line="263" w:lineRule="auto"/>
        <w:rPr>
          <w:sz w:val="20"/>
          <w:szCs w:val="20"/>
          <w:color w:val="auto"/>
        </w:rPr>
      </w:pPr>
      <w:r>
        <w:rPr>
          <w:rFonts w:ascii="Arial" w:cs="Arial" w:eastAsia="Arial" w:hAnsi="Arial"/>
          <w:sz w:val="15"/>
          <w:szCs w:val="15"/>
          <w:color w:val="auto"/>
        </w:rPr>
        <w:t>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May 31, 2016 are considered outstanding, although these shares are not considered outstanding for purposes of computing the percentage ownership of any other person. Unless noted otherwise, the address of all listed stockholders is 480 Arsenal Street, Building One, Watertown, Massachusetts 02472. Each of the stockholders listed has sole voting and investment power with respect to the shares beneficially owned by the stockholder unless noted otherwise, subject to community property laws where applicable.</w:t>
      </w:r>
    </w:p>
    <w:p>
      <w:pPr>
        <w:spacing w:after="0" w:line="167"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 on any shares purchased by these stockholders as they will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333" w:right="239" w:bottom="1440" w:gutter="0" w:footer="0" w:header="0"/>
        </w:sectPr>
      </w:pPr>
    </w:p>
    <w:bookmarkStart w:id="207" w:name="page208"/>
    <w:bookmarkEnd w:id="20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any other shares sold to the public in this offering. The information set forth in the table below does not reflect any potential purchase of any shares in this offering by such parties.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9"/>
              </w:rPr>
              <w:t>Shares</w:t>
            </w:r>
          </w:p>
        </w:tc>
        <w:tc>
          <w:tcPr>
            <w:tcW w:w="1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beneficially owned</w:t>
            </w:r>
          </w:p>
        </w:tc>
        <w:tc>
          <w:tcPr>
            <w:tcW w:w="1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149"/>
        </w:trPr>
        <w:tc>
          <w:tcPr>
            <w:tcW w:w="55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 of beneficial owner</w:t>
            </w:r>
          </w:p>
        </w:tc>
        <w:tc>
          <w:tcPr>
            <w:tcW w:w="17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prior to offering</w:t>
            </w:r>
          </w:p>
        </w:tc>
        <w:tc>
          <w:tcPr>
            <w:tcW w:w="17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after offering</w:t>
            </w:r>
          </w:p>
        </w:tc>
        <w:tc>
          <w:tcPr>
            <w:tcW w:w="0" w:type="dxa"/>
            <w:vAlign w:val="bottom"/>
          </w:tcPr>
          <w:p>
            <w:pPr>
              <w:spacing w:after="0"/>
              <w:rPr>
                <w:sz w:val="1"/>
                <w:szCs w:val="1"/>
                <w:color w:val="auto"/>
              </w:rPr>
            </w:pPr>
          </w:p>
        </w:tc>
      </w:tr>
      <w:tr>
        <w:trPr>
          <w:trHeight w:val="131"/>
        </w:trPr>
        <w:tc>
          <w:tcPr>
            <w:tcW w:w="5580" w:type="dxa"/>
            <w:vAlign w:val="bottom"/>
            <w:gridSpan w:val="3"/>
            <w:vMerge w:val="continue"/>
          </w:tcPr>
          <w:p>
            <w:pPr>
              <w:spacing w:after="0"/>
              <w:rPr>
                <w:sz w:val="11"/>
                <w:szCs w:val="11"/>
                <w:color w:val="auto"/>
              </w:rPr>
            </w:pPr>
          </w:p>
        </w:tc>
        <w:tc>
          <w:tcPr>
            <w:tcW w:w="860" w:type="dxa"/>
            <w:vAlign w:val="bottom"/>
            <w:tcBorders>
              <w:top w:val="single" w:sz="8" w:color="auto"/>
            </w:tcBorders>
          </w:tcPr>
          <w:p>
            <w:pPr>
              <w:jc w:val="right"/>
              <w:ind w:right="187"/>
              <w:spacing w:after="0" w:line="131" w:lineRule="exact"/>
              <w:rPr>
                <w:sz w:val="20"/>
                <w:szCs w:val="20"/>
                <w:color w:val="auto"/>
              </w:rPr>
            </w:pPr>
            <w:r>
              <w:rPr>
                <w:rFonts w:ascii="Arial" w:cs="Arial" w:eastAsia="Arial" w:hAnsi="Arial"/>
                <w:sz w:val="12"/>
                <w:szCs w:val="12"/>
                <w:b w:val="1"/>
                <w:bCs w:val="1"/>
                <w:color w:val="auto"/>
              </w:rPr>
              <w:t>Number</w:t>
            </w: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1"/>
                <w:szCs w:val="11"/>
                <w:color w:val="auto"/>
              </w:rPr>
            </w:pPr>
          </w:p>
        </w:tc>
        <w:tc>
          <w:tcPr>
            <w:tcW w:w="860" w:type="dxa"/>
            <w:vAlign w:val="bottom"/>
            <w:tcBorders>
              <w:top w:val="single" w:sz="8" w:color="auto"/>
            </w:tcBorders>
          </w:tcPr>
          <w:p>
            <w:pPr>
              <w:jc w:val="right"/>
              <w:ind w:right="187"/>
              <w:spacing w:after="0" w:line="131" w:lineRule="exact"/>
              <w:rPr>
                <w:sz w:val="20"/>
                <w:szCs w:val="20"/>
                <w:color w:val="auto"/>
              </w:rPr>
            </w:pPr>
            <w:r>
              <w:rPr>
                <w:rFonts w:ascii="Arial" w:cs="Arial" w:eastAsia="Arial" w:hAnsi="Arial"/>
                <w:sz w:val="12"/>
                <w:szCs w:val="12"/>
                <w:b w:val="1"/>
                <w:bCs w:val="1"/>
                <w:color w:val="auto"/>
              </w:rPr>
              <w:t>Number</w:t>
            </w: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5% or Greater Stockholders</w:t>
            </w:r>
          </w:p>
        </w:tc>
        <w:tc>
          <w:tcPr>
            <w:tcW w:w="8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Partners(1)</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1,757,234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13.9%</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1,757,234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L.P.(2)</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1,659,205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1,659,205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RUSNANO(3)</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1,361,434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10.7%</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1,361,434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LLC(4)</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1,251,707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1,251,707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TAS Partners LLC and Leukon Partners, LP, as affiliated entities(5)</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965,330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7.6%</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965,330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NanoDimension L.P.(6)</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658,345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658,345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368"/>
        </w:trPr>
        <w:tc>
          <w:tcPr>
            <w:tcW w:w="558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Named Executive Officers, Directors and Director Nominee</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Werner Cautreels, Ph.D.(7)</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412,097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412,097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Takashi Kei Kishimoto, Ph.D.(8)</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108,172</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108,172</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 Sands, M.D.</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25,640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25,640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Omid Farokhzad, M.D.(9)</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419,861</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419,861</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Ph.D.(4)</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1,251,707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1,251,707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Peter Barton Hutt(10)</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36,324</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36,324</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 Jr.(2)</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1,659,205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1,659,205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Robert Langer, Jr., Sc. D.(11)</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534,793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4.2%</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534,793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Sc.D.(1)</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1,757,234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1,757,234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Aymeric Sallin, M.S.(6)</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Leysan Shaydullina(3)</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George Siber, M.D.(12)</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31,574</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31,574</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Timothy A. Springer, Ph.D.(5)</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965,330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965,330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All executive officers, directors and director nominee as a group (17 persons)(13)</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7,596,270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60.0%</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7,596,270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44.9%</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05" w:lineRule="exact"/>
        <w:rPr>
          <w:sz w:val="20"/>
          <w:szCs w:val="20"/>
          <w:color w:val="auto"/>
        </w:rPr>
      </w:pPr>
    </w:p>
    <w:p>
      <w:pPr>
        <w:ind w:left="1600" w:right="140" w:hanging="463"/>
        <w:spacing w:after="0" w:line="276" w:lineRule="auto"/>
        <w:tabs>
          <w:tab w:leader="none" w:pos="16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Consists of (i) 1,675,639 shares of common stock held by Polaris Venture Partners V, L.P., or Polaris V, (ii) 19,990 shares of common stock underlying warrants exercisable within 60 days of May 31, 2016 held by Polaris V, (iii) 32,654 shares of common stock held by Polaris Venture Partners Entrepreneurs' Fund V, L.P., or Polaris EFund V, (iv) 389 shares of common stock underlying warrants exercisable within</w:t>
      </w:r>
    </w:p>
    <w:p>
      <w:pPr>
        <w:ind w:left="1600" w:right="20"/>
        <w:spacing w:after="0" w:line="271" w:lineRule="auto"/>
        <w:rPr>
          <w:rFonts w:ascii="Arial" w:cs="Arial" w:eastAsia="Arial" w:hAnsi="Arial"/>
          <w:sz w:val="10"/>
          <w:szCs w:val="10"/>
          <w:color w:val="auto"/>
        </w:rPr>
      </w:pPr>
      <w:r>
        <w:rPr>
          <w:rFonts w:ascii="Arial" w:cs="Arial" w:eastAsia="Arial" w:hAnsi="Arial"/>
          <w:sz w:val="10"/>
          <w:szCs w:val="10"/>
          <w:color w:val="auto"/>
        </w:rPr>
        <w:t>60 days of May 31, 2016 held by Polaris EFund V, (v) 11,474 shares of common stock held by Polaris Venture Partners Founders' Fund V, L.P., or Polaris FFund V, (vi) 136 shares of common stock underlying warrants exercisable within 60 days of May 31, 2016 held by Polaris FFund V, (vii) 16,753 shares of common stock held by Polaris Venture Partners Special Founders' Fund V, L.P., or Polaris SFFund V, and (viii) 199 shares of common stock underlying warrants exercisable within 60 days of May 31, 2016 held by Polaris SFFund V. The general partner of each of the Funds is Polaris Venture Management Co., V, L.L.C., or the General Partner. The General Partner may be deemed to have sole voting and investment power with respect to the shares held by the Funds, and disclaims beneficial ownership of all the shares held by the Funds except to the extent of its proportionate pecuniary interest therein. The members of North Star Venture Management 2000, LLC are also members of the General Partner. As members of North Star Venture Management 2000, LLC and the General Partner, such members, or the Management Members, may be deemed to share voting and investment powers for the shares held by the Funds. The Management Members disclaim beneficial ownership of all such shares held by the funds except to the extent of their proportionate pecuniary interests therein. Dr. Amir Nashat, our director, is a member of the General Partner. To the extent that he is deemed to share voting and investment powers with respect to the shares held by the Funds, Dr. Nashat disclaims beneficial ownership of his proportionate pecuniary interest therein. The address of the beneficial owner is c/o Polaris Venture Partners, 1000 Winter Street, Suite 3350, Waltham, MA 02451.</w:t>
      </w:r>
    </w:p>
    <w:p>
      <w:pPr>
        <w:spacing w:after="0" w:line="83" w:lineRule="exact"/>
        <w:rPr>
          <w:rFonts w:ascii="Arial" w:cs="Arial" w:eastAsia="Arial" w:hAnsi="Arial"/>
          <w:sz w:val="10"/>
          <w:szCs w:val="10"/>
          <w:color w:val="auto"/>
        </w:rPr>
      </w:pPr>
    </w:p>
    <w:p>
      <w:pPr>
        <w:ind w:left="1600" w:right="80" w:hanging="463"/>
        <w:spacing w:after="0" w:line="238" w:lineRule="auto"/>
        <w:tabs>
          <w:tab w:leader="none" w:pos="16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(i) 1,638,943 shares of common stock held of record by Flagship Ventures Fund 2007, L.P., or Flagship Ventures 2007, and (ii) 20,262 shares of common stock underlying warrants exercisable within 60 days of May 31, 2016 held of record by Flagship Ventures 2007. Flagship Ventures 2007 General Partner, LLC, or Flagship 2007 LLC,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8" w:name="page209"/>
    <w:bookmarkEnd w:id="20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7" w:lineRule="exact"/>
        <w:rPr>
          <w:sz w:val="20"/>
          <w:szCs w:val="20"/>
          <w:color w:val="auto"/>
        </w:rPr>
      </w:pPr>
    </w:p>
    <w:p>
      <w:pPr>
        <w:ind w:left="1600" w:right="40"/>
        <w:spacing w:after="0" w:line="299" w:lineRule="auto"/>
        <w:rPr>
          <w:sz w:val="20"/>
          <w:szCs w:val="20"/>
          <w:color w:val="auto"/>
        </w:rPr>
      </w:pPr>
      <w:r>
        <w:rPr>
          <w:rFonts w:ascii="Arial" w:cs="Arial" w:eastAsia="Arial" w:hAnsi="Arial"/>
          <w:sz w:val="10"/>
          <w:szCs w:val="10"/>
          <w:color w:val="auto"/>
        </w:rPr>
        <w:t>general partner of Flagship Ventures 2007 and Noubar B. Afeyan Ph.D. and Edwin M. Kania, Jr. are the managers of Flagship 2007 LLC. Flagship 2007 LLC, Dr. Afeyan and Mr. Kania may be deemed to share voting and investment power with respect to all shares held by Flagship Ventures 2007. Flagship 2007 LLC, Dr. Afeyan and Mr. Kania expressly disclaim beneficial ownership of the securities listed above except to the extent of any pecuniary interest therein. The address for Flagship Ventures 2007 is One Memorial Drive, 7th Floor, Cambridge, MA 02142.</w:t>
      </w:r>
    </w:p>
    <w:p>
      <w:pPr>
        <w:spacing w:after="0" w:line="126" w:lineRule="exact"/>
        <w:rPr>
          <w:sz w:val="20"/>
          <w:szCs w:val="20"/>
          <w:color w:val="auto"/>
        </w:rPr>
      </w:pPr>
    </w:p>
    <w:p>
      <w:pPr>
        <w:ind w:left="1600" w:hanging="463"/>
        <w:spacing w:after="0" w:line="268" w:lineRule="auto"/>
        <w:tabs>
          <w:tab w:leader="none" w:pos="160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Consists of (i) 1,348,331 shares of common stock held by RUSNANO and (ii) 13,103 shares of common stock underlying warrants exercisable within 60 days of May 31, 2016 held by RUSNANO. RUSNANO is a joint stock company organized under the laws of the Russian Federation. The Russian Federation owns 100% of RUSNANO. RUSNANO is managed by RUSNANO Management Company LLC, the Executive Board of which has the power to vote and dispose of the securities held directly by RUSNANO below a certain amount, and is supervised by the Board of Directors of RUSNANO, which, along with the Executive Board of RUSNANO Management Company LLC, has the power to dispose of the securities held directly by RUSNANO above a certain amount. Anatoly Chubais, Vladimir Avetissian, German Pikhoya, Oleg Kiselev, Boris Podolsky and Yury Udaltsov, as the members of the Executive Board of RUSNANO Management Company LLC, and Arkadiy Dvorkovich, Anatoly Chubais, Igor Agamirzyan, Mikhail Alfimov, Oleg Fomichev, Andrey Ivanov, Denis Manturov, Vladislav Putilin, Pavel Teplukhin, Viktor Vekselberg and Ilya Yuzhanov, as the members of the Board of Directors of RUSNANO, may be deemed to have or share beneficial ownership of these securities. Each of them disclaims any such beneficial ownership. The address of each of RUSNANO and RUSNANO Management Company LLC is</w:t>
      </w:r>
    </w:p>
    <w:p>
      <w:pPr>
        <w:spacing w:after="0" w:line="2" w:lineRule="exact"/>
        <w:rPr>
          <w:rFonts w:ascii="Arial" w:cs="Arial" w:eastAsia="Arial" w:hAnsi="Arial"/>
          <w:sz w:val="10"/>
          <w:szCs w:val="10"/>
          <w:color w:val="auto"/>
        </w:rPr>
      </w:pPr>
    </w:p>
    <w:p>
      <w:pPr>
        <w:ind w:left="1600"/>
        <w:spacing w:after="0"/>
        <w:rPr>
          <w:rFonts w:ascii="Arial" w:cs="Arial" w:eastAsia="Arial" w:hAnsi="Arial"/>
          <w:sz w:val="10"/>
          <w:szCs w:val="10"/>
          <w:color w:val="auto"/>
        </w:rPr>
      </w:pPr>
      <w:r>
        <w:rPr>
          <w:rFonts w:ascii="Arial" w:cs="Arial" w:eastAsia="Arial" w:hAnsi="Arial"/>
          <w:sz w:val="12"/>
          <w:szCs w:val="12"/>
          <w:color w:val="auto"/>
        </w:rPr>
        <w:t>10A prospect 60-letiya Oktyabrya, Moscow, Russia 117036.</w:t>
      </w:r>
    </w:p>
    <w:p>
      <w:pPr>
        <w:spacing w:after="0" w:line="95" w:lineRule="exact"/>
        <w:rPr>
          <w:rFonts w:ascii="Arial" w:cs="Arial" w:eastAsia="Arial" w:hAnsi="Arial"/>
          <w:sz w:val="10"/>
          <w:szCs w:val="10"/>
          <w:color w:val="auto"/>
        </w:rPr>
      </w:pPr>
    </w:p>
    <w:p>
      <w:pPr>
        <w:ind w:left="1600" w:right="20" w:hanging="463"/>
        <w:spacing w:after="0" w:line="276" w:lineRule="auto"/>
        <w:tabs>
          <w:tab w:leader="none" w:pos="160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Consists of (i) 1,233,390 shares of common stock held by OrbiMed Private Investments III, LP, or OrbiMed Private, (ii) 6,513 shares of common stock underlying warrants exercisable within 60 days of May 31, 2016 held by OrbiMed Private, (iii) 11,743 shares of common stock held by OrbiMed Associates III, LP, or OrbiMed Associates and, together with OrbiMed Private, the OrbiMed Funds, and (iv) 61 shares of common stock underlying warrants exercisable within 60 days of May 31, 2016 held by OrbiMed Associates. OrbiMed Capital GP III LLC, or GP III, is the general partner of OrbiMed Private and OrbiMed Advisors LLC, or OrbiMed Advisors, is the managing member of GP III and the general partner of OrbiMed Associates. Mr. Samuel D. Isaly is the managing member of and owner of a controlling interest in OrbiMed Advisors. By virtue of such relationships, GP III, OrbiMed Advisors and Mr. Isaly may be deemed to have voting and investment power over the securities held by the OrbiMed Funds and as a result may be deemed to have beneficial ownership over such securities. Dr. Carl Gordon, one of our directors, is a member of OrbiMed Advisors. Each of GP III, OrbiMed Advisors, Mr. Isaly and Dr. Gordon disclaims beneficial ownership of all the shares held by the OrbiMed Funds except to the extent of its or his proportionate pecuniary interest therein. The mailing address of the beneficial owner is 601 Lexington Avenue, New York, NY 10022.</w:t>
      </w:r>
    </w:p>
    <w:p>
      <w:pPr>
        <w:spacing w:after="0" w:line="209" w:lineRule="exact"/>
        <w:rPr>
          <w:rFonts w:ascii="Arial" w:cs="Arial" w:eastAsia="Arial" w:hAnsi="Arial"/>
          <w:sz w:val="10"/>
          <w:szCs w:val="10"/>
          <w:color w:val="auto"/>
        </w:rPr>
      </w:pPr>
    </w:p>
    <w:p>
      <w:pPr>
        <w:ind w:left="1600" w:right="20" w:hanging="463"/>
        <w:spacing w:after="0" w:line="228" w:lineRule="auto"/>
        <w:tabs>
          <w:tab w:leader="none" w:pos="160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(i) 437,396 shares of common stock held by TAS Partners, LLC, or TAS, (ii) 4,304 shares of common stock underlying warrants exercisable within 60 days of May 31, 2016 held by TAS, (iii) 518,304 shares of common stock held by Leukon Investments LP, or Leukon, and (iv) 5,326 shares of common stock underlying warrants exercisable within 60 days of May 31, 2016. LKST, Inc. is the general partner of Leukon. Timothy Springer, our director nominee, is the president of LKST, Inc. and is also the manager of TAS. Mr. Springer disclaims beneficial ownership of the shares held by TAS and Leukon except to the extent of his pecuniary interest therein. Each of TAS and Leukon disclaim beneficial ownership of the shares held by the other except to the extent of their pecuniary interest therein. The address of TAS and Leukon is 36 Woodman Road, Chestnut Hill, MA 02467.</w:t>
      </w:r>
    </w:p>
    <w:p>
      <w:pPr>
        <w:spacing w:after="0" w:line="97" w:lineRule="exact"/>
        <w:rPr>
          <w:rFonts w:ascii="Arial" w:cs="Arial" w:eastAsia="Arial" w:hAnsi="Arial"/>
          <w:sz w:val="12"/>
          <w:szCs w:val="12"/>
          <w:color w:val="auto"/>
        </w:rPr>
      </w:pPr>
    </w:p>
    <w:p>
      <w:pPr>
        <w:ind w:left="1600" w:right="60" w:hanging="463"/>
        <w:spacing w:after="0" w:line="279" w:lineRule="auto"/>
        <w:tabs>
          <w:tab w:leader="none" w:pos="160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Consists of (i) 651,338 shares of common stock held by NanoDimension L.P., or ND LP, and (ii) 7,007 shares of common stock underlying warrants exercisable within 60 days of May 31, 2016 held by ND LP. NanoDimension Management Ltd., or ND GP, serves as the general partner of ND LP and possesses power to direct the voting and disposition of the shares owned by ND LP and may be deemed to have indirect beneficial ownership of the shares held by ND LP. ND GP disclaims beneficial ownership of such shares, except to the extent of its pecuniary interest therein. The ND GP owns no securities of the issuer directly. Jonathan Nicholson and Richard Coles are the members of the board of directors of ND GP and share voting and dispositive power over the shares held by ND LP. Aymeric Sallin is a member of the investment advisory committee of NDGP that provide investment recommendation to NDGP. Each such person disclaims beneficial ownership of the shares reported herein, except to the extent of his respective pecuniary interest therein. The address for NanoDimension Limited Partnership is Governor's Square, Unit 3-213-6, 23 Lime Tree Bay Ave, Grand Cayman, Cayman Islands KY1-1302.</w:t>
      </w:r>
    </w:p>
    <w:p>
      <w:pPr>
        <w:spacing w:after="0" w:line="78" w:lineRule="exact"/>
        <w:rPr>
          <w:rFonts w:ascii="Arial" w:cs="Arial" w:eastAsia="Arial" w:hAnsi="Arial"/>
          <w:sz w:val="10"/>
          <w:szCs w:val="10"/>
          <w:color w:val="auto"/>
        </w:rPr>
      </w:pPr>
    </w:p>
    <w:p>
      <w:pPr>
        <w:ind w:left="1600" w:hanging="463"/>
        <w:spacing w:after="0"/>
        <w:tabs>
          <w:tab w:leader="none" w:pos="160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Includes 110,894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Includes 108,172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Includes (i) 65,652 shares of common stock underlying outstanding stock options exercisable within 60 days of May 31, 2016; (ii) 202,051 shares of common stock held by a family trust for which</w:t>
      </w:r>
    </w:p>
    <w:p>
      <w:pPr>
        <w:spacing w:after="0" w:line="22" w:lineRule="exact"/>
        <w:rPr>
          <w:rFonts w:ascii="Arial" w:cs="Arial" w:eastAsia="Arial" w:hAnsi="Arial"/>
          <w:sz w:val="10"/>
          <w:szCs w:val="10"/>
          <w:color w:val="auto"/>
        </w:rPr>
      </w:pPr>
    </w:p>
    <w:p>
      <w:pPr>
        <w:ind w:left="1600" w:right="180"/>
        <w:spacing w:after="0" w:line="230" w:lineRule="auto"/>
        <w:rPr>
          <w:rFonts w:ascii="Arial" w:cs="Arial" w:eastAsia="Arial" w:hAnsi="Arial"/>
          <w:sz w:val="10"/>
          <w:szCs w:val="10"/>
          <w:color w:val="auto"/>
        </w:rPr>
      </w:pPr>
      <w:r>
        <w:rPr>
          <w:rFonts w:ascii="Arial" w:cs="Arial" w:eastAsia="Arial" w:hAnsi="Arial"/>
          <w:sz w:val="12"/>
          <w:szCs w:val="12"/>
          <w:color w:val="auto"/>
        </w:rPr>
        <w:t>Dr. Farokhzad's wife serves as trustee; and (iii) 20,609 shares of common stock held by BioDynamics Core, L.P., which is managed by BioDynamics, LLC, of which Dr. Farokhzad is a member. Dr. Farokhzad disclaims beneficial ownership over the shares held by the family trust and BioDynamics Core, L.P. except to the extent of any pecuniary interest therein.</w:t>
      </w:r>
    </w:p>
    <w:p>
      <w:pPr>
        <w:spacing w:after="0" w:line="96" w:lineRule="exact"/>
        <w:rPr>
          <w:rFonts w:ascii="Arial" w:cs="Arial" w:eastAsia="Arial" w:hAnsi="Arial"/>
          <w:sz w:val="10"/>
          <w:szCs w:val="10"/>
          <w:color w:val="auto"/>
        </w:rPr>
      </w:pPr>
    </w:p>
    <w:p>
      <w:pPr>
        <w:ind w:left="1600" w:hanging="463"/>
        <w:spacing w:after="0"/>
        <w:tabs>
          <w:tab w:leader="none" w:pos="160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Includes 36,324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Includes 77,190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Includes 31,574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Includes (i) 833,588 shares of common stock underlying outstanding stock options and (ii) 57,180 shares of common stock underlying warrants exercisable within 60 days of May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66305"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09" w:name="page210"/>
    <w:bookmarkEnd w:id="20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Description of capital stock</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right="120"/>
        <w:spacing w:after="0" w:line="313" w:lineRule="auto"/>
        <w:rPr>
          <w:sz w:val="20"/>
          <w:szCs w:val="20"/>
          <w:color w:val="auto"/>
        </w:rPr>
      </w:pPr>
      <w:r>
        <w:rPr>
          <w:rFonts w:ascii="Arial" w:cs="Arial" w:eastAsia="Arial" w:hAnsi="Arial"/>
          <w:sz w:val="13"/>
          <w:szCs w:val="13"/>
          <w:color w:val="auto"/>
        </w:rPr>
        <w:t>The following description summarizes some of the terms of our restated certificate of incorporation and restated bylaws that will become effective upon the closing of this offering, our outstanding warrants, the investors' rights agreement and of the General Corporation Law of the State of Delaware. Because it is only a summary, it does not contain all the information that may be important to you. For a complete description, you should refer to our restated certificate of incorporation, restated bylaws, warrants and investors' rights agreement, copies of which have been or will be filed as exhibits to the registration statement of which this prospectus is a part, as well as the relevant provisions of the General Corporation Law of the State of Delaware. The description of our common stock and preferred stock reflects changes to our capital structure that will occur upon the closing of this offering.</w:t>
      </w:r>
    </w:p>
    <w:p>
      <w:pPr>
        <w:spacing w:after="0" w:line="137"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Following the closing of this offering, our authorized capital stock will consist of 200,000,000 shares of common stock, par value $0.0001 per share, and 10,000,000 shares of preferred stock, par value $0.0001 per share.</w:t>
      </w:r>
    </w:p>
    <w:p>
      <w:pPr>
        <w:spacing w:after="0" w:line="151" w:lineRule="exact"/>
        <w:rPr>
          <w:sz w:val="20"/>
          <w:szCs w:val="20"/>
          <w:color w:val="auto"/>
        </w:rPr>
      </w:pPr>
    </w:p>
    <w:p>
      <w:pPr>
        <w:jc w:val="both"/>
        <w:ind w:right="260"/>
        <w:spacing w:after="0" w:line="270" w:lineRule="auto"/>
        <w:rPr>
          <w:sz w:val="20"/>
          <w:szCs w:val="20"/>
          <w:color w:val="auto"/>
        </w:rPr>
      </w:pPr>
      <w:r>
        <w:rPr>
          <w:rFonts w:ascii="Arial" w:cs="Arial" w:eastAsia="Arial" w:hAnsi="Arial"/>
          <w:sz w:val="15"/>
          <w:szCs w:val="15"/>
          <w:color w:val="auto"/>
        </w:rPr>
        <w:t>On May 31, 2016, there were 2,773,468 shares of common stock outstanding, including 4,415 shares of unvested restricted common stock subject to repurchase by us, held of record by 80 stockholders. This amount does not include shares of common stock to be issued upon the conversion of outstanding shares of preferred stock that will convert automatically upon the closing of this offering.</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95"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See below under "—Anti-takeover effects of Delaware law and our certificate of incorporation and bylaws" and "—Amendment of charter provisions."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0" w:name="page211"/>
    <w:bookmarkEnd w:id="21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Under the terms of our restated certificate of incorporation that will become effective upon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59"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OPTIONS</w:t>
      </w:r>
    </w:p>
    <w:p>
      <w:pPr>
        <w:spacing w:after="0" w:line="195"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As of May 31, 2016, options to purchase 1,723,742 shares of our common stock were outstanding under our 2008 plan, of which 677,324 had not vested and 1,046,418 had vested as of that date, excluding 390,796 shares of common stock issuable upon the exercise of options to be granted in connection with this offering under our 2016 Plan, which will become effective in connection with this offering, to some of our executive officers and employees, at an exercise price per share equal to the initial public offering price in this offering.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jc w:val="both"/>
        <w:ind w:right="320"/>
        <w:spacing w:after="0" w:line="297" w:lineRule="auto"/>
        <w:rPr>
          <w:sz w:val="20"/>
          <w:szCs w:val="20"/>
          <w:color w:val="auto"/>
        </w:rPr>
      </w:pPr>
      <w:r>
        <w:rPr>
          <w:rFonts w:ascii="Arial" w:cs="Arial" w:eastAsia="Arial" w:hAnsi="Arial"/>
          <w:sz w:val="14"/>
          <w:szCs w:val="14"/>
          <w:color w:val="auto"/>
        </w:rPr>
        <w:t>In connection with our credit facility, on August 9, 2013 and July 25 2014, we issued warrants to Oxford and Pacific Western Bank exercisable for an aggregate of 66,668 shares of our series D preferred stock. Upon conversion of the series D preferred stock into common stock in connection with this offering, the warrants will become exercisable for 17,888 shares of common stock at a weighted average exercise price of $16.77. If unexercised, the warrants will expire on August 9, 2023 and July 25, 2024.</w:t>
      </w:r>
    </w:p>
    <w:p>
      <w:pPr>
        <w:spacing w:after="0" w:line="144"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On July 24, 2015, we issued warrants to investors in a previous convertible note financing exercisable for an aggregate of 80,813 shares of common stock at an exercise price of $17.55 per share. If unexercised, the warrants will expire on July 24, 2018.</w:t>
      </w:r>
    </w:p>
    <w:p>
      <w:pPr>
        <w:spacing w:after="0" w:line="151"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On August 27, 2015, September 3, 2015 and September 17, 2015, we issued series E common warrants to the investors in our series E preferred stock financing exercisable for an aggregate of 569,791 shares of common stock at an exercise price of $0.04 per share. Upon the filing of the registration statement of which this prospectus forms a part, the warrants were automatically exercised on a cashless basis for an aggregate of 567,306 shares of common stock.</w:t>
      </w:r>
    </w:p>
    <w:p>
      <w:pPr>
        <w:spacing w:after="0" w:line="159"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In connection with our credit facility, on December 31, 2015, we issued warrants to Oxford and Pacific Western Bank exercisable for an aggregate of 37,978 shares of our series E preferred stock. Upon conversion of the series E preferred stock into common stock in connection with this offering, the warrants will become exercisable for 14,088 shares of common stock at a weighted average exercise price of $17.55 per share of common stock based on an assumed initial public offering price of $15.00 per share, the midpoint of the price range set forth on the cover of this prospectus (see "Prospectus summary—The offering"). If unexercised, the warrants will expire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3" w:right="279" w:bottom="1440" w:gutter="0" w:footer="0" w:header="0"/>
        </w:sectPr>
      </w:pPr>
    </w:p>
    <w:bookmarkStart w:id="211" w:name="page212"/>
    <w:bookmarkEnd w:id="2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As of May 31, 2016, upon the closing of this offering, holders of approximately 12,016,162 shares of our common stock, including shares issuable upon the exercise of warrants, or their transferees will be entitled to the following rights with respect to the registration of such shares for public resale under the Securities Act, pursuant to an amended and restated investors' rights agreement by and among us and certain of our stockholders,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Demand registration rights</w:t>
      </w:r>
    </w:p>
    <w:p>
      <w:pPr>
        <w:spacing w:after="0" w:line="195"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If at any time beginning 180 days after the closing date of this offering the holders of at least 50% of the registrable securities request in writing that we effect a registration with respect to all or part of such registrable securities then outstanding, we may be required to register their shares. We are obligated to effect at most two registrations in response to these demand registration rights.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Piggyback registration rights</w:t>
      </w:r>
    </w:p>
    <w:p>
      <w:pPr>
        <w:spacing w:after="0" w:line="195"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 S-3 registration rights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If, at any time after we become entitled under the Securities Act to register our shares on a registration statement on Form S-3, the holders of the registrable securities request in writing that we effect a registration with respect to registrable securities at an aggregate price to the public in the offering of at least $2,000,000, we will be required to effect such registration; provided, however, that we will not be required to effect such a registration if, within a given calendar year, we have already effected two registrations on Form S-3 for the holders of registrable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and blue sky fees and expenses.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Termination of registration rights</w:t>
      </w:r>
    </w:p>
    <w:p>
      <w:pPr>
        <w:spacing w:after="0" w:line="195" w:lineRule="exact"/>
        <w:rPr>
          <w:sz w:val="20"/>
          <w:szCs w:val="20"/>
          <w:color w:val="auto"/>
        </w:rPr>
      </w:pPr>
    </w:p>
    <w:p>
      <w:pPr>
        <w:ind w:right="120"/>
        <w:spacing w:after="0" w:line="319" w:lineRule="auto"/>
        <w:rPr>
          <w:sz w:val="20"/>
          <w:szCs w:val="20"/>
          <w:color w:val="auto"/>
        </w:rPr>
      </w:pPr>
      <w:r>
        <w:rPr>
          <w:rFonts w:ascii="Arial" w:cs="Arial" w:eastAsia="Arial" w:hAnsi="Arial"/>
          <w:sz w:val="14"/>
          <w:szCs w:val="14"/>
          <w:color w:val="auto"/>
        </w:rPr>
        <w:t>The registration rights terminate upon the earlier of five years after the effective date of the registration statement of which this prospectus is a part, or, with respect to the registration rights of an individual holder, when the holder can sell all of such holder's registrable securities in a 90-day period without restriction under Rule 144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2" w:name="page213"/>
    <w:bookmarkEnd w:id="2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EFFECTS OF DELAWARE LAW AND OUR CERTIFICATE OF INCORPORATION AND BYLAWS</w:t>
      </w:r>
    </w:p>
    <w:p>
      <w:pPr>
        <w:spacing w:after="0" w:line="195"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Some provisions of Delaware law, our restated certificate of incorporation and our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Undesignated preferred stock</w:t>
      </w:r>
    </w:p>
    <w:p>
      <w:pPr>
        <w:spacing w:after="0" w:line="195" w:lineRule="exact"/>
        <w:rPr>
          <w:sz w:val="20"/>
          <w:szCs w:val="20"/>
          <w:color w:val="auto"/>
        </w:rPr>
      </w:pPr>
    </w:p>
    <w:p>
      <w:pPr>
        <w:jc w:val="both"/>
        <w:ind w:right="220"/>
        <w:spacing w:after="0" w:line="270" w:lineRule="auto"/>
        <w:rPr>
          <w:sz w:val="20"/>
          <w:szCs w:val="20"/>
          <w:color w:val="auto"/>
        </w:rPr>
      </w:pPr>
      <w:r>
        <w:rPr>
          <w:rFonts w:ascii="Arial" w:cs="Arial" w:eastAsia="Arial" w:hAnsi="Arial"/>
          <w:sz w:val="15"/>
          <w:szCs w:val="15"/>
          <w:color w:val="auto"/>
        </w:rPr>
        <w:t>The ability of our board of directors, without action by the stockholders, to issue shares of undesignated preferred stock under our restated certificate of incorporation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meetings</w:t>
      </w:r>
    </w:p>
    <w:p>
      <w:pPr>
        <w:spacing w:after="0" w:line="19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Our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Requirements for advance notification of stockholder nominations and proposals</w:t>
      </w:r>
    </w:p>
    <w:p>
      <w:pPr>
        <w:spacing w:after="0" w:line="195"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Our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Elimination of stockholder action by written consent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restated certificate of incorporation eliminates the right of stockholders to act by written consent without a meeting.</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Staggered board</w:t>
      </w:r>
    </w:p>
    <w:p>
      <w:pPr>
        <w:spacing w:after="0" w:line="195"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Our board of directors is divided into three classes. The directors in each class will serve for a three-year term,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13" w:name="page214"/>
    <w:bookmarkEnd w:id="2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Removal of directors</w:t>
      </w:r>
    </w:p>
    <w:p>
      <w:pPr>
        <w:spacing w:after="0" w:line="195" w:lineRule="exact"/>
        <w:rPr>
          <w:sz w:val="20"/>
          <w:szCs w:val="20"/>
          <w:color w:val="auto"/>
        </w:rPr>
      </w:pPr>
    </w:p>
    <w:p>
      <w:pPr>
        <w:ind w:right="280"/>
        <w:spacing w:after="0" w:line="319" w:lineRule="auto"/>
        <w:rPr>
          <w:sz w:val="20"/>
          <w:szCs w:val="20"/>
          <w:color w:val="auto"/>
        </w:rPr>
      </w:pPr>
      <w:r>
        <w:rPr>
          <w:rFonts w:ascii="Arial" w:cs="Arial" w:eastAsia="Arial" w:hAnsi="Arial"/>
          <w:sz w:val="14"/>
          <w:szCs w:val="14"/>
          <w:color w:val="auto"/>
        </w:rPr>
        <w:t>Our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not entitled to cumulative voting</w:t>
      </w:r>
    </w:p>
    <w:p>
      <w:pPr>
        <w:spacing w:after="0" w:line="195"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Delaware anti-takeover statute</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Choice of forum</w:t>
      </w:r>
    </w:p>
    <w:p>
      <w:pPr>
        <w:spacing w:after="0" w:line="195"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Our restated certificate of incorporation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of charter provisions</w:t>
      </w:r>
    </w:p>
    <w:p>
      <w:pPr>
        <w:spacing w:after="0" w:line="195" w:lineRule="exact"/>
        <w:rPr>
          <w:sz w:val="20"/>
          <w:szCs w:val="20"/>
          <w:color w:val="auto"/>
        </w:rPr>
      </w:pPr>
    </w:p>
    <w:p>
      <w:pPr>
        <w:ind w:right="460"/>
        <w:spacing w:after="0" w:line="282" w:lineRule="auto"/>
        <w:rPr>
          <w:sz w:val="20"/>
          <w:szCs w:val="20"/>
          <w:color w:val="auto"/>
        </w:rPr>
      </w:pPr>
      <w:r>
        <w:rPr>
          <w:rFonts w:ascii="Arial" w:cs="Arial" w:eastAsia="Arial" w:hAnsi="Arial"/>
          <w:sz w:val="15"/>
          <w:szCs w:val="15"/>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51"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The provisions of Delaware law, our restated certificate of incorporation and our restated bylaws could have the effect of discouraging others from attempting hostile takeovers and, as a consequence, they may also inhibit temporary fluctuations in the market price of our common stock that often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14" w:name="page215"/>
    <w:bookmarkEnd w:id="2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and registrar for our common stock is American Stock Transfer &amp; Trust Company, LLC.</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EXCHANGE LISTING</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applied to have our common stock listed on The NASDAQ Global Market under the symbol "SELB."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15" w:name="page216"/>
    <w:bookmarkEnd w:id="2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Shares eligible for future sale</w:t>
      </w:r>
    </w:p>
    <w:p>
      <w:pPr>
        <w:spacing w:after="0" w:line="183"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w:t>
      </w:r>
    </w:p>
    <w:p>
      <w:pPr>
        <w:spacing w:after="0" w:line="151" w:lineRule="exact"/>
        <w:rPr>
          <w:sz w:val="20"/>
          <w:szCs w:val="20"/>
          <w:color w:val="auto"/>
        </w:rPr>
      </w:pPr>
    </w:p>
    <w:p>
      <w:pPr>
        <w:ind w:right="20"/>
        <w:spacing w:after="0" w:line="319" w:lineRule="auto"/>
        <w:rPr>
          <w:sz w:val="20"/>
          <w:szCs w:val="20"/>
          <w:color w:val="auto"/>
        </w:rPr>
      </w:pPr>
      <w:r>
        <w:rPr>
          <w:rFonts w:ascii="Arial" w:cs="Arial" w:eastAsia="Arial" w:hAnsi="Arial"/>
          <w:sz w:val="13"/>
          <w:szCs w:val="13"/>
          <w:color w:val="auto"/>
        </w:rPr>
        <w:t>Upon the closing of this offering, we will have outstanding an aggregate of 16,914,048 shares of common stock, assuming the issuance of 4,250,000 shares of common stock offered by us in this offering, after giving effect to the assumptions described under "Prospectus summary—The offering," and assuming no exercise of options or warrants after May 31, 2016.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32"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The remaining 12,664,048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Additionally, any shares purchased in this offering by participants in our directed share program who purchase more than $1,000,000 of shares will be subject to a 25-day lock-up period and any shares purchased in this offering by our existing stockholders that are required to file reports pursuant to Section 16 of the Exchange Act will be subject to a 180-day lock-up period, in each case, unless the lock-up period is waived by UBS Securities LLC and Stifel, Nicolaus &amp; Company, Incorporated on behalf of the underwriters. Upon expiration of the lock-up period, we estimate that approximately 12,664,048 shares will be available for sale in the public market, subject in some cases to applicable volume limitations under Rule 144.</w:t>
      </w:r>
    </w:p>
    <w:p>
      <w:pPr>
        <w:spacing w:after="0" w:line="154" w:lineRule="exact"/>
        <w:rPr>
          <w:sz w:val="20"/>
          <w:szCs w:val="20"/>
          <w:color w:val="auto"/>
        </w:rPr>
      </w:pPr>
    </w:p>
    <w:p>
      <w:pPr>
        <w:ind w:right="280"/>
        <w:spacing w:after="0" w:line="362" w:lineRule="auto"/>
        <w:rPr>
          <w:sz w:val="20"/>
          <w:szCs w:val="20"/>
          <w:color w:val="auto"/>
        </w:rPr>
      </w:pPr>
      <w:r>
        <w:rPr>
          <w:rFonts w:ascii="Arial" w:cs="Arial" w:eastAsia="Arial" w:hAnsi="Arial"/>
          <w:sz w:val="13"/>
          <w:szCs w:val="13"/>
          <w:color w:val="auto"/>
        </w:rPr>
        <w:t>In addition, of the 1,723,704 shares of our common stock that were subject to stock options outstanding as of May 31, 2016, options to purchase 1,046,418 shares of common stock were vested as of May 31, 2016 and, upon exercise, these shares will be eligible for sale subject to the lock-up agreements described below and Rules 144 and 701 under the Securities Act.</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and each of our directors and executive officers and holders of substantially all of our outstanding capital stock, have agreed that, without the prior written consent of UBS</w:t>
      </w:r>
    </w:p>
    <w:p>
      <w:pPr>
        <w:spacing w:after="0" w:line="29" w:lineRule="exact"/>
        <w:rPr>
          <w:sz w:val="20"/>
          <w:szCs w:val="20"/>
          <w:color w:val="auto"/>
        </w:rPr>
      </w:pPr>
    </w:p>
    <w:p>
      <w:pPr>
        <w:ind w:right="140"/>
        <w:spacing w:after="0" w:line="275" w:lineRule="auto"/>
        <w:rPr>
          <w:sz w:val="20"/>
          <w:szCs w:val="20"/>
          <w:color w:val="auto"/>
        </w:rPr>
      </w:pPr>
      <w:r>
        <w:rPr>
          <w:rFonts w:ascii="Arial" w:cs="Arial" w:eastAsia="Arial" w:hAnsi="Arial"/>
          <w:sz w:val="15"/>
          <w:szCs w:val="15"/>
          <w:color w:val="auto"/>
        </w:rPr>
        <w:t>Securities LLC and Stifel, Nicolaus &amp; Company, Incorporated on behalf of the underwriters, we and they will not, subject to certain exceptions, during the period ending 180 days after the date of this prospectus:</w:t>
      </w:r>
    </w:p>
    <w:p>
      <w:pPr>
        <w:spacing w:after="0" w:line="167" w:lineRule="exact"/>
        <w:rPr>
          <w:sz w:val="20"/>
          <w:szCs w:val="20"/>
          <w:color w:val="auto"/>
        </w:rPr>
      </w:pPr>
    </w:p>
    <w:p>
      <w:pPr>
        <w:ind w:left="1380" w:right="120" w:hanging="461"/>
        <w:spacing w:after="0" w:line="270" w:lineRule="auto"/>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or</w:t>
      </w:r>
    </w:p>
    <w:p>
      <w:pPr>
        <w:spacing w:after="0" w:line="182" w:lineRule="exact"/>
        <w:rPr>
          <w:rFonts w:ascii="Arial" w:cs="Arial" w:eastAsia="Arial" w:hAnsi="Arial"/>
          <w:sz w:val="15"/>
          <w:szCs w:val="15"/>
          <w:color w:val="auto"/>
        </w:rPr>
      </w:pPr>
    </w:p>
    <w:p>
      <w:pPr>
        <w:ind w:right="580" w:firstLine="919"/>
        <w:spacing w:after="0" w:line="540" w:lineRule="auto"/>
        <w:tabs>
          <w:tab w:leader="none" w:pos="139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our common stock, whether any transaction described above is to be settled by delivery of our common stock or such other securities, in cash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266305"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16" w:name="page217"/>
    <w:bookmarkEnd w:id="2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 For a further description of these lock-up agreements, please see "Underwriting."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Affiliate resales of restricted securities</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171" w:lineRule="exact"/>
        <w:rPr>
          <w:sz w:val="20"/>
          <w:szCs w:val="20"/>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1% of the number of shares of our common stock then outstanding, which will equal approximately 169,140 shares immediately after this offering; or</w:t>
      </w:r>
    </w:p>
    <w:p>
      <w:pPr>
        <w:spacing w:after="0" w:line="221" w:lineRule="exact"/>
        <w:rPr>
          <w:rFonts w:ascii="Arial" w:cs="Arial" w:eastAsia="Arial" w:hAnsi="Arial"/>
          <w:sz w:val="15"/>
          <w:szCs w:val="15"/>
          <w:color w:val="auto"/>
        </w:rPr>
      </w:pPr>
    </w:p>
    <w:p>
      <w:pPr>
        <w:ind w:left="1380" w:right="580" w:hanging="461"/>
        <w:spacing w:after="0" w:line="282" w:lineRule="auto"/>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average weekly trading volume in our common stock on The NASDAQ Global Market during the four calendar weeks preceding the filing of a notice on Form 144 with respect to such sale.</w:t>
      </w:r>
    </w:p>
    <w:p>
      <w:pPr>
        <w:spacing w:after="0" w:line="15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The NASDAQ Global Market concurrently with either the placing of a sale order with the broker or the execution directly with a market maker.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Non-affiliate resales of restricted securities</w:t>
      </w:r>
    </w:p>
    <w:p>
      <w:pPr>
        <w:spacing w:after="0" w:line="195"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701</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7" w:name="page218"/>
    <w:bookmarkEnd w:id="2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20"/>
        <w:spacing w:after="0" w:line="319" w:lineRule="auto"/>
        <w:rPr>
          <w:sz w:val="20"/>
          <w:szCs w:val="20"/>
          <w:color w:val="auto"/>
        </w:rPr>
      </w:pPr>
      <w:r>
        <w:rPr>
          <w:rFonts w:ascii="Arial" w:cs="Arial" w:eastAsia="Arial" w:hAnsi="Arial"/>
          <w:sz w:val="14"/>
          <w:szCs w:val="14"/>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PLANS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all shares of common stock subject to outstanding stock options and common stock issued or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Holders of shares of our common stock, including shares issuable upon the exercise of warrants, or their transferees will be entitled to registration rights with respect to such shares for public resale under the Securities Act. See "Description of capital stock—Registration rights" for additional information. Shares covered by a registration statement will be eligible for sale in the public market upon the expiration or release from the terms of the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18" w:name="page219"/>
    <w:bookmarkEnd w:id="218"/>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0910" cy="7620"/>
                    </a:xfrm>
                    <a:prstGeom prst="rect">
                      <a:avLst/>
                    </a:prstGeom>
                    <a:noFill/>
                  </pic:spPr>
                </pic:pic>
              </a:graphicData>
            </a:graphic>
          </wp:anchor>
        </w:drawing>
        <w:t>Material U.S. federal income tax consequences to non-U.S. holders</w:t>
      </w:r>
    </w:p>
    <w:p>
      <w:pPr>
        <w:spacing w:after="0" w:line="183" w:lineRule="exact"/>
        <w:rPr>
          <w:sz w:val="20"/>
          <w:szCs w:val="20"/>
          <w:color w:val="auto"/>
        </w:rPr>
      </w:pPr>
    </w:p>
    <w:p>
      <w:pPr>
        <w:ind w:right="40"/>
        <w:spacing w:after="0" w:line="308" w:lineRule="auto"/>
        <w:rPr>
          <w:sz w:val="20"/>
          <w:szCs w:val="20"/>
          <w:color w:val="auto"/>
        </w:rPr>
      </w:pPr>
      <w:r>
        <w:rPr>
          <w:rFonts w:ascii="Arial" w:cs="Arial" w:eastAsia="Arial" w:hAnsi="Arial"/>
          <w:sz w:val="13"/>
          <w:szCs w:val="13"/>
          <w:color w:val="auto"/>
        </w:rPr>
        <w:t>The following discussion is a summary of certain material U.S. federal income tax consequences to non-U.S. holders (as defined below) of the purchase, ownership and disposition of our common stock issued pursuant to this offering, but does not purport to be a complete analysis of all potential tax consequences. The consequences of other U.S. federal tax laws, such as estate and gift tax laws, and any applicable state, local, or non-U.S. tax laws are not discussed. This discussion is based on the United States Internal Revenue Code of 1986, as amended, or the Code, Treasury Regulations promulgated thereunder, judicial decisions, and published rulings and administrative pronouncements of the United States Internal Revenue Service, or the IRS, in effect as of the date of this offering. These authorities may change or be subject to differing interpretations. Any such change or differing interpretation may be applied retroactively in a manner that could adversely affect a non-U.S. holder of our common stock. We have not sought and do not intend to seek any rulings from the IRS regarding the matters discussed below. There can be no assurance the IRS or a court will not take a contrary position regarding the tax consequences of the purchase, ownership, and disposition of our common stock.</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This discussion is limited to non-U.S. holders that hold our common stock as a "capital asset" within the meaning of Section 1221 of the Code (generally, property held for investment). This discussion does not address all U.S. federal income tax consequences that may be relevant to a non-U.S. holder in light of such non-U.S. holder's particular circumstances, including the impact of the Medicare contribution tax on net investment income. In addition, it does not address consequences relevant to non-U.S. holders subject to particular rules, including, without limitation:</w:t>
      </w:r>
    </w:p>
    <w:p>
      <w:pPr>
        <w:spacing w:after="0" w:line="173" w:lineRule="exact"/>
        <w:rPr>
          <w:sz w:val="20"/>
          <w:szCs w:val="20"/>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U.S. expatriates and certain former citizens or long-term residents of the United States;</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persons holding our common stock as part of a hedge, straddle, or other risk reduction strategy or as part of a conversion transaction or other integrated investment;</w:t>
      </w:r>
    </w:p>
    <w:p>
      <w:pPr>
        <w:spacing w:after="0" w:line="232" w:lineRule="exact"/>
        <w:rPr>
          <w:rFonts w:ascii="Arial" w:cs="Arial" w:eastAsia="Arial" w:hAnsi="Arial"/>
          <w:sz w:val="13"/>
          <w:szCs w:val="13"/>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real estate investment trusts or regulated investment companies;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brokers, dealers, or traders in securities or currencies;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S corporations, partnerships, or other entities or arrangements treated as partnerships for U.S. federal income tax purposes, or investors in any such entities;</w:t>
      </w:r>
    </w:p>
    <w:p>
      <w:pPr>
        <w:spacing w:after="0" w:line="221" w:lineRule="exact"/>
        <w:rPr>
          <w:rFonts w:ascii="Arial" w:cs="Arial" w:eastAsia="Arial" w:hAnsi="Arial"/>
          <w:sz w:val="14"/>
          <w:szCs w:val="14"/>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tax-exempt or governmental organizations;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Code;</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persons who hold or receive our common stock pursuant to the exercise of any employee stock option or otherwise as compensation;</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persons for whom our stock constitutes "qualified small business stock" within the meaning of Section 1202 of the Code; and</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tax-qualified retirement plans.</w:t>
      </w:r>
    </w:p>
    <w:p>
      <w:pPr>
        <w:spacing w:after="0" w:line="198"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If a partnership (or other entity treated as a partnership for U.S. federal income tax purposes) holds our common stock, the tax treatment of a partner in the partnership will depend on the status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1385" cy="203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19" w:name="page220"/>
    <w:bookmarkEnd w:id="2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60"/>
        <w:spacing w:after="0" w:line="319" w:lineRule="auto"/>
        <w:rPr>
          <w:sz w:val="20"/>
          <w:szCs w:val="20"/>
          <w:color w:val="auto"/>
        </w:rPr>
      </w:pPr>
      <w:r>
        <w:rPr>
          <w:rFonts w:ascii="Arial" w:cs="Arial" w:eastAsia="Arial" w:hAnsi="Arial"/>
          <w:sz w:val="14"/>
          <w:szCs w:val="14"/>
          <w:color w:val="auto"/>
        </w:rPr>
        <w:t>partner, the activities of the partnership, and certain determinations made at the partner level. Partnerships holding our common stock and the partners in such partnerships should consult their tax advisors regarding the U.S. federal income tax consequences to them of the purchase, ownership, and disposition of our common stock.</w:t>
      </w:r>
    </w:p>
    <w:p>
      <w:pPr>
        <w:spacing w:after="0" w:line="124"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b w:val="1"/>
          <w:bCs w:val="1"/>
          <w:color w:val="auto"/>
        </w:rPr>
        <w:t>THIS DISCUSSION IS FOR INFORMATION PURPOSES ONLY AND IS NOT INTENDED AS, LEGAL OR TAX ADVICE. INVESTORS SHOULD CONSULT THEIR TAX ADVISORS WITH RESPECT TO THE APPLICATION OF THE U.S. FEDERAL INCOME TAX LAWS TO THEIR PARTICULAR SITUATIONS AS WELL AS ANY TAX CONSEQUENCES OF THE PURCHASE, OWNERSHIP, AND DISPOSITION OF OUR COMMON STOCK ARISING UNDER OTHER U.S. FEDERAL TAX LAWS OR UNDER THE LAWS OF ANY STATE, LOCAL, OR NON-U.S. TAXING JURISDICTION, OR UNDER ANY APPLICABLE INCOME TAX TREATY.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OF A NON-U.S. HOLDER</w:t>
      </w:r>
    </w:p>
    <w:p>
      <w:pPr>
        <w:spacing w:after="0" w:line="195" w:lineRule="exact"/>
        <w:rPr>
          <w:sz w:val="20"/>
          <w:szCs w:val="20"/>
          <w:color w:val="auto"/>
        </w:rPr>
      </w:pPr>
    </w:p>
    <w:p>
      <w:pPr>
        <w:ind w:right="380"/>
        <w:spacing w:after="0" w:line="319"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not a "U.S. person," a partnership, or an entity disregarded as separate from its owner, each for U.S. federal income tax purposes. A U.S. person is any person that, for U.S. federal income tax purposes, is or is treated as any of the following:</w:t>
      </w:r>
    </w:p>
    <w:p>
      <w:pPr>
        <w:spacing w:after="0" w:line="140" w:lineRule="exact"/>
        <w:rPr>
          <w:sz w:val="20"/>
          <w:szCs w:val="20"/>
          <w:color w:val="auto"/>
        </w:rPr>
      </w:pPr>
    </w:p>
    <w:p>
      <w:pPr>
        <w:ind w:left="1380" w:hanging="461"/>
        <w:spacing w:after="0"/>
        <w:tabs>
          <w:tab w:leader="none" w:pos="13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221" w:lineRule="exact"/>
        <w:rPr>
          <w:rFonts w:ascii="Arial" w:cs="Arial" w:eastAsia="Arial" w:hAnsi="Arial"/>
          <w:sz w:val="15"/>
          <w:szCs w:val="15"/>
          <w:color w:val="auto"/>
        </w:rPr>
      </w:pPr>
    </w:p>
    <w:p>
      <w:pPr>
        <w:ind w:left="1380" w:right="40" w:hanging="461"/>
        <w:spacing w:after="0" w:line="282" w:lineRule="auto"/>
        <w:tabs>
          <w:tab w:leader="none" w:pos="13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under the laws of the United States, any state thereof, or the District of Columbia;</w:t>
      </w:r>
    </w:p>
    <w:p>
      <w:pPr>
        <w:spacing w:after="0" w:line="162" w:lineRule="exact"/>
        <w:rPr>
          <w:rFonts w:ascii="Arial" w:cs="Arial" w:eastAsia="Arial" w:hAnsi="Arial"/>
          <w:sz w:val="15"/>
          <w:szCs w:val="15"/>
          <w:color w:val="auto"/>
        </w:rPr>
      </w:pPr>
    </w:p>
    <w:p>
      <w:pPr>
        <w:ind w:left="1380" w:hanging="461"/>
        <w:spacing w:after="0"/>
        <w:tabs>
          <w:tab w:leader="none" w:pos="13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209" w:lineRule="exact"/>
        <w:rPr>
          <w:rFonts w:ascii="Arial" w:cs="Arial" w:eastAsia="Arial" w:hAnsi="Arial"/>
          <w:sz w:val="15"/>
          <w:szCs w:val="15"/>
          <w:color w:val="auto"/>
        </w:rPr>
      </w:pPr>
    </w:p>
    <w:p>
      <w:pPr>
        <w:ind w:left="1380" w:right="340" w:hanging="461"/>
        <w:spacing w:after="0" w:line="282" w:lineRule="auto"/>
        <w:tabs>
          <w:tab w:leader="none" w:pos="13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DISTRIBUTIONS</w:t>
      </w:r>
    </w:p>
    <w:p>
      <w:pPr>
        <w:spacing w:after="0" w:line="195"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As described in the section entitled "Dividend policy," we do not expect to declare or pay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1385" cy="203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20" w:name="page221"/>
    <w:bookmarkEnd w:id="22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7" w:right="120"/>
        <w:spacing w:after="0" w:line="266"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62"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Any such effectively connected dividends will be subject to U.S. federal income tax on a net basis at regular graduated rates. A non-U.S. holder that is a corporation also may be subject to a branch profits taxed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SALE OR OTHER TAXABLE DISPOSITION</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non-U.S. holder will not be subject to U.S. federal income tax on any gain realized upon the sale or other taxable disposition of our common stock unless:</w:t>
      </w:r>
    </w:p>
    <w:p>
      <w:pPr>
        <w:spacing w:after="0" w:line="210" w:lineRule="exact"/>
        <w:rPr>
          <w:sz w:val="20"/>
          <w:szCs w:val="20"/>
          <w:color w:val="auto"/>
        </w:rPr>
      </w:pPr>
    </w:p>
    <w:p>
      <w:pPr>
        <w:ind w:left="1387" w:hanging="461"/>
        <w:spacing w:after="0" w:line="282" w:lineRule="auto"/>
        <w:tabs>
          <w:tab w:leader="none" w:pos="138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73" w:lineRule="exact"/>
        <w:rPr>
          <w:rFonts w:ascii="Arial" w:cs="Arial" w:eastAsia="Arial" w:hAnsi="Arial"/>
          <w:sz w:val="15"/>
          <w:szCs w:val="15"/>
          <w:color w:val="auto"/>
        </w:rPr>
      </w:pPr>
    </w:p>
    <w:p>
      <w:pPr>
        <w:ind w:left="1387" w:right="340" w:hanging="461"/>
        <w:spacing w:after="0" w:line="282" w:lineRule="auto"/>
        <w:tabs>
          <w:tab w:leader="none" w:pos="138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162" w:lineRule="exact"/>
        <w:rPr>
          <w:rFonts w:ascii="Arial" w:cs="Arial" w:eastAsia="Arial" w:hAnsi="Arial"/>
          <w:sz w:val="15"/>
          <w:szCs w:val="15"/>
          <w:color w:val="auto"/>
        </w:rPr>
      </w:pPr>
    </w:p>
    <w:p>
      <w:pPr>
        <w:ind w:left="1387" w:right="340" w:hanging="461"/>
        <w:spacing w:after="0" w:line="282" w:lineRule="auto"/>
        <w:tabs>
          <w:tab w:leader="none" w:pos="138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our common stock constitutes a U.S. real property interest, or USRPI, by reason of our status as a U.S. real property holding corporation, or a USRPHC, for U.S. federal income tax purposes.</w:t>
      </w:r>
    </w:p>
    <w:p>
      <w:pPr>
        <w:spacing w:after="0" w:line="151"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Gain described in the first bullet point above will generally be subject to U.S. federal income tax on a net income basis at regular graduated U.S. federal income tax rates. A non-U.S. holder that is taxed as a corporation for U.S. federal income tax purposes also may be subject to a branch profits tax at a rate of 30% (or such lower rate specified by an applicable income tax treaty) on such effectively connected gain, as adjusted for certain items.</w:t>
      </w:r>
    </w:p>
    <w:p>
      <w:pPr>
        <w:spacing w:after="0" w:line="159"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59" w:lineRule="exact"/>
        <w:rPr>
          <w:sz w:val="20"/>
          <w:szCs w:val="20"/>
          <w:color w:val="auto"/>
        </w:rPr>
      </w:pPr>
    </w:p>
    <w:p>
      <w:pPr>
        <w:ind w:left="7" w:right="140"/>
        <w:spacing w:after="0" w:line="299" w:lineRule="auto"/>
        <w:rPr>
          <w:sz w:val="20"/>
          <w:szCs w:val="20"/>
          <w:color w:val="auto"/>
        </w:rPr>
      </w:pPr>
      <w:r>
        <w:rPr>
          <w:rFonts w:ascii="Arial" w:cs="Arial" w:eastAsia="Arial" w:hAnsi="Arial"/>
          <w:sz w:val="13"/>
          <w:szCs w:val="13"/>
          <w:color w:val="auto"/>
        </w:rPr>
        <w:t>With respect to the third bullet point above, we believe we are not currently and do not expect to become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(i) such class of stock is "regularly traded," as defined by applicable Treasury Regulations, on an established securities market, and</w:t>
      </w:r>
    </w:p>
    <w:p>
      <w:pPr>
        <w:spacing w:after="0" w:line="1" w:lineRule="exact"/>
        <w:rPr>
          <w:sz w:val="20"/>
          <w:szCs w:val="20"/>
          <w:color w:val="auto"/>
        </w:rPr>
      </w:pPr>
    </w:p>
    <w:p>
      <w:pPr>
        <w:ind w:left="7" w:right="540" w:hanging="7"/>
        <w:spacing w:after="0" w:line="312" w:lineRule="auto"/>
        <w:tabs>
          <w:tab w:leader="none" w:pos="229" w:val="left"/>
        </w:tabs>
        <w:numPr>
          <w:ilvl w:val="0"/>
          <w:numId w:val="127"/>
        </w:numPr>
        <w:rPr>
          <w:rFonts w:ascii="Arial" w:cs="Arial" w:eastAsia="Arial" w:hAnsi="Arial"/>
          <w:sz w:val="14"/>
          <w:szCs w:val="14"/>
          <w:color w:val="auto"/>
        </w:rPr>
      </w:pPr>
      <w:r>
        <w:rPr>
          <w:rFonts w:ascii="Arial" w:cs="Arial" w:eastAsia="Arial" w:hAnsi="Arial"/>
          <w:sz w:val="14"/>
          <w:szCs w:val="14"/>
          <w:color w:val="auto"/>
        </w:rPr>
        <w:t>such non-U.S. holder owned, actually or constructively, 5% or less of such class of our stock throughout the shorter of the five-year period ending on the date of the sale or other disposition or the non-U.S. holder's holding period for such stock. If the foregoing exception does not apply, and if we are or were to become a USRPHC,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66305"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221" w:name="page222"/>
    <w:bookmarkEnd w:id="22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purchaser may be required to withhold 15% of the proceeds payable to a non-U.S. holder from a sale of our common stock and such non-U.S. holder generally will be taxed on its net gain derived from the disposition at the graduated U.S. federal income tax rates applicable to United States persons (as defined in the Code).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 rules.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95"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Payments of dividends on our common stock will not generally be subject to backup withholding provided the applicable withholding agent does not have actual knowledge or reason to know such holder is a U.S. person and the holder either certifies its non-U.S. status, such as by providing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5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Copies of these information returns that are filed with the IRS may also be made available under the provisions of a specific treaty or agreement to the tax authorities of the country in which the non-U.S. holder resides or is established.</w:t>
      </w:r>
    </w:p>
    <w:p>
      <w:pPr>
        <w:spacing w:after="0" w:line="151"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WITHHOLDING TAX ON PAYMENTS MADE TO FOREIGN ACCOUNTS</w:t>
      </w:r>
    </w:p>
    <w:p>
      <w:pPr>
        <w:spacing w:after="0" w:line="195"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Withholding taxes may be imposed under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IRS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7" w:lineRule="exact"/>
        <w:rPr>
          <w:sz w:val="20"/>
          <w:szCs w:val="20"/>
          <w:color w:val="auto"/>
        </w:rPr>
      </w:pPr>
    </w:p>
    <w:p>
      <w:pPr>
        <w:ind w:right="400"/>
        <w:spacing w:after="0" w:line="270" w:lineRule="auto"/>
        <w:rPr>
          <w:sz w:val="20"/>
          <w:szCs w:val="20"/>
          <w:color w:val="auto"/>
        </w:rPr>
      </w:pPr>
      <w:r>
        <w:rPr>
          <w:rFonts w:ascii="Arial" w:cs="Arial" w:eastAsia="Arial" w:hAnsi="Arial"/>
          <w:sz w:val="15"/>
          <w:szCs w:val="15"/>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 Prospective investors should consult their tax advisors regarding the potential application of these withholding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22" w:name="page223"/>
    <w:bookmarkEnd w:id="22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Underwriting</w:t>
      </w:r>
    </w:p>
    <w:p>
      <w:pPr>
        <w:spacing w:after="0" w:line="183" w:lineRule="exact"/>
        <w:rPr>
          <w:sz w:val="20"/>
          <w:szCs w:val="20"/>
          <w:color w:val="auto"/>
        </w:rPr>
      </w:pPr>
    </w:p>
    <w:p>
      <w:pPr>
        <w:ind w:left="7" w:right="100"/>
        <w:spacing w:after="0" w:line="266" w:lineRule="auto"/>
        <w:rPr>
          <w:sz w:val="20"/>
          <w:szCs w:val="20"/>
          <w:color w:val="auto"/>
        </w:rPr>
      </w:pPr>
      <w:r>
        <w:rPr>
          <w:rFonts w:ascii="Arial" w:cs="Arial" w:eastAsia="Arial" w:hAnsi="Arial"/>
          <w:sz w:val="15"/>
          <w:szCs w:val="15"/>
          <w:color w:val="auto"/>
        </w:rPr>
        <w:t>We are offering the shares of our common stock described in this prospectus through the underwriters named below. UBS Securities LLC and Stifel, Nicolaus &amp; Company, Incorporated are acting as joint book-running managers of this offering and as representatives of the underwriters. We have entered into an underwriting agreement with the representatives. Subject to the terms and conditions of the underwriting agreement, each of the underwriters has severally agreed to purchase, and we have agreed to sell to the underwriters, the number of shares of common stock listed next to its name in the following table.</w:t>
      </w:r>
    </w:p>
    <w:p>
      <w:pPr>
        <w:spacing w:after="0" w:line="159"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Number</w:t>
            </w:r>
          </w:p>
        </w:tc>
      </w:tr>
      <w:tr>
        <w:trPr>
          <w:trHeight w:val="149"/>
        </w:trPr>
        <w:tc>
          <w:tcPr>
            <w:tcW w:w="8240" w:type="dxa"/>
            <w:vAlign w:val="bottom"/>
            <w:gridSpan w:val="2"/>
          </w:tcPr>
          <w:p>
            <w:pPr>
              <w:spacing w:after="0"/>
              <w:rPr>
                <w:sz w:val="20"/>
                <w:szCs w:val="20"/>
                <w:color w:val="auto"/>
              </w:rPr>
            </w:pPr>
            <w:r>
              <w:rPr>
                <w:rFonts w:ascii="Arial" w:cs="Arial" w:eastAsia="Arial" w:hAnsi="Arial"/>
                <w:sz w:val="12"/>
                <w:szCs w:val="12"/>
                <w:b w:val="1"/>
                <w:bCs w:val="1"/>
                <w:color w:val="auto"/>
              </w:rPr>
              <w:t>Underwriters</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r>
      <w:tr>
        <w:trPr>
          <w:trHeight w:val="177"/>
        </w:trPr>
        <w:tc>
          <w:tcPr>
            <w:tcW w:w="20" w:type="dxa"/>
            <w:vAlign w:val="bottom"/>
          </w:tcPr>
          <w:p>
            <w:pPr>
              <w:spacing w:after="0"/>
              <w:rPr>
                <w:sz w:val="15"/>
                <w:szCs w:val="15"/>
                <w:color w:val="auto"/>
              </w:rPr>
            </w:pPr>
          </w:p>
        </w:tc>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UBS Securities LLC</w:t>
            </w: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8220" w:type="dxa"/>
            <w:vAlign w:val="bottom"/>
          </w:tcPr>
          <w:p>
            <w:pPr>
              <w:spacing w:after="0"/>
              <w:rPr>
                <w:sz w:val="20"/>
                <w:szCs w:val="20"/>
                <w:color w:val="auto"/>
              </w:rPr>
            </w:pPr>
            <w:r>
              <w:rPr>
                <w:rFonts w:ascii="Arial" w:cs="Arial" w:eastAsia="Arial" w:hAnsi="Arial"/>
                <w:sz w:val="15"/>
                <w:szCs w:val="15"/>
                <w:color w:val="auto"/>
              </w:rPr>
              <w:t>Stifel, Nicolaus &amp; Company, Incorporated</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5"/>
                <w:szCs w:val="15"/>
                <w:color w:val="auto"/>
              </w:rPr>
              <w:t>Canaccord Genuity Inc.</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8220" w:type="dxa"/>
            <w:vAlign w:val="bottom"/>
          </w:tcPr>
          <w:p>
            <w:pPr>
              <w:spacing w:after="0"/>
              <w:rPr>
                <w:sz w:val="20"/>
                <w:szCs w:val="20"/>
                <w:color w:val="auto"/>
              </w:rPr>
            </w:pPr>
            <w:r>
              <w:rPr>
                <w:rFonts w:ascii="Arial" w:cs="Arial" w:eastAsia="Arial" w:hAnsi="Arial"/>
                <w:sz w:val="15"/>
                <w:szCs w:val="15"/>
                <w:color w:val="auto"/>
              </w:rPr>
              <w:t>Needham &amp; Company, LLC</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7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w w:val="86"/>
              </w:rPr>
              <w:t>4,250,000</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The underwriting agreement provides that the underwriters must buy all of the shares of common stock if they buy any of them. However, the underwriters are not required to pay for the shares covered by the underwriters' option to purchase additional shares as described below.</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common stock is offered subject to a number of conditions, including:</w:t>
      </w:r>
    </w:p>
    <w:p>
      <w:pPr>
        <w:spacing w:after="0" w:line="210" w:lineRule="exact"/>
        <w:rPr>
          <w:sz w:val="20"/>
          <w:szCs w:val="20"/>
          <w:color w:val="auto"/>
        </w:rPr>
      </w:pPr>
    </w:p>
    <w:p>
      <w:pPr>
        <w:ind w:left="467" w:hanging="467"/>
        <w:spacing w:after="0"/>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receipt and acceptance of our common stock by the underwriters;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underwriters' right to reject orders in whole or in part.</w:t>
      </w:r>
    </w:p>
    <w:p>
      <w:pPr>
        <w:spacing w:after="0" w:line="198"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We have been advised by the representatives that the underwriters intend to make a market in our common stock but that they are not obligated to do so and may discontinue making a market at any time without notice.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connection with this offering, certain of the underwriters or securities dealers may distribute prospectuses electronically.</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OPTION TO PURCHASE ADDITIONAL SHARES</w:t>
      </w:r>
    </w:p>
    <w:p>
      <w:pPr>
        <w:spacing w:after="0" w:line="195" w:lineRule="exact"/>
        <w:rPr>
          <w:sz w:val="20"/>
          <w:szCs w:val="20"/>
          <w:color w:val="auto"/>
        </w:rPr>
      </w:pPr>
    </w:p>
    <w:p>
      <w:pPr>
        <w:ind w:left="7" w:right="160"/>
        <w:spacing w:after="0" w:line="270" w:lineRule="auto"/>
        <w:rPr>
          <w:sz w:val="20"/>
          <w:szCs w:val="20"/>
          <w:color w:val="auto"/>
        </w:rPr>
      </w:pPr>
      <w:r>
        <w:rPr>
          <w:rFonts w:ascii="Arial" w:cs="Arial" w:eastAsia="Arial" w:hAnsi="Arial"/>
          <w:sz w:val="15"/>
          <w:szCs w:val="15"/>
          <w:color w:val="auto"/>
        </w:rPr>
        <w:t>We have granted the underwriters an option to buy up to an aggregate of 637,500 additional shares of our common stock. The underwriters have 30 days from the date of this prospectus to exercise this option. If the underwriters exercise this option, they will each purchase additional shares of common stock approximately in proportion to the amounts specified in the table above.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 DISCOUNT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4"/>
          <w:szCs w:val="14"/>
          <w:color w:val="auto"/>
        </w:rPr>
        <w:t>Shares sold by the underwriters to the public will initially be offered at the initial offering price set forth on the cover of this prospectus. Any shares sold by the underwriters to securities</w:t>
      </w:r>
    </w:p>
    <w:p>
      <w:pPr>
        <w:spacing w:after="0" w:line="29"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dealers may be sold at a discount of up to $ per share from the initial public offering price. Sales of shares made outside of the United States may be made by affiliates of the underwriters. If all the shares are not sold at the initial public offering price, the representatives may change the offering price and the other selling terms. Upon execution of the underwriting agreement, the underwriters will be obligated to purchase the shares at the prices and upon the terms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66305"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23" w:name="page224"/>
    <w:bookmarkEnd w:id="22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The following table shows the per share and total underwriting discount we will pay to the underwriters assuming both no exercise and full exercise of the underwriters' option to purchase up to 637,500 additional shares.</w:t>
      </w:r>
    </w:p>
    <w:p>
      <w:pPr>
        <w:spacing w:after="0" w:line="148" w:lineRule="exact"/>
        <w:rPr>
          <w:sz w:val="20"/>
          <w:szCs w:val="20"/>
          <w:color w:val="auto"/>
        </w:rPr>
      </w:pPr>
    </w:p>
    <w:tbl>
      <w:tblPr>
        <w:tblLayout w:type="fixed"/>
        <w:tblInd w:w="1147"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60" w:type="dxa"/>
            <w:vAlign w:val="bottom"/>
          </w:tcPr>
          <w:p>
            <w:pPr>
              <w:jc w:val="right"/>
              <w:ind w:right="47"/>
              <w:spacing w:after="0"/>
              <w:rPr>
                <w:sz w:val="20"/>
                <w:szCs w:val="20"/>
                <w:color w:val="auto"/>
              </w:rPr>
            </w:pPr>
            <w:r>
              <w:rPr>
                <w:rFonts w:ascii="Arial" w:cs="Arial" w:eastAsia="Arial" w:hAnsi="Arial"/>
                <w:sz w:val="12"/>
                <w:szCs w:val="12"/>
                <w:b w:val="1"/>
                <w:bCs w:val="1"/>
                <w:color w:val="auto"/>
              </w:rPr>
              <w:t>No exercise</w:t>
            </w:r>
          </w:p>
        </w:tc>
        <w:tc>
          <w:tcPr>
            <w:tcW w:w="140" w:type="dxa"/>
            <w:vAlign w:val="bottom"/>
          </w:tcPr>
          <w:p>
            <w:pPr>
              <w:spacing w:after="0"/>
              <w:rPr>
                <w:sz w:val="12"/>
                <w:szCs w:val="12"/>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Full exercise</w:t>
            </w:r>
          </w:p>
        </w:tc>
      </w:tr>
      <w:tr>
        <w:trPr>
          <w:trHeight w:val="177"/>
        </w:trPr>
        <w:tc>
          <w:tcPr>
            <w:tcW w:w="20" w:type="dxa"/>
            <w:vAlign w:val="bottom"/>
          </w:tcPr>
          <w:p>
            <w:pPr>
              <w:spacing w:after="0"/>
              <w:rPr>
                <w:sz w:val="15"/>
                <w:szCs w:val="15"/>
                <w:color w:val="auto"/>
              </w:rPr>
            </w:pPr>
          </w:p>
        </w:tc>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Per share</w:t>
            </w:r>
          </w:p>
        </w:tc>
        <w:tc>
          <w:tcPr>
            <w:tcW w:w="86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gridSpan w:val="2"/>
            <w:shd w:val="clear" w:color="auto" w:fill="CCEEFF"/>
          </w:tcPr>
          <w:p>
            <w:pPr>
              <w:jc w:val="right"/>
              <w:ind w:right="71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1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860" w:type="dxa"/>
            <w:vAlign w:val="bottom"/>
          </w:tcPr>
          <w:p>
            <w:pPr>
              <w:jc w:val="right"/>
              <w:ind w:right="747"/>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71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right="180"/>
        <w:spacing w:after="0" w:line="270" w:lineRule="auto"/>
        <w:rPr>
          <w:sz w:val="20"/>
          <w:szCs w:val="20"/>
          <w:color w:val="auto"/>
        </w:rPr>
      </w:pPr>
      <w:r>
        <w:rPr>
          <w:rFonts w:ascii="Arial" w:cs="Arial" w:eastAsia="Arial" w:hAnsi="Arial"/>
          <w:sz w:val="15"/>
          <w:szCs w:val="15"/>
          <w:color w:val="auto"/>
        </w:rPr>
        <w:t>We estimate that the total expenses of the offering payable by us, not including the underwriting discount, will be approximately $3.9 million. We have agreed with the underwriters to pay certain fees and expenses related to the review and qualification of this offering by the Financial Industry Regulatory Authority, Inc. and "blue sky" expenses in an amount not to exceed $35,000.</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 SALES OF SIMILAR SECURITIES</w:t>
      </w:r>
    </w:p>
    <w:p>
      <w:pPr>
        <w:spacing w:after="0" w:line="195"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We, our executive officers and directors, and holders of substantially all of our common stock have entered into lock-up agreements with the underwriters. Under the lock-up agreements, subject to certain exceptions, we and each of these persons may not, without the prior written approval of UBS Securities LLC and Stifel, Nicolaus &amp; Company, Incorporated, offer, sell, contract to sell, pledge, or otherwise dispose of, directly or indirectly, or hedge our common stock or securities convertible into or exchangeable or exercisable for our common stock. These restrictions will be in effect for a period ending on and including the date that is 180 days after the date of this prospectus.</w:t>
      </w:r>
    </w:p>
    <w:p>
      <w:pPr>
        <w:spacing w:after="0" w:line="148"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UBS Securities LLC and Stifel, Nicolaus &amp; Company, Incorporated may, at any time and in their sole discretion, release some or all the securities from these lock-up agreements. If the restrictions under the lock-up agreements are waived, shares of our common stock may become available for resale into the market, subject to applicable law, which could reduce the market price of our common stock.</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INDEMNIFICATION</w:t>
      </w:r>
    </w:p>
    <w:p>
      <w:pPr>
        <w:spacing w:after="0" w:line="195" w:lineRule="exact"/>
        <w:rPr>
          <w:sz w:val="20"/>
          <w:szCs w:val="20"/>
          <w:color w:val="auto"/>
        </w:rPr>
      </w:pPr>
    </w:p>
    <w:p>
      <w:pPr>
        <w:ind w:left="7" w:right="300"/>
        <w:spacing w:after="0" w:line="282" w:lineRule="auto"/>
        <w:rPr>
          <w:sz w:val="20"/>
          <w:szCs w:val="20"/>
          <w:color w:val="auto"/>
        </w:rPr>
      </w:pPr>
      <w:r>
        <w:rPr>
          <w:rFonts w:ascii="Arial" w:cs="Arial" w:eastAsia="Arial" w:hAnsi="Arial"/>
          <w:sz w:val="15"/>
          <w:szCs w:val="15"/>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NASDAQ LISTING</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have applied to have our common stock approved for listing on the The NASDAQ Global Market under the symbol "SELB."</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PRICE STABILIZATION, SHORT POSITIONS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In connection with this offering, the underwriters may engage in activities that stabilize, maintain or otherwise affect the price of our common stock during and after this offering, including:</w:t>
      </w:r>
    </w:p>
    <w:p>
      <w:pPr>
        <w:spacing w:after="0" w:line="233" w:lineRule="exact"/>
        <w:rPr>
          <w:sz w:val="20"/>
          <w:szCs w:val="20"/>
          <w:color w:val="auto"/>
        </w:rPr>
      </w:pPr>
    </w:p>
    <w:p>
      <w:pPr>
        <w:ind w:left="467" w:hanging="467"/>
        <w:spacing w:after="0"/>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stabilizing transactions;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short sales;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purchases to cover positions created by short sales;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imposition of penalty bids;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syndicate covering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24" w:name="page225"/>
    <w:bookmarkEnd w:id="22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Stabilizing transactions consist of bids or purchases made for the purpose of preventing or retarding a decline in the market price of our common stock while this offering is in progress. Stabilization transactions permit bids to purchase the underlying security so long as the stabilizing bids do not exceed a specified maximum. These transactions may also include making short sales of our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4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59"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common stock in the open market that could adversely affect investors who purchased in this offering.</w:t>
      </w:r>
    </w:p>
    <w:p>
      <w:pPr>
        <w:spacing w:after="0" w:line="159" w:lineRule="exact"/>
        <w:rPr>
          <w:sz w:val="20"/>
          <w:szCs w:val="20"/>
          <w:color w:val="auto"/>
        </w:rPr>
      </w:pPr>
    </w:p>
    <w:p>
      <w:pPr>
        <w:ind w:left="7" w:right="400"/>
        <w:spacing w:after="0" w:line="282" w:lineRule="auto"/>
        <w:rPr>
          <w:sz w:val="20"/>
          <w:szCs w:val="20"/>
          <w:color w:val="auto"/>
        </w:rPr>
      </w:pPr>
      <w:r>
        <w:rPr>
          <w:rFonts w:ascii="Arial" w:cs="Arial" w:eastAsia="Arial" w:hAnsi="Arial"/>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that underwriter in stabilizing or short covering transactions.</w:t>
      </w:r>
    </w:p>
    <w:p>
      <w:pPr>
        <w:spacing w:after="0" w:line="151"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NASDAQ,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DETERMINATION OF OFFERING PRICE</w:t>
      </w:r>
    </w:p>
    <w:p>
      <w:pPr>
        <w:spacing w:after="0" w:line="195" w:lineRule="exact"/>
        <w:rPr>
          <w:sz w:val="20"/>
          <w:szCs w:val="20"/>
          <w:color w:val="auto"/>
        </w:rPr>
      </w:pPr>
    </w:p>
    <w:p>
      <w:pPr>
        <w:ind w:left="7" w:right="660"/>
        <w:spacing w:after="0" w:line="282" w:lineRule="auto"/>
        <w:rPr>
          <w:sz w:val="20"/>
          <w:szCs w:val="20"/>
          <w:color w:val="auto"/>
        </w:rPr>
      </w:pPr>
      <w:r>
        <w:rPr>
          <w:rFonts w:ascii="Arial" w:cs="Arial" w:eastAsia="Arial" w:hAnsi="Arial"/>
          <w:sz w:val="15"/>
          <w:szCs w:val="15"/>
          <w:color w:val="auto"/>
        </w:rPr>
        <w:t>Prior to this offering, there was no public market for our common stock. The initial public offering price will be determined by negotiation among us and the representatives of the underwriters. The principal factors to be considered in determining the initial public offering price include:</w:t>
      </w:r>
    </w:p>
    <w:p>
      <w:pPr>
        <w:spacing w:after="0" w:line="162" w:lineRule="exact"/>
        <w:rPr>
          <w:sz w:val="20"/>
          <w:szCs w:val="20"/>
          <w:color w:val="auto"/>
        </w:rPr>
      </w:pPr>
    </w:p>
    <w:p>
      <w:pPr>
        <w:ind w:left="467" w:hanging="467"/>
        <w:spacing w:after="0"/>
        <w:tabs>
          <w:tab w:leader="none" w:pos="46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information set forth in this prospectus and otherwise available to the representatives;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our history and prospects and the history and prospects for the industry in which we compete;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our past and present financial performance;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our prospects for future earnings and the present state of our development;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general condition of the securities market at the time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225" w:name="page226"/>
    <w:bookmarkEnd w:id="22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recent market prices of, and demand for, publicly traded common stock of generally comparable companies;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other factors deemed relevant by the underwriters and us.</w:t>
      </w:r>
    </w:p>
    <w:p>
      <w:pPr>
        <w:spacing w:after="0" w:line="198"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common stock or that the common stock will trade in the public market at or above the initial public offering price.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DIRECTED SHARE PROGRAM</w:t>
      </w:r>
    </w:p>
    <w:p>
      <w:pPr>
        <w:spacing w:after="0" w:line="195" w:lineRule="exact"/>
        <w:rPr>
          <w:sz w:val="20"/>
          <w:szCs w:val="20"/>
          <w:color w:val="auto"/>
        </w:rPr>
      </w:pPr>
    </w:p>
    <w:p>
      <w:pPr>
        <w:ind w:left="7" w:right="60"/>
        <w:spacing w:after="0" w:line="283" w:lineRule="auto"/>
        <w:rPr>
          <w:sz w:val="20"/>
          <w:szCs w:val="20"/>
          <w:color w:val="auto"/>
        </w:rPr>
      </w:pPr>
      <w:r>
        <w:rPr>
          <w:rFonts w:ascii="Arial" w:cs="Arial" w:eastAsia="Arial" w:hAnsi="Arial"/>
          <w:sz w:val="14"/>
          <w:szCs w:val="14"/>
          <w:color w:val="auto"/>
        </w:rPr>
        <w:t>At our request, the underwriters have reserved up to 5% of the common stock being offered by this prospectus for sale at the initial public offering price to our directors, officers, employees and other individuals associated with us and members of their families. The sales will be made by UBS Financial Services Inc., a selected dealer affiliated with UBS Securities LLC, an underwriter of this offering, through a directed share program. We do not know if these persons will choose to purchase all or any portion of these reserved shares, but any purchases they do make will reduce the number of shares available to the general public. Any reserved shares not so purchased will be offered by the underwriters to the general public on the same terms as the other shares of common stock. Participants in the directed share program who purchase more than $1,000,000 of shares shall be subject to a 25-day lock-up with respect to any shares sold to them pursuant to that program. This lock-up will have similar restrictions to the lock-up agreements described in "Shares eligible for future sale—Lock-up agreements." Any shares sold in the directed share program to our directors or executive officers shall be subject to the lock-up agreements described above.</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AFFILIATIONS</w:t>
      </w:r>
    </w:p>
    <w:p>
      <w:pPr>
        <w:spacing w:after="0" w:line="195" w:lineRule="exact"/>
        <w:rPr>
          <w:sz w:val="20"/>
          <w:szCs w:val="20"/>
          <w:color w:val="auto"/>
        </w:rPr>
      </w:pPr>
    </w:p>
    <w:p>
      <w:pPr>
        <w:ind w:left="7" w:right="80"/>
        <w:spacing w:after="0" w:line="308"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or instruments of us. The underwriters and their respective affiliates may also make investment recommendations or publish or express independent research views in respect of these securities or instruments and may at any time hold, or recommend to clients that they acquire, long or short positions in these securities and instruments.</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ELECTRONIC DISTRIBUTION</w:t>
      </w:r>
    </w:p>
    <w:p>
      <w:pPr>
        <w:spacing w:after="0" w:line="195" w:lineRule="exact"/>
        <w:rPr>
          <w:sz w:val="20"/>
          <w:szCs w:val="20"/>
          <w:color w:val="auto"/>
        </w:rPr>
      </w:pPr>
    </w:p>
    <w:p>
      <w:pPr>
        <w:ind w:left="7" w:right="100"/>
        <w:spacing w:after="0" w:line="290" w:lineRule="auto"/>
        <w:rPr>
          <w:sz w:val="20"/>
          <w:szCs w:val="20"/>
          <w:color w:val="auto"/>
        </w:rPr>
      </w:pPr>
      <w:r>
        <w:rPr>
          <w:rFonts w:ascii="Arial" w:cs="Arial" w:eastAsia="Arial" w:hAnsi="Arial"/>
          <w:sz w:val="14"/>
          <w:szCs w:val="14"/>
          <w:color w:val="auto"/>
        </w:rPr>
        <w:t>A prospectus in electronic format may be made available on the internet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26" w:name="page227"/>
    <w:bookmarkEnd w:id="22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82" w:lineRule="auto"/>
        <w:rPr>
          <w:sz w:val="20"/>
          <w:szCs w:val="20"/>
          <w:color w:val="auto"/>
        </w:rPr>
      </w:pPr>
      <w:r>
        <w:rPr>
          <w:rFonts w:ascii="Arial" w:cs="Arial" w:eastAsia="Arial" w:hAnsi="Arial"/>
          <w:sz w:val="15"/>
          <w:szCs w:val="15"/>
          <w:color w:val="auto"/>
        </w:rPr>
        <w:t>website and any information contained in any other website maintained by an underwriter is not part of the prospectus or the registration statement of which this prospectus forms a part, has not been approved or endorsed by us or any underwriter in its capacity as underwriter and should not be relied upon by investors.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NOTICE TO PROSPECTIVE INVESTORS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European Economic Area</w:t>
      </w:r>
    </w:p>
    <w:p>
      <w:pPr>
        <w:spacing w:after="0" w:line="195"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an offer to the public of any shares of common stock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73" w:lineRule="exact"/>
        <w:rPr>
          <w:sz w:val="20"/>
          <w:szCs w:val="20"/>
          <w:color w:val="auto"/>
        </w:rPr>
      </w:pPr>
    </w:p>
    <w:p>
      <w:pPr>
        <w:ind w:left="467" w:hanging="467"/>
        <w:spacing w:after="0"/>
        <w:tabs>
          <w:tab w:leader="none" w:pos="467"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the Prospectus Directive;</w:t>
      </w:r>
    </w:p>
    <w:p>
      <w:pPr>
        <w:spacing w:after="0" w:line="221" w:lineRule="exact"/>
        <w:rPr>
          <w:rFonts w:ascii="Arial" w:cs="Arial" w:eastAsia="Arial" w:hAnsi="Arial"/>
          <w:sz w:val="15"/>
          <w:szCs w:val="15"/>
          <w:color w:val="auto"/>
        </w:rPr>
      </w:pPr>
    </w:p>
    <w:p>
      <w:pPr>
        <w:ind w:left="467" w:right="180" w:hanging="467"/>
        <w:spacing w:after="0" w:line="362" w:lineRule="auto"/>
        <w:tabs>
          <w:tab w:leader="none" w:pos="467" w:val="left"/>
        </w:tabs>
        <w:numPr>
          <w:ilvl w:val="0"/>
          <w:numId w:val="132"/>
        </w:numPr>
        <w:rPr>
          <w:rFonts w:ascii="Arial" w:cs="Arial" w:eastAsia="Arial" w:hAnsi="Arial"/>
          <w:sz w:val="13"/>
          <w:szCs w:val="13"/>
          <w:color w:val="auto"/>
        </w:rPr>
      </w:pPr>
      <w:r>
        <w:rPr>
          <w:rFonts w:ascii="Arial" w:cs="Arial" w:eastAsia="Arial" w:hAnsi="Arial"/>
          <w:sz w:val="13"/>
          <w:szCs w:val="13"/>
          <w:color w:val="auto"/>
        </w:rPr>
        <w:t>by the underwriters to fewer than 100, or, if the Relevant Member State has implemented the relevant provisions of the 2010 PD Amending Directive, 150, natural or legal persons (other than qualified investors as defined in the Prospectus Directive) subject to obtaining the prior consent of the representatives of the underwriters for any such offer; or</w:t>
      </w:r>
    </w:p>
    <w:p>
      <w:pPr>
        <w:spacing w:after="0" w:line="116" w:lineRule="exact"/>
        <w:rPr>
          <w:rFonts w:ascii="Arial" w:cs="Arial" w:eastAsia="Arial" w:hAnsi="Arial"/>
          <w:sz w:val="13"/>
          <w:szCs w:val="13"/>
          <w:color w:val="auto"/>
        </w:rPr>
      </w:pPr>
    </w:p>
    <w:p>
      <w:pPr>
        <w:ind w:left="467" w:hanging="467"/>
        <w:spacing w:after="0" w:line="282" w:lineRule="auto"/>
        <w:tabs>
          <w:tab w:leader="none" w:pos="467" w:val="left"/>
        </w:tabs>
        <w:numPr>
          <w:ilvl w:val="0"/>
          <w:numId w:val="132"/>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 provided that no such offer of Shares shall result in a requirement us or any underwriter to publish a prospectus pursuant to Article 3 of the Prospectus Directive or supplement a prospectus pursuant to Article 16 of the Prospectus Directive.</w:t>
      </w:r>
    </w:p>
    <w:p>
      <w:pPr>
        <w:spacing w:after="0" w:line="151"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EEA selling restriction is in addition to any other selling restrictions set out in this prospectus.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United Kingdom</w:t>
      </w:r>
    </w:p>
    <w:p>
      <w:pPr>
        <w:spacing w:after="0" w:line="195"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This prospectus is only being distributed to and is only directed at: (1) persons who are outside the United Kingdom; (2) investment professionals falling within Article 19(5) of the Financial Services and Markets Act 2000 (Financial Promotion) Order 2005 (the "Order"); or (3) high net worth companies, and other persons to whom it may lawfully be communicated, falling within Article 49(2)(a) to (d) of the Order (all such persons falling within (1)-(3) together being referred to as "relevant persons"). The shares are only available to, and any invitation, offer or agreement to subscribe, purchase or otherwise acquire such shares will be engaged in only with, relevant persons. Any person who is not a relevant person should not act or rely on this prospectus or any of its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27" w:name="page228"/>
    <w:bookmarkEnd w:id="22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Australia</w:t>
      </w:r>
    </w:p>
    <w:p>
      <w:pPr>
        <w:spacing w:after="0" w:line="195"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62"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59"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This prospectus does not constitute an offer in Australia other than to persons who do not require disclosure under Part 6D.2 of the Corporations Act 2001 (Australia) and who are wholesale clients for the purposes of section 761G of the Corporations Act 2001 (Australia). By submitting an application for our securities, you represent and warrant to us that you are a person who does not require disclosure under Part 6D.2 and who is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person who does not require disclosure under Part 6D.2 and who is a wholesale client.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Hong Kong</w:t>
      </w:r>
    </w:p>
    <w:p>
      <w:pPr>
        <w:spacing w:after="0" w:line="195"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 Please note that (i) our securities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SFO and any rules made thereunder.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Japan</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Our securities have not been and will not be registered under the Financial Instruments and Exchange Law of Japan (the Financial Instruments and Exchange Law) and our securities will not be offered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8" w:name="page229"/>
    <w:bookmarkEnd w:id="22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330" w:lineRule="auto"/>
        <w:rPr>
          <w:sz w:val="20"/>
          <w:szCs w:val="20"/>
          <w:color w:val="auto"/>
        </w:rPr>
      </w:pPr>
      <w:r>
        <w:rPr>
          <w:rFonts w:ascii="Arial" w:cs="Arial" w:eastAsia="Arial" w:hAnsi="Arial"/>
          <w:sz w:val="13"/>
          <w:szCs w:val="13"/>
          <w:color w:val="auto"/>
        </w:rPr>
        <w:t>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Singapore</w:t>
      </w:r>
    </w:p>
    <w:p>
      <w:pPr>
        <w:spacing w:after="0" w:line="195"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15"/>
          <w:szCs w:val="15"/>
          <w:color w:val="auto"/>
        </w:rPr>
        <w:t>Where our securities are subscribed or purchased under Section 275 by a relevant person which is:</w:t>
      </w:r>
    </w:p>
    <w:p>
      <w:pPr>
        <w:spacing w:after="0" w:line="210" w:lineRule="exact"/>
        <w:rPr>
          <w:sz w:val="20"/>
          <w:szCs w:val="20"/>
          <w:color w:val="auto"/>
        </w:rPr>
      </w:pPr>
    </w:p>
    <w:p>
      <w:pPr>
        <w:ind w:left="467" w:right="300" w:hanging="467"/>
        <w:spacing w:after="0" w:line="282" w:lineRule="auto"/>
        <w:tabs>
          <w:tab w:leader="none" w:pos="46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5"/>
          <w:szCs w:val="15"/>
          <w:color w:val="auto"/>
        </w:rPr>
      </w:pPr>
    </w:p>
    <w:p>
      <w:pPr>
        <w:ind w:left="467" w:right="200" w:hanging="467"/>
        <w:spacing w:after="0" w:line="270" w:lineRule="auto"/>
        <w:tabs>
          <w:tab w:leader="none" w:pos="46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our securities pursuant to an offer made under Section 275 except:</w:t>
      </w:r>
    </w:p>
    <w:p>
      <w:pPr>
        <w:spacing w:after="0" w:line="355" w:lineRule="exact"/>
        <w:rPr>
          <w:rFonts w:ascii="Arial" w:cs="Arial" w:eastAsia="Arial" w:hAnsi="Arial"/>
          <w:sz w:val="15"/>
          <w:szCs w:val="15"/>
          <w:color w:val="auto"/>
        </w:rPr>
      </w:pPr>
    </w:p>
    <w:p>
      <w:pPr>
        <w:ind w:left="927" w:hanging="464"/>
        <w:spacing w:after="0" w:line="282" w:lineRule="auto"/>
        <w:tabs>
          <w:tab w:leader="none" w:pos="927"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defined in Section 275(2) of the SFA, or to any person arising from an offer referred to in Section 275(1A) or Section 276(4) (i)(B) of the SFA;</w:t>
      </w:r>
    </w:p>
    <w:p>
      <w:pPr>
        <w:spacing w:after="0" w:line="162" w:lineRule="exact"/>
        <w:rPr>
          <w:rFonts w:ascii="Arial" w:cs="Arial" w:eastAsia="Arial" w:hAnsi="Arial"/>
          <w:sz w:val="15"/>
          <w:szCs w:val="15"/>
          <w:color w:val="auto"/>
        </w:rPr>
      </w:pPr>
    </w:p>
    <w:p>
      <w:pPr>
        <w:ind w:left="927" w:hanging="464"/>
        <w:spacing w:after="0"/>
        <w:tabs>
          <w:tab w:leader="none" w:pos="927" w:val="left"/>
        </w:tabs>
        <w:numPr>
          <w:ilvl w:val="1"/>
          <w:numId w:val="133"/>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221" w:lineRule="exact"/>
        <w:rPr>
          <w:rFonts w:ascii="Arial" w:cs="Arial" w:eastAsia="Arial" w:hAnsi="Arial"/>
          <w:sz w:val="15"/>
          <w:szCs w:val="15"/>
          <w:color w:val="auto"/>
        </w:rPr>
      </w:pPr>
    </w:p>
    <w:p>
      <w:pPr>
        <w:ind w:left="927" w:hanging="464"/>
        <w:spacing w:after="0"/>
        <w:tabs>
          <w:tab w:leader="none" w:pos="927" w:val="left"/>
        </w:tabs>
        <w:numPr>
          <w:ilvl w:val="1"/>
          <w:numId w:val="133"/>
        </w:numPr>
        <w:rPr>
          <w:rFonts w:ascii="Arial" w:cs="Arial" w:eastAsia="Arial" w:hAnsi="Arial"/>
          <w:sz w:val="15"/>
          <w:szCs w:val="15"/>
          <w:color w:val="auto"/>
        </w:rPr>
      </w:pPr>
      <w:r>
        <w:rPr>
          <w:rFonts w:ascii="Arial" w:cs="Arial" w:eastAsia="Arial" w:hAnsi="Arial"/>
          <w:sz w:val="15"/>
          <w:szCs w:val="15"/>
          <w:color w:val="auto"/>
        </w:rPr>
        <w:t>where the transfer is by operation of law; or</w:t>
      </w:r>
    </w:p>
    <w:p>
      <w:pPr>
        <w:spacing w:after="0" w:line="209" w:lineRule="exact"/>
        <w:rPr>
          <w:rFonts w:ascii="Arial" w:cs="Arial" w:eastAsia="Arial" w:hAnsi="Arial"/>
          <w:sz w:val="15"/>
          <w:szCs w:val="15"/>
          <w:color w:val="auto"/>
        </w:rPr>
      </w:pPr>
    </w:p>
    <w:p>
      <w:pPr>
        <w:ind w:left="927" w:hanging="464"/>
        <w:spacing w:after="0"/>
        <w:tabs>
          <w:tab w:leader="none" w:pos="927" w:val="left"/>
        </w:tabs>
        <w:numPr>
          <w:ilvl w:val="1"/>
          <w:numId w:val="133"/>
        </w:numPr>
        <w:rPr>
          <w:rFonts w:ascii="Arial" w:cs="Arial" w:eastAsia="Arial" w:hAnsi="Arial"/>
          <w:sz w:val="15"/>
          <w:szCs w:val="15"/>
          <w:color w:val="auto"/>
        </w:rPr>
      </w:pPr>
      <w:r>
        <w:rPr>
          <w:rFonts w:ascii="Arial" w:cs="Arial" w:eastAsia="Arial" w:hAnsi="Arial"/>
          <w:sz w:val="15"/>
          <w:szCs w:val="15"/>
          <w:color w:val="auto"/>
        </w:rPr>
        <w:t>as specified in Section 276(7) of the SFA.</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Switzerland</w:t>
      </w:r>
    </w:p>
    <w:p>
      <w:pPr>
        <w:spacing w:after="0" w:line="195" w:lineRule="exact"/>
        <w:rPr>
          <w:sz w:val="20"/>
          <w:szCs w:val="20"/>
          <w:color w:val="auto"/>
        </w:rPr>
      </w:pPr>
    </w:p>
    <w:p>
      <w:pPr>
        <w:ind w:left="7" w:right="260"/>
        <w:spacing w:after="0" w:line="266" w:lineRule="auto"/>
        <w:rPr>
          <w:sz w:val="20"/>
          <w:szCs w:val="20"/>
          <w:color w:val="auto"/>
        </w:rPr>
      </w:pPr>
      <w:r>
        <w:rPr>
          <w:rFonts w:ascii="Arial" w:cs="Arial" w:eastAsia="Arial" w:hAnsi="Arial"/>
          <w:sz w:val="15"/>
          <w:szCs w:val="15"/>
          <w:color w:val="auto"/>
        </w:rPr>
        <w:t>This Prospectus does not constitute an issue prospectus pursuant to Article 652a or Article 1156 of the Swiss Code of Obligations (CO) and the shares will not be listed on the SIX Swiss Exchange. Therefore, the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29" w:name="page230"/>
    <w:bookmarkEnd w:id="2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Greece</w:t>
      </w:r>
    </w:p>
    <w:p>
      <w:pPr>
        <w:spacing w:after="0" w:line="195"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The securities have not been approved by the Hellenic Capital Markets Commission for distribution and marketing in Greece. This document and the information contained therein do not and shall not be deemed to constitute an invitation to the public in Greece to purchase the securities. The securities may not be advertised, distributed, offered or in any way sold in Greece except as permitted by Greek law.</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Dubai International Finance Centre</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This prospectus relates to an Exempt Offer in accordance with the Markets Rules of the Dubai Financial Services Authority. This prospectus is intended for distribution only to Professional Clients who are not natural persons.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securities to which this prospectus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0" w:name="page231"/>
    <w:bookmarkEnd w:id="230"/>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0910" cy="7620"/>
                    </a:xfrm>
                    <a:prstGeom prst="rect">
                      <a:avLst/>
                    </a:prstGeom>
                    <a:noFill/>
                  </pic:spPr>
                </pic:pic>
              </a:graphicData>
            </a:graphic>
          </wp:anchor>
        </w:drawing>
        <w:t>Legal matters</w:t>
      </w:r>
    </w:p>
    <w:p>
      <w:pPr>
        <w:spacing w:after="0" w:line="183" w:lineRule="exact"/>
        <w:rPr>
          <w:sz w:val="20"/>
          <w:szCs w:val="20"/>
          <w:color w:val="auto"/>
        </w:rPr>
      </w:pPr>
    </w:p>
    <w:p>
      <w:pPr>
        <w:ind w:right="620"/>
        <w:spacing w:after="0" w:line="282" w:lineRule="auto"/>
        <w:rPr>
          <w:sz w:val="20"/>
          <w:szCs w:val="20"/>
          <w:color w:val="auto"/>
        </w:rPr>
      </w:pPr>
      <w:r>
        <w:rPr>
          <w:rFonts w:ascii="Arial" w:cs="Arial" w:eastAsia="Arial" w:hAnsi="Arial"/>
          <w:sz w:val="15"/>
          <w:szCs w:val="15"/>
          <w:color w:val="auto"/>
        </w:rPr>
        <w:t>The validity of the shares of common stock offered hereby will be passed upon for us by Latham &amp; Watkins LLP. Certain legal matters will be passed upon for the underwriters by Cooley LLP.</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Experts</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Our consolidated financial statements as of December 31, 2014 and December 31, 2015, and for the years then ended, appearing in this prospectus and the related registration statement have been audited by Ernst &amp; Young LLP, independent registered public accounting firm, as set forth in their report thereon (which contains an explanatory paragraph describing conditions that raise substantial doubt about our ability to continue as a going concern as described in Note 1 to the consolidated financial statements) appearing elsewhere herein, and are included in reliance on such report given on the authority of such firm as experts in accounting and auditing.</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Where you can find more information</w:t>
      </w:r>
    </w:p>
    <w:p>
      <w:pPr>
        <w:spacing w:after="0" w:line="183"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Exchange Act. You may read and copy this information at the Public Reference Room of the SEC, 100 F Street, N.E., Room 1580, Washington, District of Columbia 20549. You may obtain information on the operation of the public reference rooms by calling the SEC at 1-800-SEC-0330. The SEC also maintains an Internet website that contains reports, proxy statements and other information about registrants, like us, that file electronically with the SEC. The address of that site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266305"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31" w:name="page232"/>
    <w:bookmarkEnd w:id="2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728091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INDEX TO CONSOLIDATED FINANCIAL STATEMENTS</w:t>
      </w:r>
    </w:p>
    <w:p>
      <w:pPr>
        <w:spacing w:after="0" w:line="183" w:lineRule="exact"/>
        <w:rPr>
          <w:sz w:val="20"/>
          <w:szCs w:val="20"/>
          <w:color w:val="auto"/>
        </w:rPr>
      </w:pPr>
    </w:p>
    <w:p>
      <w:pPr>
        <w:ind w:left="1140"/>
        <w:spacing w:after="0"/>
        <w:rPr>
          <w:rFonts w:ascii="Arial" w:cs="Arial" w:eastAsia="Arial" w:hAnsi="Arial"/>
          <w:sz w:val="15"/>
          <w:szCs w:val="15"/>
          <w:u w:val="single" w:color="auto"/>
          <w:color w:val="0000EE"/>
        </w:rPr>
      </w:pPr>
      <w:hyperlink w:anchor="page233">
        <w:r>
          <w:rPr>
            <w:rFonts w:ascii="Arial" w:cs="Arial" w:eastAsia="Arial" w:hAnsi="Arial"/>
            <w:sz w:val="15"/>
            <w:szCs w:val="15"/>
            <w:u w:val="single" w:color="auto"/>
            <w:color w:val="0000EE"/>
          </w:rPr>
          <w:t>Report of Independent Registered Public Accounting Firm</w:t>
        </w:r>
      </w:hyperlink>
    </w:p>
    <w:p>
      <w:pPr>
        <w:spacing w:after="0" w:line="18" w:lineRule="exact"/>
        <w:rPr>
          <w:sz w:val="20"/>
          <w:szCs w:val="20"/>
          <w:color w:val="auto"/>
        </w:rPr>
      </w:pPr>
    </w:p>
    <w:p>
      <w:pPr>
        <w:ind w:left="1140" w:right="160"/>
        <w:spacing w:after="0" w:line="297" w:lineRule="auto"/>
        <w:rPr>
          <w:rFonts w:ascii="Arial" w:cs="Arial" w:eastAsia="Arial" w:hAnsi="Arial"/>
          <w:sz w:val="13"/>
          <w:szCs w:val="13"/>
          <w:u w:val="single" w:color="auto"/>
          <w:color w:val="0000EE"/>
        </w:rPr>
      </w:pPr>
      <w:hyperlink w:anchor="page234">
        <w:r>
          <w:rPr>
            <w:rFonts w:ascii="Arial" w:cs="Arial" w:eastAsia="Arial" w:hAnsi="Arial"/>
            <w:sz w:val="13"/>
            <w:szCs w:val="13"/>
            <w:u w:val="single" w:color="auto"/>
            <w:color w:val="0000EE"/>
          </w:rPr>
          <w:t>Consolidated Balance Sheets as of December 31, 2014 and 2015 and as of March 31, 2016 Actual and Pro Forma (unaudited)</w:t>
        </w:r>
      </w:hyperlink>
      <w:r>
        <w:rPr>
          <w:rFonts w:ascii="Arial" w:cs="Arial" w:eastAsia="Arial" w:hAnsi="Arial"/>
          <w:sz w:val="13"/>
          <w:szCs w:val="13"/>
          <w:u w:val="single" w:color="auto"/>
          <w:color w:val="0000EE"/>
        </w:rPr>
        <w:t xml:space="preserve"> </w:t>
      </w:r>
      <w:hyperlink w:anchor="page235">
        <w:r>
          <w:rPr>
            <w:rFonts w:ascii="Arial" w:cs="Arial" w:eastAsia="Arial" w:hAnsi="Arial"/>
            <w:sz w:val="13"/>
            <w:szCs w:val="13"/>
            <w:u w:val="single" w:color="auto"/>
            <w:color w:val="0000EE"/>
          </w:rPr>
          <w:t>Consolidated Statements of Operations and Comprehensive Loss for the years ended December 31, 2014 and 2015 and the three months</w:t>
        </w:r>
      </w:hyperlink>
    </w:p>
    <w:p>
      <w:pPr>
        <w:spacing w:after="0" w:line="1" w:lineRule="exact"/>
        <w:rPr>
          <w:sz w:val="20"/>
          <w:szCs w:val="20"/>
          <w:color w:val="auto"/>
        </w:rPr>
      </w:pPr>
    </w:p>
    <w:p>
      <w:pPr>
        <w:ind w:left="1300"/>
        <w:spacing w:after="0"/>
        <w:rPr>
          <w:rFonts w:ascii="Arial" w:cs="Arial" w:eastAsia="Arial" w:hAnsi="Arial"/>
          <w:sz w:val="15"/>
          <w:szCs w:val="15"/>
          <w:u w:val="single" w:color="auto"/>
          <w:color w:val="0000EE"/>
        </w:rPr>
      </w:pPr>
      <w:hyperlink w:anchor="page235">
        <w:r>
          <w:rPr>
            <w:rFonts w:ascii="Arial" w:cs="Arial" w:eastAsia="Arial" w:hAnsi="Arial"/>
            <w:sz w:val="15"/>
            <w:szCs w:val="15"/>
            <w:u w:val="single" w:color="auto"/>
            <w:color w:val="0000EE"/>
          </w:rPr>
          <w:t>ended March 31, 2015 and 2016 (unaudited)</w:t>
        </w:r>
      </w:hyperlink>
    </w:p>
    <w:p>
      <w:pPr>
        <w:spacing w:after="0" w:line="13" w:lineRule="exact"/>
        <w:rPr>
          <w:sz w:val="20"/>
          <w:szCs w:val="20"/>
          <w:color w:val="auto"/>
        </w:rPr>
      </w:pPr>
    </w:p>
    <w:p>
      <w:pPr>
        <w:ind w:left="1300" w:hanging="153"/>
        <w:spacing w:after="0" w:line="257" w:lineRule="auto"/>
        <w:rPr>
          <w:rFonts w:ascii="Arial" w:cs="Arial" w:eastAsia="Arial" w:hAnsi="Arial"/>
          <w:sz w:val="15"/>
          <w:szCs w:val="15"/>
          <w:u w:val="single" w:color="auto"/>
          <w:color w:val="0000EE"/>
        </w:rPr>
      </w:pPr>
      <w:hyperlink w:anchor="page236">
        <w:r>
          <w:rPr>
            <w:rFonts w:ascii="Arial" w:cs="Arial" w:eastAsia="Arial" w:hAnsi="Arial"/>
            <w:sz w:val="15"/>
            <w:szCs w:val="15"/>
            <w:u w:val="single" w:color="auto"/>
            <w:color w:val="0000EE"/>
          </w:rPr>
          <w:t>Consolidated Statements of Redeemable Convertible Preferred Stock and Stockholders' Deficit for the years ended December 31, 2014 and</w:t>
        </w:r>
      </w:hyperlink>
      <w:r>
        <w:rPr>
          <w:rFonts w:ascii="Arial" w:cs="Arial" w:eastAsia="Arial" w:hAnsi="Arial"/>
          <w:sz w:val="15"/>
          <w:szCs w:val="15"/>
          <w:u w:val="single" w:color="auto"/>
          <w:color w:val="0000EE"/>
        </w:rPr>
        <w:t xml:space="preserve"> </w:t>
      </w:r>
      <w:hyperlink w:anchor="page236">
        <w:r>
          <w:rPr>
            <w:rFonts w:ascii="Arial" w:cs="Arial" w:eastAsia="Arial" w:hAnsi="Arial"/>
            <w:sz w:val="15"/>
            <w:szCs w:val="15"/>
            <w:u w:val="single" w:color="auto"/>
            <w:color w:val="0000EE"/>
          </w:rPr>
          <w:t>2015 and the three months ended March 31, 2015 and 2016 (unaudited)</w:t>
        </w:r>
      </w:hyperlink>
    </w:p>
    <w:p>
      <w:pPr>
        <w:spacing w:after="0" w:line="1" w:lineRule="exact"/>
        <w:rPr>
          <w:sz w:val="20"/>
          <w:szCs w:val="20"/>
          <w:color w:val="auto"/>
        </w:rPr>
      </w:pPr>
    </w:p>
    <w:p>
      <w:pPr>
        <w:ind w:left="1300" w:right="40" w:hanging="153"/>
        <w:spacing w:after="0" w:line="257" w:lineRule="auto"/>
        <w:rPr>
          <w:rFonts w:ascii="Arial" w:cs="Arial" w:eastAsia="Arial" w:hAnsi="Arial"/>
          <w:sz w:val="15"/>
          <w:szCs w:val="15"/>
          <w:u w:val="single" w:color="auto"/>
          <w:color w:val="0000EE"/>
        </w:rPr>
      </w:pPr>
      <w:hyperlink w:anchor="page238">
        <w:r>
          <w:rPr>
            <w:rFonts w:ascii="Arial" w:cs="Arial" w:eastAsia="Arial" w:hAnsi="Arial"/>
            <w:sz w:val="15"/>
            <w:szCs w:val="15"/>
            <w:u w:val="single" w:color="auto"/>
            <w:color w:val="0000EE"/>
          </w:rPr>
          <w:t>Consolidated Statements of Cash Flows for the years ended December 31, 2014 and 2015 and the three months ended March 31, 2015 and</w:t>
        </w:r>
      </w:hyperlink>
      <w:r>
        <w:rPr>
          <w:rFonts w:ascii="Arial" w:cs="Arial" w:eastAsia="Arial" w:hAnsi="Arial"/>
          <w:sz w:val="15"/>
          <w:szCs w:val="15"/>
          <w:u w:val="single" w:color="auto"/>
          <w:color w:val="0000EE"/>
        </w:rPr>
        <w:t xml:space="preserve"> </w:t>
      </w:r>
      <w:hyperlink w:anchor="page238">
        <w:r>
          <w:rPr>
            <w:rFonts w:ascii="Arial" w:cs="Arial" w:eastAsia="Arial" w:hAnsi="Arial"/>
            <w:sz w:val="15"/>
            <w:szCs w:val="15"/>
            <w:u w:val="single" w:color="auto"/>
            <w:color w:val="0000EE"/>
          </w:rPr>
          <w:t>2016 (unaudited)</w:t>
        </w:r>
      </w:hyperlink>
    </w:p>
    <w:p>
      <w:pPr>
        <w:spacing w:after="0" w:line="1" w:lineRule="exact"/>
        <w:rPr>
          <w:sz w:val="20"/>
          <w:szCs w:val="20"/>
          <w:color w:val="auto"/>
        </w:rPr>
      </w:pPr>
    </w:p>
    <w:p>
      <w:pPr>
        <w:ind w:left="1140"/>
        <w:spacing w:after="0"/>
        <w:rPr>
          <w:rFonts w:ascii="Arial" w:cs="Arial" w:eastAsia="Arial" w:hAnsi="Arial"/>
          <w:sz w:val="15"/>
          <w:szCs w:val="15"/>
          <w:u w:val="single" w:color="auto"/>
          <w:color w:val="0000EE"/>
        </w:rPr>
      </w:pPr>
      <w:hyperlink w:anchor="page239">
        <w:r>
          <w:rPr>
            <w:rFonts w:ascii="Arial" w:cs="Arial" w:eastAsia="Arial" w:hAnsi="Arial"/>
            <w:sz w:val="15"/>
            <w:szCs w:val="15"/>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3">
        <w:r>
          <w:rPr>
            <w:rFonts w:ascii="Arial" w:cs="Arial" w:eastAsia="Arial" w:hAnsi="Arial"/>
            <w:sz w:val="14"/>
            <w:szCs w:val="14"/>
            <w:b w:val="1"/>
            <w:bCs w:val="1"/>
            <w:u w:val="single" w:color="auto"/>
            <w:color w:val="0000EE"/>
          </w:rPr>
          <w:t>F-2</w:t>
        </w:r>
      </w:hyperlink>
    </w:p>
    <w:p>
      <w:pPr>
        <w:spacing w:after="0" w:line="3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4">
        <w:r>
          <w:rPr>
            <w:rFonts w:ascii="Arial" w:cs="Arial" w:eastAsia="Arial" w:hAnsi="Arial"/>
            <w:sz w:val="14"/>
            <w:szCs w:val="14"/>
            <w:b w:val="1"/>
            <w:bCs w:val="1"/>
            <w:u w:val="single" w:color="auto"/>
            <w:color w:val="0000EE"/>
          </w:rPr>
          <w:t>F-3</w:t>
        </w:r>
      </w:hyperlink>
    </w:p>
    <w:p>
      <w:pPr>
        <w:spacing w:after="0" w:line="19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5">
        <w:r>
          <w:rPr>
            <w:rFonts w:ascii="Arial" w:cs="Arial" w:eastAsia="Arial" w:hAnsi="Arial"/>
            <w:sz w:val="14"/>
            <w:szCs w:val="14"/>
            <w:b w:val="1"/>
            <w:bCs w:val="1"/>
            <w:u w:val="single" w:color="auto"/>
            <w:color w:val="0000EE"/>
          </w:rPr>
          <w:t>F-4</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6">
        <w:r>
          <w:rPr>
            <w:rFonts w:ascii="Arial" w:cs="Arial" w:eastAsia="Arial" w:hAnsi="Arial"/>
            <w:sz w:val="14"/>
            <w:szCs w:val="14"/>
            <w:b w:val="1"/>
            <w:bCs w:val="1"/>
            <w:u w:val="single" w:color="auto"/>
            <w:color w:val="0000EE"/>
          </w:rPr>
          <w:t>F-5</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8">
        <w:r>
          <w:rPr>
            <w:rFonts w:ascii="Arial" w:cs="Arial" w:eastAsia="Arial" w:hAnsi="Arial"/>
            <w:sz w:val="14"/>
            <w:szCs w:val="14"/>
            <w:b w:val="1"/>
            <w:bCs w:val="1"/>
            <w:u w:val="single" w:color="auto"/>
            <w:color w:val="0000EE"/>
          </w:rPr>
          <w:t>F-6</w:t>
        </w:r>
      </w:hyperlink>
    </w:p>
    <w:p>
      <w:pPr>
        <w:spacing w:after="0" w:line="3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9">
        <w:r>
          <w:rPr>
            <w:rFonts w:ascii="Arial" w:cs="Arial" w:eastAsia="Arial" w:hAnsi="Arial"/>
            <w:sz w:val="14"/>
            <w:szCs w:val="14"/>
            <w:b w:val="1"/>
            <w:bCs w:val="1"/>
            <w:u w:val="single" w:color="auto"/>
            <w:color w:val="0000EE"/>
          </w:rPr>
          <w:t>F-7</w:t>
        </w:r>
      </w:hyperlink>
    </w:p>
    <w:p>
      <w:pPr>
        <w:spacing w:after="0" w:line="200" w:lineRule="exact"/>
        <w:rPr>
          <w:sz w:val="20"/>
          <w:szCs w:val="20"/>
          <w:color w:val="auto"/>
        </w:rPr>
      </w:pPr>
    </w:p>
    <w:p>
      <w:pPr>
        <w:sectPr>
          <w:pgSz w:w="11900" w:h="16838" w:orient="portrait"/>
          <w:cols w:equalWidth="0" w:num="2">
            <w:col w:w="9520" w:space="400"/>
            <w:col w:w="1520"/>
          </w:cols>
          <w:pgMar w:left="240" w:top="132" w:right="219" w:bottom="1440" w:gutter="0" w:footer="0" w:header="0"/>
          <w:type w:val="continuous"/>
        </w:sectPr>
      </w:pPr>
    </w:p>
    <w:p>
      <w:pPr>
        <w:spacing w:after="0" w:line="59"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32" w:name="page233"/>
    <w:bookmarkEnd w:id="2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Selecta Biosciences, Inc. and Subsidiaries</w:t>
      </w:r>
    </w:p>
    <w:p>
      <w:pPr>
        <w:spacing w:after="0" w:line="193"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We have audited the accompanying consolidated balance sheets of Selecta Biosciences, Inc. and subsidiaries ("the Company") as of December 31, 2015 and 2014, and the related consolidated statements of comprehensive loss, redeemable convertible preferred stock and stockholders' deficit, and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4" w:lineRule="exact"/>
        <w:rPr>
          <w:sz w:val="20"/>
          <w:szCs w:val="20"/>
          <w:color w:val="auto"/>
        </w:rPr>
      </w:pPr>
    </w:p>
    <w:p>
      <w:pPr>
        <w:ind w:right="320"/>
        <w:spacing w:after="0" w:line="270"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Selecta Biosciences, Inc. and subsidiaries at December 31, 2015 and 2014, and the consolidated results of its operations and its cash flows for each of the two years in the period ended December 31, 2015, in conformity with U.S. generally accepted accounting principles.</w:t>
      </w:r>
    </w:p>
    <w:p>
      <w:pPr>
        <w:spacing w:after="0" w:line="15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financial statements, the Company has recurring losses from operations and negative cash flows from operations and will require additional capital to fund planned operations. These conditions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March 30, 2016, except for Note 17(b), as to which the date is June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3" w:name="page234"/>
    <w:bookmarkEnd w:id="2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BALANCE SHEETS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Pro forma</w:t>
            </w:r>
          </w:p>
        </w:tc>
      </w:tr>
      <w:tr>
        <w:trPr>
          <w:trHeight w:val="149"/>
        </w:trPr>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6"/>
          </w:tcPr>
          <w:p>
            <w:pPr>
              <w:jc w:val="right"/>
              <w:ind w:right="28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March 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March 31,</w:t>
            </w:r>
          </w:p>
        </w:tc>
      </w:tr>
      <w:tr>
        <w:trPr>
          <w:trHeight w:val="154"/>
        </w:trPr>
        <w:tc>
          <w:tcPr>
            <w:tcW w:w="6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21"/>
        </w:trPr>
        <w:tc>
          <w:tcPr>
            <w:tcW w:w="6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0"/>
                <w:szCs w:val="10"/>
                <w:color w:val="auto"/>
              </w:rPr>
            </w:pPr>
          </w:p>
        </w:tc>
        <w:tc>
          <w:tcPr>
            <w:tcW w:w="68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auto"/>
                <w:w w:val="97"/>
              </w:rPr>
              <w:t>(unaudited)</w:t>
            </w:r>
          </w:p>
        </w:tc>
        <w:tc>
          <w:tcPr>
            <w:tcW w:w="140" w:type="dxa"/>
            <w:vAlign w:val="bottom"/>
          </w:tcPr>
          <w:p>
            <w:pPr>
              <w:spacing w:after="0"/>
              <w:rPr>
                <w:sz w:val="10"/>
                <w:szCs w:val="10"/>
                <w:color w:val="auto"/>
              </w:rPr>
            </w:pPr>
          </w:p>
        </w:tc>
      </w:tr>
      <w:tr>
        <w:trPr>
          <w:trHeight w:val="149"/>
        </w:trPr>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15"/>
          </w:tcPr>
          <w:p>
            <w:pPr>
              <w:spacing w:after="0"/>
              <w:rPr>
                <w:sz w:val="20"/>
                <w:szCs w:val="20"/>
                <w:color w:val="auto"/>
              </w:rPr>
            </w:pPr>
            <w:r>
              <w:rPr>
                <w:rFonts w:ascii="Arial" w:cs="Arial" w:eastAsia="Arial" w:hAnsi="Arial"/>
                <w:sz w:val="12"/>
                <w:szCs w:val="12"/>
                <w:b w:val="1"/>
                <w:bCs w:val="1"/>
                <w:color w:val="auto"/>
              </w:rPr>
              <w:t>(in thousands, except share and per share data)</w:t>
            </w: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Cash and cash equivalents</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16,592</w:t>
            </w:r>
          </w:p>
        </w:tc>
        <w:tc>
          <w:tcPr>
            <w:tcW w:w="1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32,337</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17,051</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17,051</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Short term investments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4,125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8,928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8,928</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Restricted cash</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1,244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682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682</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Accounts receivable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674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824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1,627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1,627</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Prepaid expenses and other current assets</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602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1,494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1,598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1,598</w:t>
            </w:r>
          </w:p>
        </w:tc>
        <w:tc>
          <w:tcPr>
            <w:tcW w:w="140" w:type="dxa"/>
            <w:vAlign w:val="bottom"/>
            <w:shd w:val="clear" w:color="auto" w:fill="CCEEFF"/>
          </w:tcPr>
          <w:p>
            <w:pPr>
              <w:spacing w:after="0"/>
              <w:rPr>
                <w:sz w:val="11"/>
                <w:szCs w:val="11"/>
                <w:color w:val="auto"/>
              </w:rPr>
            </w:pP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current assets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19" w:lineRule="exact"/>
              <w:rPr>
                <w:sz w:val="20"/>
                <w:szCs w:val="20"/>
                <w:color w:val="auto"/>
              </w:rPr>
            </w:pPr>
            <w:r>
              <w:rPr>
                <w:rFonts w:ascii="Arial" w:cs="Arial" w:eastAsia="Arial" w:hAnsi="Arial"/>
                <w:sz w:val="12"/>
                <w:szCs w:val="12"/>
                <w:color w:val="auto"/>
              </w:rPr>
              <w:t>19,112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2"/>
                <w:szCs w:val="12"/>
                <w:color w:val="auto"/>
              </w:rPr>
              <w:t>38,913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2"/>
                <w:szCs w:val="12"/>
                <w:color w:val="auto"/>
              </w:rPr>
              <w:t>29,886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2"/>
                <w:szCs w:val="12"/>
                <w:color w:val="auto"/>
              </w:rPr>
              <w:t>29,886</w:t>
            </w:r>
          </w:p>
        </w:tc>
        <w:tc>
          <w:tcPr>
            <w:tcW w:w="140" w:type="dxa"/>
            <w:vAlign w:val="bottom"/>
          </w:tcPr>
          <w:p>
            <w:pPr>
              <w:spacing w:after="0"/>
              <w:rPr>
                <w:sz w:val="10"/>
                <w:szCs w:val="10"/>
                <w:color w:val="auto"/>
              </w:rPr>
            </w:pPr>
          </w:p>
        </w:tc>
      </w:tr>
      <w:tr>
        <w:trPr>
          <w:trHeight w:val="255"/>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1,983</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2,040</w:t>
            </w:r>
          </w:p>
        </w:tc>
        <w:tc>
          <w:tcPr>
            <w:tcW w:w="140" w:type="dxa"/>
            <w:vAlign w:val="bottom"/>
            <w:shd w:val="clear" w:color="auto" w:fill="CCEEFF"/>
          </w:tcPr>
          <w:p>
            <w:pPr>
              <w:spacing w:after="0"/>
              <w:rPr>
                <w:sz w:val="22"/>
                <w:szCs w:val="22"/>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Restricted cash and other deposits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1,106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1,566</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2,481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2,481</w:t>
            </w:r>
          </w:p>
        </w:tc>
        <w:tc>
          <w:tcPr>
            <w:tcW w:w="140" w:type="dxa"/>
            <w:vAlign w:val="bottom"/>
            <w:shd w:val="clear" w:color="auto" w:fill="CCEEFF"/>
          </w:tcPr>
          <w:p>
            <w:pPr>
              <w:spacing w:after="0"/>
              <w:rPr>
                <w:sz w:val="11"/>
                <w:szCs w:val="11"/>
                <w:color w:val="auto"/>
              </w:rPr>
            </w:pP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assets</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22,228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42,824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34,723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34,723</w:t>
            </w:r>
          </w:p>
        </w:tc>
        <w:tc>
          <w:tcPr>
            <w:tcW w:w="140" w:type="dxa"/>
            <w:vAlign w:val="bottom"/>
          </w:tcPr>
          <w:p>
            <w:pPr>
              <w:spacing w:after="0"/>
              <w:rPr>
                <w:sz w:val="10"/>
                <w:szCs w:val="10"/>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612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Liabilities, redeemable convertible preferred stock, and stockholders' deficit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Current liabilities: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Accounts payable</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351</w:t>
            </w:r>
          </w:p>
        </w:tc>
        <w:tc>
          <w:tcPr>
            <w:tcW w:w="1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2,179</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788</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788</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Accrued expenses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1,853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3,378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3,185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3,185</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Loans payable, current portion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2,578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673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673</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Deferred revenue, current portion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3,018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1,313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1,219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1,219</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Contingently repayable grant funding</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1,431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420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452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452</w:t>
            </w:r>
          </w:p>
        </w:tc>
        <w:tc>
          <w:tcPr>
            <w:tcW w:w="140" w:type="dxa"/>
            <w:vAlign w:val="bottom"/>
            <w:shd w:val="clear" w:color="auto" w:fill="CCEEFF"/>
          </w:tcPr>
          <w:p>
            <w:pPr>
              <w:spacing w:after="0"/>
              <w:rPr>
                <w:sz w:val="11"/>
                <w:szCs w:val="11"/>
                <w:color w:val="auto"/>
              </w:rPr>
            </w:pP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current liabilities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19" w:lineRule="exact"/>
              <w:rPr>
                <w:sz w:val="20"/>
                <w:szCs w:val="20"/>
                <w:color w:val="auto"/>
              </w:rPr>
            </w:pPr>
            <w:r>
              <w:rPr>
                <w:rFonts w:ascii="Arial" w:cs="Arial" w:eastAsia="Arial" w:hAnsi="Arial"/>
                <w:sz w:val="12"/>
                <w:szCs w:val="12"/>
                <w:color w:val="auto"/>
              </w:rPr>
              <w:t>9,231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2"/>
                <w:szCs w:val="12"/>
                <w:color w:val="auto"/>
              </w:rPr>
              <w:t>7,290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2"/>
                <w:szCs w:val="12"/>
                <w:color w:val="auto"/>
              </w:rPr>
              <w:t>6,317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2"/>
                <w:szCs w:val="12"/>
                <w:color w:val="auto"/>
              </w:rPr>
              <w:t>6,317</w:t>
            </w:r>
          </w:p>
        </w:tc>
        <w:tc>
          <w:tcPr>
            <w:tcW w:w="140" w:type="dxa"/>
            <w:vAlign w:val="bottom"/>
          </w:tcPr>
          <w:p>
            <w:pPr>
              <w:spacing w:after="0"/>
              <w:rPr>
                <w:sz w:val="10"/>
                <w:szCs w:val="10"/>
                <w:color w:val="auto"/>
              </w:rPr>
            </w:pPr>
          </w:p>
        </w:tc>
      </w:tr>
      <w:tr>
        <w:trPr>
          <w:trHeight w:val="255"/>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Deferred rent and lease incentive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274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105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Contingently repayable grant funding long-term</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Loans payable, net of current portion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4,824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11,855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11,169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11,169</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Deferred revenue, net of current portion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1,364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2,295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2,895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2,895</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Other long-term liabilities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257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290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19"/>
        </w:trPr>
        <w:tc>
          <w:tcPr>
            <w:tcW w:w="61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Total liabilities</w:t>
            </w:r>
          </w:p>
        </w:tc>
        <w:tc>
          <w:tcPr>
            <w:tcW w:w="80" w:type="dxa"/>
            <w:vAlign w:val="bottom"/>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15,950</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21,835</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20,691</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20,381</w:t>
            </w:r>
          </w:p>
        </w:tc>
        <w:tc>
          <w:tcPr>
            <w:tcW w:w="140" w:type="dxa"/>
            <w:vAlign w:val="bottom"/>
            <w:shd w:val="clear" w:color="auto" w:fill="CCEEFF"/>
          </w:tcPr>
          <w:p>
            <w:pPr>
              <w:spacing w:after="0"/>
              <w:rPr>
                <w:sz w:val="10"/>
                <w:szCs w:val="10"/>
                <w:color w:val="auto"/>
              </w:rPr>
            </w:pP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Commitments and contingencies (Notes 7 and 12)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5"/>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Redeemable convertible preferred stock:</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118"/>
        </w:trPr>
        <w:tc>
          <w:tcPr>
            <w:tcW w:w="6120" w:type="dxa"/>
            <w:vAlign w:val="bottom"/>
          </w:tcPr>
          <w:p>
            <w:pPr>
              <w:spacing w:after="0" w:line="118" w:lineRule="exact"/>
              <w:rPr>
                <w:sz w:val="20"/>
                <w:szCs w:val="20"/>
                <w:color w:val="auto"/>
              </w:rPr>
            </w:pPr>
            <w:r>
              <w:rPr>
                <w:rFonts w:ascii="Arial" w:cs="Arial" w:eastAsia="Arial" w:hAnsi="Arial"/>
                <w:sz w:val="12"/>
                <w:szCs w:val="12"/>
                <w:color w:val="auto"/>
                <w:w w:val="93"/>
              </w:rPr>
              <w:t>Series A redeemable convertible preferred stock, $0.0001 par value; 2,589,868 shares authorized, issued, and outstanding</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90"/>
              </w:rPr>
              <w:t>(liquidation preference of $3,500,151 at December 31, 2014, $3,650,104 at December 31, 2015 and $3,687,592 at March 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120" w:type="dxa"/>
            <w:vAlign w:val="bottom"/>
          </w:tcPr>
          <w:p>
            <w:pPr>
              <w:ind w:left="100"/>
              <w:spacing w:after="0" w:line="137" w:lineRule="exact"/>
              <w:rPr>
                <w:sz w:val="20"/>
                <w:szCs w:val="20"/>
                <w:color w:val="auto"/>
              </w:rPr>
            </w:pPr>
            <w:r>
              <w:rPr>
                <w:rFonts w:ascii="Arial" w:cs="Arial" w:eastAsia="Arial" w:hAnsi="Arial"/>
                <w:sz w:val="12"/>
                <w:szCs w:val="12"/>
                <w:color w:val="auto"/>
              </w:rPr>
              <w:t>2016 (unaudited); none issued and outstanding pro forma)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2"/>
                <w:szCs w:val="12"/>
                <w:color w:val="auto"/>
              </w:rPr>
              <w:t>3,493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3,644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3,682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93"/>
              </w:rPr>
              <w:t>Series B redeemable convertible preferred stock, $0.0001 par value; 7,437,325 shares authorized, issued, and outstanding</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7"/>
              </w:rPr>
              <w:t>(liquidation preference of $20,568,097 at December 31, 2014, $21,473,963 at December 31, 2015 and $21,700,429 at March 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12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2016 (unaudited); none issued and outstanding pro forma)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20,533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21,448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21,676</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tcPr>
          <w:p>
            <w:pPr>
              <w:spacing w:after="0" w:line="118" w:lineRule="exact"/>
              <w:rPr>
                <w:sz w:val="20"/>
                <w:szCs w:val="20"/>
                <w:color w:val="auto"/>
              </w:rPr>
            </w:pPr>
            <w:r>
              <w:rPr>
                <w:rFonts w:ascii="Arial" w:cs="Arial" w:eastAsia="Arial" w:hAnsi="Arial"/>
                <w:sz w:val="12"/>
                <w:szCs w:val="12"/>
                <w:color w:val="auto"/>
                <w:w w:val="93"/>
              </w:rPr>
              <w:t>Series C redeemable convertible preferred stock, $0.0001 par value; 5,000,002 shares authorized, issued, and outstanding</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87"/>
              </w:rPr>
              <w:t>(liquidation preference of $19,300,282 at December 31, 2014, $20,200,282 at December 31, 2015 and $20,425,282 at March 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120" w:type="dxa"/>
            <w:vAlign w:val="bottom"/>
          </w:tcPr>
          <w:p>
            <w:pPr>
              <w:ind w:left="100"/>
              <w:spacing w:after="0" w:line="137" w:lineRule="exact"/>
              <w:rPr>
                <w:sz w:val="20"/>
                <w:szCs w:val="20"/>
                <w:color w:val="auto"/>
              </w:rPr>
            </w:pPr>
            <w:r>
              <w:rPr>
                <w:rFonts w:ascii="Arial" w:cs="Arial" w:eastAsia="Arial" w:hAnsi="Arial"/>
                <w:sz w:val="12"/>
                <w:szCs w:val="12"/>
                <w:color w:val="auto"/>
              </w:rPr>
              <w:t>2016 (unaudited); none issued and outstanding pro forma)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2"/>
                <w:szCs w:val="12"/>
                <w:color w:val="auto"/>
              </w:rPr>
              <w:t>19,270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20,178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20,404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87"/>
              </w:rPr>
              <w:t>Series D redeemable convertible preferred stock, $0.0001 par value; 8,166,662 shares authorized at December 31, 2014 and 2015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7"/>
              </w:rPr>
              <w:t>and March 31, 2016 (unaudited); 8,099,994 shares issued and outstanding at December 31, 2014 and 2015 and March 31, 2016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8"/>
              </w:rPr>
              <w:t>(unaudited) (liquidation preference of $41,125,871 at December 31, 2014, $43,312,869 at December 31, 2015 and $43,859,619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12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at March 31, 2016 (unaudited); none issued and outstanding pro forma)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40,570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42,902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43,477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tcPr>
          <w:p>
            <w:pPr>
              <w:spacing w:after="0" w:line="118" w:lineRule="exact"/>
              <w:rPr>
                <w:sz w:val="20"/>
                <w:szCs w:val="20"/>
                <w:color w:val="auto"/>
              </w:rPr>
            </w:pPr>
            <w:r>
              <w:rPr>
                <w:rFonts w:ascii="Arial" w:cs="Arial" w:eastAsia="Arial" w:hAnsi="Arial"/>
                <w:sz w:val="12"/>
                <w:szCs w:val="12"/>
                <w:color w:val="auto"/>
                <w:w w:val="89"/>
              </w:rPr>
              <w:t>Series SRN redeemable convertible preferred stock, $0.0001 par value; 5,611,112 shares authorized at December 31, 2014 and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87"/>
              </w:rPr>
              <w:t>2015 and March 31, 2016 (unaudited); 2,111,109 shares issued and outstanding at December 31, 2014 and 2015 and March 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96"/>
              </w:rPr>
              <w:t>2016 (unaudited) (liquidation preference of $9,499,991 at December 31, 2014, $9,499,991 at December 31, 2015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120" w:type="dxa"/>
            <w:vAlign w:val="bottom"/>
          </w:tcPr>
          <w:p>
            <w:pPr>
              <w:ind w:left="100"/>
              <w:spacing w:after="0" w:line="137" w:lineRule="exact"/>
              <w:rPr>
                <w:sz w:val="20"/>
                <w:szCs w:val="20"/>
                <w:color w:val="auto"/>
              </w:rPr>
            </w:pPr>
            <w:r>
              <w:rPr>
                <w:rFonts w:ascii="Arial" w:cs="Arial" w:eastAsia="Arial" w:hAnsi="Arial"/>
                <w:sz w:val="12"/>
                <w:szCs w:val="12"/>
                <w:color w:val="auto"/>
              </w:rPr>
              <w:t>$9,499,991 at March 31, 2016 (unaudited); none issued and outstanding pro forma)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2"/>
                <w:szCs w:val="12"/>
                <w:color w:val="auto"/>
              </w:rPr>
              <w:t>10,167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12,082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12,541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91"/>
              </w:rPr>
              <w:t>Series E redeemable convertible preferred stock, $0.0001 par value; 9,030,654 shares authorized at December 31, 2015 and</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7"/>
              </w:rPr>
              <w:t>March 31, 2016 (unaudited); 8,888,888 shares issued and outstanding at December 31, 2015 and at March 31, 2016 (unaudited)</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8"/>
              </w:rPr>
              <w:t>(liquidation preference of $40,802,658 at December 31, 2015 and $41,402,659 at March 31, 2016 (unaudited); none issued and</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12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outstanding pro forma)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37,228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38,057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redeemable convertible preferred stock</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94,033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137,482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139,837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r>
      <w:tr>
        <w:trPr>
          <w:trHeight w:val="119"/>
        </w:trPr>
        <w:tc>
          <w:tcPr>
            <w:tcW w:w="61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Stockholders' equity (deficit):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18"/>
        </w:trPr>
        <w:tc>
          <w:tcPr>
            <w:tcW w:w="6120" w:type="dxa"/>
            <w:vAlign w:val="bottom"/>
          </w:tcPr>
          <w:p>
            <w:pPr>
              <w:spacing w:after="0" w:line="118" w:lineRule="exact"/>
              <w:rPr>
                <w:sz w:val="20"/>
                <w:szCs w:val="20"/>
                <w:color w:val="auto"/>
              </w:rPr>
            </w:pPr>
            <w:r>
              <w:rPr>
                <w:rFonts w:ascii="Arial" w:cs="Arial" w:eastAsia="Arial" w:hAnsi="Arial"/>
                <w:sz w:val="12"/>
                <w:szCs w:val="12"/>
                <w:color w:val="auto"/>
                <w:w w:val="87"/>
              </w:rPr>
              <w:t>Common stock, $0.0001 par value; 46,000,000, 62,164,377 and 62,164,377 shares authorized at December 31, 2014 and 2015 and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97"/>
              </w:rPr>
              <w:t>March 31, 2016 (unaudited) respectively; 2,139,262, 2,180,976 and 2,183,541 shares issued, 2,123,997, 2,173,399,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90"/>
              </w:rPr>
              <w:t>2,177,858 shares outstanding as of December 31, 2014 and 2015 and March 31, 2016 (unaudited), respectively. 12,641,402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120" w:type="dxa"/>
            <w:vAlign w:val="bottom"/>
          </w:tcPr>
          <w:p>
            <w:pPr>
              <w:ind w:left="100"/>
              <w:spacing w:after="0" w:line="137" w:lineRule="exact"/>
              <w:rPr>
                <w:sz w:val="20"/>
                <w:szCs w:val="20"/>
                <w:color w:val="auto"/>
              </w:rPr>
            </w:pPr>
            <w:r>
              <w:rPr>
                <w:rFonts w:ascii="Arial" w:cs="Arial" w:eastAsia="Arial" w:hAnsi="Arial"/>
                <w:sz w:val="12"/>
                <w:szCs w:val="12"/>
                <w:color w:val="auto"/>
              </w:rPr>
              <w:t>issued and 12,635,719 outstanding pro forma (unaudited)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Additional paid in capital</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140,147</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Accumulated deficit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w w:val="98"/>
              </w:rPr>
              <w:t>(83,880)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w w:val="93"/>
              </w:rPr>
              <w:t>(111,508)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(121,051)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(121,051)</w:t>
            </w: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Accumulated other comprehensive loss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(3,876)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(4,986)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(4,755)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(4,755)</w:t>
            </w: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stockholders' equity (deficit)</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w w:val="89"/>
              </w:rPr>
              <w:t>(87,755)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w w:val="85"/>
              </w:rPr>
              <w:t>(116,493)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(125,805)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14,342</w:t>
            </w:r>
          </w:p>
        </w:tc>
        <w:tc>
          <w:tcPr>
            <w:tcW w:w="140" w:type="dxa"/>
            <w:vAlign w:val="bottom"/>
          </w:tcPr>
          <w:p>
            <w:pPr>
              <w:spacing w:after="0"/>
              <w:rPr>
                <w:sz w:val="10"/>
                <w:szCs w:val="10"/>
                <w:color w:val="auto"/>
              </w:rPr>
            </w:pPr>
          </w:p>
        </w:tc>
      </w:tr>
      <w:tr>
        <w:trPr>
          <w:trHeight w:val="119"/>
        </w:trPr>
        <w:tc>
          <w:tcPr>
            <w:tcW w:w="61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Total liabilities, redeemable convertible preferred stock and stockholders' equity (deficit)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22,228</w:t>
            </w:r>
          </w:p>
        </w:tc>
        <w:tc>
          <w:tcPr>
            <w:tcW w:w="10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42,824</w:t>
            </w:r>
          </w:p>
        </w:tc>
        <w:tc>
          <w:tcPr>
            <w:tcW w:w="100" w:type="dxa"/>
            <w:vAlign w:val="bottom"/>
            <w:shd w:val="clear" w:color="auto" w:fill="CCEEFF"/>
          </w:tcPr>
          <w:p>
            <w:pPr>
              <w:spacing w:after="0"/>
              <w:rPr>
                <w:sz w:val="10"/>
                <w:szCs w:val="10"/>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34,723</w:t>
            </w:r>
          </w:p>
        </w:tc>
        <w:tc>
          <w:tcPr>
            <w:tcW w:w="100" w:type="dxa"/>
            <w:vAlign w:val="bottom"/>
            <w:shd w:val="clear" w:color="auto" w:fill="CCEEFF"/>
          </w:tcPr>
          <w:p>
            <w:pPr>
              <w:spacing w:after="0"/>
              <w:rPr>
                <w:sz w:val="10"/>
                <w:szCs w:val="10"/>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34,723</w:t>
            </w:r>
          </w:p>
        </w:tc>
        <w:tc>
          <w:tcPr>
            <w:tcW w:w="140" w:type="dxa"/>
            <w:vAlign w:val="bottom"/>
            <w:shd w:val="clear" w:color="auto" w:fill="CCEEFF"/>
          </w:tcPr>
          <w:p>
            <w:pPr>
              <w:spacing w:after="0"/>
              <w:rPr>
                <w:sz w:val="10"/>
                <w:szCs w:val="10"/>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4" w:name="page235"/>
    <w:bookmarkEnd w:id="2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OPERATIONS AND COMPREHENSIVE LOSS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w w:val="99"/>
              </w:rPr>
              <w:t>Year ended 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w w:val="99"/>
              </w:rPr>
              <w:t>Three months ended March 31,</w:t>
            </w:r>
          </w:p>
        </w:tc>
      </w:tr>
      <w:tr>
        <w:trPr>
          <w:trHeight w:val="194"/>
        </w:trPr>
        <w:tc>
          <w:tcPr>
            <w:tcW w:w="4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6"/>
                <w:szCs w:val="16"/>
                <w:color w:val="auto"/>
              </w:rPr>
            </w:pPr>
          </w:p>
        </w:tc>
      </w:tr>
      <w:tr>
        <w:trPr>
          <w:trHeight w:val="194"/>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7"/>
              </w:rPr>
              <w:t>(unaudited)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(unaudited)</w:t>
            </w:r>
          </w:p>
        </w:tc>
      </w:tr>
      <w:tr>
        <w:trPr>
          <w:trHeight w:val="174"/>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gridSpan w:val="14"/>
          </w:tcPr>
          <w:p>
            <w:pPr>
              <w:jc w:val="right"/>
              <w:ind w:right="900"/>
              <w:spacing w:after="0"/>
              <w:rPr>
                <w:sz w:val="20"/>
                <w:szCs w:val="20"/>
                <w:color w:val="auto"/>
              </w:rPr>
            </w:pPr>
            <w:r>
              <w:rPr>
                <w:rFonts w:ascii="Arial" w:cs="Arial" w:eastAsia="Arial" w:hAnsi="Arial"/>
                <w:sz w:val="12"/>
                <w:szCs w:val="12"/>
                <w:b w:val="1"/>
                <w:bCs w:val="1"/>
                <w:color w:val="auto"/>
              </w:rPr>
              <w:t>(in thousands, except share and per share data)</w:t>
            </w: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140" w:type="dxa"/>
            <w:vAlign w:val="bottom"/>
            <w:shd w:val="clear" w:color="auto" w:fill="CCEEFF"/>
          </w:tcPr>
          <w:p>
            <w:pPr>
              <w:spacing w:after="0"/>
              <w:rPr>
                <w:sz w:val="16"/>
                <w:szCs w:val="16"/>
                <w:color w:val="auto"/>
              </w:rPr>
            </w:pPr>
          </w:p>
        </w:tc>
      </w:tr>
      <w:tr>
        <w:trPr>
          <w:trHeight w:val="369"/>
        </w:trPr>
        <w:tc>
          <w:tcPr>
            <w:tcW w:w="4780" w:type="dxa"/>
            <w:vAlign w:val="bottom"/>
          </w:tcPr>
          <w:p>
            <w:pPr>
              <w:spacing w:after="0"/>
              <w:rPr>
                <w:sz w:val="20"/>
                <w:szCs w:val="20"/>
                <w:color w:val="auto"/>
              </w:rPr>
            </w:pPr>
            <w:r>
              <w:rPr>
                <w:rFonts w:ascii="Arial" w:cs="Arial" w:eastAsia="Arial" w:hAnsi="Arial"/>
                <w:sz w:val="15"/>
                <w:szCs w:val="15"/>
                <w:color w:val="auto"/>
              </w:rPr>
              <w:t>Operating expenses: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4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Research and development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w:t>
            </w:r>
          </w:p>
        </w:tc>
        <w:tc>
          <w:tcPr>
            <w:tcW w:w="140" w:type="dxa"/>
            <w:vAlign w:val="bottom"/>
            <w:shd w:val="clear" w:color="auto" w:fill="CCEEFF"/>
          </w:tcPr>
          <w:p>
            <w:pPr>
              <w:spacing w:after="0"/>
              <w:rPr>
                <w:sz w:val="16"/>
                <w:szCs w:val="16"/>
                <w:color w:val="auto"/>
              </w:rPr>
            </w:pPr>
          </w:p>
        </w:tc>
      </w:tr>
      <w:tr>
        <w:trPr>
          <w:trHeight w:val="185"/>
        </w:trPr>
        <w:tc>
          <w:tcPr>
            <w:tcW w:w="478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2,381</w:t>
            </w:r>
          </w:p>
        </w:tc>
        <w:tc>
          <w:tcPr>
            <w:tcW w:w="140" w:type="dxa"/>
            <w:vAlign w:val="bottom"/>
          </w:tcPr>
          <w:p>
            <w:pPr>
              <w:spacing w:after="0"/>
              <w:rPr>
                <w:sz w:val="16"/>
                <w:szCs w:val="16"/>
                <w:color w:val="auto"/>
              </w:rPr>
            </w:pPr>
          </w:p>
        </w:tc>
      </w:tr>
      <w:tr>
        <w:trPr>
          <w:trHeight w:val="177"/>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9,029</w:t>
            </w:r>
          </w:p>
        </w:tc>
        <w:tc>
          <w:tcPr>
            <w:tcW w:w="140" w:type="dxa"/>
            <w:vAlign w:val="bottom"/>
            <w:shd w:val="clear" w:color="auto" w:fill="CCEEFF"/>
          </w:tcPr>
          <w:p>
            <w:pPr>
              <w:spacing w:after="0"/>
              <w:rPr>
                <w:sz w:val="15"/>
                <w:szCs w:val="15"/>
                <w:color w:val="auto"/>
              </w:rPr>
            </w:pPr>
          </w:p>
        </w:tc>
      </w:tr>
      <w:tr>
        <w:trPr>
          <w:trHeight w:val="177"/>
        </w:trPr>
        <w:tc>
          <w:tcPr>
            <w:tcW w:w="4780" w:type="dxa"/>
            <w:vAlign w:val="bottom"/>
          </w:tcPr>
          <w:p>
            <w:pPr>
              <w:spacing w:after="0"/>
              <w:rPr>
                <w:sz w:val="20"/>
                <w:szCs w:val="20"/>
                <w:color w:val="auto"/>
              </w:rPr>
            </w:pPr>
            <w:r>
              <w:rPr>
                <w:rFonts w:ascii="Arial" w:cs="Arial" w:eastAsia="Arial" w:hAnsi="Arial"/>
                <w:sz w:val="15"/>
                <w:szCs w:val="15"/>
                <w:color w:val="auto"/>
              </w:rPr>
              <w:t>Loss from operations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(15,399)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(25,304)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(5,810)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(6,941)</w:t>
            </w:r>
          </w:p>
        </w:tc>
        <w:tc>
          <w:tcPr>
            <w:tcW w:w="140" w:type="dxa"/>
            <w:vAlign w:val="bottom"/>
          </w:tcPr>
          <w:p>
            <w:pPr>
              <w:spacing w:after="0"/>
              <w:rPr>
                <w:sz w:val="15"/>
                <w:szCs w:val="15"/>
                <w:color w:val="auto"/>
              </w:rPr>
            </w:pPr>
          </w:p>
        </w:tc>
      </w:tr>
      <w:tr>
        <w:trPr>
          <w:trHeight w:val="371"/>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Investment income</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CEEFF"/>
          </w:tcPr>
          <w:p>
            <w:pPr>
              <w:spacing w:after="0"/>
              <w:rPr>
                <w:sz w:val="24"/>
                <w:szCs w:val="24"/>
                <w:color w:val="auto"/>
              </w:rPr>
            </w:pP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Foreign currency transaction gain (loss), net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3,004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933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(220)</w:t>
            </w: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(552)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(948)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(310)</w:t>
            </w: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Other expense, net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(44)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(18)</w:t>
            </w: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(25,174)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(5,733)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(7,476)</w:t>
            </w:r>
          </w:p>
        </w:tc>
      </w:tr>
      <w:tr>
        <w:trPr>
          <w:trHeight w:val="176"/>
        </w:trPr>
        <w:tc>
          <w:tcPr>
            <w:tcW w:w="478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6"/>
        </w:trPr>
        <w:tc>
          <w:tcPr>
            <w:tcW w:w="4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currency translation adjustment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(3,281)</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(1,110)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40" w:type="dxa"/>
            <w:vAlign w:val="bottom"/>
            <w:shd w:val="clear" w:color="auto" w:fill="CCEEFF"/>
          </w:tcPr>
          <w:p>
            <w:pPr>
              <w:spacing w:after="0"/>
              <w:rPr>
                <w:sz w:val="16"/>
                <w:szCs w:val="16"/>
                <w:color w:val="auto"/>
              </w:rPr>
            </w:pPr>
          </w:p>
        </w:tc>
      </w:tr>
      <w:tr>
        <w:trPr>
          <w:trHeight w:val="177"/>
        </w:trPr>
        <w:tc>
          <w:tcPr>
            <w:tcW w:w="4780" w:type="dxa"/>
            <w:vAlign w:val="bottom"/>
          </w:tcPr>
          <w:p>
            <w:pPr>
              <w:spacing w:after="0"/>
              <w:rPr>
                <w:sz w:val="20"/>
                <w:szCs w:val="20"/>
                <w:color w:val="auto"/>
              </w:rPr>
            </w:pPr>
            <w:r>
              <w:rPr>
                <w:rFonts w:ascii="Arial" w:cs="Arial" w:eastAsia="Arial" w:hAnsi="Arial"/>
                <w:sz w:val="15"/>
                <w:szCs w:val="15"/>
                <w:color w:val="auto"/>
              </w:rPr>
              <w:t>Comprehensive loss</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(16,161)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(26,284)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(5,941)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(7,245)</w:t>
            </w:r>
          </w:p>
        </w:tc>
        <w:tc>
          <w:tcPr>
            <w:tcW w:w="140" w:type="dxa"/>
            <w:vAlign w:val="bottom"/>
          </w:tcPr>
          <w:p>
            <w:pPr>
              <w:spacing w:after="0"/>
              <w:rPr>
                <w:sz w:val="15"/>
                <w:szCs w:val="15"/>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7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5"/>
                <w:szCs w:val="15"/>
                <w:color w:val="auto"/>
              </w:rPr>
              <w:t>(25,174)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5"/>
                <w:szCs w:val="15"/>
                <w:color w:val="auto"/>
              </w:rPr>
              <w:t>(5,733)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5"/>
                <w:szCs w:val="15"/>
                <w:color w:val="auto"/>
              </w:rPr>
              <w:t>(7,476)</w:t>
            </w:r>
          </w:p>
        </w:tc>
      </w:tr>
      <w:tr>
        <w:trPr>
          <w:trHeight w:val="185"/>
        </w:trPr>
        <w:tc>
          <w:tcPr>
            <w:tcW w:w="4780" w:type="dxa"/>
            <w:vAlign w:val="bottom"/>
          </w:tcPr>
          <w:p>
            <w:pPr>
              <w:ind w:left="300"/>
              <w:spacing w:after="0"/>
              <w:rPr>
                <w:sz w:val="20"/>
                <w:szCs w:val="20"/>
                <w:color w:val="auto"/>
              </w:rPr>
            </w:pPr>
            <w:r>
              <w:rPr>
                <w:rFonts w:ascii="Arial" w:cs="Arial" w:eastAsia="Arial" w:hAnsi="Arial"/>
                <w:sz w:val="15"/>
                <w:szCs w:val="15"/>
                <w:color w:val="auto"/>
              </w:rPr>
              <w:t>Accretion of redeemable convertible preferred stock</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(4,951)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(7,335)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(1,561)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(2,356)</w:t>
            </w:r>
          </w:p>
        </w:tc>
      </w:tr>
      <w:tr>
        <w:trPr>
          <w:trHeight w:val="17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effect of extinguishment of Series SRN redeemable convertible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47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preferred stock</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478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(7,294)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(9,832)</w:t>
            </w:r>
          </w:p>
        </w:tc>
        <w:tc>
          <w:tcPr>
            <w:tcW w:w="140" w:type="dxa"/>
            <w:vAlign w:val="bottom"/>
          </w:tcPr>
          <w:p>
            <w:pPr>
              <w:spacing w:after="0"/>
              <w:rPr>
                <w:sz w:val="15"/>
                <w:szCs w:val="15"/>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7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78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(7.84)</w:t>
            </w: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(15.13)</w:t>
            </w:r>
          </w:p>
        </w:tc>
        <w:tc>
          <w:tcPr>
            <w:tcW w:w="1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(3.43)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(4.52)</w:t>
            </w: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7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78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2,090,677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2,150,422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2,126,878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2,175,037</w:t>
            </w:r>
          </w:p>
        </w:tc>
        <w:tc>
          <w:tcPr>
            <w:tcW w:w="140" w:type="dxa"/>
            <w:vAlign w:val="bottom"/>
          </w:tcPr>
          <w:p>
            <w:pPr>
              <w:spacing w:after="0"/>
              <w:rPr>
                <w:sz w:val="16"/>
                <w:szCs w:val="16"/>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7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w w:val="92"/>
              </w:rPr>
              <w:t>Pro forma net loss per share attributable to common stockholders (unaudited)</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78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(2.53)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(0.59)</w:t>
            </w: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7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5"/>
              </w:rPr>
              <w:t>Pro forma weighted average common shares of common stock outstanding</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2"/>
        </w:trPr>
        <w:tc>
          <w:tcPr>
            <w:tcW w:w="4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(unaudited)</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78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9,980,469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12,632,923</w:t>
            </w:r>
          </w:p>
        </w:tc>
        <w:tc>
          <w:tcPr>
            <w:tcW w:w="140" w:type="dxa"/>
            <w:vAlign w:val="bottom"/>
          </w:tcPr>
          <w:p>
            <w:pPr>
              <w:spacing w:after="0"/>
              <w:rPr>
                <w:sz w:val="16"/>
                <w:szCs w:val="16"/>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320"/>
          </w:cols>
          <w:pgMar w:left="240" w:top="132" w:right="1339" w:bottom="1440" w:gutter="0" w:footer="0" w:header="0"/>
        </w:sectPr>
      </w:pPr>
    </w:p>
    <w:bookmarkStart w:id="235" w:name="page236"/>
    <w:bookmarkEnd w:id="2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5" w:lineRule="exact"/>
        <w:rPr>
          <w:sz w:val="20"/>
          <w:szCs w:val="20"/>
          <w:color w:val="auto"/>
        </w:rPr>
      </w:pPr>
    </w:p>
    <w:p>
      <w:pPr>
        <w:ind w:right="680"/>
        <w:spacing w:after="0" w:line="250" w:lineRule="auto"/>
        <w:rPr>
          <w:sz w:val="20"/>
          <w:szCs w:val="20"/>
          <w:color w:val="auto"/>
        </w:rPr>
      </w:pPr>
      <w:r>
        <w:rPr>
          <w:rFonts w:ascii="Arial" w:cs="Arial" w:eastAsia="Arial" w:hAnsi="Arial"/>
          <w:sz w:val="21"/>
          <w:szCs w:val="21"/>
          <w:color w:val="auto"/>
        </w:rPr>
        <w:t>CONSOLIDATED STATEMENTS OF REDEEMABLE CONVERTIBLE PREFERRED STOCK AND STOCKHOLDERS' DEFICIT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760" w:type="dxa"/>
            <w:vAlign w:val="bottom"/>
            <w:gridSpan w:val="4"/>
          </w:tcPr>
          <w:p>
            <w:pPr>
              <w:jc w:val="center"/>
              <w:ind w:left="202"/>
              <w:spacing w:after="0"/>
              <w:rPr>
                <w:sz w:val="20"/>
                <w:szCs w:val="20"/>
                <w:color w:val="auto"/>
              </w:rPr>
            </w:pPr>
            <w:r>
              <w:rPr>
                <w:rFonts w:ascii="Arial" w:cs="Arial" w:eastAsia="Arial" w:hAnsi="Arial"/>
                <w:sz w:val="12"/>
                <w:szCs w:val="12"/>
                <w:b w:val="1"/>
                <w:bCs w:val="1"/>
                <w:color w:val="auto"/>
              </w:rPr>
              <w:t>Series A</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Series B</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Series C</w:t>
            </w:r>
          </w:p>
        </w:tc>
        <w:tc>
          <w:tcPr>
            <w:tcW w:w="40" w:type="dxa"/>
            <w:vAlign w:val="bottom"/>
          </w:tcPr>
          <w:p>
            <w:pPr>
              <w:spacing w:after="0"/>
              <w:rPr>
                <w:sz w:val="12"/>
                <w:szCs w:val="12"/>
                <w:color w:val="auto"/>
              </w:rPr>
            </w:pP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Series D</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Series SRN</w:t>
            </w:r>
          </w:p>
        </w:tc>
        <w:tc>
          <w:tcPr>
            <w:tcW w:w="110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Series 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1040" w:type="dxa"/>
            <w:vAlign w:val="bottom"/>
            <w:gridSpan w:val="6"/>
            <w:vMerge w:val="restart"/>
          </w:tcPr>
          <w:p>
            <w:pPr>
              <w:jc w:val="center"/>
              <w:ind w:right="20"/>
              <w:spacing w:after="0"/>
              <w:rPr>
                <w:sz w:val="20"/>
                <w:szCs w:val="20"/>
                <w:color w:val="auto"/>
              </w:rPr>
            </w:pPr>
            <w:r>
              <w:rPr>
                <w:rFonts w:ascii="Arial" w:cs="Arial" w:eastAsia="Arial" w:hAnsi="Arial"/>
                <w:sz w:val="12"/>
                <w:szCs w:val="12"/>
                <w:b w:val="1"/>
                <w:bCs w:val="1"/>
                <w:color w:val="auto"/>
              </w:rPr>
              <w:t>redeemable</w:t>
            </w:r>
          </w:p>
        </w:tc>
        <w:tc>
          <w:tcPr>
            <w:tcW w:w="10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0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4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4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8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820" w:type="dxa"/>
            <w:vAlign w:val="bottom"/>
          </w:tcPr>
          <w:p>
            <w:pPr>
              <w:spacing w:after="0"/>
              <w:rPr>
                <w:sz w:val="8"/>
                <w:szCs w:val="8"/>
                <w:color w:val="auto"/>
              </w:rPr>
            </w:pPr>
          </w:p>
        </w:tc>
        <w:tc>
          <w:tcPr>
            <w:tcW w:w="1040" w:type="dxa"/>
            <w:vAlign w:val="bottom"/>
            <w:gridSpan w:val="6"/>
            <w:vMerge w:val="continue"/>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1040" w:type="dxa"/>
            <w:vAlign w:val="bottom"/>
            <w:gridSpan w:val="6"/>
          </w:tcPr>
          <w:p>
            <w:pPr>
              <w:jc w:val="center"/>
              <w:ind w:right="20"/>
              <w:spacing w:after="0"/>
              <w:rPr>
                <w:sz w:val="20"/>
                <w:szCs w:val="20"/>
                <w:color w:val="auto"/>
              </w:rPr>
            </w:pPr>
            <w:r>
              <w:rPr>
                <w:rFonts w:ascii="Arial" w:cs="Arial" w:eastAsia="Arial" w:hAnsi="Arial"/>
                <w:sz w:val="12"/>
                <w:szCs w:val="12"/>
                <w:b w:val="1"/>
                <w:bCs w:val="1"/>
                <w:color w:val="auto"/>
              </w:rPr>
              <w:t>convertible</w:t>
            </w: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convertible</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convertible</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convertible</w:t>
            </w: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w w:val="97"/>
              </w:rPr>
              <w:t>(in thousands,</w:t>
            </w:r>
          </w:p>
        </w:tc>
        <w:tc>
          <w:tcPr>
            <w:tcW w:w="1040" w:type="dxa"/>
            <w:vAlign w:val="bottom"/>
            <w:gridSpan w:val="6"/>
          </w:tcPr>
          <w:p>
            <w:pPr>
              <w:jc w:val="center"/>
              <w:ind w:right="20"/>
              <w:spacing w:after="0"/>
              <w:rPr>
                <w:sz w:val="20"/>
                <w:szCs w:val="20"/>
                <w:color w:val="auto"/>
              </w:rPr>
            </w:pPr>
            <w:r>
              <w:rPr>
                <w:rFonts w:ascii="Arial" w:cs="Arial" w:eastAsia="Arial" w:hAnsi="Arial"/>
                <w:sz w:val="12"/>
                <w:szCs w:val="12"/>
                <w:b w:val="1"/>
                <w:bCs w:val="1"/>
                <w:color w:val="auto"/>
              </w:rPr>
              <w:t>preferred stock</w:t>
            </w: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12"/>
                <w:szCs w:val="12"/>
                <w:color w:val="auto"/>
              </w:rPr>
            </w:pPr>
          </w:p>
        </w:tc>
        <w:tc>
          <w:tcPr>
            <w:tcW w:w="10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preferred stock</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preferred stock</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preferred stock</w:t>
            </w:r>
          </w:p>
        </w:tc>
        <w:tc>
          <w:tcPr>
            <w:tcW w:w="20" w:type="dxa"/>
            <w:vAlign w:val="bottom"/>
            <w:shd w:val="clear" w:color="auto" w:fill="000000"/>
          </w:tcPr>
          <w:p>
            <w:pPr>
              <w:spacing w:after="0"/>
              <w:rPr>
                <w:sz w:val="12"/>
                <w:szCs w:val="12"/>
                <w:color w:val="auto"/>
              </w:rPr>
            </w:pPr>
          </w:p>
        </w:tc>
        <w:tc>
          <w:tcPr>
            <w:tcW w:w="1040" w:type="dxa"/>
            <w:vAlign w:val="bottom"/>
            <w:gridSpan w:val="4"/>
          </w:tcPr>
          <w:p>
            <w:pPr>
              <w:jc w:val="right"/>
              <w:ind w:right="2"/>
              <w:spacing w:after="0"/>
              <w:rPr>
                <w:sz w:val="20"/>
                <w:szCs w:val="20"/>
                <w:color w:val="auto"/>
              </w:rPr>
            </w:pPr>
            <w:r>
              <w:rPr>
                <w:rFonts w:ascii="Arial" w:cs="Arial" w:eastAsia="Arial" w:hAnsi="Arial"/>
                <w:sz w:val="12"/>
                <w:szCs w:val="12"/>
                <w:b w:val="1"/>
                <w:bCs w:val="1"/>
                <w:color w:val="auto"/>
              </w:rPr>
              <w:t>Common stock</w:t>
            </w:r>
          </w:p>
        </w:tc>
        <w:tc>
          <w:tcPr>
            <w:tcW w:w="4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820" w:type="dxa"/>
            <w:vAlign w:val="bottom"/>
            <w:vMerge w:val="continue"/>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except share</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1"/>
                <w:szCs w:val="11"/>
                <w:color w:val="auto"/>
              </w:rPr>
            </w:pPr>
          </w:p>
        </w:tc>
        <w:tc>
          <w:tcPr>
            <w:tcW w:w="10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40" w:type="dxa"/>
            <w:vAlign w:val="bottom"/>
          </w:tcPr>
          <w:p>
            <w:pPr>
              <w:spacing w:after="0"/>
              <w:rPr>
                <w:sz w:val="11"/>
                <w:szCs w:val="11"/>
                <w:color w:val="auto"/>
              </w:rPr>
            </w:pPr>
          </w:p>
        </w:tc>
        <w:tc>
          <w:tcPr>
            <w:tcW w:w="10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40" w:type="dxa"/>
            <w:vAlign w:val="bottom"/>
          </w:tcPr>
          <w:p>
            <w:pPr>
              <w:spacing w:after="0"/>
              <w:rPr>
                <w:sz w:val="11"/>
                <w:szCs w:val="11"/>
                <w:color w:val="auto"/>
              </w:rPr>
            </w:pPr>
          </w:p>
        </w:tc>
        <w:tc>
          <w:tcPr>
            <w:tcW w:w="104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104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Amount Shares</w:t>
            </w:r>
          </w:p>
        </w:tc>
        <w:tc>
          <w:tcPr>
            <w:tcW w:w="5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1"/>
                <w:szCs w:val="11"/>
                <w:color w:val="auto"/>
              </w:rPr>
            </w:pPr>
          </w:p>
        </w:tc>
        <w:tc>
          <w:tcPr>
            <w:tcW w:w="540" w:type="dxa"/>
            <w:vAlign w:val="bottom"/>
            <w:gridSpan w:val="2"/>
            <w:vMerge w:val="restart"/>
          </w:tcPr>
          <w:p>
            <w:pPr>
              <w:jc w:val="right"/>
              <w:ind w:right="2"/>
              <w:spacing w:after="0"/>
              <w:rPr>
                <w:sz w:val="20"/>
                <w:szCs w:val="20"/>
                <w:color w:val="auto"/>
              </w:rPr>
            </w:pPr>
            <w:r>
              <w:rPr>
                <w:rFonts w:ascii="Arial" w:cs="Arial" w:eastAsia="Arial" w:hAnsi="Arial"/>
                <w:sz w:val="12"/>
                <w:szCs w:val="12"/>
                <w:b w:val="1"/>
                <w:bCs w:val="1"/>
                <w:color w:val="auto"/>
              </w:rPr>
              <w:t>Amount</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1"/>
                <w:szCs w:val="1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60"/>
              <w:spacing w:after="0" w:line="129" w:lineRule="exact"/>
              <w:rPr>
                <w:sz w:val="20"/>
                <w:szCs w:val="20"/>
                <w:color w:val="auto"/>
              </w:rPr>
            </w:pPr>
            <w:r>
              <w:rPr>
                <w:rFonts w:ascii="Arial" w:cs="Arial" w:eastAsia="Arial" w:hAnsi="Arial"/>
                <w:sz w:val="12"/>
                <w:szCs w:val="12"/>
                <w:b w:val="1"/>
                <w:bCs w:val="1"/>
                <w:color w:val="auto"/>
              </w:rPr>
              <w:t>paid-In</w:t>
            </w:r>
          </w:p>
        </w:tc>
        <w:tc>
          <w:tcPr>
            <w:tcW w:w="2640" w:type="dxa"/>
            <w:vAlign w:val="bottom"/>
            <w:gridSpan w:val="9"/>
          </w:tcPr>
          <w:p>
            <w:pPr>
              <w:spacing w:after="0" w:line="129" w:lineRule="exact"/>
              <w:rPr>
                <w:sz w:val="20"/>
                <w:szCs w:val="20"/>
                <w:color w:val="auto"/>
              </w:rPr>
            </w:pPr>
            <w:r>
              <w:rPr>
                <w:rFonts w:ascii="Arial" w:cs="Arial" w:eastAsia="Arial" w:hAnsi="Arial"/>
                <w:sz w:val="12"/>
                <w:szCs w:val="12"/>
                <w:b w:val="1"/>
                <w:bCs w:val="1"/>
                <w:color w:val="auto"/>
              </w:rPr>
              <w:t>Accumulated comprehensive Stockholders'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20"/>
                <w:szCs w:val="20"/>
                <w:color w:val="auto"/>
              </w:rPr>
            </w:pPr>
            <w:r>
              <w:rPr>
                <w:rFonts w:ascii="Arial" w:cs="Arial" w:eastAsia="Arial" w:hAnsi="Arial"/>
                <w:sz w:val="12"/>
                <w:szCs w:val="12"/>
                <w:b w:val="1"/>
                <w:bCs w:val="1"/>
                <w:color w:val="auto"/>
              </w:rPr>
              <w:t>data)</w:t>
            </w:r>
          </w:p>
        </w:tc>
        <w:tc>
          <w:tcPr>
            <w:tcW w:w="5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loss</w:t>
            </w:r>
          </w:p>
        </w:tc>
        <w:tc>
          <w:tcPr>
            <w:tcW w:w="14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77"/>
        </w:trPr>
        <w:tc>
          <w:tcPr>
            <w:tcW w:w="8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120" w:type="dxa"/>
            <w:vAlign w:val="bottom"/>
            <w:tcBorders>
              <w:top w:val="single" w:sz="8" w:color="auto"/>
              <w:right w:val="single" w:sz="8" w:color="CCEEFF"/>
            </w:tcBorders>
            <w:gridSpan w:val="9"/>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(in thousands, except share data)</w:t>
            </w:r>
          </w:p>
        </w:tc>
        <w:tc>
          <w:tcPr>
            <w:tcW w:w="20" w:type="dxa"/>
            <w:vAlign w:val="bottom"/>
            <w:tcBorders>
              <w:top w:val="single" w:sz="8" w:color="auto"/>
            </w:tcBorders>
            <w:shd w:val="clear" w:color="auto" w:fill="000000"/>
          </w:tcPr>
          <w:p>
            <w:pPr>
              <w:spacing w:after="0"/>
              <w:rPr>
                <w:sz w:val="15"/>
                <w:szCs w:val="15"/>
                <w:color w:val="auto"/>
              </w:rPr>
            </w:pPr>
          </w:p>
        </w:tc>
        <w:tc>
          <w:tcPr>
            <w:tcW w:w="540" w:type="dxa"/>
            <w:vAlign w:val="bottom"/>
            <w:tcBorders>
              <w:top w:val="single" w:sz="8" w:color="auto"/>
              <w:lef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Balance at</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79"/>
              </w:rPr>
              <w:t>3,350</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7,437,325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19,662</w:t>
            </w:r>
          </w:p>
        </w:tc>
        <w:tc>
          <w:tcPr>
            <w:tcW w:w="5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3"/>
              </w:rPr>
              <w:t>5,000,002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18,381</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w w:val="97"/>
              </w:rPr>
              <w:t>4,888,889</w:t>
            </w:r>
          </w:p>
        </w:tc>
        <w:tc>
          <w:tcPr>
            <w:tcW w:w="120" w:type="dxa"/>
            <w:vAlign w:val="bottom"/>
          </w:tcPr>
          <w:p>
            <w:pPr>
              <w:spacing w:after="0"/>
              <w:rPr>
                <w:sz w:val="11"/>
                <w:szCs w:val="11"/>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24,366</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777,777</w:t>
            </w:r>
          </w:p>
        </w:tc>
        <w:tc>
          <w:tcPr>
            <w:tcW w:w="120" w:type="dxa"/>
            <w:vAlign w:val="bottom"/>
          </w:tcPr>
          <w:p>
            <w:pPr>
              <w:spacing w:after="0"/>
              <w:rPr>
                <w:sz w:val="11"/>
                <w:szCs w:val="11"/>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4,643</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2,027,254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(68,869)</w:t>
            </w:r>
          </w:p>
        </w:tc>
        <w:tc>
          <w:tcPr>
            <w:tcW w:w="6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(595)</w:t>
            </w:r>
          </w:p>
        </w:tc>
        <w:tc>
          <w:tcPr>
            <w:tcW w:w="14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(69,463)</w:t>
            </w: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2013</w:t>
            </w: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$100,734</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 3,211,105</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w w:val="92"/>
              </w:rPr>
              <w:t>14,349</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Net effect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1"/>
              </w:rPr>
              <w:t>extinguishment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7"/>
              </w:rPr>
              <w:t>of Series SRN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(see Note 8)</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9"/>
              </w:rPr>
              <w:t>(1,459)</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1,459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1,459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SRN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$209,587</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 1,333,332</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5,790</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Vesting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58,104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38,639</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1,224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1,224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143</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871</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889</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1,855</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1,193</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(2,820)</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(2,131)</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(4,951)</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(3,281)</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(3,281)</w:t>
            </w: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(12,880)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(12,880)</w:t>
            </w: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79"/>
              </w:rPr>
              <w:t>3,493</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7,437,325</w:t>
            </w: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20,533</w:t>
            </w:r>
          </w:p>
        </w:tc>
        <w:tc>
          <w:tcPr>
            <w:tcW w:w="5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3"/>
              </w:rPr>
              <w:t>5,000,002</w:t>
            </w:r>
          </w:p>
        </w:tc>
        <w:tc>
          <w:tcPr>
            <w:tcW w:w="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19,270</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w w:val="97"/>
              </w:rPr>
              <w:t>8,099,994</w:t>
            </w: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40,570</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2,111,109</w:t>
            </w: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10,167</w:t>
            </w:r>
          </w:p>
        </w:tc>
        <w:tc>
          <w:tcPr>
            <w:tcW w:w="6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 $</w:t>
            </w:r>
          </w:p>
        </w:tc>
        <w:tc>
          <w:tcPr>
            <w:tcW w:w="4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2,123,997</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0</w:t>
            </w:r>
          </w:p>
        </w:tc>
        <w:tc>
          <w:tcPr>
            <w:tcW w:w="1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(83,880)</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(3,876)</w:t>
            </w: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(87,755)</w:t>
            </w: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2014</w:t>
            </w:r>
          </w:p>
        </w:tc>
        <w:tc>
          <w:tcPr>
            <w:tcW w:w="520" w:type="dxa"/>
            <w:vAlign w:val="bottom"/>
            <w:gridSpan w:val="2"/>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Issuance of</w:t>
            </w: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$213,469</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  8,888,888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w w:val="97"/>
              </w:rPr>
              <w:t>36,114</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Allocation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7"/>
              </w:rPr>
              <w:t>Issuance Cost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to Common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Warrants</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warrants</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3,647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3,647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Vesting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7,688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23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41,714</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1,125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1,125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151</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915</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908</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2,332</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1,915</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1,114</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(4,881)</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(2,454)</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(7,335)</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(1,110)</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(1,110)</w:t>
            </w: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(25,174)</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(25,174)</w:t>
            </w: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79"/>
              </w:rPr>
              <w:t>3,644</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7,437,325</w:t>
            </w: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21,448</w:t>
            </w:r>
          </w:p>
        </w:tc>
        <w:tc>
          <w:tcPr>
            <w:tcW w:w="5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3"/>
              </w:rPr>
              <w:t>5,000,002</w:t>
            </w:r>
          </w:p>
        </w:tc>
        <w:tc>
          <w:tcPr>
            <w:tcW w:w="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20,178</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w w:val="97"/>
              </w:rPr>
              <w:t>8,099,994</w:t>
            </w: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42,902</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2,111,109</w:t>
            </w: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12,082</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8,888,888</w:t>
            </w: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w w:val="97"/>
              </w:rPr>
              <w:t>37,228</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2,173,399</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0</w:t>
            </w:r>
          </w:p>
        </w:tc>
        <w:tc>
          <w:tcPr>
            <w:tcW w:w="1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(111,508)</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(4,986)</w:t>
            </w: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(116,493)</w:t>
            </w: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2015</w:t>
            </w:r>
          </w:p>
        </w:tc>
        <w:tc>
          <w:tcPr>
            <w:tcW w:w="520" w:type="dxa"/>
            <w:vAlign w:val="bottom"/>
            <w:gridSpan w:val="2"/>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Vesting of</w:t>
            </w: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1,895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2,564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282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282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38</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228</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226</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575</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459</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829</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(289)</w:t>
            </w:r>
          </w:p>
        </w:tc>
        <w:tc>
          <w:tcPr>
            <w:tcW w:w="120" w:type="dxa"/>
            <w:vAlign w:val="bottom"/>
          </w:tcPr>
          <w:p>
            <w:pPr>
              <w:spacing w:after="0"/>
              <w:rPr>
                <w:sz w:val="11"/>
                <w:szCs w:val="11"/>
                <w:color w:val="auto"/>
              </w:rPr>
            </w:pP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(2,067)</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(2,356)</w:t>
            </w: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231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231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(7,476)</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(7,476)</w:t>
            </w:r>
          </w:p>
        </w:tc>
        <w:tc>
          <w:tcPr>
            <w:tcW w:w="0" w:type="dxa"/>
            <w:vAlign w:val="bottom"/>
          </w:tcPr>
          <w:p>
            <w:pPr>
              <w:spacing w:after="0"/>
              <w:rPr>
                <w:sz w:val="1"/>
                <w:szCs w:val="1"/>
                <w:color w:val="auto"/>
              </w:rPr>
            </w:pPr>
          </w:p>
        </w:tc>
      </w:tr>
      <w:tr>
        <w:trPr>
          <w:trHeight w:val="110"/>
        </w:trPr>
        <w:tc>
          <w:tcPr>
            <w:tcW w:w="8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lef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March 31,</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2016</w:t>
            </w: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79"/>
              </w:rPr>
              <w:t>3,682</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7,437,325</w:t>
            </w: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21,676</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5,000,002</w:t>
            </w: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20,404</w:t>
            </w:r>
          </w:p>
        </w:tc>
        <w:tc>
          <w:tcPr>
            <w:tcW w:w="5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97"/>
              </w:rPr>
              <w:t>8,099,994</w:t>
            </w:r>
          </w:p>
        </w:tc>
        <w:tc>
          <w:tcPr>
            <w:tcW w:w="1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2"/>
              </w:rPr>
              <w:t>43,477</w:t>
            </w: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2,111,109</w:t>
            </w:r>
          </w:p>
        </w:tc>
        <w:tc>
          <w:tcPr>
            <w:tcW w:w="1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2"/>
              </w:rPr>
              <w:t>12,541</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8,888,888</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Arial" w:cs="Arial" w:eastAsia="Arial" w:hAnsi="Arial"/>
                <w:sz w:val="12"/>
                <w:szCs w:val="12"/>
                <w:b w:val="1"/>
                <w:bCs w:val="1"/>
                <w:color w:val="auto"/>
                <w:w w:val="97"/>
              </w:rPr>
              <w:t>38,057</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2,177,858</w:t>
            </w: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0</w:t>
            </w:r>
          </w:p>
        </w:tc>
        <w:tc>
          <w:tcPr>
            <w:tcW w:w="100" w:type="dxa"/>
            <w:vAlign w:val="bottom"/>
            <w:gridSpan w:val="2"/>
            <w:vMerge w:val="restart"/>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w:t>
            </w:r>
          </w:p>
        </w:tc>
        <w:tc>
          <w:tcPr>
            <w:tcW w:w="6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(121,051)</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(4,755)</w:t>
            </w:r>
          </w:p>
        </w:tc>
        <w:tc>
          <w:tcPr>
            <w:tcW w:w="140" w:type="dxa"/>
            <w:vAlign w:val="bottom"/>
            <w:vMerge w:val="restart"/>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(125,805)</w:t>
            </w: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160" w:type="dxa"/>
            <w:vAlign w:val="bottom"/>
            <w:gridSpan w:val="2"/>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0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ectPr>
          <w:pgSz w:w="11900" w:h="16838" w:orient="portrait"/>
          <w:cols w:equalWidth="0" w:num="1">
            <w:col w:w="11520"/>
          </w:cols>
          <w:pgMar w:left="240" w:top="132" w:right="139" w:bottom="0" w:gutter="0" w:footer="0" w:header="0"/>
        </w:sectPr>
      </w:pPr>
    </w:p>
    <w:p>
      <w:pPr>
        <w:spacing w:after="0"/>
        <w:rPr>
          <w:sz w:val="20"/>
          <w:szCs w:val="20"/>
          <w:color w:val="auto"/>
        </w:rPr>
      </w:pPr>
      <w:r>
        <w:rPr>
          <w:rFonts w:ascii="Arial" w:cs="Arial" w:eastAsia="Arial" w:hAnsi="Arial"/>
          <w:sz w:val="13"/>
          <w:szCs w:val="13"/>
          <w:color w:val="auto"/>
        </w:rPr>
        <w:t>See accompanying notes.</w:t>
      </w:r>
    </w:p>
    <w:p>
      <w:pPr>
        <w:sectPr>
          <w:pgSz w:w="11900" w:h="16838" w:orient="portrait"/>
          <w:cols w:equalWidth="0" w:num="1">
            <w:col w:w="11520"/>
          </w:cols>
          <w:pgMar w:left="240" w:top="132" w:right="139" w:bottom="0" w:gutter="0" w:footer="0" w:header="0"/>
          <w:type w:val="continuous"/>
        </w:sectPr>
      </w:pPr>
    </w:p>
    <w:bookmarkStart w:id="236" w:name="page237"/>
    <w:bookmarkEnd w:id="236"/>
    <w:p>
      <w:pPr>
        <w:ind w:left="10060"/>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6305"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6305" cy="6985"/>
                    </a:xfrm>
                    <a:prstGeom prst="rect">
                      <a:avLst/>
                    </a:prstGeom>
                    <a:noFill/>
                  </pic:spPr>
                </pic:pic>
              </a:graphicData>
            </a:graphic>
          </wp:anchor>
        </w:drawing>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144780</wp:posOffset>
            </wp:positionV>
            <wp:extent cx="7271385" cy="203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40"/>
          </w:cols>
          <w:pgMar w:left="1440" w:top="198" w:right="219" w:bottom="1440" w:gutter="0" w:footer="0" w:header="0"/>
        </w:sectPr>
      </w:pPr>
    </w:p>
    <w:bookmarkStart w:id="237" w:name="page238"/>
    <w:bookmarkEnd w:id="2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CASH FLOWS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6"/>
          </w:tcPr>
          <w:p>
            <w:pPr>
              <w:ind w:left="8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right"/>
              <w:spacing w:after="0"/>
              <w:rPr>
                <w:sz w:val="20"/>
                <w:szCs w:val="20"/>
                <w:color w:val="auto"/>
              </w:rPr>
            </w:pPr>
            <w:r>
              <w:rPr>
                <w:rFonts w:ascii="Arial" w:cs="Arial" w:eastAsia="Arial" w:hAnsi="Arial"/>
                <w:sz w:val="12"/>
                <w:szCs w:val="12"/>
                <w:b w:val="1"/>
                <w:bCs w:val="1"/>
                <w:color w:val="auto"/>
              </w:rPr>
              <w:t>March 31,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w w:val="97"/>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6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tcPr>
          <w:p>
            <w:pPr>
              <w:jc w:val="right"/>
              <w:ind w:right="160"/>
              <w:spacing w:after="0" w:line="121" w:lineRule="exact"/>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0"/>
                <w:szCs w:val="10"/>
                <w:color w:val="auto"/>
              </w:rPr>
            </w:pPr>
          </w:p>
        </w:tc>
        <w:tc>
          <w:tcPr>
            <w:tcW w:w="760" w:type="dxa"/>
            <w:vAlign w:val="bottom"/>
            <w:gridSpan w:val="2"/>
          </w:tcPr>
          <w:p>
            <w:pPr>
              <w:jc w:val="right"/>
              <w:ind w:right="3"/>
              <w:spacing w:after="0" w:line="12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Operating activities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Net loss</w:t>
            </w:r>
          </w:p>
        </w:tc>
        <w:tc>
          <w:tcPr>
            <w:tcW w:w="13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(12,880)</w:t>
            </w:r>
          </w:p>
        </w:tc>
        <w:tc>
          <w:tcPr>
            <w:tcW w:w="1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(25,174)</w:t>
            </w:r>
          </w:p>
        </w:tc>
        <w:tc>
          <w:tcPr>
            <w:tcW w:w="180" w:type="dxa"/>
            <w:vAlign w:val="bottom"/>
            <w:gridSpan w:val="2"/>
          </w:tcPr>
          <w:p>
            <w:pPr>
              <w:jc w:val="right"/>
              <w:ind w:right="25"/>
              <w:spacing w:after="0" w:line="128"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(5,733)</w:t>
            </w:r>
          </w:p>
        </w:tc>
        <w:tc>
          <w:tcPr>
            <w:tcW w:w="260" w:type="dxa"/>
            <w:vAlign w:val="bottom"/>
            <w:gridSpan w:val="2"/>
          </w:tcPr>
          <w:p>
            <w:pPr>
              <w:jc w:val="right"/>
              <w:ind w:right="103"/>
              <w:spacing w:after="0" w:line="128"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(7,476)</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Adjustments to reconcile net loss to net cash used in operating activities: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ind w:left="120"/>
              <w:spacing w:after="0" w:line="128" w:lineRule="exact"/>
              <w:rPr>
                <w:sz w:val="20"/>
                <w:szCs w:val="20"/>
                <w:color w:val="auto"/>
              </w:rPr>
            </w:pPr>
            <w:r>
              <w:rPr>
                <w:rFonts w:ascii="Arial" w:cs="Arial" w:eastAsia="Arial" w:hAnsi="Arial"/>
                <w:sz w:val="12"/>
                <w:szCs w:val="12"/>
                <w:color w:val="auto"/>
              </w:rPr>
              <w:t>Depreciation</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864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1,044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193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178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Stock-based compensation expense</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1,224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1,125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ind w:left="120"/>
              <w:spacing w:after="0" w:line="128" w:lineRule="exact"/>
              <w:rPr>
                <w:sz w:val="20"/>
                <w:szCs w:val="20"/>
                <w:color w:val="auto"/>
              </w:rPr>
            </w:pPr>
            <w:r>
              <w:rPr>
                <w:rFonts w:ascii="Arial" w:cs="Arial" w:eastAsia="Arial" w:hAnsi="Arial"/>
                <w:sz w:val="12"/>
                <w:szCs w:val="12"/>
                <w:color w:val="auto"/>
              </w:rPr>
              <w:t>Non-cash interest expense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155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198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27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41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Change in fair value of redeemable convertible preferred stock warrant</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(83)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ind w:left="120"/>
              <w:spacing w:after="0" w:line="128" w:lineRule="exact"/>
              <w:rPr>
                <w:sz w:val="20"/>
                <w:szCs w:val="20"/>
                <w:color w:val="auto"/>
              </w:rPr>
            </w:pPr>
            <w:r>
              <w:rPr>
                <w:rFonts w:ascii="Arial" w:cs="Arial" w:eastAsia="Arial" w:hAnsi="Arial"/>
                <w:sz w:val="12"/>
                <w:szCs w:val="12"/>
                <w:color w:val="auto"/>
              </w:rPr>
              <w:t>Changes in operating assets and liabilities: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Accounts receivable</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(514)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(153)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(805)</w:t>
            </w:r>
          </w:p>
        </w:tc>
        <w:tc>
          <w:tcPr>
            <w:tcW w:w="0" w:type="dxa"/>
            <w:vAlign w:val="bottom"/>
          </w:tcPr>
          <w:p>
            <w:pPr>
              <w:spacing w:after="0"/>
              <w:rPr>
                <w:sz w:val="1"/>
                <w:szCs w:val="1"/>
                <w:color w:val="auto"/>
              </w:rPr>
            </w:pPr>
          </w:p>
        </w:tc>
      </w:tr>
      <w:tr>
        <w:trPr>
          <w:trHeight w:val="127"/>
        </w:trPr>
        <w:tc>
          <w:tcPr>
            <w:tcW w:w="4660" w:type="dxa"/>
            <w:vAlign w:val="bottom"/>
          </w:tcPr>
          <w:p>
            <w:pPr>
              <w:ind w:left="240"/>
              <w:spacing w:after="0" w:line="128" w:lineRule="exact"/>
              <w:rPr>
                <w:sz w:val="20"/>
                <w:szCs w:val="20"/>
                <w:color w:val="auto"/>
              </w:rPr>
            </w:pPr>
            <w:r>
              <w:rPr>
                <w:rFonts w:ascii="Arial" w:cs="Arial" w:eastAsia="Arial" w:hAnsi="Arial"/>
                <w:sz w:val="12"/>
                <w:szCs w:val="12"/>
                <w:color w:val="auto"/>
              </w:rPr>
              <w:t>Prepaid expenses and other assets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(404)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(1,011)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(379)</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Restricted cash and other deposits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(1,779)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977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(1,752)</w:t>
            </w:r>
          </w:p>
        </w:tc>
        <w:tc>
          <w:tcPr>
            <w:tcW w:w="0" w:type="dxa"/>
            <w:vAlign w:val="bottom"/>
          </w:tcPr>
          <w:p>
            <w:pPr>
              <w:spacing w:after="0"/>
              <w:rPr>
                <w:sz w:val="1"/>
                <w:szCs w:val="1"/>
                <w:color w:val="auto"/>
              </w:rPr>
            </w:pPr>
          </w:p>
        </w:tc>
      </w:tr>
      <w:tr>
        <w:trPr>
          <w:trHeight w:val="127"/>
        </w:trPr>
        <w:tc>
          <w:tcPr>
            <w:tcW w:w="4660" w:type="dxa"/>
            <w:vAlign w:val="bottom"/>
          </w:tcPr>
          <w:p>
            <w:pPr>
              <w:ind w:left="240"/>
              <w:spacing w:after="0" w:line="128" w:lineRule="exact"/>
              <w:rPr>
                <w:sz w:val="20"/>
                <w:szCs w:val="20"/>
                <w:color w:val="auto"/>
              </w:rPr>
            </w:pPr>
            <w:r>
              <w:rPr>
                <w:rFonts w:ascii="Arial" w:cs="Arial" w:eastAsia="Arial" w:hAnsi="Arial"/>
                <w:sz w:val="12"/>
                <w:szCs w:val="12"/>
                <w:color w:val="auto"/>
              </w:rPr>
              <w:t>Accounts payable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(90)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667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975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Deferred revenue</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(20)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(507)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(537)</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386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ind w:left="240"/>
              <w:spacing w:after="0" w:line="128" w:lineRule="exact"/>
              <w:rPr>
                <w:sz w:val="20"/>
                <w:szCs w:val="20"/>
                <w:color w:val="auto"/>
              </w:rPr>
            </w:pPr>
            <w:r>
              <w:rPr>
                <w:rFonts w:ascii="Arial" w:cs="Arial" w:eastAsia="Arial" w:hAnsi="Arial"/>
                <w:sz w:val="12"/>
                <w:szCs w:val="12"/>
                <w:color w:val="auto"/>
              </w:rPr>
              <w:t>Contingently repayable grant funding</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305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(805)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(426)</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Accrued expenses and other liabilities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415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1,259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(581)</w:t>
            </w: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Net cash used in operating activities</w:t>
            </w:r>
          </w:p>
        </w:tc>
        <w:tc>
          <w:tcPr>
            <w:tcW w:w="1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(12,686)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(22,463)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(4,898)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(10,166)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Purchase of short term government obligations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(3,516)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(3,412)</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Purchases of property and equipment</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(227)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(1,163)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(123)</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Net cash provided by (used in) investing activities</w:t>
            </w:r>
          </w:p>
        </w:tc>
        <w:tc>
          <w:tcPr>
            <w:tcW w:w="1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(227)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(4,679)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(123)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(3,555)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Net proceeds from issuance of preferred stock and warrants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20,140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32,669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Proceeds from issuance convertible note, net of issuance costs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7,092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Principle payments on loan payable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(2,336)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(227)</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Deferred IPO costs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(302)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(1,684)</w:t>
            </w: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Proceeds from loans payable, net of issuance costs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4,494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6,674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Issuance of common stock</w:t>
            </w:r>
          </w:p>
        </w:tc>
        <w:tc>
          <w:tcPr>
            <w:tcW w:w="1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137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109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Net cash provided by financing activities</w:t>
            </w:r>
          </w:p>
        </w:tc>
        <w:tc>
          <w:tcPr>
            <w:tcW w:w="1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24,771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43,906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(207)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(1,677)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6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Effect of exchange rate changes on cash</w:t>
            </w: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2"/>
                <w:szCs w:val="12"/>
                <w:color w:val="auto"/>
              </w:rPr>
              <w:t>(3,323)</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2"/>
                <w:szCs w:val="12"/>
                <w:color w:val="auto"/>
              </w:rPr>
              <w:t>(1,019)</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2"/>
                <w:szCs w:val="12"/>
                <w:color w:val="auto"/>
              </w:rPr>
              <w:t>(230)</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112</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Net (decrease) increase in cash and cash equivalents</w:t>
            </w:r>
          </w:p>
        </w:tc>
        <w:tc>
          <w:tcPr>
            <w:tcW w:w="1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8,535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15,745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(5,458)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(15,286)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Cash and cash equivalents at beginning of period</w:t>
            </w:r>
          </w:p>
        </w:tc>
        <w:tc>
          <w:tcPr>
            <w:tcW w:w="1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8,057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16,592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16,592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32,337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Cash and cash equivalents at end of period</w:t>
            </w:r>
          </w:p>
        </w:tc>
        <w:tc>
          <w:tcPr>
            <w:tcW w:w="124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16,592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32,337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11,134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17,051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Cash paid during the year for:</w:t>
            </w: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Interest</w:t>
            </w:r>
          </w:p>
        </w:tc>
        <w:tc>
          <w:tcPr>
            <w:tcW w:w="13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366</w:t>
            </w:r>
          </w:p>
        </w:tc>
        <w:tc>
          <w:tcPr>
            <w:tcW w:w="100" w:type="dxa"/>
            <w:vAlign w:val="bottom"/>
          </w:tcPr>
          <w:p>
            <w:pPr>
              <w:spacing w:after="0"/>
              <w:rPr>
                <w:sz w:val="11"/>
                <w:szCs w:val="11"/>
                <w:color w:val="auto"/>
              </w:rPr>
            </w:pPr>
          </w:p>
        </w:tc>
        <w:tc>
          <w:tcPr>
            <w:tcW w:w="1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531</w:t>
            </w:r>
          </w:p>
        </w:tc>
        <w:tc>
          <w:tcPr>
            <w:tcW w:w="100" w:type="dxa"/>
            <w:vAlign w:val="bottom"/>
          </w:tcPr>
          <w:p>
            <w:pPr>
              <w:spacing w:after="0"/>
              <w:rPr>
                <w:sz w:val="11"/>
                <w:szCs w:val="11"/>
                <w:color w:val="auto"/>
              </w:rPr>
            </w:pPr>
          </w:p>
        </w:tc>
        <w:tc>
          <w:tcPr>
            <w:tcW w:w="180" w:type="dxa"/>
            <w:vAlign w:val="bottom"/>
            <w:gridSpan w:val="2"/>
          </w:tcPr>
          <w:p>
            <w:pPr>
              <w:jc w:val="right"/>
              <w:ind w:right="25"/>
              <w:spacing w:after="0" w:line="128"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150</w:t>
            </w:r>
          </w:p>
        </w:tc>
        <w:tc>
          <w:tcPr>
            <w:tcW w:w="100" w:type="dxa"/>
            <w:vAlign w:val="bottom"/>
          </w:tcPr>
          <w:p>
            <w:pPr>
              <w:spacing w:after="0"/>
              <w:rPr>
                <w:sz w:val="11"/>
                <w:szCs w:val="11"/>
                <w:color w:val="auto"/>
              </w:rPr>
            </w:pPr>
          </w:p>
        </w:tc>
        <w:tc>
          <w:tcPr>
            <w:tcW w:w="260" w:type="dxa"/>
            <w:vAlign w:val="bottom"/>
            <w:gridSpan w:val="2"/>
          </w:tcPr>
          <w:p>
            <w:pPr>
              <w:jc w:val="right"/>
              <w:ind w:right="103"/>
              <w:spacing w:after="0" w:line="128"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243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Supplemental Noncash Financing Activities:</w:t>
            </w: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Venture debt termination fee liability</w:t>
            </w:r>
          </w:p>
        </w:tc>
        <w:tc>
          <w:tcPr>
            <w:tcW w:w="13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270</w:t>
            </w:r>
          </w:p>
        </w:tc>
        <w:tc>
          <w:tcPr>
            <w:tcW w:w="100" w:type="dxa"/>
            <w:vAlign w:val="bottom"/>
          </w:tcPr>
          <w:p>
            <w:pPr>
              <w:spacing w:after="0"/>
              <w:rPr>
                <w:sz w:val="11"/>
                <w:szCs w:val="11"/>
                <w:color w:val="auto"/>
              </w:rPr>
            </w:pPr>
          </w:p>
        </w:tc>
        <w:tc>
          <w:tcPr>
            <w:tcW w:w="1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270</w:t>
            </w:r>
          </w:p>
        </w:tc>
        <w:tc>
          <w:tcPr>
            <w:tcW w:w="100" w:type="dxa"/>
            <w:vAlign w:val="bottom"/>
          </w:tcPr>
          <w:p>
            <w:pPr>
              <w:spacing w:after="0"/>
              <w:rPr>
                <w:sz w:val="11"/>
                <w:szCs w:val="11"/>
                <w:color w:val="auto"/>
              </w:rPr>
            </w:pPr>
          </w:p>
        </w:tc>
        <w:tc>
          <w:tcPr>
            <w:tcW w:w="180" w:type="dxa"/>
            <w:vAlign w:val="bottom"/>
            <w:gridSpan w:val="2"/>
          </w:tcPr>
          <w:p>
            <w:pPr>
              <w:jc w:val="right"/>
              <w:ind w:right="25"/>
              <w:spacing w:after="0" w:line="128"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260" w:type="dxa"/>
            <w:vAlign w:val="bottom"/>
            <w:gridSpan w:val="2"/>
          </w:tcPr>
          <w:p>
            <w:pPr>
              <w:jc w:val="right"/>
              <w:ind w:right="103"/>
              <w:spacing w:after="0" w:line="128"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Issuance of preferred warrants in connection with venture loans</w:t>
            </w: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121</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137</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25"/>
              <w:spacing w:after="0" w:line="103"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03" w:lineRule="exact"/>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jc w:val="right"/>
              <w:ind w:right="103"/>
              <w:spacing w:after="0" w:line="103"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0"/>
              <w:spacing w:after="0" w:line="10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2"/>
                <w:szCs w:val="12"/>
                <w:color w:val="auto"/>
              </w:rPr>
              <w:t>Accrued dividends and accretion of preferred stock to redemption value</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4,951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7,335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1,561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2,356</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Conversion of bridge loans into Series E preferred</w:t>
            </w:r>
          </w:p>
        </w:tc>
        <w:tc>
          <w:tcPr>
            <w:tcW w:w="1340" w:type="dxa"/>
            <w:vAlign w:val="bottom"/>
            <w:gridSpan w:val="2"/>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00"/>
              <w:spacing w:after="0" w:line="103" w:lineRule="exact"/>
              <w:rPr>
                <w:sz w:val="20"/>
                <w:szCs w:val="20"/>
                <w:color w:val="auto"/>
              </w:rPr>
            </w:pPr>
            <w:r>
              <w:rPr>
                <w:rFonts w:ascii="Arial" w:cs="Arial" w:eastAsia="Arial" w:hAnsi="Arial"/>
                <w:sz w:val="10"/>
                <w:szCs w:val="10"/>
                <w:color w:val="auto"/>
              </w:rPr>
              <w:t>—</w:t>
            </w:r>
          </w:p>
        </w:tc>
        <w:tc>
          <w:tcPr>
            <w:tcW w:w="140" w:type="dxa"/>
            <w:vAlign w:val="bottom"/>
            <w:gridSpan w:val="2"/>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7,288</w:t>
            </w:r>
          </w:p>
        </w:tc>
        <w:tc>
          <w:tcPr>
            <w:tcW w:w="10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25"/>
              <w:spacing w:after="0" w:line="103"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00"/>
              <w:spacing w:after="0" w:line="103" w:lineRule="exact"/>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jc w:val="right"/>
              <w:ind w:right="103"/>
              <w:spacing w:after="0" w:line="103"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0"/>
              <w:spacing w:after="0" w:line="10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38" w:name="page239"/>
    <w:bookmarkEnd w:id="2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business and basis of presentation</w:t>
      </w:r>
    </w:p>
    <w:p>
      <w:pPr>
        <w:spacing w:after="0" w:line="195"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Selecta Biosciences, Inc. (the "Company") was incorporated in Delaware on December 10, 2007, and is based in Watertown, Massachusetts. The Company is a biopharmaceutical company dedicated to developing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44"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The Company is subject to a number of risks similar to other early life science companies including, but not limited to, raising additional capital, development by its competitors of new technological innovations, protection of proprietary technology, and market acceptance of its products.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indicated, all amounts are in millions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5" w:lineRule="exact"/>
        <w:rPr>
          <w:sz w:val="20"/>
          <w:szCs w:val="20"/>
          <w:color w:val="auto"/>
        </w:rPr>
      </w:pPr>
    </w:p>
    <w:p>
      <w:pPr>
        <w:jc w:val="both"/>
        <w:ind w:right="120"/>
        <w:spacing w:after="0" w:line="297"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The consolidated financial statements and accompanying notes are stated in U.S. dollars. Any reference in these notes to applicable guidance is meant to refer to the authoritative U.S. GAAP as found in the Accounting Standards Codification ("ASC") and Accounting Standards Updates ("ASU") of the Financial Accounting Standards Board ("FASB").</w:t>
      </w:r>
    </w:p>
    <w:p>
      <w:pPr>
        <w:spacing w:after="0" w:line="144"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The accompanying unaudited consolidated financial statements and the related notes as of March 31, 2016 and for the three months ended March 31, 2015 and 2016 are condensed and are prepared pursuant to the rules and regulations of the U.S. Securities and Exchange Commission regarding interim financial reporting. Accordingly, they do not include all of the information and disclosures required by U.S. GAAP for complete financial statements and should be read in conjunction with the Company's audited financial statements for the years ended December 31, 2014 and 2015. In the opinion of management, the Company has prepared the accompanying unaudited condensed consolidated financial statements for the three months ended March 31, 2015 and 2016 on the same basis as its audited financial statements, and these condensed consolidated financial statements include all adjustments, consisting only of normal recurring adjustments, necessary for a fair presentation of the results of the interim periods presented. The operating results for the interim periods presented are not necessarily indicative of the results expected for the full year 2016 or any future years or periods.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Company has incurred losses since inception and negative cash flows from operating activities. As of December 31, 2015 and March 31, 2016, the Company had an accumulated deficit of $111.5 million and $121.1 million, respectively. The Company has financed its operations to date through issuances of redeemable convertible preferred stock (collectively, "Preferred Stock"), debt, research grants and a research collaboration. During the year ended December 31, 2015, the Company raised an additional $39.8 million, net of issuance costs, through the issuance of convertible notes (Note 8) and Series E redeemable convertible preferred stock ("Series E Preferred") (Note 9) and $6.8 million through the issuance of additional venture debt ("Debt") (Note 8). The Company's cash and cash equivalents as of December 31, 2015 and March 31, 2016 included $3.0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9" w:name="page240"/>
    <w:bookmarkEnd w:id="23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right="120"/>
        <w:spacing w:after="0" w:line="266" w:lineRule="auto"/>
        <w:rPr>
          <w:sz w:val="20"/>
          <w:szCs w:val="20"/>
          <w:color w:val="auto"/>
        </w:rPr>
      </w:pPr>
      <w:r>
        <w:rPr>
          <w:rFonts w:ascii="Arial" w:cs="Arial" w:eastAsia="Arial" w:hAnsi="Arial"/>
          <w:sz w:val="15"/>
          <w:szCs w:val="15"/>
          <w:color w:val="auto"/>
        </w:rPr>
        <w:t>$1.5 million, respectively,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62" w:lineRule="exact"/>
        <w:rPr>
          <w:sz w:val="20"/>
          <w:szCs w:val="20"/>
          <w:color w:val="auto"/>
        </w:rPr>
      </w:pPr>
    </w:p>
    <w:p>
      <w:pPr>
        <w:jc w:val="both"/>
        <w:ind w:left="7" w:right="20"/>
        <w:spacing w:after="0" w:line="330" w:lineRule="auto"/>
        <w:rPr>
          <w:sz w:val="20"/>
          <w:szCs w:val="20"/>
          <w:color w:val="auto"/>
        </w:rPr>
      </w:pPr>
      <w:r>
        <w:rPr>
          <w:rFonts w:ascii="Arial" w:cs="Arial" w:eastAsia="Arial" w:hAnsi="Arial"/>
          <w:sz w:val="13"/>
          <w:szCs w:val="13"/>
          <w:color w:val="auto"/>
        </w:rPr>
        <w:t>These factors raise substantial doubt about the Company's ability to continue as a going concern. The Company intends to pursue a private offering of equity securities or a public offering of its common stock to fund future operations. However, if the Company is unable to complete a sufficient private or public offering in a timely manner, it would need to pursue other financing alternatives. There can be no assurances that the current operating plan will be achieved or that additional funding will be available on terms acceptable to the Company, or at all.</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Unaudited pro forma financial information</w:t>
      </w:r>
    </w:p>
    <w:p>
      <w:pPr>
        <w:spacing w:after="0" w:line="195"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The unaudited pro forma consolidated balance sheet information at March 31, 2016 has been prepared to reflect the automatic conversion of all shares of Preferred Stock outstanding at March 31, 2016 into 9,890,580 shares of common stock and cashless exercise of warrants for the purchase of 567,306 shares of common stock as if a proposed initial public offering had occurred on March 31, 2016. For purposes of pro forma basic and diluted net loss per share attributable to common stockholders, all shares of Preferred Stock and those warrants which will automatically be converted or exercised upon the filing of a registration statement on Form S-1 or closing of an initial public offering, and the preferred stock warrants which will convert into common stock warrants upon the closing of an initial public offering, have been treated as if they have been converted or exercised at the beginning of the period or on the issuance date, if later. Accordingly, the pro forma basic and diluted loss per share attributable to common stockholders do not include the effects of the accretion of Preferred Stock to redemption value and accrued dividends, or the change in fair value of redeemable convertible preferred stock warrants.</w:t>
      </w:r>
    </w:p>
    <w:p>
      <w:pPr>
        <w:spacing w:after="0" w:line="145" w:lineRule="exact"/>
        <w:rPr>
          <w:sz w:val="20"/>
          <w:szCs w:val="20"/>
          <w:color w:val="auto"/>
        </w:rPr>
      </w:pPr>
    </w:p>
    <w:p>
      <w:pPr>
        <w:ind w:left="7" w:right="8140" w:hanging="7"/>
        <w:spacing w:after="0" w:line="505" w:lineRule="auto"/>
        <w:tabs>
          <w:tab w:leader="none" w:pos="175" w:val="left"/>
        </w:tabs>
        <w:numPr>
          <w:ilvl w:val="0"/>
          <w:numId w:val="134"/>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Principles of consolidation</w:t>
      </w:r>
    </w:p>
    <w:p>
      <w:pPr>
        <w:ind w:left="7" w:right="80"/>
        <w:spacing w:after="0" w:line="319" w:lineRule="auto"/>
        <w:rPr>
          <w:sz w:val="20"/>
          <w:szCs w:val="20"/>
          <w:color w:val="auto"/>
        </w:rPr>
      </w:pPr>
      <w:r>
        <w:rPr>
          <w:rFonts w:ascii="Arial" w:cs="Arial" w:eastAsia="Arial" w:hAnsi="Arial"/>
          <w:sz w:val="14"/>
          <w:szCs w:val="14"/>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The functional currency of Selecta RUS is the ruble. Assets and liabilities of Select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240" w:name="page241"/>
    <w:bookmarkEnd w:id="24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w:t>
      </w:r>
      <w:r>
        <w:rPr>
          <w:rFonts w:ascii="Arial" w:cs="Arial" w:eastAsia="Arial" w:hAnsi="Arial"/>
          <w:sz w:val="14"/>
          <w:szCs w:val="14"/>
          <w:b w:val="1"/>
          <w:bCs w:val="1"/>
          <w:color w:val="auto"/>
        </w:rPr>
        <w:t>-</w:t>
      </w:r>
      <w:r>
        <w:rPr>
          <w:rFonts w:ascii="Arial" w:cs="Arial" w:eastAsia="Arial" w:hAnsi="Arial"/>
          <w:sz w:val="14"/>
          <w:szCs w:val="14"/>
          <w:color w:val="auto"/>
        </w:rPr>
        <w: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w:t>
      </w:r>
      <w:r>
        <w:rPr>
          <w:rFonts w:ascii="Arial" w:cs="Arial" w:eastAsia="Arial" w:hAnsi="Arial"/>
          <w:sz w:val="14"/>
          <w:szCs w:val="14"/>
          <w:b w:val="1"/>
          <w:bCs w:val="1"/>
          <w:color w:val="auto"/>
        </w:rPr>
        <w:t>-</w:t>
      </w:r>
      <w:r>
        <w:rPr>
          <w:rFonts w:ascii="Arial" w:cs="Arial" w:eastAsia="Arial" w:hAnsi="Arial"/>
          <w:sz w:val="14"/>
          <w:szCs w:val="14"/>
          <w:color w:val="auto"/>
        </w:rPr>
        <w:t>based compensation, income taxes, collectability of accounts receivable, useful lives of long</w:t>
      </w:r>
      <w:r>
        <w:rPr>
          <w:rFonts w:ascii="Arial" w:cs="Arial" w:eastAsia="Arial" w:hAnsi="Arial"/>
          <w:sz w:val="14"/>
          <w:szCs w:val="14"/>
          <w:b w:val="1"/>
          <w:bCs w:val="1"/>
          <w:color w:val="auto"/>
        </w:rPr>
        <w:t>-</w:t>
      </w:r>
      <w:r>
        <w:rPr>
          <w:rFonts w:ascii="Arial" w:cs="Arial" w:eastAsia="Arial" w:hAnsi="Arial"/>
          <w:sz w:val="14"/>
          <w:szCs w:val="14"/>
          <w:color w:val="auto"/>
        </w:rPr>
        <w:t>lived assets, accrued expenses, and accounting for project development. The Company assesses the above estimates on an ongoing basis; however, actual results could materially differ from those estimates.</w:t>
      </w:r>
    </w:p>
    <w:p>
      <w:pPr>
        <w:spacing w:after="0" w:line="154" w:lineRule="exact"/>
        <w:rPr>
          <w:sz w:val="20"/>
          <w:szCs w:val="20"/>
          <w:color w:val="auto"/>
        </w:rPr>
      </w:pPr>
    </w:p>
    <w:p>
      <w:pPr>
        <w:ind w:right="220"/>
        <w:spacing w:after="0" w:line="310" w:lineRule="auto"/>
        <w:rPr>
          <w:sz w:val="20"/>
          <w:szCs w:val="20"/>
          <w:color w:val="auto"/>
        </w:rPr>
      </w:pPr>
      <w:r>
        <w:rPr>
          <w:rFonts w:ascii="Arial" w:cs="Arial" w:eastAsia="Arial" w:hAnsi="Arial"/>
          <w:sz w:val="13"/>
          <w:szCs w:val="13"/>
          <w:color w:val="auto"/>
        </w:rPr>
        <w:t>The Company's management makes significant estimates and assumptions in determining the fair value of its common stock. The Company utilizes various valuation methodologies in accordance with the framework of the 2004 American Institute of Certified Public Accountants' Technical Practice Aid, Valuation of Privately-Held Company Equity Securities Issued as Compensation, to estimate the fair value of its common stock. Each valuation methodology includes estimates and assumptions that require the Company's judgment. These estimates and assumptions include a number of objective and subjective factors, including external market conditions affecting the biotechnology industry sector, the prices at which the Company sold shares of preferred stock, the superior rights and preferences of securities senior to the Company's common stock at the time and the likelihood of achieving a liquidity event, such as an initial public offering or sale. Significant changes to the key assumptions used in the valuations could result in different fair values of common stock at each valuation date.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information</w:t>
      </w:r>
    </w:p>
    <w:p>
      <w:pPr>
        <w:spacing w:after="0" w:line="195" w:lineRule="exact"/>
        <w:rPr>
          <w:sz w:val="20"/>
          <w:szCs w:val="20"/>
          <w:color w:val="auto"/>
        </w:rPr>
      </w:pPr>
    </w:p>
    <w:p>
      <w:pPr>
        <w:ind w:right="220"/>
        <w:spacing w:after="0" w:line="297" w:lineRule="auto"/>
        <w:rPr>
          <w:sz w:val="20"/>
          <w:szCs w:val="20"/>
          <w:color w:val="auto"/>
        </w:rPr>
      </w:pPr>
      <w:r>
        <w:rPr>
          <w:rFonts w:ascii="Arial" w:cs="Arial" w:eastAsia="Arial" w:hAnsi="Arial"/>
          <w:sz w:val="14"/>
          <w:szCs w:val="14"/>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equivalents and short term investments</w:t>
      </w:r>
    </w:p>
    <w:p>
      <w:pPr>
        <w:spacing w:after="0" w:line="195" w:lineRule="exact"/>
        <w:rPr>
          <w:sz w:val="20"/>
          <w:szCs w:val="20"/>
          <w:color w:val="auto"/>
        </w:rPr>
      </w:pPr>
    </w:p>
    <w:p>
      <w:pPr>
        <w:ind w:right="120"/>
        <w:spacing w:after="0" w:line="330" w:lineRule="auto"/>
        <w:rPr>
          <w:sz w:val="20"/>
          <w:szCs w:val="20"/>
          <w:color w:val="auto"/>
        </w:rPr>
      </w:pPr>
      <w:r>
        <w:rPr>
          <w:rFonts w:ascii="Arial" w:cs="Arial" w:eastAsia="Arial" w:hAnsi="Arial"/>
          <w:sz w:val="13"/>
          <w:szCs w:val="13"/>
          <w:color w:val="auto"/>
        </w:rPr>
        <w:t>Cash equivalents include all highly liquid investments maturing within 90 days from the date of purchase. Investments consist of securities with remaining maturities greater than 90 days when purchased. The Company classifies these investments as available-for-sale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266305"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1" w:name="page242"/>
    <w:bookmarkEnd w:id="2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2015, there were no realized gains or losses on sales of investments, and no investments were adjusted for other than temporary declines in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Concentrations of credit risk and off-balance sheet risk</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Financial instruments that potentially subject the Company to concentration of credit risk consist primarily of cash, cash equivalents, and accounts receivable. Cash and cash equivalents are deposited with federally insured financial institutions in the U.S.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our Russia subsidiary, we also maintain cash in Russian bank accounts in denominations of both rubles and U.S. dollars. As of March 31, 2016, we maintained approximately $4.2 million in Russian bank accounts, of which $3.0 million was held in U.S. dollars.</w:t>
      </w:r>
    </w:p>
    <w:p>
      <w:pPr>
        <w:spacing w:after="0" w:line="149" w:lineRule="exact"/>
        <w:rPr>
          <w:sz w:val="20"/>
          <w:szCs w:val="20"/>
          <w:color w:val="auto"/>
        </w:rPr>
      </w:pPr>
    </w:p>
    <w:p>
      <w:pPr>
        <w:ind w:right="60"/>
        <w:spacing w:after="0" w:line="362" w:lineRule="auto"/>
        <w:rPr>
          <w:sz w:val="20"/>
          <w:szCs w:val="20"/>
          <w:color w:val="auto"/>
        </w:rPr>
      </w:pPr>
      <w:r>
        <w:rPr>
          <w:rFonts w:ascii="Arial" w:cs="Arial" w:eastAsia="Arial" w:hAnsi="Arial"/>
          <w:sz w:val="13"/>
          <w:szCs w:val="13"/>
          <w:color w:val="auto"/>
        </w:rPr>
        <w:t>The Company has minimal credit risk as the majority of accounts receivable relates to amounts due under a government sponsored grant, collaboration with large pharmaceutical companies or grants from well-known and supported non-profit organizations. The Company did not have any off balance sheet arrangements as of December 31, 2014 and 2015 and March 31, 2016.</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of financial instruments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 Company's financial instruments consist mainly of cash equivalents, short-term investments, restricted cash, accounts receivable, accounts payable, loans payable, common stock warrants, and redeemable convertible preferred stock warrants. The carrying amounts of cash equivalents, short term investments, restricted cash, accounts receivable, and accounts payable approximate their estimated fair value due to their short term maturities. The carrying amount of loans payable approximates their estimated fair value due to the consistency between the prevailing market rates in effect and the effective interest rate of 12.4% for the debt arrangement.</w:t>
      </w:r>
    </w:p>
    <w:p>
      <w:pPr>
        <w:spacing w:after="0" w:line="162"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—Level 1 inputs are quoted prices in active markets for identical assets or liabilities that the reporting entity has the ability to access at the measurement date.</w:t>
      </w:r>
    </w:p>
    <w:p>
      <w:pPr>
        <w:spacing w:after="0" w:line="198" w:lineRule="exact"/>
        <w:rPr>
          <w:sz w:val="20"/>
          <w:szCs w:val="20"/>
          <w:color w:val="auto"/>
        </w:rPr>
      </w:pPr>
    </w:p>
    <w:p>
      <w:pPr>
        <w:ind w:left="460"/>
        <w:spacing w:after="0" w:line="282"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—Level 2 inputs are inputs other than quoted prices included within Level 1 that are observable for the asset or liability, either directly or indirectly. If the asset or liability has</w:t>
      </w:r>
      <w:r>
        <w:rPr>
          <w:rFonts w:ascii="Arial" w:cs="Arial" w:eastAsia="Arial" w:hAnsi="Arial"/>
          <w:sz w:val="15"/>
          <w:szCs w:val="15"/>
          <w:i w:val="1"/>
          <w:iCs w:val="1"/>
          <w:color w:val="auto"/>
        </w:rPr>
        <w:t xml:space="preserve"> </w:t>
      </w:r>
      <w:r>
        <w:rPr>
          <w:rFonts w:ascii="Arial" w:cs="Arial" w:eastAsia="Arial" w:hAnsi="Arial"/>
          <w:sz w:val="15"/>
          <w:szCs w:val="15"/>
          <w:color w:val="auto"/>
        </w:rPr>
        <w:t>a specified (contractual) term, a Level 2 input must be observable for substantially the full term of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42" w:name="page243"/>
    <w:bookmarkEnd w:id="24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—Level 3 inputs are unobservable inputs for the asset or liability in which there is little, if any, market activity for the asset or liability at the measurement date.</w:t>
      </w:r>
    </w:p>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As of December 31, 2014 and 2015, and at March 31, 2016, the Company's Preferred Stock Warrants were the only financial instruments classified as Level 3.</w:t>
      </w:r>
    </w:p>
    <w:p>
      <w:pPr>
        <w:spacing w:after="0" w:line="162"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2014 and 2015, and the three months ended March 31, 2016.</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Property and equipment</w:t>
      </w:r>
    </w:p>
    <w:p>
      <w:pPr>
        <w:spacing w:after="0" w:line="195" w:lineRule="exact"/>
        <w:rPr>
          <w:sz w:val="20"/>
          <w:szCs w:val="20"/>
          <w:color w:val="auto"/>
        </w:rPr>
      </w:pPr>
    </w:p>
    <w:p>
      <w:pPr>
        <w:ind w:right="100"/>
        <w:spacing w:after="0" w:line="319" w:lineRule="auto"/>
        <w:rPr>
          <w:sz w:val="20"/>
          <w:szCs w:val="20"/>
          <w:color w:val="auto"/>
        </w:rPr>
      </w:pPr>
      <w:r>
        <w:rPr>
          <w:rFonts w:ascii="Arial" w:cs="Arial" w:eastAsia="Arial" w:hAnsi="Arial"/>
          <w:sz w:val="13"/>
          <w:szCs w:val="13"/>
          <w:color w:val="auto"/>
        </w:rPr>
        <w:t>Property and equipment are recorded at cost and depreciated using the straight-line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Impairment of long-lived assets</w:t>
      </w:r>
    </w:p>
    <w:p>
      <w:pPr>
        <w:spacing w:after="0" w:line="195" w:lineRule="exact"/>
        <w:rPr>
          <w:sz w:val="20"/>
          <w:szCs w:val="20"/>
          <w:color w:val="auto"/>
        </w:rPr>
      </w:pPr>
    </w:p>
    <w:p>
      <w:pPr>
        <w:ind w:right="120"/>
        <w:spacing w:after="0" w:line="319" w:lineRule="auto"/>
        <w:rPr>
          <w:sz w:val="20"/>
          <w:szCs w:val="20"/>
          <w:color w:val="auto"/>
        </w:rPr>
      </w:pPr>
      <w:r>
        <w:rPr>
          <w:rFonts w:ascii="Arial" w:cs="Arial" w:eastAsia="Arial" w:hAnsi="Arial"/>
          <w:sz w:val="13"/>
          <w:szCs w:val="13"/>
          <w:color w:val="auto"/>
        </w:rPr>
        <w:t>The Company periodically evaluates its long-lived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 any impairment charges through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266305"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3" w:name="page244"/>
    <w:bookmarkEnd w:id="24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Debt issuance costs</w:t>
      </w:r>
    </w:p>
    <w:p>
      <w:pPr>
        <w:spacing w:after="0" w:line="195" w:lineRule="exact"/>
        <w:rPr>
          <w:sz w:val="20"/>
          <w:szCs w:val="20"/>
          <w:color w:val="auto"/>
        </w:rPr>
      </w:pPr>
    </w:p>
    <w:p>
      <w:pPr>
        <w:ind w:left="7" w:right="20"/>
        <w:spacing w:after="0" w:line="319" w:lineRule="auto"/>
        <w:rPr>
          <w:sz w:val="20"/>
          <w:szCs w:val="20"/>
          <w:color w:val="auto"/>
        </w:rPr>
      </w:pPr>
      <w:r>
        <w:rPr>
          <w:rFonts w:ascii="Arial" w:cs="Arial" w:eastAsia="Arial" w:hAnsi="Arial"/>
          <w:sz w:val="14"/>
          <w:szCs w:val="14"/>
          <w:color w:val="auto"/>
        </w:rPr>
        <w:t>Debt issuance costs and fees paid to lenders are recorded as a direct deduction from the face amount of the related debt. Debt issuance costs are accounted for as additional debt discount and are amortized over the term of the related debt using the interest method and recorded as interest expense. Costs and fees paid to third parties are expensed as incurred.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Revenue recognition</w:t>
      </w:r>
    </w:p>
    <w:p>
      <w:pPr>
        <w:spacing w:after="0" w:line="195" w:lineRule="exact"/>
        <w:rPr>
          <w:sz w:val="20"/>
          <w:szCs w:val="20"/>
          <w:color w:val="auto"/>
        </w:rPr>
      </w:pPr>
    </w:p>
    <w:p>
      <w:pPr>
        <w:ind w:left="7" w:right="300"/>
        <w:spacing w:after="0" w:line="319" w:lineRule="auto"/>
        <w:rPr>
          <w:sz w:val="20"/>
          <w:szCs w:val="20"/>
          <w:color w:val="auto"/>
        </w:rPr>
      </w:pPr>
      <w:r>
        <w:rPr>
          <w:rFonts w:ascii="Arial" w:cs="Arial" w:eastAsia="Arial" w:hAnsi="Arial"/>
          <w:sz w:val="14"/>
          <w:szCs w:val="14"/>
          <w:color w:val="auto"/>
        </w:rPr>
        <w:t xml:space="preserve">The Company's revenue is primarily generated from research grants in both the United States and Russia, and a license and research collaboration agreement with Sanofi. The Company recognizes revenue in accordance with ASC Topic 605, </w:t>
      </w:r>
      <w:r>
        <w:rPr>
          <w:rFonts w:ascii="Arial" w:cs="Arial" w:eastAsia="Arial" w:hAnsi="Arial"/>
          <w:sz w:val="14"/>
          <w:szCs w:val="14"/>
          <w:i w:val="1"/>
          <w:iCs w:val="1"/>
          <w:color w:val="auto"/>
        </w:rPr>
        <w:t>Revenue Recognition</w:t>
      </w:r>
      <w:r>
        <w:rPr>
          <w:rFonts w:ascii="Arial" w:cs="Arial" w:eastAsia="Arial" w:hAnsi="Arial"/>
          <w:sz w:val="14"/>
          <w:szCs w:val="14"/>
          <w:color w:val="auto"/>
        </w:rPr>
        <w:t>. Accordingly, revenue is recognized when all of the following criteria are met:</w:t>
      </w:r>
    </w:p>
    <w:p>
      <w:pPr>
        <w:spacing w:after="0" w:line="140" w:lineRule="exact"/>
        <w:rPr>
          <w:sz w:val="20"/>
          <w:szCs w:val="20"/>
          <w:color w:val="auto"/>
        </w:rPr>
      </w:pPr>
    </w:p>
    <w:p>
      <w:pPr>
        <w:ind w:left="467" w:hanging="467"/>
        <w:spacing w:after="0"/>
        <w:tabs>
          <w:tab w:leader="none" w:pos="46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Persuasive evidence of an arrangement exists;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Delivery has occurred or services have been rendered;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seller's price to the buyer is fixed or determinable;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Collectability is reasonably assured.</w:t>
      </w:r>
    </w:p>
    <w:p>
      <w:pPr>
        <w:spacing w:after="0" w:line="198"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Collaboration revenue</w:t>
      </w:r>
    </w:p>
    <w:p>
      <w:pPr>
        <w:spacing w:after="0" w:line="195"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When evaluating multiple element arrangements such as the agreement with Sanofi discussed in Note 12,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149"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The Company determines the estimated selling price for deliverables within each agreement using vendor-specific objective evidence ("VSOE") of selling price, if available, third-party evidence ("TPE") of selling price if VSOE is not available, or best estimate of selling price if neither VSOE nor TPE is available. Determining the best estimate of selling price for a deliverable requires significant judgment. The Company has used its best estimate of selling price to estimate the selling price for licenses to the Company's proprietary technology, since the Company does not have VSOE or TPE of selling price for these deliverables. In those circumstances, the Company considers market conditions as well as entity-specific factors, including those factors contemplated in negotiating the agreements,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44" w:name="page245"/>
    <w:bookmarkEnd w:id="2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159"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Company may receive upfront payments when licensing its intellectual property in conjunction with a research and development agreement. When management believes the license to its intellectual property does not have stand-alone value from the other deliverables to be provided in the arrangement, the Company generally recognizes revenue attributed to the license over the Company's contractual or estimated performance period. When management believes the license to its intellectual property has stand-alone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research and development efforts are recognized as the services are performed.</w:t>
      </w:r>
    </w:p>
    <w:p>
      <w:pPr>
        <w:spacing w:after="0" w:line="154"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At the inception of each agreement that includes milestone payments, the Company evaluates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ind w:right="280"/>
        <w:spacing w:after="0" w:line="270" w:lineRule="auto"/>
        <w:rPr>
          <w:sz w:val="20"/>
          <w:szCs w:val="20"/>
          <w:color w:val="auto"/>
        </w:rPr>
      </w:pPr>
      <w:r>
        <w:rPr>
          <w:rFonts w:ascii="Arial" w:cs="Arial" w:eastAsia="Arial" w:hAnsi="Arial"/>
          <w:sz w:val="15"/>
          <w:szCs w:val="15"/>
          <w:color w:val="auto"/>
        </w:rPr>
        <w:t>Grant revenue is generally recognized as the related research and development work is performed. Grant arrangements frequently include payment milestones which the Company has judged to be non-substantive milestones as they are typically entitled to receive payment regardless of the outcome of the research work. Revenue under such arrangements is recognized using a proportional performance method, but not in excess of cash actually received.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Amounts received prior to satisfying the above revenue recognition criteria are recorded as deferred revenue in the accompanying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45" w:name="page246"/>
    <w:bookmarkEnd w:id="2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Clinical trial costs</w:t>
      </w:r>
    </w:p>
    <w:p>
      <w:pPr>
        <w:spacing w:after="0" w:line="195" w:lineRule="exact"/>
        <w:rPr>
          <w:sz w:val="20"/>
          <w:szCs w:val="20"/>
          <w:color w:val="auto"/>
        </w:rPr>
      </w:pPr>
    </w:p>
    <w:p>
      <w:pPr>
        <w:ind w:right="160"/>
        <w:spacing w:after="0" w:line="319" w:lineRule="auto"/>
        <w:rPr>
          <w:sz w:val="20"/>
          <w:szCs w:val="20"/>
          <w:color w:val="auto"/>
        </w:rPr>
      </w:pPr>
      <w:r>
        <w:rPr>
          <w:rFonts w:ascii="Arial" w:cs="Arial" w:eastAsia="Arial" w:hAnsi="Arial"/>
          <w:sz w:val="14"/>
          <w:szCs w:val="14"/>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59"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Should such costs be incurred, they would be classified as a component of income tax expense.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The Company classifies Preferred Stock as temporary equity and initially records it at the original issuance price, net of issuance costs and discounts. The carrying value is accreted up to the redemption value over the earliest redemption period. The carrying value is also adjusted for dividends expected to be paid upon redemption or liquidation according to the preferred stock terms on each balance sheet date.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Company issues common stock warrants and redeemable convertible preferred stock warrants to investors and lenders. Common stock warrants are classified as a component of permanent equity because they are freestanding financial instruments that are legally detachable and separately exercisable from other debt and equity instruments, are contingently exercisable, do not embody an obligation for the Company to repurchase its own shares, and permit the holders to receive a fixed number of common shares upon exercise. In addition, such warrants require physical settlement and do not provide any guarantee of value or return. Common stock warrants are initially recorded at their issuance date fair value and are not subsequently re-measured. These warrants are valued using the Black-Scholes option pricing model ("Black-Scholes").</w:t>
      </w:r>
    </w:p>
    <w:p>
      <w:pPr>
        <w:spacing w:after="0" w:line="149"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Redeemable convertible preferred stock warrants are classified as a liability and are initially recorded at their fair value and re-measured on each subsequent balance sheet date while the warrants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46" w:name="page247"/>
    <w:bookmarkEnd w:id="24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right="360"/>
        <w:spacing w:after="0" w:line="282" w:lineRule="auto"/>
        <w:rPr>
          <w:sz w:val="20"/>
          <w:szCs w:val="20"/>
          <w:color w:val="auto"/>
        </w:rPr>
      </w:pPr>
      <w:r>
        <w:rPr>
          <w:rFonts w:ascii="Arial" w:cs="Arial" w:eastAsia="Arial" w:hAnsi="Arial"/>
          <w:sz w:val="15"/>
          <w:szCs w:val="15"/>
          <w:color w:val="auto"/>
        </w:rPr>
        <w:t>outstanding. Changes in fair value are recorded in interest expense, net in the accompanying consolidated statements of operations and comprehensive loss. The redeemable convertible warrants are valued using Black-Scholes.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The Company accounts for all stock-based compensation granted to employees and non-employees using a fair value method. Stock-based compensation awarded to employees is measured at the grant date fair value of stock option grants and is recognized over the requisite service period of the awards, usually the vesting period, on a straight-line basis, net of estimated forfeitures. Stock-based compensation awarded to non-employees are subject to revaluation over their vesting terms. The Company reduces recorded stock-based compensation for estimated forfeitures. To the extent that actual forfeitures differ from the Company's estimates, the differences are recorded as a cumulative adjustment in the period the estimates were adjusted. Stock-based compensation expense recognized in the financial statements is based on awards that are ultimately expected to vest.</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Comprehensive loss</w:t>
      </w:r>
    </w:p>
    <w:p>
      <w:pPr>
        <w:spacing w:after="0" w:line="195" w:lineRule="exact"/>
        <w:rPr>
          <w:sz w:val="20"/>
          <w:szCs w:val="20"/>
          <w:color w:val="auto"/>
        </w:rPr>
      </w:pPr>
    </w:p>
    <w:p>
      <w:pPr>
        <w:ind w:left="7" w:right="140"/>
        <w:spacing w:after="0" w:line="301" w:lineRule="auto"/>
        <w:rPr>
          <w:sz w:val="20"/>
          <w:szCs w:val="20"/>
          <w:color w:val="auto"/>
        </w:rPr>
      </w:pPr>
      <w:r>
        <w:rPr>
          <w:rFonts w:ascii="Arial" w:cs="Arial" w:eastAsia="Arial" w:hAnsi="Arial"/>
          <w:sz w:val="13"/>
          <w:szCs w:val="13"/>
          <w:color w:val="auto"/>
        </w:rPr>
        <w:t>Comprehensive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loss consists of both: (i) all components of net loss and</w:t>
      </w:r>
    </w:p>
    <w:p>
      <w:pPr>
        <w:ind w:left="7" w:right="340" w:hanging="7"/>
        <w:spacing w:after="0" w:line="275" w:lineRule="auto"/>
        <w:tabs>
          <w:tab w:leader="none" w:pos="229" w:val="left"/>
        </w:tabs>
        <w:numPr>
          <w:ilvl w:val="0"/>
          <w:numId w:val="136"/>
        </w:numPr>
        <w:rPr>
          <w:rFonts w:ascii="Arial" w:cs="Arial" w:eastAsia="Arial" w:hAnsi="Arial"/>
          <w:sz w:val="15"/>
          <w:szCs w:val="15"/>
          <w:color w:val="auto"/>
        </w:rPr>
      </w:pPr>
      <w:r>
        <w:rPr>
          <w:rFonts w:ascii="Arial" w:cs="Arial" w:eastAsia="Arial" w:hAnsi="Arial"/>
          <w:sz w:val="15"/>
          <w:szCs w:val="15"/>
          <w:color w:val="auto"/>
        </w:rPr>
        <w:t>all components of comprehensive loss other than net loss, referred to as other comprehensive loss. For all periods presented, other comprehensive loss is comprised solely of foreign currency translation adjustments.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Net loss per share</w:t>
      </w:r>
    </w:p>
    <w:p>
      <w:pPr>
        <w:spacing w:after="0" w:line="195" w:lineRule="exact"/>
        <w:rPr>
          <w:sz w:val="20"/>
          <w:szCs w:val="20"/>
          <w:color w:val="auto"/>
        </w:rPr>
      </w:pPr>
    </w:p>
    <w:p>
      <w:pPr>
        <w:ind w:left="7" w:right="100"/>
        <w:spacing w:after="0" w:line="266" w:lineRule="auto"/>
        <w:rPr>
          <w:sz w:val="20"/>
          <w:szCs w:val="20"/>
          <w:color w:val="auto"/>
        </w:rPr>
      </w:pPr>
      <w:r>
        <w:rPr>
          <w:rFonts w:ascii="Arial" w:cs="Arial" w:eastAsia="Arial" w:hAnsi="Arial"/>
          <w:sz w:val="15"/>
          <w:szCs w:val="15"/>
          <w:color w:val="auto"/>
        </w:rPr>
        <w:t>Because the outstanding preferred stock is considered a participating security, the Company utilizes the "two-class" method of computing earnings per share. Under the "two-class" method, in periods in which the Company would report income from continuing operations, such income would be reduced by any dividends directly attributable to the preferred stock and the remainder would then be allocated between the preferred stock and the common stock based on their proportionate as converted interest. Net losses are not allocated to preferred stockholders as they do not have an obligation to share in the Company's net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47" w:name="page248"/>
    <w:bookmarkEnd w:id="2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giving consideration to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anti-dilutive and basic and diluted loss per share have been the same.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rent</w:t>
      </w:r>
    </w:p>
    <w:p>
      <w:pPr>
        <w:spacing w:after="0" w:line="195"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Rent expense and lease incentives from operating leases are recognized on a straight-line basis over the lease term. The difference between rent expense recognized and rental payments is recorded as deferred rent in the accompanying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Contingent liabilities</w:t>
      </w:r>
    </w:p>
    <w:p>
      <w:pPr>
        <w:spacing w:after="0" w:line="195"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 xml:space="preserve">The Company accounts for its contingent liabilities in accordance with ASC No. 450, </w:t>
      </w:r>
      <w:r>
        <w:rPr>
          <w:rFonts w:ascii="Arial" w:cs="Arial" w:eastAsia="Arial" w:hAnsi="Arial"/>
          <w:sz w:val="14"/>
          <w:szCs w:val="14"/>
          <w:i w:val="1"/>
          <w:iCs w:val="1"/>
          <w:color w:val="auto"/>
        </w:rPr>
        <w:t>Contingencies</w:t>
      </w:r>
      <w:r>
        <w:rPr>
          <w:rFonts w:ascii="Arial" w:cs="Arial" w:eastAsia="Arial" w:hAnsi="Arial"/>
          <w:sz w:val="14"/>
          <w:szCs w:val="14"/>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December 31, 2014 and 2015, and at March 31, 2016, the Company was not a party to any ligation that could have a material adverse effect on the Company's business, financial position,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issuance costs</w:t>
      </w:r>
    </w:p>
    <w:p>
      <w:pPr>
        <w:spacing w:after="0" w:line="195"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Direct and incremental legal and accounting costs associated with the Company's proposed initial public offering totaled approximately $2.5 million through March 31, 2016. Such costs are recorded as Other assets on the Consolidated Balance Sheet and will be used as an offset against the proceeds received in the offering. If the proposed initial public offering were no longer probable of occurring, the deferred costs would be expensed at that time.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Guarantees and indemnifications</w:t>
      </w:r>
    </w:p>
    <w:p>
      <w:pPr>
        <w:spacing w:after="0" w:line="195"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As permitted under Delaware law, the Company indemnifies its officers, directors, consultants and employees for certain events or occurrences that happen by reason of the relationship with, or position held at, the Company. Through March 31, 2016,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("ASU 2014-09"), which amends the guidance for revenue recognition to replace numerous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48" w:name="page249"/>
    <w:bookmarkEnd w:id="2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The Company is currently in the process of evaluating the effect the adoption of ASU 2014-09 may have on its financial statements.</w:t>
      </w:r>
    </w:p>
    <w:p>
      <w:pPr>
        <w:spacing w:after="0" w:line="167" w:lineRule="exact"/>
        <w:rPr>
          <w:sz w:val="20"/>
          <w:szCs w:val="20"/>
          <w:color w:val="auto"/>
        </w:rPr>
      </w:pPr>
    </w:p>
    <w:p>
      <w:pPr>
        <w:ind w:right="140"/>
        <w:spacing w:after="0" w:line="297" w:lineRule="auto"/>
        <w:rPr>
          <w:sz w:val="20"/>
          <w:szCs w:val="20"/>
          <w:color w:val="auto"/>
        </w:rPr>
      </w:pPr>
      <w:r>
        <w:rPr>
          <w:rFonts w:ascii="Arial" w:cs="Arial" w:eastAsia="Arial" w:hAnsi="Arial"/>
          <w:sz w:val="14"/>
          <w:szCs w:val="14"/>
          <w:color w:val="auto"/>
        </w:rPr>
        <w:t xml:space="preserve">In August 2014, the FASB issued ASU 2014-15, </w:t>
      </w:r>
      <w:r>
        <w:rPr>
          <w:rFonts w:ascii="Arial" w:cs="Arial" w:eastAsia="Arial" w:hAnsi="Arial"/>
          <w:sz w:val="14"/>
          <w:szCs w:val="14"/>
          <w:i w:val="1"/>
          <w:iCs w:val="1"/>
          <w:color w:val="auto"/>
        </w:rPr>
        <w:t>Presentation of Financial Statements-Going Concern</w:t>
      </w:r>
      <w:r>
        <w:rPr>
          <w:rFonts w:ascii="Arial" w:cs="Arial" w:eastAsia="Arial" w:hAnsi="Arial"/>
          <w:sz w:val="14"/>
          <w:szCs w:val="14"/>
          <w:color w:val="auto"/>
        </w:rPr>
        <w:t xml:space="preserve"> ("ASU 2014-15"). ASU 2014-15 requires management to assess an entity's ability to continue as a going concern and to provide related disclosures in certain circumstances. The requirement of ASU 2014-15 will be effective for the annual financial statement period beginning after December 15, 2016, with early adoption permitted. The Company is currently in the process of evaluating the impact of adopting ASU 2014-15.</w:t>
      </w:r>
    </w:p>
    <w:p>
      <w:pPr>
        <w:spacing w:after="0" w:line="14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 xml:space="preserve">In February 2016, FASB issued ASU No.2016-02,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 fiscal years, and is to be applied at the beginning of the earliest period presented using a modified retrospective approach.</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Net loss per share</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Because the Company has reported a net loss attributable to common stockholders for all periods presented, basic and diluted net loss per share attributable to common stockholders are the same for those periods. All Preferred Stock, common stock warrants, Preferred Stock warrants, and stock options have been excluded from the computation of diluted weighted average shares outstanding because such securities would have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49" w:name="page250"/>
    <w:bookmarkEnd w:id="2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computation of basic and diluted net loss per share and has been retrospectively adjusted to reflect the effect of a reverse common stock split effected in</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June 2016 (in thousands, except share and per-share data):</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6"/>
          </w:tcPr>
          <w:p>
            <w:pPr>
              <w:jc w:val="right"/>
              <w:ind w:right="46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6"/>
          </w:tcPr>
          <w:p>
            <w:pPr>
              <w:jc w:val="right"/>
              <w:ind w:right="280"/>
              <w:spacing w:after="0"/>
              <w:rPr>
                <w:sz w:val="20"/>
                <w:szCs w:val="20"/>
                <w:color w:val="auto"/>
              </w:rPr>
            </w:pPr>
            <w:r>
              <w:rPr>
                <w:rFonts w:ascii="Arial" w:cs="Arial" w:eastAsia="Arial" w:hAnsi="Arial"/>
                <w:sz w:val="12"/>
                <w:szCs w:val="12"/>
                <w:b w:val="1"/>
                <w:bCs w:val="1"/>
                <w:color w:val="auto"/>
              </w:rPr>
              <w:t>Year ended December 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spacing w:after="0"/>
              <w:rPr>
                <w:sz w:val="20"/>
                <w:szCs w:val="20"/>
                <w:color w:val="auto"/>
              </w:rPr>
            </w:pPr>
            <w:r>
              <w:rPr>
                <w:rFonts w:ascii="Arial" w:cs="Arial" w:eastAsia="Arial" w:hAnsi="Arial"/>
                <w:sz w:val="12"/>
                <w:szCs w:val="12"/>
                <w:b w:val="1"/>
                <w:bCs w:val="1"/>
                <w:color w:val="auto"/>
              </w:rPr>
              <w:t>March 31,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4"/>
          </w:tcPr>
          <w:p>
            <w:pPr>
              <w:jc w:val="right"/>
              <w:spacing w:after="0" w:line="120" w:lineRule="exact"/>
              <w:rPr>
                <w:sz w:val="20"/>
                <w:szCs w:val="20"/>
                <w:color w:val="auto"/>
              </w:rPr>
            </w:pPr>
            <w:r>
              <w:rPr>
                <w:rFonts w:ascii="Arial" w:cs="Arial" w:eastAsia="Arial" w:hAnsi="Arial"/>
                <w:sz w:val="12"/>
                <w:szCs w:val="12"/>
                <w:b w:val="1"/>
                <w:bCs w:val="1"/>
                <w:color w:val="auto"/>
              </w:rPr>
              <w:t>(unaudited)</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20"/>
                <w:szCs w:val="20"/>
                <w:color w:val="auto"/>
              </w:rPr>
            </w:pPr>
            <w:r>
              <w:rPr>
                <w:rFonts w:ascii="Arial" w:cs="Arial" w:eastAsia="Arial" w:hAnsi="Arial"/>
                <w:sz w:val="15"/>
                <w:szCs w:val="15"/>
                <w:color w:val="auto"/>
              </w:rPr>
              <w:t>Net (loss)</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(12,880)</w:t>
            </w:r>
          </w:p>
        </w:tc>
        <w:tc>
          <w:tcPr>
            <w:tcW w:w="22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(25,174)</w:t>
            </w: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(5,733)</w:t>
            </w:r>
          </w:p>
        </w:tc>
        <w:tc>
          <w:tcPr>
            <w:tcW w:w="280" w:type="dxa"/>
            <w:vAlign w:val="bottom"/>
            <w:gridSpan w:val="2"/>
          </w:tcPr>
          <w:p>
            <w:pPr>
              <w:jc w:val="right"/>
              <w:ind w:right="85"/>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(7,476)</w:t>
            </w: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Less: accretion on preferred stock</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(7,335)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(1,561)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(2,356)</w:t>
            </w:r>
          </w:p>
        </w:tc>
        <w:tc>
          <w:tcPr>
            <w:tcW w:w="0" w:type="dxa"/>
            <w:vAlign w:val="bottom"/>
          </w:tcPr>
          <w:p>
            <w:pPr>
              <w:spacing w:after="0"/>
              <w:rPr>
                <w:sz w:val="1"/>
                <w:szCs w:val="1"/>
                <w:color w:val="auto"/>
              </w:rPr>
            </w:pPr>
          </w:p>
        </w:tc>
      </w:tr>
      <w:tr>
        <w:trPr>
          <w:trHeight w:val="185"/>
        </w:trPr>
        <w:tc>
          <w:tcPr>
            <w:tcW w:w="5120" w:type="dxa"/>
            <w:vAlign w:val="bottom"/>
          </w:tcPr>
          <w:p>
            <w:pPr>
              <w:ind w:left="160"/>
              <w:spacing w:after="0"/>
              <w:rPr>
                <w:sz w:val="20"/>
                <w:szCs w:val="20"/>
                <w:color w:val="auto"/>
              </w:rPr>
            </w:pPr>
            <w:r>
              <w:rPr>
                <w:rFonts w:ascii="Arial" w:cs="Arial" w:eastAsia="Arial" w:hAnsi="Arial"/>
                <w:sz w:val="15"/>
                <w:szCs w:val="15"/>
                <w:color w:val="auto"/>
              </w:rPr>
              <w:t>Net effect of extinguishment of preferred 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1,459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common stockholders</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(16,372)</w:t>
            </w: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(32,509)</w:t>
            </w: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(7,294)</w:t>
            </w:r>
          </w:p>
        </w:tc>
        <w:tc>
          <w:tcPr>
            <w:tcW w:w="28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(9,832)</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5"/>
                <w:szCs w:val="15"/>
                <w:b w:val="1"/>
                <w:bCs w:val="1"/>
                <w:color w:val="auto"/>
              </w:rPr>
              <w:t>Denominator:</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outstanding—basic and diluted</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2,090,677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2,150,422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2,126,878</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2,175,037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5"/>
                <w:szCs w:val="15"/>
                <w:color w:val="auto"/>
              </w:rPr>
              <w:t>Net loss per share attributable to common stockholders—basic and diluted</w:t>
            </w: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2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(7.84)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5"/>
              <w:spacing w:after="0" w:line="160"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(15.13)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(3.43)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5"/>
              <w:spacing w:after="0" w:line="160"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(4.52)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Potential common shares issuable upon conversion of Preferred Stock, warrants to purchase common or Preferred Stock, and stock options that are excluded from the computation of diluted weighted average shares outstanding are as follows: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5300" w:type="dxa"/>
            <w:vAlign w:val="bottom"/>
          </w:tcPr>
          <w:p>
            <w:pPr>
              <w:spacing w:after="0"/>
              <w:rPr>
                <w:sz w:val="12"/>
                <w:szCs w:val="12"/>
                <w:color w:val="auto"/>
              </w:rPr>
            </w:pPr>
          </w:p>
        </w:tc>
        <w:tc>
          <w:tcPr>
            <w:tcW w:w="1780" w:type="dxa"/>
            <w:vAlign w:val="bottom"/>
            <w:gridSpan w:val="3"/>
          </w:tcPr>
          <w:p>
            <w:pPr>
              <w:jc w:val="right"/>
              <w:ind w:right="65"/>
              <w:spacing w:after="0"/>
              <w:rPr>
                <w:sz w:val="20"/>
                <w:szCs w:val="20"/>
                <w:color w:val="auto"/>
              </w:rPr>
            </w:pPr>
            <w:r>
              <w:rPr>
                <w:rFonts w:ascii="Arial" w:cs="Arial" w:eastAsia="Arial" w:hAnsi="Arial"/>
                <w:sz w:val="12"/>
                <w:szCs w:val="12"/>
                <w:b w:val="1"/>
                <w:bCs w:val="1"/>
                <w:color w:val="auto"/>
              </w:rPr>
              <w:t>Year ended December 31,</w:t>
            </w:r>
          </w:p>
        </w:tc>
        <w:tc>
          <w:tcPr>
            <w:tcW w:w="140" w:type="dxa"/>
            <w:vAlign w:val="bottom"/>
          </w:tcPr>
          <w:p>
            <w:pPr>
              <w:spacing w:after="0"/>
              <w:rPr>
                <w:sz w:val="12"/>
                <w:szCs w:val="12"/>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March 31,</w:t>
            </w:r>
          </w:p>
        </w:tc>
      </w:tr>
      <w:tr>
        <w:trPr>
          <w:trHeight w:val="154"/>
        </w:trPr>
        <w:tc>
          <w:tcPr>
            <w:tcW w:w="530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2014</w:t>
            </w:r>
          </w:p>
        </w:tc>
        <w:tc>
          <w:tcPr>
            <w:tcW w:w="1000" w:type="dxa"/>
            <w:vAlign w:val="bottom"/>
            <w:tcBorders>
              <w:top w:val="single" w:sz="8" w:color="auto"/>
              <w:bottom w:val="single" w:sz="8" w:color="auto"/>
            </w:tcBorders>
            <w:gridSpan w:val="2"/>
          </w:tcPr>
          <w:p>
            <w:pPr>
              <w:jc w:val="right"/>
              <w:ind w:right="225"/>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2015</w:t>
            </w:r>
          </w:p>
        </w:tc>
        <w:tc>
          <w:tcPr>
            <w:tcW w:w="1000" w:type="dxa"/>
            <w:vAlign w:val="bottom"/>
            <w:tcBorders>
              <w:top w:val="single" w:sz="8" w:color="auto"/>
              <w:bottom w:val="single" w:sz="8" w:color="auto"/>
            </w:tcBorders>
            <w:gridSpan w:val="2"/>
          </w:tcPr>
          <w:p>
            <w:pPr>
              <w:jc w:val="right"/>
              <w:ind w:right="225"/>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5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3"/>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Redeemable convertible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6,471,358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9,890,580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6,471,358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9,890,580</w:t>
            </w:r>
          </w:p>
        </w:tc>
        <w:tc>
          <w:tcPr>
            <w:tcW w:w="140" w:type="dxa"/>
            <w:vAlign w:val="bottom"/>
            <w:shd w:val="clear" w:color="auto" w:fill="CCEEFF"/>
          </w:tcPr>
          <w:p>
            <w:pPr>
              <w:spacing w:after="0"/>
              <w:rPr>
                <w:sz w:val="16"/>
                <w:szCs w:val="16"/>
                <w:color w:val="auto"/>
              </w:rPr>
            </w:pPr>
          </w:p>
        </w:tc>
      </w:tr>
      <w:tr>
        <w:trPr>
          <w:trHeight w:val="185"/>
        </w:trPr>
        <w:tc>
          <w:tcPr>
            <w:tcW w:w="5300" w:type="dxa"/>
            <w:vAlign w:val="bottom"/>
          </w:tcPr>
          <w:p>
            <w:pPr>
              <w:spacing w:after="0"/>
              <w:rPr>
                <w:sz w:val="20"/>
                <w:szCs w:val="20"/>
                <w:color w:val="auto"/>
              </w:rPr>
            </w:pPr>
            <w:r>
              <w:rPr>
                <w:rFonts w:ascii="Arial" w:cs="Arial" w:eastAsia="Arial" w:hAnsi="Arial"/>
                <w:sz w:val="15"/>
                <w:szCs w:val="15"/>
                <w:color w:val="auto"/>
              </w:rPr>
              <w:t>Stock options to purchase common stock</w:t>
            </w:r>
          </w:p>
        </w:tc>
        <w:tc>
          <w:tcPr>
            <w:tcW w:w="780" w:type="dxa"/>
            <w:vAlign w:val="bottom"/>
          </w:tcPr>
          <w:p>
            <w:pPr>
              <w:jc w:val="right"/>
              <w:spacing w:after="0"/>
              <w:rPr>
                <w:sz w:val="20"/>
                <w:szCs w:val="20"/>
                <w:color w:val="auto"/>
              </w:rPr>
            </w:pPr>
            <w:r>
              <w:rPr>
                <w:rFonts w:ascii="Arial" w:cs="Arial" w:eastAsia="Arial" w:hAnsi="Arial"/>
                <w:sz w:val="15"/>
                <w:szCs w:val="15"/>
                <w:color w:val="auto"/>
              </w:rPr>
              <w:t>1,143,237</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1,569,379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1,247,562</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1,736,682</w:t>
            </w:r>
          </w:p>
        </w:tc>
        <w:tc>
          <w:tcPr>
            <w:tcW w:w="140" w:type="dxa"/>
            <w:vAlign w:val="bottom"/>
          </w:tcPr>
          <w:p>
            <w:pPr>
              <w:spacing w:after="0"/>
              <w:rPr>
                <w:sz w:val="16"/>
                <w:szCs w:val="16"/>
                <w:color w:val="auto"/>
              </w:rPr>
            </w:pPr>
          </w:p>
        </w:tc>
      </w:tr>
      <w:tr>
        <w:trPr>
          <w:trHeight w:val="185"/>
        </w:trPr>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Stock warrants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650,618</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650,618</w:t>
            </w:r>
          </w:p>
        </w:tc>
        <w:tc>
          <w:tcPr>
            <w:tcW w:w="140" w:type="dxa"/>
            <w:vAlign w:val="bottom"/>
            <w:shd w:val="clear" w:color="auto" w:fill="CCEEFF"/>
          </w:tcPr>
          <w:p>
            <w:pPr>
              <w:spacing w:after="0"/>
              <w:rPr>
                <w:sz w:val="16"/>
                <w:szCs w:val="16"/>
                <w:color w:val="auto"/>
              </w:rPr>
            </w:pPr>
          </w:p>
        </w:tc>
      </w:tr>
      <w:tr>
        <w:trPr>
          <w:trHeight w:val="185"/>
        </w:trPr>
        <w:tc>
          <w:tcPr>
            <w:tcW w:w="5300" w:type="dxa"/>
            <w:vAlign w:val="bottom"/>
          </w:tcPr>
          <w:p>
            <w:pPr>
              <w:spacing w:after="0"/>
              <w:rPr>
                <w:sz w:val="20"/>
                <w:szCs w:val="20"/>
                <w:color w:val="auto"/>
              </w:rPr>
            </w:pPr>
            <w:r>
              <w:rPr>
                <w:rFonts w:ascii="Arial" w:cs="Arial" w:eastAsia="Arial" w:hAnsi="Arial"/>
                <w:sz w:val="15"/>
                <w:szCs w:val="15"/>
                <w:color w:val="auto"/>
              </w:rPr>
              <w:t>Redeemable convertible preferred stock warrants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17,094</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26,832</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17,094</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26,832</w:t>
            </w:r>
          </w:p>
        </w:tc>
        <w:tc>
          <w:tcPr>
            <w:tcW w:w="140" w:type="dxa"/>
            <w:vAlign w:val="bottom"/>
          </w:tcPr>
          <w:p>
            <w:pPr>
              <w:spacing w:after="0"/>
              <w:rPr>
                <w:sz w:val="16"/>
                <w:szCs w:val="16"/>
                <w:color w:val="auto"/>
              </w:rPr>
            </w:pPr>
          </w:p>
        </w:tc>
      </w:tr>
      <w:tr>
        <w:trPr>
          <w:trHeight w:val="177"/>
        </w:trPr>
        <w:tc>
          <w:tcPr>
            <w:tcW w:w="5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7,631,689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12,137,409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7,736,014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12,304,712</w:t>
            </w:r>
          </w:p>
        </w:tc>
        <w:tc>
          <w:tcPr>
            <w:tcW w:w="140" w:type="dxa"/>
            <w:vAlign w:val="bottom"/>
            <w:shd w:val="clear" w:color="auto" w:fill="CCEEFF"/>
          </w:tcPr>
          <w:p>
            <w:pPr>
              <w:spacing w:after="0"/>
              <w:rPr>
                <w:sz w:val="15"/>
                <w:szCs w:val="15"/>
                <w:color w:val="auto"/>
              </w:rPr>
            </w:pPr>
          </w:p>
        </w:tc>
      </w:tr>
      <w:tr>
        <w:trPr>
          <w:trHeight w:val="20"/>
        </w:trPr>
        <w:tc>
          <w:tcPr>
            <w:tcW w:w="5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The unaudited pro forma basic and diluted net loss per share attributable to common stockholders for the year ended December 31, 2015, and the three months ended March 31, 2016, has been computed using the weighted average common shares outstanding after giving pro forma effect to the automatic conversion of all shares of Preferred Stock into shares of common stock, the automatic conversion of all Preferred Stock warrants into common stock warrants, and the automatic net exercise of warrants to purchase common stock upon the filing of a registration statement on Form S-1 as if such conversions or exercises had occurred at the beginning of 2015 or the date of original issuance, if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250" w:name="page251"/>
    <w:bookmarkEnd w:id="2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computation of the pro forma net loss per share (in thousands, except share and per share data):</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Three</w:t>
            </w:r>
          </w:p>
        </w:tc>
        <w:tc>
          <w:tcPr>
            <w:tcW w:w="0" w:type="dxa"/>
            <w:vAlign w:val="bottom"/>
          </w:tcPr>
          <w:p>
            <w:pPr>
              <w:spacing w:after="0"/>
              <w:rPr>
                <w:sz w:val="1"/>
                <w:szCs w:val="1"/>
                <w:color w:val="auto"/>
              </w:rPr>
            </w:pPr>
          </w:p>
        </w:tc>
      </w:tr>
      <w:tr>
        <w:trPr>
          <w:trHeight w:val="139"/>
        </w:trPr>
        <w:tc>
          <w:tcPr>
            <w:tcW w:w="6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Year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months</w:t>
            </w:r>
          </w:p>
        </w:tc>
        <w:tc>
          <w:tcPr>
            <w:tcW w:w="0" w:type="dxa"/>
            <w:vAlign w:val="bottom"/>
          </w:tcPr>
          <w:p>
            <w:pPr>
              <w:spacing w:after="0"/>
              <w:rPr>
                <w:sz w:val="1"/>
                <w:szCs w:val="1"/>
                <w:color w:val="auto"/>
              </w:rPr>
            </w:pPr>
          </w:p>
        </w:tc>
      </w:tr>
      <w:tr>
        <w:trPr>
          <w:trHeight w:val="139"/>
        </w:trPr>
        <w:tc>
          <w:tcPr>
            <w:tcW w:w="6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54"/>
        </w:trPr>
        <w:tc>
          <w:tcPr>
            <w:tcW w:w="6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88"/>
              </w:rPr>
              <w:t>(unaudited)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0"/>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6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8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(32,509)</w:t>
            </w: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(9,832)</w:t>
            </w:r>
          </w:p>
        </w:tc>
        <w:tc>
          <w:tcPr>
            <w:tcW w:w="0" w:type="dxa"/>
            <w:vAlign w:val="bottom"/>
          </w:tcPr>
          <w:p>
            <w:pPr>
              <w:spacing w:after="0"/>
              <w:rPr>
                <w:sz w:val="1"/>
                <w:szCs w:val="1"/>
                <w:color w:val="auto"/>
              </w:rPr>
            </w:pPr>
          </w:p>
        </w:tc>
      </w:tr>
      <w:tr>
        <w:trPr>
          <w:trHeight w:val="185"/>
        </w:trPr>
        <w:tc>
          <w:tcPr>
            <w:tcW w:w="6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Less: accrued dividends and accretion on preferred stock</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80" w:type="dxa"/>
            <w:vAlign w:val="bottom"/>
          </w:tcPr>
          <w:p>
            <w:pPr>
              <w:ind w:left="160"/>
              <w:spacing w:after="0"/>
              <w:rPr>
                <w:sz w:val="20"/>
                <w:szCs w:val="20"/>
                <w:color w:val="auto"/>
              </w:rPr>
            </w:pPr>
            <w:r>
              <w:rPr>
                <w:rFonts w:ascii="Arial" w:cs="Arial" w:eastAsia="Arial" w:hAnsi="Arial"/>
                <w:sz w:val="15"/>
                <w:szCs w:val="15"/>
                <w:color w:val="auto"/>
              </w:rPr>
              <w:t>Change in fair value of preferred stock warrants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(83)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common stockholders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(25,257)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(7,456)</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5"/>
                <w:szCs w:val="15"/>
                <w:b w:val="1"/>
                <w:bCs w:val="1"/>
                <w:color w:val="auto"/>
              </w:rPr>
              <w:t>Denominator:</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8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outstanding—basic and diluted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2,150,472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2,175,037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80" w:type="dxa"/>
            <w:vAlign w:val="bottom"/>
          </w:tcPr>
          <w:p>
            <w:pPr>
              <w:spacing w:after="0"/>
              <w:rPr>
                <w:sz w:val="20"/>
                <w:szCs w:val="20"/>
                <w:color w:val="auto"/>
              </w:rPr>
            </w:pPr>
            <w:r>
              <w:rPr>
                <w:rFonts w:ascii="Arial" w:cs="Arial" w:eastAsia="Arial" w:hAnsi="Arial"/>
                <w:sz w:val="15"/>
                <w:szCs w:val="15"/>
                <w:color w:val="auto"/>
              </w:rPr>
              <w:t>Adjustment for assumed conversion of preferred stock</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7,637,239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9,890,580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w w:val="92"/>
              </w:rPr>
              <w:t>Adjustment for assumed effect of cashless conversion of common stock warrants issued with Series E preferred</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stock</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192,809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567,306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9,980,469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12,632,923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Net loss per share attributable to common stockholders—basic and 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(2.53)</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(0.59)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Fair Value Measurements</w:t>
      </w:r>
    </w:p>
    <w:p>
      <w:pPr>
        <w:spacing w:after="0" w:line="195"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The tables below present information about the Company's financial assets and liabilities that are measured and carried at fair value as of December 31, 2014 and 2015 (in thousands) and indicate the level within the fair value hierarchy where each measurement is classified.</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8"/>
          </w:tcPr>
          <w:p>
            <w:pPr>
              <w:ind w:left="120"/>
              <w:spacing w:after="0"/>
              <w:rPr>
                <w:sz w:val="20"/>
                <w:szCs w:val="20"/>
                <w:color w:val="auto"/>
              </w:rPr>
            </w:pPr>
            <w:r>
              <w:rPr>
                <w:rFonts w:ascii="Arial" w:cs="Arial" w:eastAsia="Arial" w:hAnsi="Arial"/>
                <w:sz w:val="12"/>
                <w:szCs w:val="12"/>
                <w:b w:val="1"/>
                <w:bCs w:val="1"/>
                <w:color w:val="auto"/>
                <w:w w:val="98"/>
              </w:rPr>
              <w:t>December 31, 2014</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6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2"/>
                <w:szCs w:val="12"/>
                <w:b w:val="1"/>
                <w:bCs w:val="1"/>
                <w:color w:val="auto"/>
              </w:rPr>
              <w:t>(level 2)</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8"/>
              </w:rPr>
              <w:t>(level 3)</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w w:val="92"/>
              </w:rPr>
              <w:t>Warrants to purchase redeemable convertible preferred stock, included in other long term liabilities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11"/>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left w:val="single" w:sz="8" w:color="CCEEFF"/>
            </w:tcBorders>
            <w:gridSpan w:val="2"/>
            <w:shd w:val="clear" w:color="auto" w:fill="CCEEFF"/>
          </w:tcPr>
          <w:p>
            <w:pPr>
              <w:jc w:val="right"/>
              <w:ind w:right="211"/>
              <w:spacing w:after="0"/>
              <w:rPr>
                <w:sz w:val="20"/>
                <w:szCs w:val="20"/>
                <w:color w:val="auto"/>
              </w:rPr>
            </w:pPr>
            <w:r>
              <w:rPr>
                <w:rFonts w:ascii="Arial" w:cs="Arial" w:eastAsia="Arial" w:hAnsi="Arial"/>
                <w:sz w:val="15"/>
                <w:szCs w:val="15"/>
                <w:color w:val="auto"/>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236</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21"/>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9"/>
          </w:tcPr>
          <w:p>
            <w:pPr>
              <w:ind w:left="20"/>
              <w:spacing w:after="0"/>
              <w:rPr>
                <w:sz w:val="20"/>
                <w:szCs w:val="20"/>
                <w:color w:val="auto"/>
              </w:rPr>
            </w:pPr>
            <w:r>
              <w:rPr>
                <w:rFonts w:ascii="Arial" w:cs="Arial" w:eastAsia="Arial" w:hAnsi="Arial"/>
                <w:sz w:val="12"/>
                <w:szCs w:val="12"/>
                <w:b w:val="1"/>
                <w:bCs w:val="1"/>
                <w:color w:val="auto"/>
              </w:rPr>
              <w:t>December 31, 2015</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6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2"/>
                <w:szCs w:val="12"/>
                <w:b w:val="1"/>
                <w:bCs w:val="1"/>
                <w:color w:val="auto"/>
                <w:w w:val="98"/>
              </w:rPr>
              <w:t>(level 1)</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(level 2)</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6"/>
          </w:tcPr>
          <w:p>
            <w:pPr>
              <w:ind w:left="40"/>
              <w:spacing w:after="0"/>
              <w:rPr>
                <w:sz w:val="20"/>
                <w:szCs w:val="20"/>
                <w:color w:val="auto"/>
              </w:rPr>
            </w:pPr>
            <w:r>
              <w:rPr>
                <w:rFonts w:ascii="Arial" w:cs="Arial" w:eastAsia="Arial" w:hAnsi="Arial"/>
                <w:sz w:val="12"/>
                <w:szCs w:val="12"/>
                <w:b w:val="1"/>
                <w:bCs w:val="1"/>
                <w:color w:val="auto"/>
              </w:rPr>
              <w:t>(level 3)</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US Treasury obligations, included in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14,486</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14,486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5"/>
                <w:szCs w:val="15"/>
                <w:color w:val="auto"/>
              </w:rPr>
              <w:t>US Treasury obligations, included in investments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3,516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60" w:type="dxa"/>
            <w:vAlign w:val="bottom"/>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3,516</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w w:val="92"/>
              </w:rPr>
              <w:t>Warrants to purchase redeemable convertible preferred stock, included in other long term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290</w:t>
            </w: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1" w:name="page252"/>
    <w:bookmarkEnd w:id="25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200" w:lineRule="exact"/>
        <w:rPr>
          <w:sz w:val="20"/>
          <w:szCs w:val="20"/>
          <w:color w:val="auto"/>
        </w:rPr>
      </w:pPr>
    </w:p>
    <w:p>
      <w:pPr>
        <w:spacing w:after="0" w:line="37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gridSpan w:val="11"/>
          </w:tcPr>
          <w:p>
            <w:pPr>
              <w:jc w:val="center"/>
              <w:ind w:right="300"/>
              <w:spacing w:after="0"/>
              <w:rPr>
                <w:sz w:val="20"/>
                <w:szCs w:val="20"/>
                <w:color w:val="auto"/>
              </w:rPr>
            </w:pPr>
            <w:r>
              <w:rPr>
                <w:rFonts w:ascii="Arial" w:cs="Arial" w:eastAsia="Arial" w:hAnsi="Arial"/>
                <w:sz w:val="12"/>
                <w:szCs w:val="12"/>
                <w:b w:val="1"/>
                <w:bCs w:val="1"/>
                <w:color w:val="auto"/>
              </w:rPr>
              <w:t>Three months ended March 31, 2016</w:t>
            </w:r>
          </w:p>
        </w:tc>
      </w:tr>
      <w:tr>
        <w:trPr>
          <w:trHeight w:val="154"/>
        </w:trPr>
        <w:tc>
          <w:tcPr>
            <w:tcW w:w="6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2"/>
                <w:szCs w:val="12"/>
                <w:b w:val="1"/>
                <w:bCs w:val="1"/>
                <w:color w:val="auto"/>
              </w:rPr>
              <w:t>(level 1)</w:t>
            </w: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2)</w:t>
            </w: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(level 3)</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19"/>
        </w:trPr>
        <w:tc>
          <w:tcPr>
            <w:tcW w:w="6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3"/>
          </w:tcPr>
          <w:p>
            <w:pPr>
              <w:jc w:val="center"/>
              <w:ind w:left="9"/>
              <w:spacing w:after="0" w:line="120" w:lineRule="exact"/>
              <w:rPr>
                <w:sz w:val="20"/>
                <w:szCs w:val="20"/>
                <w:color w:val="auto"/>
              </w:rPr>
            </w:pPr>
            <w:r>
              <w:rPr>
                <w:rFonts w:ascii="Arial" w:cs="Arial" w:eastAsia="Arial" w:hAnsi="Arial"/>
                <w:sz w:val="12"/>
                <w:szCs w:val="12"/>
                <w:b w:val="1"/>
                <w:bCs w:val="1"/>
                <w:color w:val="auto"/>
                <w:w w:val="88"/>
              </w:rPr>
              <w:t>(unaudited)</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5"/>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US Treasury obligations, included in cash equivalents</w:t>
            </w:r>
          </w:p>
        </w:tc>
        <w:tc>
          <w:tcPr>
            <w:tcW w:w="3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340" w:type="dxa"/>
            <w:vAlign w:val="bottom"/>
            <w:gridSpan w:val="2"/>
            <w:shd w:val="clear" w:color="auto" w:fill="CCEEFF"/>
          </w:tcPr>
          <w:p>
            <w:pPr>
              <w:jc w:val="right"/>
              <w:ind w:right="71"/>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3"/>
              </w:rPr>
              <w:t>—</w:t>
            </w:r>
          </w:p>
        </w:tc>
        <w:tc>
          <w:tcPr>
            <w:tcW w:w="42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40" w:type="dxa"/>
            <w:vAlign w:val="bottom"/>
            <w:shd w:val="clear" w:color="auto" w:fill="CCEEFF"/>
          </w:tcPr>
          <w:p>
            <w:pPr>
              <w:spacing w:after="0"/>
              <w:rPr>
                <w:sz w:val="16"/>
                <w:szCs w:val="16"/>
                <w:color w:val="auto"/>
              </w:rPr>
            </w:pPr>
          </w:p>
        </w:tc>
      </w:tr>
      <w:tr>
        <w:trPr>
          <w:trHeight w:val="185"/>
        </w:trPr>
        <w:tc>
          <w:tcPr>
            <w:tcW w:w="6140" w:type="dxa"/>
            <w:vAlign w:val="bottom"/>
          </w:tcPr>
          <w:p>
            <w:pPr>
              <w:spacing w:after="0"/>
              <w:rPr>
                <w:sz w:val="20"/>
                <w:szCs w:val="20"/>
                <w:color w:val="auto"/>
              </w:rPr>
            </w:pPr>
            <w:r>
              <w:rPr>
                <w:rFonts w:ascii="Arial" w:cs="Arial" w:eastAsia="Arial" w:hAnsi="Arial"/>
                <w:sz w:val="15"/>
                <w:szCs w:val="15"/>
                <w:color w:val="auto"/>
              </w:rPr>
              <w:t>US Treasury obligations, included in investments</w:t>
            </w:r>
          </w:p>
        </w:tc>
        <w:tc>
          <w:tcPr>
            <w:tcW w:w="340" w:type="dxa"/>
            <w:vAlign w:val="bottom"/>
            <w:gridSpan w:val="2"/>
          </w:tcPr>
          <w:p>
            <w:pPr>
              <w:jc w:val="right"/>
              <w:ind w:right="11"/>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6,928</w:t>
            </w:r>
          </w:p>
        </w:tc>
        <w:tc>
          <w:tcPr>
            <w:tcW w:w="340" w:type="dxa"/>
            <w:vAlign w:val="bottom"/>
            <w:gridSpan w:val="2"/>
          </w:tcPr>
          <w:p>
            <w:pPr>
              <w:jc w:val="right"/>
              <w:ind w:right="71"/>
              <w:spacing w:after="0"/>
              <w:rPr>
                <w:sz w:val="20"/>
                <w:szCs w:val="20"/>
                <w:color w:val="auto"/>
              </w:rPr>
            </w:pPr>
            <w:r>
              <w:rPr>
                <w:rFonts w:ascii="Arial" w:cs="Arial" w:eastAsia="Arial" w:hAnsi="Arial"/>
                <w:sz w:val="15"/>
                <w:szCs w:val="15"/>
                <w:color w:val="auto"/>
              </w:rPr>
              <w:t>$</w:t>
            </w:r>
          </w:p>
        </w:tc>
        <w:tc>
          <w:tcPr>
            <w:tcW w:w="360" w:type="dxa"/>
            <w:vAlign w:val="bottom"/>
          </w:tcPr>
          <w:p>
            <w:pPr>
              <w:ind w:left="200"/>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jc w:val="right"/>
              <w:ind w:right="138"/>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6,928</w:t>
            </w:r>
          </w:p>
        </w:tc>
        <w:tc>
          <w:tcPr>
            <w:tcW w:w="140" w:type="dxa"/>
            <w:vAlign w:val="bottom"/>
          </w:tcPr>
          <w:p>
            <w:pPr>
              <w:spacing w:after="0"/>
              <w:rPr>
                <w:sz w:val="16"/>
                <w:szCs w:val="16"/>
                <w:color w:val="auto"/>
              </w:rPr>
            </w:pPr>
          </w:p>
        </w:tc>
      </w:tr>
      <w:tr>
        <w:trPr>
          <w:trHeight w:val="185"/>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w w:val="93"/>
              </w:rPr>
              <w:t>Warrants to purchase redeemable convertible preferred stock, included in other long term liabilities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3"/>
              </w:rPr>
              <w:t>—</w:t>
            </w:r>
          </w:p>
        </w:tc>
        <w:tc>
          <w:tcPr>
            <w:tcW w:w="42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140" w:type="dxa"/>
            <w:vAlign w:val="bottom"/>
            <w:shd w:val="clear" w:color="auto" w:fill="CCEEFF"/>
          </w:tcPr>
          <w:p>
            <w:pPr>
              <w:spacing w:after="0"/>
              <w:rPr>
                <w:sz w:val="16"/>
                <w:szCs w:val="16"/>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The maturity date for US Treasury obligations, included in cash equivalents at December 31, 2015 was 34 days and for those included within investments at December 31, 2015 and for the three months ended March 31, 2016 was 106 days and between 15 and 45 days, respectively. Fair value of US Treasury obligations approximates amortized value.</w:t>
      </w:r>
    </w:p>
    <w:p>
      <w:pPr>
        <w:spacing w:after="0" w:line="128" w:lineRule="exact"/>
        <w:rPr>
          <w:sz w:val="20"/>
          <w:szCs w:val="20"/>
          <w:color w:val="auto"/>
        </w:rPr>
      </w:pPr>
    </w:p>
    <w:p>
      <w:pPr>
        <w:ind w:right="260"/>
        <w:spacing w:after="0" w:line="287" w:lineRule="auto"/>
        <w:rPr>
          <w:sz w:val="20"/>
          <w:szCs w:val="20"/>
          <w:color w:val="auto"/>
        </w:rPr>
      </w:pPr>
      <w:r>
        <w:rPr>
          <w:rFonts w:ascii="Arial" w:cs="Arial" w:eastAsia="Arial" w:hAnsi="Arial"/>
          <w:sz w:val="14"/>
          <w:szCs w:val="14"/>
          <w:color w:val="auto"/>
        </w:rPr>
        <w:t>In July 2015, the Company issued warrants for the purchase of 80,813 shares of common stock at an exercise price of $17.55 in connection with the issuance of convertible notes. These warrants expire three years from date of issuance. In August 2015, the Company issued warrants for the purchase of 569,791 shares of common stock at an exercise price of $0.04 in connection with the issuance of the Series E Preferred. Common stock warrants are classified as permanent equity which are initially recorded at issuance date fair value and are not subsequently re-measured. The warrants to purchase common stock issued at the same time as the Series E Preferred will automatically exercise on a cashless basis upon the filing of a registration statement on Form S-1. These warrants expire four years from date of issuance.</w:t>
      </w:r>
    </w:p>
    <w:p>
      <w:pPr>
        <w:spacing w:after="0" w:line="149" w:lineRule="exact"/>
        <w:rPr>
          <w:sz w:val="20"/>
          <w:szCs w:val="20"/>
          <w:color w:val="auto"/>
        </w:rPr>
      </w:pPr>
    </w:p>
    <w:p>
      <w:pPr>
        <w:jc w:val="both"/>
        <w:ind w:right="280"/>
        <w:spacing w:after="0" w:line="270" w:lineRule="auto"/>
        <w:rPr>
          <w:sz w:val="20"/>
          <w:szCs w:val="20"/>
          <w:color w:val="auto"/>
        </w:rPr>
      </w:pPr>
      <w:r>
        <w:rPr>
          <w:rFonts w:ascii="Arial" w:cs="Arial" w:eastAsia="Arial" w:hAnsi="Arial"/>
          <w:sz w:val="15"/>
          <w:szCs w:val="15"/>
          <w:color w:val="auto"/>
        </w:rPr>
        <w:t>In August 2013 and July 2014, in conjunction with the execution of a loan and security agreement (Note 8), the Company issued warrants to the lenders for the purchase of up to 66,668 shares of the Company's Series D redeemable convertible preferred stock ("Series D Preferred") at an exercise price of $4.50 per share. These warrants are classified as liabilities in the accompanying consolidated balance sheets. These warrants expire four years from the date of issuance.</w:t>
      </w:r>
    </w:p>
    <w:p>
      <w:pPr>
        <w:spacing w:after="0" w:line="159"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December 2015, in conjunction with the execution of a loan and security agreement (Note 8), the Company issued warrants to the lenders for the purchase of up to 37,978 shares of the Company's Series E Preferred at an exercise price of $4.50 per share. These warrants are classified as liabilities in the accompanying consolidated balance sheets. These warrants expire four years from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3" w:right="279" w:bottom="1440" w:gutter="0" w:footer="0" w:header="0"/>
        </w:sectPr>
      </w:pPr>
    </w:p>
    <w:bookmarkStart w:id="252" w:name="page253"/>
    <w:bookmarkEnd w:id="2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table sets forth a summary of the activities of the Company's Series D and Series E Preferred stock warrant liability which represents a recurring measurement that is classified within Level 3 of the fair value hierarchy wherein fair value is estimated using significant unobservable inputs: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Three months</w:t>
            </w:r>
          </w:p>
        </w:tc>
      </w:tr>
      <w:tr>
        <w:trPr>
          <w:trHeight w:val="13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9"/>
              <w:spacing w:after="0"/>
              <w:rPr>
                <w:sz w:val="20"/>
                <w:szCs w:val="20"/>
                <w:color w:val="auto"/>
              </w:rPr>
            </w:pPr>
            <w:r>
              <w:rPr>
                <w:rFonts w:ascii="Arial" w:cs="Arial" w:eastAsia="Arial" w:hAnsi="Arial"/>
                <w:sz w:val="12"/>
                <w:szCs w:val="12"/>
                <w:b w:val="1"/>
                <w:bCs w:val="1"/>
                <w:color w:val="auto"/>
                <w:w w:val="98"/>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ended</w:t>
            </w:r>
          </w:p>
        </w:tc>
      </w:tr>
      <w:tr>
        <w:trPr>
          <w:trHeight w:val="13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March 31,</w:t>
            </w:r>
          </w:p>
        </w:tc>
      </w:tr>
      <w:tr>
        <w:trPr>
          <w:trHeight w:val="167"/>
        </w:trPr>
        <w:tc>
          <w:tcPr>
            <w:tcW w:w="6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2"/>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4"/>
                <w:szCs w:val="14"/>
                <w:color w:val="auto"/>
              </w:rPr>
            </w:pPr>
          </w:p>
        </w:tc>
      </w:tr>
      <w:tr>
        <w:trPr>
          <w:trHeight w:val="124"/>
        </w:trPr>
        <w:tc>
          <w:tcPr>
            <w:tcW w:w="6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2"/>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40" w:type="dxa"/>
            <w:vAlign w:val="bottom"/>
            <w:shd w:val="clear" w:color="auto" w:fill="CCEEFF"/>
          </w:tcPr>
          <w:p>
            <w:pPr>
              <w:spacing w:after="0"/>
              <w:rPr>
                <w:sz w:val="16"/>
                <w:szCs w:val="16"/>
                <w:color w:val="auto"/>
              </w:rPr>
            </w:pPr>
          </w:p>
        </w:tc>
      </w:tr>
      <w:tr>
        <w:trPr>
          <w:trHeight w:val="185"/>
        </w:trPr>
        <w:tc>
          <w:tcPr>
            <w:tcW w:w="6080" w:type="dxa"/>
            <w:vAlign w:val="bottom"/>
          </w:tcPr>
          <w:p>
            <w:pPr>
              <w:spacing w:after="0"/>
              <w:rPr>
                <w:sz w:val="20"/>
                <w:szCs w:val="20"/>
                <w:color w:val="auto"/>
              </w:rPr>
            </w:pPr>
            <w:r>
              <w:rPr>
                <w:rFonts w:ascii="Arial" w:cs="Arial" w:eastAsia="Arial" w:hAnsi="Arial"/>
                <w:sz w:val="15"/>
                <w:szCs w:val="15"/>
                <w:color w:val="auto"/>
              </w:rPr>
              <w:t>Fair value of additional warrants issued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5"/>
                <w:szCs w:val="15"/>
                <w:color w:val="auto"/>
              </w:rPr>
              <w:t>—</w:t>
            </w:r>
          </w:p>
        </w:tc>
      </w:tr>
      <w:tr>
        <w:trPr>
          <w:trHeight w:val="185"/>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40" w:type="dxa"/>
            <w:vAlign w:val="bottom"/>
            <w:shd w:val="clear" w:color="auto" w:fill="CCEEFF"/>
          </w:tcPr>
          <w:p>
            <w:pPr>
              <w:spacing w:after="0"/>
              <w:rPr>
                <w:sz w:val="16"/>
                <w:szCs w:val="16"/>
                <w:color w:val="auto"/>
              </w:rPr>
            </w:pPr>
          </w:p>
        </w:tc>
      </w:tr>
      <w:tr>
        <w:trPr>
          <w:trHeight w:val="177"/>
        </w:trPr>
        <w:tc>
          <w:tcPr>
            <w:tcW w:w="6080" w:type="dxa"/>
            <w:vAlign w:val="bottom"/>
          </w:tcPr>
          <w:p>
            <w:pPr>
              <w:spacing w:after="0"/>
              <w:rPr>
                <w:sz w:val="20"/>
                <w:szCs w:val="20"/>
                <w:color w:val="auto"/>
              </w:rPr>
            </w:pPr>
            <w:r>
              <w:rPr>
                <w:rFonts w:ascii="Arial" w:cs="Arial" w:eastAsia="Arial" w:hAnsi="Arial"/>
                <w:sz w:val="15"/>
                <w:szCs w:val="15"/>
                <w:color w:val="auto"/>
              </w:rPr>
              <w:t>Balance at end of period</w:t>
            </w: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310</w:t>
            </w:r>
          </w:p>
        </w:tc>
        <w:tc>
          <w:tcPr>
            <w:tcW w:w="140" w:type="dxa"/>
            <w:vAlign w:val="bottom"/>
          </w:tcPr>
          <w:p>
            <w:pPr>
              <w:spacing w:after="0"/>
              <w:rPr>
                <w:sz w:val="15"/>
                <w:szCs w:val="15"/>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640"/>
        <w:spacing w:after="0" w:line="282" w:lineRule="auto"/>
        <w:rPr>
          <w:sz w:val="20"/>
          <w:szCs w:val="20"/>
          <w:color w:val="auto"/>
        </w:rPr>
      </w:pPr>
      <w:r>
        <w:rPr>
          <w:rFonts w:ascii="Arial" w:cs="Arial" w:eastAsia="Arial" w:hAnsi="Arial"/>
          <w:sz w:val="15"/>
          <w:szCs w:val="15"/>
          <w:color w:val="auto"/>
        </w:rPr>
        <w:t>The fair value of the warrants to purchase shares of the Company's Series D Preferred at an exercise price of $4.50 per share was estimated using Black-Scholes with the following assumptions as of December 31, 2014 and 2015 and at March 31, 2016:</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160" w:type="dxa"/>
            <w:vAlign w:val="bottom"/>
          </w:tcPr>
          <w:p>
            <w:pPr>
              <w:spacing w:after="0"/>
              <w:rPr>
                <w:sz w:val="12"/>
                <w:szCs w:val="12"/>
                <w:color w:val="auto"/>
              </w:rPr>
            </w:pPr>
          </w:p>
        </w:tc>
        <w:tc>
          <w:tcPr>
            <w:tcW w:w="304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December 31,</w:t>
            </w:r>
          </w:p>
        </w:tc>
        <w:tc>
          <w:tcPr>
            <w:tcW w:w="102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March 31,</w:t>
            </w:r>
          </w:p>
        </w:tc>
      </w:tr>
      <w:tr>
        <w:trPr>
          <w:trHeight w:val="167"/>
        </w:trPr>
        <w:tc>
          <w:tcPr>
            <w:tcW w:w="4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4"/>
                <w:szCs w:val="14"/>
                <w:color w:val="auto"/>
              </w:rPr>
            </w:pPr>
          </w:p>
        </w:tc>
      </w:tr>
      <w:tr>
        <w:trPr>
          <w:trHeight w:val="124"/>
        </w:trPr>
        <w:tc>
          <w:tcPr>
            <w:tcW w:w="41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Risk free interest rate</w:t>
            </w:r>
          </w:p>
        </w:tc>
        <w:tc>
          <w:tcPr>
            <w:tcW w:w="2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w:t>
            </w:r>
          </w:p>
        </w:tc>
      </w:tr>
      <w:tr>
        <w:trPr>
          <w:trHeight w:val="185"/>
        </w:trPr>
        <w:tc>
          <w:tcPr>
            <w:tcW w:w="416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22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9.20</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8.18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7.93</w:t>
            </w:r>
          </w:p>
        </w:tc>
        <w:tc>
          <w:tcPr>
            <w:tcW w:w="140" w:type="dxa"/>
            <w:vAlign w:val="bottom"/>
            <w:shd w:val="clear" w:color="auto" w:fill="CCEEFF"/>
          </w:tcPr>
          <w:p>
            <w:pPr>
              <w:spacing w:after="0"/>
              <w:rPr>
                <w:sz w:val="16"/>
                <w:szCs w:val="16"/>
                <w:color w:val="auto"/>
              </w:rPr>
            </w:pPr>
          </w:p>
        </w:tc>
      </w:tr>
      <w:tr>
        <w:trPr>
          <w:trHeight w:val="185"/>
        </w:trPr>
        <w:tc>
          <w:tcPr>
            <w:tcW w:w="4160" w:type="dxa"/>
            <w:vAlign w:val="bottom"/>
          </w:tcPr>
          <w:p>
            <w:pPr>
              <w:spacing w:after="0"/>
              <w:rPr>
                <w:sz w:val="20"/>
                <w:szCs w:val="20"/>
                <w:color w:val="auto"/>
              </w:rPr>
            </w:pPr>
            <w:r>
              <w:rPr>
                <w:rFonts w:ascii="Arial" w:cs="Arial" w:eastAsia="Arial" w:hAnsi="Arial"/>
                <w:sz w:val="15"/>
                <w:szCs w:val="15"/>
                <w:color w:val="auto"/>
              </w:rPr>
              <w:t>Expected volatility</w:t>
            </w:r>
          </w:p>
        </w:tc>
        <w:tc>
          <w:tcPr>
            <w:tcW w:w="2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92.53%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85.83%</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85.26%</w:t>
            </w:r>
          </w:p>
        </w:tc>
      </w:tr>
      <w:tr>
        <w:trPr>
          <w:trHeight w:val="18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Fair value of underlying instrument</w:t>
            </w:r>
          </w:p>
        </w:tc>
        <w:tc>
          <w:tcPr>
            <w:tcW w:w="222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4.18</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660"/>
        <w:spacing w:after="0" w:line="282" w:lineRule="auto"/>
        <w:rPr>
          <w:sz w:val="20"/>
          <w:szCs w:val="20"/>
          <w:color w:val="auto"/>
        </w:rPr>
      </w:pPr>
      <w:r>
        <w:rPr>
          <w:rFonts w:ascii="Arial" w:cs="Arial" w:eastAsia="Arial" w:hAnsi="Arial"/>
          <w:sz w:val="15"/>
          <w:szCs w:val="15"/>
          <w:color w:val="auto"/>
        </w:rPr>
        <w:t>The fair value of the warrants to purchase shares of the Company's Series E Preferred at an exercise price of $4.50 per share was estimated using Black-Scholes with the following assumptions as of December 31, 2015 and at March 31, 2016:</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680" w:type="dxa"/>
            <w:vAlign w:val="bottom"/>
          </w:tcPr>
          <w:p>
            <w:pPr>
              <w:spacing w:after="0"/>
              <w:rPr>
                <w:sz w:val="12"/>
                <w:szCs w:val="12"/>
                <w:color w:val="auto"/>
              </w:rPr>
            </w:pPr>
          </w:p>
        </w:tc>
        <w:tc>
          <w:tcPr>
            <w:tcW w:w="354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March 31,</w:t>
            </w:r>
          </w:p>
        </w:tc>
      </w:tr>
      <w:tr>
        <w:trPr>
          <w:trHeight w:val="167"/>
        </w:trPr>
        <w:tc>
          <w:tcPr>
            <w:tcW w:w="46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4"/>
                <w:szCs w:val="14"/>
                <w:color w:val="auto"/>
              </w:rPr>
            </w:pPr>
          </w:p>
        </w:tc>
      </w:tr>
      <w:tr>
        <w:trPr>
          <w:trHeight w:val="124"/>
        </w:trPr>
        <w:tc>
          <w:tcPr>
            <w:tcW w:w="46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Risk free interest rate</w:t>
            </w:r>
          </w:p>
        </w:tc>
        <w:tc>
          <w:tcPr>
            <w:tcW w:w="27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1.75%</w:t>
            </w:r>
          </w:p>
        </w:tc>
      </w:tr>
      <w:tr>
        <w:trPr>
          <w:trHeight w:val="185"/>
        </w:trPr>
        <w:tc>
          <w:tcPr>
            <w:tcW w:w="468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72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7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w:t>
            </w:r>
          </w:p>
        </w:tc>
        <w:tc>
          <w:tcPr>
            <w:tcW w:w="140" w:type="dxa"/>
            <w:vAlign w:val="bottom"/>
            <w:shd w:val="clear" w:color="auto" w:fill="CCEEFF"/>
          </w:tcPr>
          <w:p>
            <w:pPr>
              <w:spacing w:after="0"/>
              <w:rPr>
                <w:sz w:val="16"/>
                <w:szCs w:val="16"/>
                <w:color w:val="auto"/>
              </w:rPr>
            </w:pPr>
          </w:p>
        </w:tc>
      </w:tr>
      <w:tr>
        <w:trPr>
          <w:trHeight w:val="185"/>
        </w:trPr>
        <w:tc>
          <w:tcPr>
            <w:tcW w:w="4680" w:type="dxa"/>
            <w:vAlign w:val="bottom"/>
          </w:tcPr>
          <w:p>
            <w:pPr>
              <w:spacing w:after="0"/>
              <w:rPr>
                <w:sz w:val="20"/>
                <w:szCs w:val="20"/>
                <w:color w:val="auto"/>
              </w:rPr>
            </w:pPr>
            <w:r>
              <w:rPr>
                <w:rFonts w:ascii="Arial" w:cs="Arial" w:eastAsia="Arial" w:hAnsi="Arial"/>
                <w:sz w:val="15"/>
                <w:szCs w:val="15"/>
                <w:color w:val="auto"/>
              </w:rPr>
              <w:t>Expected volatility</w:t>
            </w:r>
          </w:p>
        </w:tc>
        <w:tc>
          <w:tcPr>
            <w:tcW w:w="27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82.22%</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82.66%</w:t>
            </w:r>
          </w:p>
        </w:tc>
      </w:tr>
      <w:tr>
        <w:trPr>
          <w:trHeight w:val="185"/>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Fair value of underlying instrument</w:t>
            </w:r>
          </w:p>
        </w:tc>
        <w:tc>
          <w:tcPr>
            <w:tcW w:w="272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620"/>
        <w:spacing w:after="0" w:line="297" w:lineRule="auto"/>
        <w:rPr>
          <w:sz w:val="20"/>
          <w:szCs w:val="20"/>
          <w:color w:val="auto"/>
        </w:rPr>
      </w:pPr>
      <w:r>
        <w:rPr>
          <w:rFonts w:ascii="Arial" w:cs="Arial" w:eastAsia="Arial" w:hAnsi="Arial"/>
          <w:sz w:val="14"/>
          <w:szCs w:val="14"/>
          <w:color w:val="auto"/>
        </w:rPr>
        <w:t>The risk-free interest rate used is the rate for a U.S. Treasury zero coupon issue with a term consistent with the remaining contractual term of the associated award on the date of measurement. The Company has not paid, and does not expect to pay, any cash dividends in the foreseeable future. The Company based the expected term assumption on the actual remaining contractual term of the respective warrants as of the date of measurement. Expected volatilities are based on historical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3" w:name="page254"/>
    <w:bookmarkEnd w:id="2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volatilities from guideline companies, since there is no active market for the Company's common stock. The fair value on the date of measurement of the Series D Preferred and the Series E Preferred, the underlying instruments, was estimated by management with the assistance of a third party valuation specialist.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Property and equipment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Property and equipment consists of the following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March 31,</w:t>
            </w:r>
          </w:p>
        </w:tc>
      </w:tr>
      <w:tr>
        <w:trPr>
          <w:trHeight w:val="154"/>
        </w:trPr>
        <w:tc>
          <w:tcPr>
            <w:tcW w:w="44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4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Laboratory equipment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3,314</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4,028</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4,337</w:t>
            </w:r>
          </w:p>
        </w:tc>
        <w:tc>
          <w:tcPr>
            <w:tcW w:w="140" w:type="dxa"/>
            <w:vAlign w:val="bottom"/>
            <w:shd w:val="clear" w:color="auto" w:fill="CCEEFF"/>
          </w:tcPr>
          <w:p>
            <w:pPr>
              <w:spacing w:after="0"/>
              <w:rPr>
                <w:sz w:val="16"/>
                <w:szCs w:val="16"/>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5"/>
                <w:szCs w:val="15"/>
                <w:color w:val="auto"/>
              </w:rPr>
              <w:t>Computer equipment and software</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409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421</w:t>
            </w:r>
          </w:p>
        </w:tc>
        <w:tc>
          <w:tcPr>
            <w:tcW w:w="140" w:type="dxa"/>
            <w:vAlign w:val="bottom"/>
          </w:tcPr>
          <w:p>
            <w:pPr>
              <w:spacing w:after="0"/>
              <w:rPr>
                <w:sz w:val="16"/>
                <w:szCs w:val="16"/>
                <w:color w:val="auto"/>
              </w:rPr>
            </w:pPr>
          </w:p>
        </w:tc>
      </w:tr>
      <w:tr>
        <w:trPr>
          <w:trHeight w:val="185"/>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140" w:type="dxa"/>
            <w:vAlign w:val="bottom"/>
            <w:shd w:val="clear" w:color="auto" w:fill="CCEEFF"/>
          </w:tcPr>
          <w:p>
            <w:pPr>
              <w:spacing w:after="0"/>
              <w:rPr>
                <w:sz w:val="16"/>
                <w:szCs w:val="16"/>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5"/>
                <w:szCs w:val="15"/>
                <w:color w:val="auto"/>
              </w:rPr>
              <w:t>Furniture and fixtures</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222</w:t>
            </w:r>
          </w:p>
        </w:tc>
        <w:tc>
          <w:tcPr>
            <w:tcW w:w="140" w:type="dxa"/>
            <w:vAlign w:val="bottom"/>
          </w:tcPr>
          <w:p>
            <w:pPr>
              <w:spacing w:after="0"/>
              <w:rPr>
                <w:sz w:val="16"/>
                <w:szCs w:val="16"/>
                <w:color w:val="auto"/>
              </w:rPr>
            </w:pPr>
          </w:p>
        </w:tc>
      </w:tr>
      <w:tr>
        <w:trPr>
          <w:trHeight w:val="185"/>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Office equipment</w:t>
            </w: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40" w:type="dxa"/>
            <w:vAlign w:val="bottom"/>
            <w:shd w:val="clear" w:color="auto" w:fill="CCEEFF"/>
          </w:tcPr>
          <w:p>
            <w:pPr>
              <w:spacing w:after="0"/>
              <w:rPr>
                <w:sz w:val="16"/>
                <w:szCs w:val="16"/>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5"/>
                <w:szCs w:val="15"/>
                <w:color w:val="auto"/>
              </w:rPr>
              <w:t>P,P&amp;E—Construction in process</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w:t>
            </w:r>
          </w:p>
        </w:tc>
        <w:tc>
          <w:tcPr>
            <w:tcW w:w="140" w:type="dxa"/>
            <w:vAlign w:val="bottom"/>
          </w:tcPr>
          <w:p>
            <w:pPr>
              <w:spacing w:after="0"/>
              <w:rPr>
                <w:sz w:val="16"/>
                <w:szCs w:val="16"/>
                <w:color w:val="auto"/>
              </w:rPr>
            </w:pPr>
          </w:p>
        </w:tc>
      </w:tr>
      <w:tr>
        <w:trPr>
          <w:trHeight w:val="177"/>
        </w:trPr>
        <w:tc>
          <w:tcPr>
            <w:tcW w:w="4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property and equipment</w:t>
            </w:r>
          </w:p>
        </w:tc>
        <w:tc>
          <w:tcPr>
            <w:tcW w:w="23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5,169</w:t>
            </w:r>
          </w:p>
        </w:tc>
        <w:tc>
          <w:tcPr>
            <w:tcW w:w="140" w:type="dxa"/>
            <w:vAlign w:val="bottom"/>
            <w:shd w:val="clear" w:color="auto" w:fill="CCEEFF"/>
          </w:tcPr>
          <w:p>
            <w:pPr>
              <w:spacing w:after="0"/>
              <w:rPr>
                <w:sz w:val="15"/>
                <w:szCs w:val="15"/>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5"/>
                <w:szCs w:val="15"/>
                <w:color w:val="auto"/>
              </w:rPr>
              <w:t>Less accumulated depreciation</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(2,778)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(2,927)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(3,129)</w:t>
            </w:r>
          </w:p>
        </w:tc>
      </w:tr>
      <w:tr>
        <w:trPr>
          <w:trHeight w:val="20"/>
        </w:trPr>
        <w:tc>
          <w:tcPr>
            <w:tcW w:w="4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4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Property and equipment, net</w:t>
            </w:r>
          </w:p>
        </w:tc>
        <w:tc>
          <w:tcPr>
            <w:tcW w:w="23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2,040</w:t>
            </w:r>
          </w:p>
        </w:tc>
        <w:tc>
          <w:tcPr>
            <w:tcW w:w="140" w:type="dxa"/>
            <w:vAlign w:val="bottom"/>
            <w:shd w:val="clear" w:color="auto" w:fill="CCEEFF"/>
          </w:tcPr>
          <w:p>
            <w:pPr>
              <w:spacing w:after="0"/>
              <w:rPr>
                <w:sz w:val="15"/>
                <w:szCs w:val="15"/>
                <w:color w:val="auto"/>
              </w:rPr>
            </w:pPr>
          </w:p>
        </w:tc>
      </w:tr>
      <w:tr>
        <w:trPr>
          <w:trHeight w:val="20"/>
        </w:trPr>
        <w:tc>
          <w:tcPr>
            <w:tcW w:w="4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Depreciation expense for the years ended December 31, 2014 and 2015 was $0.9 million and $1.0 million, respectively, and $0.2 million for the three months ended March 31, 2015 and 2016.</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Accrued expenses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consist of the following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right"/>
              <w:ind w:right="226"/>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March 31,</w:t>
            </w:r>
          </w:p>
        </w:tc>
      </w:tr>
      <w:tr>
        <w:trPr>
          <w:trHeight w:val="154"/>
        </w:trPr>
        <w:tc>
          <w:tcPr>
            <w:tcW w:w="6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6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Payroll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40" w:type="dxa"/>
            <w:vAlign w:val="bottom"/>
            <w:shd w:val="clear" w:color="auto" w:fill="CCEEFF"/>
          </w:tcPr>
          <w:p>
            <w:pPr>
              <w:spacing w:after="0"/>
              <w:rPr>
                <w:sz w:val="16"/>
                <w:szCs w:val="16"/>
                <w:color w:val="auto"/>
              </w:rPr>
            </w:pPr>
          </w:p>
        </w:tc>
      </w:tr>
      <w:tr>
        <w:trPr>
          <w:trHeight w:val="185"/>
        </w:trPr>
        <w:tc>
          <w:tcPr>
            <w:tcW w:w="6820" w:type="dxa"/>
            <w:vAlign w:val="bottom"/>
          </w:tcPr>
          <w:p>
            <w:pPr>
              <w:spacing w:after="0"/>
              <w:rPr>
                <w:sz w:val="20"/>
                <w:szCs w:val="20"/>
                <w:color w:val="auto"/>
              </w:rPr>
            </w:pPr>
            <w:r>
              <w:rPr>
                <w:rFonts w:ascii="Arial" w:cs="Arial" w:eastAsia="Arial" w:hAnsi="Arial"/>
                <w:sz w:val="15"/>
                <w:szCs w:val="15"/>
                <w:color w:val="auto"/>
              </w:rPr>
              <w:t>Legal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119</w:t>
            </w:r>
          </w:p>
        </w:tc>
        <w:tc>
          <w:tcPr>
            <w:tcW w:w="140" w:type="dxa"/>
            <w:vAlign w:val="bottom"/>
          </w:tcPr>
          <w:p>
            <w:pPr>
              <w:spacing w:after="0"/>
              <w:rPr>
                <w:sz w:val="16"/>
                <w:szCs w:val="16"/>
                <w:color w:val="auto"/>
              </w:rPr>
            </w:pPr>
          </w:p>
        </w:tc>
      </w:tr>
      <w:tr>
        <w:trPr>
          <w:trHeight w:val="185"/>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Bonus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40" w:type="dxa"/>
            <w:vAlign w:val="bottom"/>
            <w:shd w:val="clear" w:color="auto" w:fill="CCEEFF"/>
          </w:tcPr>
          <w:p>
            <w:pPr>
              <w:spacing w:after="0"/>
              <w:rPr>
                <w:sz w:val="16"/>
                <w:szCs w:val="16"/>
                <w:color w:val="auto"/>
              </w:rPr>
            </w:pPr>
          </w:p>
        </w:tc>
      </w:tr>
      <w:tr>
        <w:trPr>
          <w:trHeight w:val="185"/>
        </w:trPr>
        <w:tc>
          <w:tcPr>
            <w:tcW w:w="6820" w:type="dxa"/>
            <w:vAlign w:val="bottom"/>
          </w:tcPr>
          <w:p>
            <w:pPr>
              <w:spacing w:after="0"/>
              <w:rPr>
                <w:sz w:val="20"/>
                <w:szCs w:val="20"/>
                <w:color w:val="auto"/>
              </w:rPr>
            </w:pPr>
            <w:r>
              <w:rPr>
                <w:rFonts w:ascii="Arial" w:cs="Arial" w:eastAsia="Arial" w:hAnsi="Arial"/>
                <w:sz w:val="15"/>
                <w:szCs w:val="15"/>
                <w:color w:val="auto"/>
              </w:rPr>
              <w:t>Current portion of deferred rent and lease incentive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405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416</w:t>
            </w:r>
          </w:p>
        </w:tc>
        <w:tc>
          <w:tcPr>
            <w:tcW w:w="140" w:type="dxa"/>
            <w:vAlign w:val="bottom"/>
          </w:tcPr>
          <w:p>
            <w:pPr>
              <w:spacing w:after="0"/>
              <w:rPr>
                <w:sz w:val="16"/>
                <w:szCs w:val="16"/>
                <w:color w:val="auto"/>
              </w:rPr>
            </w:pPr>
          </w:p>
        </w:tc>
      </w:tr>
      <w:tr>
        <w:trPr>
          <w:trHeight w:val="185"/>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Accrued patent fees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140" w:type="dxa"/>
            <w:vAlign w:val="bottom"/>
            <w:shd w:val="clear" w:color="auto" w:fill="CCEEFF"/>
          </w:tcPr>
          <w:p>
            <w:pPr>
              <w:spacing w:after="0"/>
              <w:rPr>
                <w:sz w:val="16"/>
                <w:szCs w:val="16"/>
                <w:color w:val="auto"/>
              </w:rPr>
            </w:pPr>
          </w:p>
        </w:tc>
      </w:tr>
      <w:tr>
        <w:trPr>
          <w:trHeight w:val="185"/>
        </w:trPr>
        <w:tc>
          <w:tcPr>
            <w:tcW w:w="6820" w:type="dxa"/>
            <w:vAlign w:val="bottom"/>
          </w:tcPr>
          <w:p>
            <w:pPr>
              <w:spacing w:after="0"/>
              <w:rPr>
                <w:sz w:val="20"/>
                <w:szCs w:val="20"/>
                <w:color w:val="auto"/>
              </w:rPr>
            </w:pPr>
            <w:r>
              <w:rPr>
                <w:rFonts w:ascii="Arial" w:cs="Arial" w:eastAsia="Arial" w:hAnsi="Arial"/>
                <w:sz w:val="15"/>
                <w:szCs w:val="15"/>
                <w:color w:val="auto"/>
              </w:rPr>
              <w:t>Accrued R&amp;D costs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1,649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1,090</w:t>
            </w:r>
          </w:p>
        </w:tc>
        <w:tc>
          <w:tcPr>
            <w:tcW w:w="140" w:type="dxa"/>
            <w:vAlign w:val="bottom"/>
          </w:tcPr>
          <w:p>
            <w:pPr>
              <w:spacing w:after="0"/>
              <w:rPr>
                <w:sz w:val="16"/>
                <w:szCs w:val="16"/>
                <w:color w:val="auto"/>
              </w:rPr>
            </w:pPr>
          </w:p>
        </w:tc>
      </w:tr>
      <w:tr>
        <w:trPr>
          <w:trHeight w:val="185"/>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1,027</w:t>
            </w:r>
          </w:p>
        </w:tc>
        <w:tc>
          <w:tcPr>
            <w:tcW w:w="140" w:type="dxa"/>
            <w:vAlign w:val="bottom"/>
            <w:shd w:val="clear" w:color="auto" w:fill="CCEEFF"/>
          </w:tcPr>
          <w:p>
            <w:pPr>
              <w:spacing w:after="0"/>
              <w:rPr>
                <w:sz w:val="16"/>
                <w:szCs w:val="16"/>
                <w:color w:val="auto"/>
              </w:rPr>
            </w:pPr>
          </w:p>
        </w:tc>
      </w:tr>
      <w:tr>
        <w:trPr>
          <w:trHeight w:val="177"/>
        </w:trPr>
        <w:tc>
          <w:tcPr>
            <w:tcW w:w="6820" w:type="dxa"/>
            <w:vAlign w:val="bottom"/>
          </w:tcPr>
          <w:p>
            <w:pPr>
              <w:spacing w:after="0"/>
              <w:rPr>
                <w:sz w:val="20"/>
                <w:szCs w:val="20"/>
                <w:color w:val="auto"/>
              </w:rPr>
            </w:pPr>
            <w:r>
              <w:rPr>
                <w:rFonts w:ascii="Arial" w:cs="Arial" w:eastAsia="Arial" w:hAnsi="Arial"/>
                <w:sz w:val="15"/>
                <w:szCs w:val="15"/>
                <w:color w:val="auto"/>
              </w:rPr>
              <w:t>Accrued liabilities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3,378</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3,185</w:t>
            </w:r>
          </w:p>
        </w:tc>
        <w:tc>
          <w:tcPr>
            <w:tcW w:w="140" w:type="dxa"/>
            <w:vAlign w:val="bottom"/>
          </w:tcPr>
          <w:p>
            <w:pPr>
              <w:spacing w:after="0"/>
              <w:rPr>
                <w:sz w:val="15"/>
                <w:szCs w:val="15"/>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3" w:right="279" w:bottom="1440" w:gutter="0" w:footer="0" w:header="0"/>
        </w:sectPr>
      </w:pPr>
    </w:p>
    <w:bookmarkStart w:id="254" w:name="page255"/>
    <w:bookmarkEnd w:id="2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Commitments and contingencies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leases</w:t>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The Company has a non-cancellable operating lease for its laboratory and office space that expires in March 2017. The lease agreement includes a rent escalation clause, and accordingly, rent expense is being recognized on a straight-line basis over the lease term. In addition, as part of the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148"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In connection with the lease, the Company secured a letter of credit for $0.3 million which renews automatically each year and is classified in restricted cash and other deposits in the accompanying consolidated balance sheets.</w:t>
      </w:r>
    </w:p>
    <w:p>
      <w:pPr>
        <w:spacing w:after="0" w:line="151"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In April 2015, the Company amended the lease agreement to exchange 13,711 square feet of space for another 15,174 square feet of space within the same building. Rental payments on the prior space ceased as of March 31, 2015 and rental payments on the new space began on October 1, 2015. The combined lease term remains unchanged and will expire in March 2017. Rent expense is recorded over the lease term on a straight-line basis.</w:t>
      </w:r>
    </w:p>
    <w:p>
      <w:pPr>
        <w:spacing w:after="0" w:line="159"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Deferred rent and lease incentive liability totaled $0.5 million and $0.5 million as of December 31, 2014 and 2015, respectively, and $0.4 million at March 31, 2016. Included in that amount, the current portion of deferred rent and lease incentive liability is classified as accrued expenses and was $0.2 million and $0.4 million at December 31, 2014 and 2015, respectively, and $0.4 million at March 31, 2016.</w:t>
      </w:r>
    </w:p>
    <w:p>
      <w:pPr>
        <w:spacing w:after="0" w:line="159"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The Company subleased a portion of its facility to a tenant with a term that expires in March 2017. In March 2015, the tenant terminated the sublease and vacated the space. The sublease amount from the tenant was recorded as a reduction of lease expense and totaled $0.7 million and $0.2 million for the years ended December 31, 2014 and 2015, respectively, and $0.2 million for the three months ended March 31, 2016.</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 month-to-month facility agreement for its Moscow, Russia facility. Rent expense is recognized as incurred.</w:t>
      </w:r>
    </w:p>
    <w:p>
      <w:pPr>
        <w:spacing w:after="0" w:line="198"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Rent expense, net of sublease payments, for the years ended December 31, 2014 and 2015 was $0.6 million and $1.1 million, respectively, and for the three months ended March 31, 2015 and 2016 was $0.2 million and $0.4 million, respectively. As of December 31, 2015, future minimum lease payments for non-cancellable leases were $1.2 million in 2016, and $0.3 million in 2017.</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198"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5" w:name="page256"/>
    <w:bookmarkEnd w:id="2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 The Company does not expect significant claims related to these indemnification obligations and, accordingly, has concluded that the fair value of these obligations is negligible, and no related reserves have been established.</w:t>
      </w:r>
    </w:p>
    <w:p>
      <w:pPr>
        <w:spacing w:after="0" w:line="154"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The Company is a party in various other contractual disputes and potential claims arising in the ordinary course of business. The Company does not believe that the resolution of these matters will have a material adverse effect on its financial position or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Debt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 loans</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On August 9, 2013, the Company entered into a loan and security agreement with two lenders to borrow up to $7.5 million. The Company initially borrowed $3.0 million in August 2013 and subsequently borrowed an additional $4.5 million in July 2014. The amounts borrowed are collectively referred to as "Term Loans." In December 2015, the Company refinanced its existing debt facility that was originally entered into on August 9, 2013, as amended with Oxford Finance LLC ("Oxford") and Square 1 Bank ("Square 1"), to increase the amount of the borrowing to $12.0 million and to extend the repayment term. The lenders for the refinanced debt facility are Oxford and Pacific Western Bank ("Pacific Western.") Pacific Western had acquired Square 1 since the time of the original loan. Such a change in lender does not constitute third party financing and, on its own, would not require extinguishment accounting. As a result of the refinancing, the stated interest rate was also adjusted to reflect the current market borrowing rate. As of December 31, 2015 and March 31, 2016, the outstanding principal balance under the Term Loans was $12.0 million.</w:t>
      </w:r>
    </w:p>
    <w:p>
      <w:pPr>
        <w:spacing w:after="0" w:line="169" w:lineRule="exact"/>
        <w:rPr>
          <w:sz w:val="20"/>
          <w:szCs w:val="20"/>
          <w:color w:val="auto"/>
        </w:rPr>
      </w:pPr>
    </w:p>
    <w:p>
      <w:pPr>
        <w:ind w:right="120"/>
        <w:spacing w:after="0" w:line="310" w:lineRule="auto"/>
        <w:rPr>
          <w:sz w:val="20"/>
          <w:szCs w:val="20"/>
          <w:color w:val="auto"/>
        </w:rPr>
      </w:pPr>
      <w:r>
        <w:rPr>
          <w:rFonts w:ascii="Arial" w:cs="Arial" w:eastAsia="Arial" w:hAnsi="Arial"/>
          <w:sz w:val="13"/>
          <w:szCs w:val="13"/>
          <w:color w:val="auto"/>
        </w:rPr>
        <w:t>According to ASC 470-50-40, the refinancing and modification of the prior debt in a non-troubled debt situation must be treated as either an extinguishment or a modification based on whether the present value of the cash flows under the terms of the new debt instrument is different by greater than, or less than, 10% from the present value of the remaining cash flows under the terms of the original instrument. For cash flow changes greater than 10%, the debt modification is accounted for as a debt extinguishment, whereby the original debt is derecognized and the new debt is initially recorded at fair value, with the difference recognized as an extinguishment gain or loss. For cash flow changes of less than 10%, the new loan is considered a modification and no gain or loss is recognized. In considering all cash flow changes, the Company concluded that the refinancing of the debt as of December 31, 2015 is a modification of the debt and not a debt extinguishment, and as a result the debt is initially recorded at its amortizable value net of discounts and deferred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3" w:right="319" w:bottom="1440" w:gutter="0" w:footer="0" w:header="0"/>
        </w:sectPr>
      </w:pPr>
    </w:p>
    <w:bookmarkStart w:id="256" w:name="page257"/>
    <w:bookmarkEnd w:id="2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Term Loans are collateralized by the assets of the Company and bear interest at 8.1% per annum. The monthly payments for the Term Loans are initially interest only through January 2017. Principal repayments for the Term Loans are due over 30 monthly installments beginning on February 1, 2017. The Term Loans may be prepaid at the Company's option at any time prior to maturity subject to a prepayment fee of 3% if prepaid prior to the first anniversary of the borrowing date, 2% if prepaid after the first anniversary but before the second anniversaries, and 1% if prepaid after the second anniversary.</w:t>
      </w:r>
    </w:p>
    <w:p>
      <w:pPr>
        <w:spacing w:after="0" w:line="162"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The Term Loans do not include any financial covenants. The Term Loans require a final payment fee of 6.0% on the aggregate principal amounts borrowed upon repayment at maturity, on a prepayment date, or upon default. The final payment fee totaling $0.7 million is recorded as a loan discount. In addition, the Term Loans contain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 As a result, the Company concluded that a material adverse change has not occurred and is unlikely to occur, therefore, no liability has been recorded in connection with the clause.</w:t>
      </w:r>
    </w:p>
    <w:p>
      <w:pPr>
        <w:spacing w:after="0" w:line="167"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In connection with the Term Loans, the Company granted the lenders warrants in August 2013 to purchase up to 26,668 shares of the Company's Series D Preferred and additional warrants in July 2014 to purchase up to 40,000 shares of the Company's Series D Preferred. Additionally, with the refinancing of the Term Loans at December 31, 2015, the Company granted the lenders 37,978 shares of the Company's Series E Preferred. The initial grant date fair value of the warrants of $0.1 million, $0.1 million and $0.1 million respectively, was recorded as a loan discount.</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Term Loan discounts are amortized as additional interest expense over the term of the loans. Interest expense for the years ended December 31, 2014 and 2015 totaled $0.6 million and $0.6 million, respectively, and $0.2 million and $0.3 million for the three months ended March 31, 2015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57" w:name="page258"/>
    <w:bookmarkEnd w:id="2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gridSpan w:val="2"/>
          </w:tcPr>
          <w:p>
            <w:pPr>
              <w:spacing w:after="0"/>
              <w:rPr>
                <w:sz w:val="20"/>
                <w:szCs w:val="20"/>
                <w:color w:val="auto"/>
              </w:rPr>
            </w:pPr>
            <w:r>
              <w:rPr>
                <w:rFonts w:ascii="Arial" w:cs="Arial" w:eastAsia="Arial" w:hAnsi="Arial"/>
                <w:sz w:val="15"/>
                <w:szCs w:val="15"/>
                <w:color w:val="auto"/>
              </w:rPr>
              <w:t>Future minimum payments on the Term Loans as of December 31, 2015 are as follows (in thousands):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vMerge w:val="restart"/>
          </w:tcPr>
          <w:p>
            <w:pPr>
              <w:spacing w:after="0"/>
              <w:rPr>
                <w:sz w:val="16"/>
                <w:szCs w:val="16"/>
                <w:color w:val="auto"/>
              </w:rPr>
            </w:pPr>
          </w:p>
        </w:tc>
        <w:tc>
          <w:tcPr>
            <w:tcW w:w="8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vMerge w:val="continue"/>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Year ended December 31: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2016</w:t>
            </w:r>
          </w:p>
        </w:tc>
        <w:tc>
          <w:tcPr>
            <w:tcW w:w="18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2017</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2018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480" w:type="dxa"/>
            <w:vAlign w:val="bottom"/>
            <w:gridSpan w:val="2"/>
          </w:tcPr>
          <w:p>
            <w:pPr>
              <w:ind w:left="1140"/>
              <w:spacing w:after="0"/>
              <w:rPr>
                <w:sz w:val="20"/>
                <w:szCs w:val="20"/>
                <w:color w:val="auto"/>
              </w:rPr>
            </w:pPr>
            <w:r>
              <w:rPr>
                <w:rFonts w:ascii="Arial" w:cs="Arial" w:eastAsia="Arial" w:hAnsi="Arial"/>
                <w:sz w:val="15"/>
                <w:szCs w:val="15"/>
                <w:color w:val="auto"/>
              </w:rPr>
              <w:t>Total debt payments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14,988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Less: Amount representing interest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(2,268)</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Less: Debt discount and deferred charges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(919)</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Less: Current portion of issuance costs</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480" w:type="dxa"/>
            <w:vAlign w:val="bottom"/>
            <w:gridSpan w:val="2"/>
          </w:tcPr>
          <w:p>
            <w:pPr>
              <w:ind w:left="1140"/>
              <w:spacing w:after="0"/>
              <w:rPr>
                <w:sz w:val="20"/>
                <w:szCs w:val="20"/>
                <w:color w:val="auto"/>
              </w:rPr>
            </w:pPr>
            <w:r>
              <w:rPr>
                <w:rFonts w:ascii="Arial" w:cs="Arial" w:eastAsia="Arial" w:hAnsi="Arial"/>
                <w:sz w:val="15"/>
                <w:szCs w:val="15"/>
                <w:color w:val="auto"/>
              </w:rPr>
              <w:t>Loans payable, net of current portion</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Convertible notes</w:t>
      </w:r>
    </w:p>
    <w:p>
      <w:pPr>
        <w:spacing w:after="0" w:line="198" w:lineRule="exact"/>
        <w:rPr>
          <w:sz w:val="20"/>
          <w:szCs w:val="20"/>
          <w:color w:val="auto"/>
        </w:rPr>
      </w:pPr>
    </w:p>
    <w:p>
      <w:pPr>
        <w:spacing w:after="0" w:line="306" w:lineRule="auto"/>
        <w:rPr>
          <w:sz w:val="20"/>
          <w:szCs w:val="20"/>
          <w:color w:val="auto"/>
        </w:rPr>
      </w:pPr>
      <w:r>
        <w:rPr>
          <w:rFonts w:ascii="Arial" w:cs="Arial" w:eastAsia="Arial" w:hAnsi="Arial"/>
          <w:sz w:val="13"/>
          <w:szCs w:val="13"/>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 divided by $17.55. On July 24, 2015, the Company issued warrants to the convertible note holders to purchase up to 80,813 shares of the Company's common stock at an exercise price of $17.55 per share for a term of three years. The carrying value and accrued interest of the outstanding convertible notes were automatically converted into 1,619,550 shares of Series E Preferred. As part of the Series E Preferred issuance, the convertible note holders also received warrants to purchase up to 103,817 shares of the Company's common stock (Note 9). The difference between the carrying value and accrued interest of the convertible notes that were converted and the combined fair value of the Series E Preferred shares and common stock warrants issued were negligible. Interest expense incurred on the convertible notes totaled $0.3 million for the year ending December 31, 2015 and zero during the three months ended March 31, 2016.</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Preferred stock</w:t>
      </w:r>
    </w:p>
    <w:p>
      <w:pPr>
        <w:spacing w:after="0" w:line="195" w:lineRule="exact"/>
        <w:rPr>
          <w:sz w:val="20"/>
          <w:szCs w:val="20"/>
          <w:color w:val="auto"/>
        </w:rPr>
      </w:pPr>
    </w:p>
    <w:p>
      <w:pPr>
        <w:ind w:right="40"/>
        <w:spacing w:after="0" w:line="362" w:lineRule="auto"/>
        <w:rPr>
          <w:sz w:val="20"/>
          <w:szCs w:val="20"/>
          <w:color w:val="auto"/>
        </w:rPr>
      </w:pPr>
      <w:r>
        <w:rPr>
          <w:rFonts w:ascii="Arial" w:cs="Arial" w:eastAsia="Arial" w:hAnsi="Arial"/>
          <w:sz w:val="13"/>
          <w:szCs w:val="13"/>
          <w:color w:val="auto"/>
        </w:rPr>
        <w:t>The Company issued Preferred Stock with a $0.0001 par value to investors for cash or as settlement for outstanding debt under convertible notes. As of December 31, 2014 and 2015, the Company had 28,804,969 and 37,835,623 authorized shares of Preferred Stock, respectively, and at March 31, 2016 had 37,835,623 authorized shares of Preferred Stock.</w:t>
      </w:r>
    </w:p>
    <w:p>
      <w:pPr>
        <w:spacing w:after="0" w:line="105"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As of December 31, 2015 and at March 31, 2016, the Company had issued and outstanding Preferred Stock of (i) 2,589,868 shares of Series A redeemable convertible preferred stock ("Series A Preferred"), (ii) 7,437,325 shares of Series B redeemable convertible preferred stock ("Series B Preferred"), (iii) 5,000,002 shares of Series C redeemable convertible preferred stock ("Series C Preferred"), (iv) 8,099,994 shares of Series D Preferred, (v) 2,111,109 shares of Series SRN Redeemable Convertible Preferred Stock ("Series SRN Preferred") and (vi) 8,888,888 shares of Series E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3" w:right="419" w:bottom="1440" w:gutter="0" w:footer="0" w:header="0"/>
        </w:sectPr>
      </w:pPr>
    </w:p>
    <w:bookmarkStart w:id="258" w:name="page259"/>
    <w:bookmarkEnd w:id="2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In April 2014 and August 2014, the Company issued an additional 3,211,105 shares of Series D Preferred at $4.50 per share for total net proceeds of $14,349,239. In July 2014, the Company issued an additional 1,333,332 shares of Series SRN Preferred at $4.50 per share for total net proceeds of $5.8 million. In connection with the issuance of the additional shares of Series SRN Preferred, the Series SRN Preferred terms were amended. Significant terms that were amended included a change of the Series SRN Preferred optional and mandatory conversion price (other than a special conversion event, as defined in the certificate of incorporation) to $16.77 per share, the elimination of a time-based tranche investment requirement, and the removal of a call option for the Company to repurchase the Series SRN Preferred shares. Based upon the qualitative characteristics of the amendments, the Company determined that the changes significantly modified the terms of Series SRN Preferred resulting in an extinguishment of the then outstanding SRN Preferred shares. As a result, the carrying value of Series SRN Preferred of $5.0 million at the date of the amendment was derecognized, and the amended Series SRN Preferred shares were recorded at their fair value of $4.50 per share. The difference of $1.5 million was recorded as additional paid in capital.</w:t>
      </w:r>
    </w:p>
    <w:p>
      <w:pPr>
        <w:spacing w:after="0" w:line="154"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In August 2015 and September 2015, the Company issued an aggregate of 7,269,338 shares of Series E Preferred at $4.50 per share for total gross proceeds of $32.7 million with issuance costs totaling $0.2 million. In addition, the Company issued 1,619,550 shares of Series E Preferred in connection with the conversion of convertible notes (Note 8). In connection with the Series E Preferred issuances, each Series E Preferred stockholder also received warrants to purchase a number of shares of the Company's common stock that equal to 25% of the number of Series E Preferred shares issued. The fair value of the issued common stock warrants is accounted for as an issuance discount on the Series E Preferred. The common stock warrants are classified as permanent equity and were recorded as additional paid-in capital.</w:t>
      </w:r>
    </w:p>
    <w:p>
      <w:pPr>
        <w:spacing w:after="0" w:line="167"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Series A Preferred, Series B Preferred, Series C Preferred, and Series D Preferred are hereinafter collectively referred to as "Tier II Preferred." Tier II Preferred and Series E Preferred are hereinafter collectively referred to as "Senior Preferred."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rights, preferences, and privileges of the Preferred Stock are summarized below:</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Voting</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Series SRN Preferred are nonvoting. Except for matters that require a vote by a separate class or by separate series, Senior Preferred stockholders have full voting rights and powers similar to the rights and powers of the holders of common stock on an as-converted basis (disregarding the special conversion ratio applicable to Series E Preferred). Certain significant actions, including the amendment of the certificate of incorporation and any changes or transactions that may affect the preferences and priority of Senior Preferred such as dividends, dilution, sale and disposal of assets, mergers and acquisitions, voluntary dissolution or liquidation, merger, consolidation, recapitalization, and number of directors, must be approved by a majority vote of Senior Preferred stockholders voting as a single class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59" w:name="page260"/>
    <w:bookmarkEnd w:id="25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198" w:lineRule="exact"/>
        <w:rPr>
          <w:sz w:val="20"/>
          <w:szCs w:val="20"/>
          <w:color w:val="auto"/>
        </w:rPr>
      </w:pPr>
    </w:p>
    <w:p>
      <w:pPr>
        <w:ind w:right="120"/>
        <w:spacing w:after="0" w:line="284" w:lineRule="auto"/>
        <w:rPr>
          <w:sz w:val="20"/>
          <w:szCs w:val="20"/>
          <w:color w:val="auto"/>
        </w:rPr>
      </w:pPr>
      <w:r>
        <w:rPr>
          <w:rFonts w:ascii="Arial" w:cs="Arial" w:eastAsia="Arial" w:hAnsi="Arial"/>
          <w:sz w:val="14"/>
          <w:szCs w:val="14"/>
          <w:color w:val="auto"/>
        </w:rPr>
        <w:t>Holders of all series of Preferred Stock are entitled to receive dividends when and if declared by the Company's board of directors. In the event of liquidation, dissolution, or winding up of business, Senior Preferred stockholders are entitled to receive unpaid accrued dividends, whether or not declared by the board of directors. Senior Preferred dividends are to be calculated daily and accrued on a cumulative basis (adjusted for stock split, stock dividends, or other recapitalizations) at the rate of: $0.0579 per share for Series A Preferred, $0.1218 per share for Series B Preferred, $0.18 per share for Series C Preferred, $0.27 per share for Series D Preferred, and $0.27 per share for Series E Preferred. Dividends accumulated on Preferred Stock totaled $3.8 million, $4.9 million, $1.0 million and $1.6 million during the years ended December 31, 2014 and 2015, and the three months ended March 31, 2015 and 2016, respectively. Series SRN Preferred stockholders are not entitled to receive accrued dividends.</w:t>
      </w:r>
    </w:p>
    <w:p>
      <w:pPr>
        <w:spacing w:after="0" w:line="154" w:lineRule="exact"/>
        <w:rPr>
          <w:sz w:val="20"/>
          <w:szCs w:val="20"/>
          <w:color w:val="auto"/>
        </w:rPr>
      </w:pPr>
    </w:p>
    <w:p>
      <w:pPr>
        <w:ind w:right="200"/>
        <w:spacing w:after="0" w:line="319" w:lineRule="auto"/>
        <w:rPr>
          <w:sz w:val="20"/>
          <w:szCs w:val="20"/>
          <w:color w:val="auto"/>
        </w:rPr>
      </w:pPr>
      <w:r>
        <w:rPr>
          <w:rFonts w:ascii="Arial" w:cs="Arial" w:eastAsia="Arial" w:hAnsi="Arial"/>
          <w:sz w:val="14"/>
          <w:szCs w:val="14"/>
          <w:color w:val="auto"/>
        </w:rPr>
        <w:t>After accrued dividends due to Senior Preferred stockholders are satisfied in full, holders of all series of Preferred Stock are entitled to participate in other dividends payable to holders of common stock on an as-converted basis, when and if declared by the board of directors. Holders of Preferred Stock are not entitled to participate in stock dividends.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Optional conversion</w:t>
      </w:r>
    </w:p>
    <w:p>
      <w:pPr>
        <w:spacing w:after="0" w:line="198"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Series A Preferred, Series B Preferred, and Series C Preferred are convertible into common stock at the stockholders' option at any time at the original issuance price of $0.9653 per share for Series A Preferred, $2.0303 per share for Series B Preferred, and $3.00 per share for Series C Preferred, respectively, divided by the then effective conversion prices which are currently the original issuance price multiplied by 3.9 (3.9:1 conversion ratio), plus any declared but unpaid dividends (excluding accrued dividends).</w:t>
      </w:r>
    </w:p>
    <w:p>
      <w:pPr>
        <w:spacing w:after="0" w:line="144"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Series D Preferred are convertible into common stock at the stockholders' option at any time at the original issuance price of $4.50 per share divided by the then effective conversion price which is currently $4.30 per share multiplied by 3.9 (1:0.2683 conversion ratio), plus any declared but unpaid dividends (excluding accrued dividends).</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Series SRN Preferred are convertible into common stock at the stockholders' option only upon a deemed liquidation event or an initial public offering ("IPO") (whether or not a firm commitment underwritten IPO for an aggregate offering price of at least $30.0 million, referred to as a qualified IPO), at the original issuance price of $4.50 per share divided by $16.77 per share (1:0.2683 conversion ratio), plus any declared but unpaid dividends. Upon the occurrence of a special conversion event (as defined in the certificate of incorporation), Series SRN Preferred are convertible at a special conversion price of $14.04 per share (1:0.3205 conversion ratio), plus any declared but unpaid dividends.</w:t>
      </w:r>
    </w:p>
    <w:p>
      <w:pPr>
        <w:spacing w:after="0" w:line="148"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Upon liquidation, dissolution, or winding up of business, including deemed liquidation events, Series E Preferred stockholders can elect to (1) convert their shares of Series E Preferred into common stock at the original Series E Preferred issuance price of $4.50 per share divided by the then effective conversion price (currently the original issuance price of $4.50 multiplied by 3.9) multiplied by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60" w:name="page261"/>
    <w:bookmarkEnd w:id="26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right="160"/>
        <w:spacing w:after="0" w:line="290" w:lineRule="auto"/>
        <w:rPr>
          <w:sz w:val="20"/>
          <w:szCs w:val="20"/>
          <w:color w:val="auto"/>
        </w:rPr>
      </w:pPr>
      <w:r>
        <w:rPr>
          <w:rFonts w:ascii="Arial" w:cs="Arial" w:eastAsia="Arial" w:hAnsi="Arial"/>
          <w:sz w:val="14"/>
          <w:szCs w:val="14"/>
          <w:color w:val="auto"/>
        </w:rPr>
        <w:t>(1:0.2949 conversion ratio), or (2) receive a liquidation preference at 1.15 times the per-share original issuance price, or $5.175, plus any declared but unpaid dividends (excluding accrued dividends). When not associated with a liquidation, dissolution, winding up of business, or deemed liquidation event, Series E Preferred are convertible into common stock at the stockholders' option at any time at the original issuance price of $4.50 per share divided by the then effective conversion price which is currently the original issuance price of $4.50 per share multiplied by 3.9 (1:0.2564 conversion ratio), plus any declared but unpaid dividends (excluding accrued dividends).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Mandatory conversion</w:t>
      </w:r>
    </w:p>
    <w:p>
      <w:pPr>
        <w:spacing w:after="0" w:line="198" w:lineRule="exact"/>
        <w:rPr>
          <w:sz w:val="20"/>
          <w:szCs w:val="20"/>
          <w:color w:val="auto"/>
        </w:rPr>
      </w:pPr>
    </w:p>
    <w:p>
      <w:pPr>
        <w:ind w:left="7" w:right="200"/>
        <w:spacing w:after="0" w:line="300" w:lineRule="auto"/>
        <w:rPr>
          <w:sz w:val="20"/>
          <w:szCs w:val="20"/>
          <w:color w:val="auto"/>
        </w:rPr>
      </w:pPr>
      <w:r>
        <w:rPr>
          <w:rFonts w:ascii="Arial" w:cs="Arial" w:eastAsia="Arial" w:hAnsi="Arial"/>
          <w:sz w:val="13"/>
          <w:szCs w:val="13"/>
          <w:color w:val="auto"/>
        </w:rPr>
        <w:t>All series of Preferred Stock are automatically converted at the then effective conversion price upon the completion of a qualified IPO. Currently, the effective conversion price is $3.7647 per share for Series A Preferred, $7.9182 per share for Series B Preferred, $11.70 per share for Series C Preferred, $16.77 per share for Series D Preferred, and $16.77 per share of Series SRN Preferred. The Series E Preferred effective conversion price upon a qualified IPO is determined based on the number of common stock shares issuable calculated as the highest of:</w:t>
      </w:r>
    </w:p>
    <w:p>
      <w:pPr>
        <w:ind w:left="7" w:right="140" w:hanging="7"/>
        <w:spacing w:after="0" w:line="275" w:lineRule="auto"/>
        <w:tabs>
          <w:tab w:leader="none" w:pos="212" w:val="left"/>
        </w:tabs>
        <w:numPr>
          <w:ilvl w:val="0"/>
          <w:numId w:val="137"/>
        </w:numPr>
        <w:rPr>
          <w:rFonts w:ascii="Arial" w:cs="Arial" w:eastAsia="Arial" w:hAnsi="Arial"/>
          <w:sz w:val="15"/>
          <w:szCs w:val="15"/>
          <w:color w:val="auto"/>
        </w:rPr>
      </w:pPr>
      <w:r>
        <w:rPr>
          <w:rFonts w:ascii="Arial" w:cs="Arial" w:eastAsia="Arial" w:hAnsi="Arial"/>
          <w:sz w:val="15"/>
          <w:szCs w:val="15"/>
          <w:color w:val="auto"/>
        </w:rPr>
        <w:t>$5.175 (Series E Preferred liquidation price) divided by the IPO price per share paid by the underwriters; (b) each shares of Series E Preferred converting into 0.2949 shares of common stock, or (c) $4.50 divided by the then effective Series E Preferred conversion price (currently $17.55 per share).</w:t>
      </w:r>
    </w:p>
    <w:p>
      <w:pPr>
        <w:spacing w:after="0" w:line="156" w:lineRule="exact"/>
        <w:rPr>
          <w:sz w:val="20"/>
          <w:szCs w:val="20"/>
          <w:color w:val="auto"/>
        </w:rPr>
      </w:pPr>
    </w:p>
    <w:p>
      <w:pPr>
        <w:ind w:left="7" w:right="200"/>
        <w:spacing w:after="0" w:line="263" w:lineRule="auto"/>
        <w:rPr>
          <w:sz w:val="20"/>
          <w:szCs w:val="20"/>
          <w:color w:val="auto"/>
        </w:rPr>
      </w:pPr>
      <w:r>
        <w:rPr>
          <w:rFonts w:ascii="Arial" w:cs="Arial" w:eastAsia="Arial" w:hAnsi="Arial"/>
          <w:sz w:val="15"/>
          <w:szCs w:val="15"/>
          <w:color w:val="auto"/>
        </w:rPr>
        <w:t>Tier II Preferred are also automatically convertible as a single class upon, the vote of at least two-thirds of the voting power of all Tier II Preferred at the then effective conversion price (3.9:1 conversion ratio, except Series D Preferred which is 1:0.2683). Series E Preferred are automatically convertible as a single class upon a majority vote of Series E Preferred stockholders at the then effective conversion price (currently $17.55 per share) times 1.15 (1:0.2949 conversion ratio). Series SRN Preferred are automatically convertible as a single class upon (a) the sale of a majority of the Company's outstanding capital stock, (b) an IPO (whether or not a qualified IPO), or (c) an agreement among the majority of Series SRN Preferred stockholders, at the then effective conversion price (currently $16.77 per share).</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Liquidation preference</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4"/>
          <w:szCs w:val="14"/>
          <w:color w:val="auto"/>
        </w:rPr>
        <w:t>Upon liquidation, dissolution, or winding up of business, including deemed liquidation events, Series E Preferred stockholders can elect to (1) convert into common stock at the original</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4"/>
          <w:szCs w:val="14"/>
          <w:color w:val="auto"/>
        </w:rPr>
        <w:t>Series E Preferred issuance price of $4.50 per share divided by the then effective conversion price (currently the original issuance price of $4.50 multiplied by 3.9) multiplied by 1.15</w:t>
      </w:r>
    </w:p>
    <w:p>
      <w:pPr>
        <w:spacing w:after="0" w:line="24" w:lineRule="exact"/>
        <w:rPr>
          <w:sz w:val="20"/>
          <w:szCs w:val="20"/>
          <w:color w:val="auto"/>
        </w:rPr>
      </w:pPr>
    </w:p>
    <w:p>
      <w:pPr>
        <w:ind w:left="7"/>
        <w:spacing w:after="0"/>
        <w:rPr>
          <w:sz w:val="20"/>
          <w:szCs w:val="20"/>
          <w:color w:val="auto"/>
        </w:rPr>
      </w:pPr>
      <w:r>
        <w:rPr>
          <w:rFonts w:ascii="Arial" w:cs="Arial" w:eastAsia="Arial" w:hAnsi="Arial"/>
          <w:sz w:val="13"/>
          <w:szCs w:val="13"/>
          <w:color w:val="auto"/>
        </w:rPr>
        <w:t>(1:0.2949 conversion ratio), or (2) receive liquidation preference at 1.15 times the per-share original issuance price, or $5.175, plus any unpaid accrued dividends (whether or not declared),</w:t>
      </w:r>
    </w:p>
    <w:p>
      <w:pPr>
        <w:spacing w:after="0" w:line="36" w:lineRule="exact"/>
        <w:rPr>
          <w:sz w:val="20"/>
          <w:szCs w:val="20"/>
          <w:color w:val="auto"/>
        </w:rPr>
      </w:pPr>
    </w:p>
    <w:p>
      <w:pPr>
        <w:ind w:left="7"/>
        <w:spacing w:after="0"/>
        <w:rPr>
          <w:sz w:val="20"/>
          <w:szCs w:val="20"/>
          <w:color w:val="auto"/>
        </w:rPr>
      </w:pPr>
      <w:r>
        <w:rPr>
          <w:rFonts w:ascii="Arial" w:cs="Arial" w:eastAsia="Arial" w:hAnsi="Arial"/>
          <w:sz w:val="13"/>
          <w:szCs w:val="13"/>
          <w:color w:val="auto"/>
        </w:rPr>
        <w:t>and any additional declared but unpaid dividends. Series E Preferred shares have preferences in priority to Tier II Preferred, Series SRN Preferred, and common stock. If assets available for</w:t>
      </w:r>
    </w:p>
    <w:p>
      <w:pPr>
        <w:spacing w:after="0" w:line="36" w:lineRule="exact"/>
        <w:rPr>
          <w:sz w:val="20"/>
          <w:szCs w:val="20"/>
          <w:color w:val="auto"/>
        </w:rPr>
      </w:pPr>
    </w:p>
    <w:p>
      <w:pPr>
        <w:ind w:left="7"/>
        <w:spacing w:after="0"/>
        <w:rPr>
          <w:sz w:val="20"/>
          <w:szCs w:val="20"/>
          <w:color w:val="auto"/>
        </w:rPr>
      </w:pPr>
      <w:r>
        <w:rPr>
          <w:rFonts w:ascii="Arial" w:cs="Arial" w:eastAsia="Arial" w:hAnsi="Arial"/>
          <w:sz w:val="14"/>
          <w:szCs w:val="14"/>
          <w:color w:val="auto"/>
        </w:rPr>
        <w:t>distribution are insufficient to satisfy the Series E Preferred liquidation payment amounts in full, assets available for distribution will be allocated among Series E Preferred shares ratably</w:t>
      </w:r>
    </w:p>
    <w:p>
      <w:pPr>
        <w:spacing w:after="0" w:line="24" w:lineRule="exact"/>
        <w:rPr>
          <w:sz w:val="20"/>
          <w:szCs w:val="20"/>
          <w:color w:val="auto"/>
        </w:rPr>
      </w:pPr>
    </w:p>
    <w:p>
      <w:pPr>
        <w:ind w:left="7"/>
        <w:spacing w:after="0"/>
        <w:rPr>
          <w:sz w:val="20"/>
          <w:szCs w:val="20"/>
          <w:color w:val="auto"/>
        </w:rPr>
      </w:pPr>
      <w:r>
        <w:rPr>
          <w:rFonts w:ascii="Arial" w:cs="Arial" w:eastAsia="Arial" w:hAnsi="Arial"/>
          <w:sz w:val="15"/>
          <w:szCs w:val="15"/>
          <w:color w:val="auto"/>
        </w:rPr>
        <w:t>and in proportion to the full preferential amount of shareholding.</w:t>
      </w:r>
    </w:p>
    <w:p>
      <w:pPr>
        <w:spacing w:after="0" w:line="193" w:lineRule="exact"/>
        <w:rPr>
          <w:sz w:val="20"/>
          <w:szCs w:val="20"/>
          <w:color w:val="auto"/>
        </w:rPr>
      </w:pPr>
    </w:p>
    <w:p>
      <w:pPr>
        <w:ind w:left="7" w:right="160"/>
        <w:spacing w:after="0" w:line="282" w:lineRule="auto"/>
        <w:rPr>
          <w:sz w:val="20"/>
          <w:szCs w:val="20"/>
          <w:color w:val="auto"/>
        </w:rPr>
      </w:pPr>
      <w:r>
        <w:rPr>
          <w:rFonts w:ascii="Arial" w:cs="Arial" w:eastAsia="Arial" w:hAnsi="Arial"/>
          <w:sz w:val="15"/>
          <w:szCs w:val="15"/>
          <w:color w:val="auto"/>
        </w:rPr>
        <w:t>After Series E Preferred stockholders are satisfied, any remaining assets available will be distributed to the Tier II Preferred stockholders at an amount equal to their original issuance price plus any unpaid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61" w:name="page262"/>
    <w:bookmarkEnd w:id="2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40"/>
        <w:spacing w:after="0" w:line="362" w:lineRule="auto"/>
        <w:rPr>
          <w:sz w:val="20"/>
          <w:szCs w:val="20"/>
          <w:color w:val="auto"/>
        </w:rPr>
      </w:pPr>
      <w:r>
        <w:rPr>
          <w:rFonts w:ascii="Arial" w:cs="Arial" w:eastAsia="Arial" w:hAnsi="Arial"/>
          <w:sz w:val="13"/>
          <w:szCs w:val="13"/>
          <w:color w:val="auto"/>
        </w:rPr>
        <w:t>accrued dividends (whether or not declared), and any additional declared but unpaid dividends. If assets available for distribution are insufficient to satisfy the Tier II Preferred liquidation payment amounts in full, assets available for distribution will be allocated among shares of Tier II Preferred shares ratably and in proportion to the full preferential amount of shareholding.</w:t>
      </w:r>
    </w:p>
    <w:p>
      <w:pPr>
        <w:spacing w:after="0" w:line="105"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After the Senior Preferred stockholders are satisfied, any remaining assets available will be distributed to the Series SRN Preferred stockholders at an amount equal to their original issuance price plus any declared but unpaid dividends. Series SRN Preferred are not entitled to accrued dividends. If assets available for distribution are insufficient to satisfy the Series SRN Preferred liquidation payment amounts in full, assets available for distribution will be allocated among Series SRN Preferred shares ratably and in proportion to the full preferential amount of shareholding.</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In the event any series of Preferred Stock would have received a greater amount of distribution than the amounts summarized above if those series of Preferred Stock had been converted into common stock, then all shares of such series of Preferred Stock would receive the higher distribution amount as if they had been converted into common stock. This option does not apply to any holders of Preferred Stock who converted their shareholdings prior to or independent of the liquidation or deemed liquidation event.</w:t>
      </w:r>
    </w:p>
    <w:p>
      <w:pPr>
        <w:spacing w:after="0" w:line="14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After all series Preferred Stock are satisfied in full, any excess assets available for distribution will be allocated ratably among common stock based on the ratable common stock shares held by each stockholder.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Redemption rights</w:t>
      </w:r>
    </w:p>
    <w:p>
      <w:pPr>
        <w:spacing w:after="0" w:line="199" w:lineRule="exact"/>
        <w:rPr>
          <w:sz w:val="20"/>
          <w:szCs w:val="20"/>
          <w:color w:val="auto"/>
        </w:rPr>
      </w:pPr>
    </w:p>
    <w:p>
      <w:pPr>
        <w:ind w:right="60"/>
        <w:spacing w:after="0" w:line="273" w:lineRule="auto"/>
        <w:rPr>
          <w:sz w:val="20"/>
          <w:szCs w:val="20"/>
          <w:color w:val="auto"/>
        </w:rPr>
      </w:pPr>
      <w:r>
        <w:rPr>
          <w:rFonts w:ascii="Arial" w:cs="Arial" w:eastAsia="Arial" w:hAnsi="Arial"/>
          <w:sz w:val="13"/>
          <w:szCs w:val="13"/>
          <w:color w:val="auto"/>
        </w:rPr>
        <w:t xml:space="preserve">Senior Preferred are redeemable at the option of the stockholders at any time on or after November 7, 2019 upon a written notice by at least </w:t>
      </w:r>
      <w:r>
        <w:rPr>
          <w:rFonts w:ascii="Arial" w:cs="Arial" w:eastAsia="Arial" w:hAnsi="Arial"/>
          <w:sz w:val="21"/>
          <w:szCs w:val="21"/>
          <w:color w:val="auto"/>
          <w:vertAlign w:val="superscript"/>
        </w:rPr>
        <w:t>2</w:t>
      </w:r>
      <w:r>
        <w:rPr>
          <w:rFonts w:ascii="Arial" w:cs="Arial" w:eastAsia="Arial" w:hAnsi="Arial"/>
          <w:sz w:val="13"/>
          <w:szCs w:val="13"/>
          <w:color w:val="auto"/>
        </w:rPr>
        <w:t>/</w:t>
      </w:r>
      <w:r>
        <w:rPr>
          <w:rFonts w:ascii="Arial" w:cs="Arial" w:eastAsia="Arial" w:hAnsi="Arial"/>
          <w:sz w:val="11"/>
          <w:szCs w:val="11"/>
          <w:color w:val="auto"/>
        </w:rPr>
        <w:t>3</w:t>
      </w:r>
      <w:r>
        <w:rPr>
          <w:rFonts w:ascii="Arial" w:cs="Arial" w:eastAsia="Arial" w:hAnsi="Arial"/>
          <w:sz w:val="13"/>
          <w:szCs w:val="13"/>
          <w:color w:val="auto"/>
        </w:rPr>
        <w:t xml:space="preserve"> of the Senior Preferred stockholders then outstanding voting as a single class, at a price that equals their respective original issuance price per share, plus all accrued but unpaid dividends and all other declared and unpaid dividends, to be paid in four equal annual installments. Any unpaid redemption amounts will be accelerated prior to the effective date of Series SRN Preferred redemption, if elected.</w:t>
      </w:r>
    </w:p>
    <w:p>
      <w:pPr>
        <w:spacing w:after="0" w:line="160"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As long as the Company has outstanding loans or similar commitments, Series SRN Preferred shares are not redeemable. In the absence of outstanding loans or similar commitments, Series SRN Preferred are redeemable at the option of each stockholder at any time on or after November 7, 2019, at a price per share that equals the original issuance price per share plus a 16.5% internal rate of return. In the event the Company's cash funds are insufficient to redeem all Series SRN Preferred shares including the 16.5% internal rate of return, the Company will issue a promissory note for the unredeemed shares with a term up to two years and accrues interest at 16.5%. Series SRN Preferred shares are not entitled to receive additional dividends once the redemption option is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62" w:name="page263"/>
    <w:bookmarkEnd w:id="2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Common stock</w:t>
      </w:r>
    </w:p>
    <w:p>
      <w:pPr>
        <w:spacing w:after="0" w:line="19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The voting, dividend and liquidation rights of the common stockholders are subject to and qualified by the rights, powers and preferences of the Preferred Stock. The common stock has the following characteristics: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w:t>
      </w:r>
    </w:p>
    <w:p>
      <w:pPr>
        <w:spacing w:after="0" w:line="202"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common stockholders are entitled to one vote for each share of common stock held with respect to all matters voted on by the stockholders of the Company. Common stock voting rights on certain matters are subject to the powers, preferences, and rights of the Senior Preferred.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202" w:lineRule="exact"/>
        <w:rPr>
          <w:sz w:val="20"/>
          <w:szCs w:val="20"/>
          <w:color w:val="auto"/>
        </w:rPr>
      </w:pPr>
    </w:p>
    <w:p>
      <w:pPr>
        <w:jc w:val="both"/>
        <w:ind w:right="460"/>
        <w:spacing w:after="0" w:line="270" w:lineRule="auto"/>
        <w:rPr>
          <w:sz w:val="20"/>
          <w:szCs w:val="20"/>
          <w:color w:val="auto"/>
        </w:rPr>
      </w:pPr>
      <w:r>
        <w:rPr>
          <w:rFonts w:ascii="Arial" w:cs="Arial" w:eastAsia="Arial" w:hAnsi="Arial"/>
          <w:sz w:val="15"/>
          <w:szCs w:val="15"/>
          <w:color w:val="auto"/>
        </w:rPr>
        <w:t>The common stockholders are entitled to receive dividends, if and when declared by the Board of Directors. The Company may not declare or pay any cash dividends to the common stockholders unless dividends are first declared and paid to the holders of Preferred Stock in accordance with their respective terms. Through March 31, 2016, no dividends have been declared or paid on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Liquidation</w:t>
      </w:r>
    </w:p>
    <w:p>
      <w:pPr>
        <w:spacing w:after="0" w:line="202" w:lineRule="exact"/>
        <w:rPr>
          <w:sz w:val="20"/>
          <w:szCs w:val="20"/>
          <w:color w:val="auto"/>
        </w:rPr>
      </w:pPr>
    </w:p>
    <w:p>
      <w:pPr>
        <w:ind w:right="380"/>
        <w:spacing w:after="0" w:line="319" w:lineRule="auto"/>
        <w:rPr>
          <w:sz w:val="20"/>
          <w:szCs w:val="20"/>
          <w:color w:val="auto"/>
        </w:rPr>
      </w:pPr>
      <w:r>
        <w:rPr>
          <w:rFonts w:ascii="Arial" w:cs="Arial" w:eastAsia="Arial" w:hAnsi="Arial"/>
          <w:sz w:val="14"/>
          <w:szCs w:val="14"/>
          <w:color w:val="auto"/>
        </w:rPr>
        <w:t>After holders of Preferred Stock are satisfied of their liquidation preferences upon any voluntary or involuntary liquidation, dissolution or winding up of the affairs of the Company, the common stockholders are then entitled to receive that portion of the remaining funds to be distributed to all holders of the Company's stock on an as-converted basis.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Reserved shares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authorized shares of common stock for future issuance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Periods ending</w:t>
            </w: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5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2015</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March 31, 2016</w:t>
            </w:r>
          </w:p>
        </w:tc>
        <w:tc>
          <w:tcPr>
            <w:tcW w:w="140" w:type="dxa"/>
            <w:vAlign w:val="bottom"/>
          </w:tcPr>
          <w:p>
            <w:pPr>
              <w:spacing w:after="0"/>
              <w:rPr>
                <w:sz w:val="13"/>
                <w:szCs w:val="13"/>
                <w:color w:val="auto"/>
              </w:rPr>
            </w:pPr>
          </w:p>
        </w:tc>
      </w:tr>
      <w:tr>
        <w:trPr>
          <w:trHeight w:val="131"/>
        </w:trPr>
        <w:tc>
          <w:tcPr>
            <w:tcW w:w="5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94"/>
              <w:spacing w:after="0" w:line="13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A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664,068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664,068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664,068</w:t>
            </w:r>
          </w:p>
        </w:tc>
        <w:tc>
          <w:tcPr>
            <w:tcW w:w="140" w:type="dxa"/>
            <w:vAlign w:val="bottom"/>
            <w:shd w:val="clear" w:color="auto" w:fill="CCEEFF"/>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Arial" w:cs="Arial" w:eastAsia="Arial" w:hAnsi="Arial"/>
                <w:sz w:val="15"/>
                <w:szCs w:val="15"/>
                <w:color w:val="auto"/>
              </w:rPr>
              <w:t>Conversion of Series B Preferred</w:t>
            </w:r>
          </w:p>
        </w:tc>
        <w:tc>
          <w:tcPr>
            <w:tcW w:w="1180" w:type="dxa"/>
            <w:vAlign w:val="bottom"/>
          </w:tcPr>
          <w:p>
            <w:pPr>
              <w:jc w:val="right"/>
              <w:spacing w:after="0"/>
              <w:rPr>
                <w:sz w:val="20"/>
                <w:szCs w:val="20"/>
                <w:color w:val="auto"/>
              </w:rPr>
            </w:pPr>
            <w:r>
              <w:rPr>
                <w:rFonts w:ascii="Arial" w:cs="Arial" w:eastAsia="Arial" w:hAnsi="Arial"/>
                <w:sz w:val="15"/>
                <w:szCs w:val="15"/>
                <w:color w:val="auto"/>
              </w:rPr>
              <w:t>1,907,006</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1,907,006</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1,907,006</w:t>
            </w:r>
          </w:p>
        </w:tc>
        <w:tc>
          <w:tcPr>
            <w:tcW w:w="14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C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1,282,051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1,282,051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1,282,051</w:t>
            </w:r>
          </w:p>
        </w:tc>
        <w:tc>
          <w:tcPr>
            <w:tcW w:w="140" w:type="dxa"/>
            <w:vAlign w:val="bottom"/>
            <w:shd w:val="clear" w:color="auto" w:fill="CCEEFF"/>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Arial" w:cs="Arial" w:eastAsia="Arial" w:hAnsi="Arial"/>
                <w:sz w:val="15"/>
                <w:szCs w:val="15"/>
                <w:color w:val="auto"/>
              </w:rPr>
              <w:t>Conversion of Series D Preferred</w:t>
            </w:r>
          </w:p>
        </w:tc>
        <w:tc>
          <w:tcPr>
            <w:tcW w:w="1180" w:type="dxa"/>
            <w:vAlign w:val="bottom"/>
          </w:tcPr>
          <w:p>
            <w:pPr>
              <w:jc w:val="right"/>
              <w:spacing w:after="0"/>
              <w:rPr>
                <w:sz w:val="20"/>
                <w:szCs w:val="20"/>
                <w:color w:val="auto"/>
              </w:rPr>
            </w:pPr>
            <w:r>
              <w:rPr>
                <w:rFonts w:ascii="Arial" w:cs="Arial" w:eastAsia="Arial" w:hAnsi="Arial"/>
                <w:sz w:val="15"/>
                <w:szCs w:val="15"/>
                <w:color w:val="auto"/>
              </w:rPr>
              <w:t>2,094,015</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2,191,412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2,191,412</w:t>
            </w:r>
          </w:p>
        </w:tc>
        <w:tc>
          <w:tcPr>
            <w:tcW w:w="14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SRN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1,438,746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1,798,433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1,798,433</w:t>
            </w:r>
          </w:p>
        </w:tc>
        <w:tc>
          <w:tcPr>
            <w:tcW w:w="140" w:type="dxa"/>
            <w:vAlign w:val="bottom"/>
            <w:shd w:val="clear" w:color="auto" w:fill="CCEEFF"/>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Arial" w:cs="Arial" w:eastAsia="Arial" w:hAnsi="Arial"/>
                <w:sz w:val="15"/>
                <w:szCs w:val="15"/>
                <w:color w:val="auto"/>
              </w:rPr>
              <w:t>Conversion of Series E Preferred with warrants</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2,662,885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2,662,885</w:t>
            </w:r>
          </w:p>
        </w:tc>
        <w:tc>
          <w:tcPr>
            <w:tcW w:w="14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Exercise of common warrants</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650,618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650,618</w:t>
            </w:r>
          </w:p>
        </w:tc>
        <w:tc>
          <w:tcPr>
            <w:tcW w:w="140" w:type="dxa"/>
            <w:vAlign w:val="bottom"/>
            <w:shd w:val="clear" w:color="auto" w:fill="CCEEFF"/>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Arial" w:cs="Arial" w:eastAsia="Arial" w:hAnsi="Arial"/>
                <w:sz w:val="15"/>
                <w:szCs w:val="15"/>
                <w:color w:val="auto"/>
              </w:rPr>
              <w:t>Shares available for future stock incentive awards</w:t>
            </w:r>
          </w:p>
        </w:tc>
        <w:tc>
          <w:tcPr>
            <w:tcW w:w="1180" w:type="dxa"/>
            <w:vAlign w:val="bottom"/>
          </w:tcPr>
          <w:p>
            <w:pPr>
              <w:jc w:val="right"/>
              <w:spacing w:after="0"/>
              <w:rPr>
                <w:sz w:val="20"/>
                <w:szCs w:val="20"/>
                <w:color w:val="auto"/>
              </w:rPr>
            </w:pPr>
            <w:r>
              <w:rPr>
                <w:rFonts w:ascii="Arial" w:cs="Arial" w:eastAsia="Arial" w:hAnsi="Arial"/>
                <w:sz w:val="15"/>
                <w:szCs w:val="15"/>
                <w:color w:val="auto"/>
              </w:rPr>
              <w:t>1,544</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100,034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7,091</w:t>
            </w:r>
          </w:p>
        </w:tc>
        <w:tc>
          <w:tcPr>
            <w:tcW w:w="14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Exercise of outstanding common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1,143,237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1,569,379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1,736,681</w:t>
            </w:r>
          </w:p>
        </w:tc>
        <w:tc>
          <w:tcPr>
            <w:tcW w:w="140" w:type="dxa"/>
            <w:vAlign w:val="bottom"/>
            <w:shd w:val="clear" w:color="auto" w:fill="CCEEFF"/>
          </w:tcPr>
          <w:p>
            <w:pPr>
              <w:spacing w:after="0"/>
              <w:rPr>
                <w:sz w:val="16"/>
                <w:szCs w:val="16"/>
                <w:color w:val="auto"/>
              </w:rPr>
            </w:pPr>
          </w:p>
        </w:tc>
      </w:tr>
      <w:tr>
        <w:trPr>
          <w:trHeight w:val="177"/>
        </w:trPr>
        <w:tc>
          <w:tcPr>
            <w:tcW w:w="5380" w:type="dxa"/>
            <w:vAlign w:val="bottom"/>
          </w:tcPr>
          <w:p>
            <w:pPr>
              <w:spacing w:after="0"/>
              <w:rPr>
                <w:sz w:val="20"/>
                <w:szCs w:val="20"/>
                <w:color w:val="auto"/>
              </w:rPr>
            </w:pPr>
            <w:r>
              <w:rPr>
                <w:rFonts w:ascii="Arial" w:cs="Arial" w:eastAsia="Arial" w:hAnsi="Arial"/>
                <w:sz w:val="15"/>
                <w:szCs w:val="15"/>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8,530,667</w:t>
            </w:r>
          </w:p>
        </w:tc>
        <w:tc>
          <w:tcPr>
            <w:tcW w:w="14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12,825,886</w:t>
            </w:r>
          </w:p>
        </w:tc>
        <w:tc>
          <w:tcPr>
            <w:tcW w:w="14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12,900,245</w:t>
            </w:r>
          </w:p>
        </w:tc>
        <w:tc>
          <w:tcPr>
            <w:tcW w:w="140" w:type="dxa"/>
            <w:vAlign w:val="bottom"/>
          </w:tcPr>
          <w:p>
            <w:pPr>
              <w:spacing w:after="0"/>
              <w:rPr>
                <w:sz w:val="15"/>
                <w:szCs w:val="15"/>
                <w:color w:val="auto"/>
              </w:rPr>
            </w:pPr>
          </w:p>
        </w:tc>
      </w:tr>
      <w:tr>
        <w:trPr>
          <w:trHeight w:val="20"/>
        </w:trPr>
        <w:tc>
          <w:tcPr>
            <w:tcW w:w="5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63" w:name="page264"/>
    <w:bookmarkEnd w:id="26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Stock incentive plans</w:t>
      </w:r>
    </w:p>
    <w:p>
      <w:pPr>
        <w:spacing w:after="0" w:line="195"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The Company maintains the 2008 Equity Incentive Plan (the "Plan") for employees, consultants, advisors, and directors. The Plan provides for the granting of incentive and non-qualified stock option and restricted stock awards as determined by the Board. As of March 31, 2016, a total of 2,200,592 shares of common stock are authorized for grants under the Plan with 7,091 shares available for future grant. All stock options granted under the 2008 Plan may be exercised into restricted stock subject to forfeiture provisions upon termination.</w:t>
      </w:r>
    </w:p>
    <w:p>
      <w:pPr>
        <w:spacing w:after="0" w:line="144"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The Plan provides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Plan vest over periods as determined by the Board, which are generally four years and with terms that generally expire ten years from the grant date. The fair value of each option award is estimated on the grant date using Black-Scholes. Expected volatilities are based on historical volatilities from guideline companies, since there is no active market for the Company's common stock. The Company uses the "simplified" method to estimate the expected life of options granted and are expected to be outstanding. The risk-free interest rate used is the rate for a U.S. Treasury zero coupon issue with a remaining life consistent with the options expected life on the grant date. The Company has not paid, and does not expect to pay, any cash dividends in the foreseeable future. Forfeitures are estimated at the time of grant and are adjusted, if necessary, in subsequent periods if actual forfeitures differ from those estimates. The Company has estimated a forfeitures rate of 10% based on historical attrition trends. The Company records stock-based compensation expense only on the awards that are expected to vest.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employee stock option grants issued in 2014 and 2015 and for the three months ended March 31, 2016 are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rPr>
              <w:t>Year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8"/>
        </w:trPr>
        <w:tc>
          <w:tcPr>
            <w:tcW w:w="4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March 31,</w:t>
            </w:r>
          </w:p>
        </w:tc>
      </w:tr>
      <w:tr>
        <w:trPr>
          <w:trHeight w:val="154"/>
        </w:trPr>
        <w:tc>
          <w:tcPr>
            <w:tcW w:w="47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center"/>
              <w:ind w:right="29"/>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47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1.54%</w:t>
            </w: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Expected life</w:t>
            </w: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rPr>
              <w:t>5.94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w:t>
            </w:r>
          </w:p>
        </w:tc>
        <w:tc>
          <w:tcPr>
            <w:tcW w:w="140" w:type="dxa"/>
            <w:vAlign w:val="bottom"/>
            <w:shd w:val="clear" w:color="auto" w:fill="CCEEFF"/>
          </w:tcPr>
          <w:p>
            <w:pPr>
              <w:spacing w:after="0"/>
              <w:rPr>
                <w:sz w:val="16"/>
                <w:szCs w:val="16"/>
                <w:color w:val="auto"/>
              </w:rPr>
            </w:pP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Expected volatility</w:t>
            </w: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100.81%</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79.80%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75.26%</w:t>
            </w: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fair value of common stock</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rPr>
              <w:t>8.97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w:t>
            </w:r>
          </w:p>
        </w:tc>
        <w:tc>
          <w:tcPr>
            <w:tcW w:w="1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resulting weighted average grant date fair value of stock options granted to employees during the years ended December 31, 2014 and 2015 was $6.86 and $5.03, respectively, and $7.14 and $4.64 for the three months ended March 31, 2015 and 2016, respectively. The aggregate intrinsic value of stock options exercised during the years ended December 2014 and 2015 was $0.3 million and $0.3 million, respectively, and less than $0.1 million for the three months ended March 31, 2015 and 2016.</w:t>
      </w:r>
    </w:p>
    <w:p>
      <w:pPr>
        <w:spacing w:after="0" w:line="159" w:lineRule="exact"/>
        <w:rPr>
          <w:sz w:val="20"/>
          <w:szCs w:val="20"/>
          <w:color w:val="auto"/>
        </w:rPr>
      </w:pPr>
    </w:p>
    <w:p>
      <w:pPr>
        <w:ind w:right="660"/>
        <w:spacing w:after="0" w:line="282" w:lineRule="auto"/>
        <w:rPr>
          <w:sz w:val="20"/>
          <w:szCs w:val="20"/>
          <w:color w:val="auto"/>
        </w:rPr>
      </w:pPr>
      <w:r>
        <w:rPr>
          <w:rFonts w:ascii="Arial" w:cs="Arial" w:eastAsia="Arial" w:hAnsi="Arial"/>
          <w:sz w:val="15"/>
          <w:szCs w:val="15"/>
          <w:color w:val="auto"/>
        </w:rPr>
        <w:t>As of December 31, 2014 and December 31, 2015, and at March 31, 2016, total unrecognized compensation expense related to unvested employee stock options was $0.9 million, $2.3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64" w:name="page265"/>
    <w:bookmarkEnd w:id="26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$2.4 million, respectively, which is expected to be recognized over a weighted average period of 2.3 years, 3.1 years and 3.0 years,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unvested non-employee stock options are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Three months</w:t>
            </w:r>
          </w:p>
        </w:tc>
      </w:tr>
      <w:tr>
        <w:trPr>
          <w:trHeight w:val="127"/>
        </w:trPr>
        <w:tc>
          <w:tcPr>
            <w:tcW w:w="6880" w:type="dxa"/>
            <w:vAlign w:val="bottom"/>
          </w:tcPr>
          <w:p>
            <w:pPr>
              <w:spacing w:after="0"/>
              <w:rPr>
                <w:sz w:val="11"/>
                <w:szCs w:val="11"/>
                <w:color w:val="auto"/>
              </w:rPr>
            </w:pPr>
          </w:p>
        </w:tc>
        <w:tc>
          <w:tcPr>
            <w:tcW w:w="1280" w:type="dxa"/>
            <w:vAlign w:val="bottom"/>
            <w:gridSpan w:val="3"/>
          </w:tcPr>
          <w:p>
            <w:pPr>
              <w:jc w:val="right"/>
              <w:ind w:right="440"/>
              <w:spacing w:after="0" w:line="128" w:lineRule="exact"/>
              <w:rPr>
                <w:sz w:val="20"/>
                <w:szCs w:val="20"/>
                <w:color w:val="auto"/>
              </w:rPr>
            </w:pPr>
            <w:r>
              <w:rPr>
                <w:rFonts w:ascii="Arial" w:cs="Arial" w:eastAsia="Arial" w:hAnsi="Arial"/>
                <w:sz w:val="12"/>
                <w:szCs w:val="12"/>
                <w:b w:val="1"/>
                <w:bCs w:val="1"/>
                <w:color w:val="auto"/>
              </w:rPr>
              <w:t>Year ended</w:t>
            </w:r>
          </w:p>
        </w:tc>
        <w:tc>
          <w:tcPr>
            <w:tcW w:w="98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79"/>
              </w:rPr>
              <w:t>ended</w:t>
            </w:r>
          </w:p>
        </w:tc>
      </w:tr>
      <w:tr>
        <w:trPr>
          <w:trHeight w:val="138"/>
        </w:trPr>
        <w:tc>
          <w:tcPr>
            <w:tcW w:w="6880" w:type="dxa"/>
            <w:vAlign w:val="bottom"/>
          </w:tcPr>
          <w:p>
            <w:pPr>
              <w:spacing w:after="0"/>
              <w:rPr>
                <w:sz w:val="12"/>
                <w:szCs w:val="12"/>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rPr>
              <w:t>December 31,</w:t>
            </w: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March 31,</w:t>
            </w:r>
          </w:p>
        </w:tc>
      </w:tr>
      <w:tr>
        <w:trPr>
          <w:trHeight w:val="154"/>
        </w:trPr>
        <w:tc>
          <w:tcPr>
            <w:tcW w:w="688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2014</w:t>
            </w:r>
          </w:p>
        </w:tc>
        <w:tc>
          <w:tcPr>
            <w:tcW w:w="4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6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1.89%</w:t>
            </w:r>
          </w:p>
        </w:tc>
      </w:tr>
      <w:tr>
        <w:trPr>
          <w:trHeight w:val="185"/>
        </w:trPr>
        <w:tc>
          <w:tcPr>
            <w:tcW w:w="688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680" w:type="dxa"/>
            <w:vAlign w:val="bottom"/>
          </w:tcPr>
          <w:p>
            <w:pPr>
              <w:jc w:val="right"/>
              <w:ind w:right="112"/>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Expected life (in years)</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5.87</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9.94</w:t>
            </w:r>
          </w:p>
        </w:tc>
        <w:tc>
          <w:tcPr>
            <w:tcW w:w="140" w:type="dxa"/>
            <w:vAlign w:val="bottom"/>
            <w:shd w:val="clear" w:color="auto" w:fill="CCEEFF"/>
          </w:tcPr>
          <w:p>
            <w:pPr>
              <w:spacing w:after="0"/>
              <w:rPr>
                <w:sz w:val="16"/>
                <w:szCs w:val="16"/>
                <w:color w:val="auto"/>
              </w:rPr>
            </w:pPr>
          </w:p>
        </w:tc>
      </w:tr>
      <w:tr>
        <w:trPr>
          <w:trHeight w:val="190"/>
        </w:trPr>
        <w:tc>
          <w:tcPr>
            <w:tcW w:w="6880" w:type="dxa"/>
            <w:vAlign w:val="bottom"/>
          </w:tcPr>
          <w:p>
            <w:pPr>
              <w:spacing w:after="0"/>
              <w:rPr>
                <w:sz w:val="20"/>
                <w:szCs w:val="20"/>
                <w:color w:val="auto"/>
              </w:rPr>
            </w:pPr>
            <w:r>
              <w:rPr>
                <w:rFonts w:ascii="Arial" w:cs="Arial" w:eastAsia="Arial" w:hAnsi="Arial"/>
                <w:sz w:val="15"/>
                <w:szCs w:val="15"/>
                <w:color w:val="auto"/>
              </w:rPr>
              <w:t>Expected volatility</w:t>
            </w:r>
          </w:p>
        </w:tc>
        <w:tc>
          <w:tcPr>
            <w:tcW w:w="680" w:type="dxa"/>
            <w:vAlign w:val="bottom"/>
          </w:tcPr>
          <w:p>
            <w:pPr>
              <w:jc w:val="right"/>
              <w:spacing w:after="0"/>
              <w:rPr>
                <w:sz w:val="20"/>
                <w:szCs w:val="20"/>
                <w:color w:val="auto"/>
              </w:rPr>
            </w:pPr>
            <w:r>
              <w:rPr>
                <w:rFonts w:ascii="Arial" w:cs="Arial" w:eastAsia="Arial" w:hAnsi="Arial"/>
                <w:sz w:val="15"/>
                <w:szCs w:val="15"/>
                <w:color w:val="auto"/>
              </w:rPr>
              <w:t>98.25%</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98.18%</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82.48%</w:t>
            </w:r>
          </w:p>
        </w:tc>
      </w:tr>
    </w:tbl>
    <w:p>
      <w:pPr>
        <w:spacing w:after="0" w:line="173"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The unvested options held by non-employees are revalued using the Company's estimate of fair value on each vesting and reporting date through the remaining vesting period. Non-employee stock-based compensation expense of $0.5 million and $0.4 million was recorded for the years ended December 31, 2014 and 2015, respectively, and of $0.1 million and less than $0.1 million for the three months ended March 31, 2015 and March 31, 2016, respectively.</w:t>
      </w:r>
    </w:p>
    <w:p>
      <w:pPr>
        <w:spacing w:after="0" w:line="159" w:lineRule="exact"/>
        <w:rPr>
          <w:sz w:val="20"/>
          <w:szCs w:val="20"/>
          <w:color w:val="auto"/>
        </w:rPr>
      </w:pPr>
    </w:p>
    <w:p>
      <w:pPr>
        <w:ind w:right="440"/>
        <w:spacing w:after="0" w:line="319" w:lineRule="auto"/>
        <w:rPr>
          <w:sz w:val="20"/>
          <w:szCs w:val="20"/>
          <w:color w:val="auto"/>
        </w:rPr>
      </w:pPr>
      <w:r>
        <w:rPr>
          <w:rFonts w:ascii="Arial" w:cs="Arial" w:eastAsia="Arial" w:hAnsi="Arial"/>
          <w:sz w:val="14"/>
          <w:szCs w:val="14"/>
          <w:color w:val="auto"/>
        </w:rPr>
        <w:t>As of December 31, 2014 and 2015 and March 31, 2016, total unrecognized compensation expense related to unvested non-employee stock options was $0.4 million, $0.1 million and $0.5 million, respectively, which is expected to be recognized over a weighted average period of 0.8 years, 2.2 years and 3.5 years,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65" w:name="page266"/>
    <w:bookmarkEnd w:id="26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activity under the Plan for the year ended December 31, 2015 and the quarter ended March 31, 2016:</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9"/>
              </w:rPr>
              <w:t>Weighted-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83"/>
              <w:spacing w:after="0"/>
              <w:rPr>
                <w:sz w:val="20"/>
                <w:szCs w:val="20"/>
                <w:color w:val="auto"/>
              </w:rPr>
            </w:pPr>
            <w:r>
              <w:rPr>
                <w:rFonts w:ascii="Arial" w:cs="Arial" w:eastAsia="Arial" w:hAnsi="Arial"/>
                <w:sz w:val="12"/>
                <w:szCs w:val="12"/>
                <w:b w:val="1"/>
                <w:bCs w:val="1"/>
                <w:color w:val="auto"/>
                <w:w w:val="99"/>
              </w:rPr>
              <w:t>Weighted-</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83"/>
              <w:spacing w:after="0"/>
              <w:rPr>
                <w:sz w:val="20"/>
                <w:szCs w:val="20"/>
                <w:color w:val="auto"/>
              </w:rPr>
            </w:pPr>
            <w:r>
              <w:rPr>
                <w:rFonts w:ascii="Arial" w:cs="Arial" w:eastAsia="Arial" w:hAnsi="Arial"/>
                <w:sz w:val="12"/>
                <w:szCs w:val="12"/>
                <w:b w:val="1"/>
                <w:bCs w:val="1"/>
                <w:color w:val="auto"/>
              </w:rPr>
              <w:t>average</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remaining</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intrinsic 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Number of</w:t>
            </w:r>
          </w:p>
        </w:tc>
        <w:tc>
          <w:tcPr>
            <w:tcW w:w="860" w:type="dxa"/>
            <w:vAlign w:val="bottom"/>
          </w:tcPr>
          <w:p>
            <w:pPr>
              <w:jc w:val="center"/>
              <w:ind w:left="183"/>
              <w:spacing w:after="0"/>
              <w:rPr>
                <w:sz w:val="20"/>
                <w:szCs w:val="20"/>
                <w:color w:val="auto"/>
              </w:rPr>
            </w:pPr>
            <w:r>
              <w:rPr>
                <w:rFonts w:ascii="Arial" w:cs="Arial" w:eastAsia="Arial" w:hAnsi="Arial"/>
                <w:sz w:val="12"/>
                <w:szCs w:val="12"/>
                <w:b w:val="1"/>
                <w:bCs w:val="1"/>
                <w:color w:val="auto"/>
              </w:rPr>
              <w:t>exercise</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contractual term</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options</w:t>
            </w:r>
          </w:p>
        </w:tc>
        <w:tc>
          <w:tcPr>
            <w:tcW w:w="860" w:type="dxa"/>
            <w:vAlign w:val="bottom"/>
          </w:tcPr>
          <w:p>
            <w:pPr>
              <w:jc w:val="right"/>
              <w:ind w:right="123"/>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40" w:type="dxa"/>
            <w:vAlign w:val="bottom"/>
          </w:tcPr>
          <w:p>
            <w:pPr>
              <w:jc w:val="right"/>
              <w:ind w:right="263"/>
              <w:spacing w:after="0"/>
              <w:rPr>
                <w:sz w:val="20"/>
                <w:szCs w:val="20"/>
                <w:color w:val="auto"/>
              </w:rPr>
            </w:pPr>
            <w:r>
              <w:rPr>
                <w:rFonts w:ascii="Arial" w:cs="Arial" w:eastAsia="Arial" w:hAnsi="Arial"/>
                <w:sz w:val="12"/>
                <w:szCs w:val="12"/>
                <w:b w:val="1"/>
                <w:bCs w:val="1"/>
                <w:color w:val="auto"/>
              </w:rPr>
              <w:t>(in years)</w:t>
            </w:r>
          </w:p>
        </w:tc>
        <w:tc>
          <w:tcPr>
            <w:tcW w:w="1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thousands)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04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Employee</w:t>
            </w: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Outstanding at December 31, 2014</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800,165</w:t>
            </w:r>
          </w:p>
        </w:tc>
        <w:tc>
          <w:tcPr>
            <w:tcW w:w="100" w:type="dxa"/>
            <w:vAlign w:val="bottom"/>
          </w:tcPr>
          <w:p>
            <w:pPr>
              <w:spacing w:after="0"/>
              <w:rPr>
                <w:sz w:val="11"/>
                <w:szCs w:val="11"/>
                <w:color w:val="auto"/>
              </w:rPr>
            </w:pP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3.24</w:t>
            </w:r>
          </w:p>
        </w:tc>
        <w:tc>
          <w:tcPr>
            <w:tcW w:w="1140" w:type="dxa"/>
            <w:vAlign w:val="bottom"/>
          </w:tcPr>
          <w:p>
            <w:pPr>
              <w:jc w:val="right"/>
              <w:ind w:right="3"/>
              <w:spacing w:after="0" w:line="128" w:lineRule="exact"/>
              <w:rPr>
                <w:sz w:val="20"/>
                <w:szCs w:val="20"/>
                <w:color w:val="auto"/>
              </w:rPr>
            </w:pPr>
            <w:r>
              <w:rPr>
                <w:rFonts w:ascii="Arial" w:cs="Arial" w:eastAsia="Arial" w:hAnsi="Arial"/>
                <w:sz w:val="12"/>
                <w:szCs w:val="12"/>
                <w:color w:val="auto"/>
              </w:rPr>
              <w:t>6.99</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8" w:lineRule="exact"/>
              <w:rPr>
                <w:sz w:val="20"/>
                <w:szCs w:val="20"/>
                <w:color w:val="auto"/>
              </w:rPr>
            </w:pPr>
            <w:r>
              <w:rPr>
                <w:rFonts w:ascii="Arial" w:cs="Arial" w:eastAsia="Arial" w:hAnsi="Arial"/>
                <w:sz w:val="12"/>
                <w:szCs w:val="12"/>
                <w:color w:val="auto"/>
              </w:rPr>
              <w:t>4,895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485,833</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w w:val="76"/>
              </w:rPr>
              <w:t>7.91</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(20,861)</w:t>
            </w: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1.21</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(17,977)</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76"/>
              </w:rPr>
              <w:t>6.32</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December 31, 2015</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1,247,160</w:t>
            </w:r>
          </w:p>
        </w:tc>
        <w:tc>
          <w:tcPr>
            <w:tcW w:w="100" w:type="dxa"/>
            <w:vAlign w:val="bottom"/>
          </w:tcPr>
          <w:p>
            <w:pPr>
              <w:spacing w:after="0"/>
              <w:rPr>
                <w:sz w:val="10"/>
                <w:szCs w:val="10"/>
                <w:color w:val="auto"/>
              </w:rPr>
            </w:pPr>
          </w:p>
        </w:tc>
        <w:tc>
          <w:tcPr>
            <w:tcW w:w="860" w:type="dxa"/>
            <w:vAlign w:val="bottom"/>
          </w:tcPr>
          <w:p>
            <w:pPr>
              <w:jc w:val="right"/>
              <w:ind w:right="703"/>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5.05</w:t>
            </w:r>
          </w:p>
        </w:tc>
        <w:tc>
          <w:tcPr>
            <w:tcW w:w="1140" w:type="dxa"/>
            <w:vAlign w:val="bottom"/>
          </w:tcPr>
          <w:p>
            <w:pPr>
              <w:jc w:val="right"/>
              <w:ind w:right="3"/>
              <w:spacing w:after="0" w:line="119" w:lineRule="exact"/>
              <w:rPr>
                <w:sz w:val="20"/>
                <w:szCs w:val="20"/>
                <w:color w:val="auto"/>
              </w:rPr>
            </w:pPr>
            <w:r>
              <w:rPr>
                <w:rFonts w:ascii="Arial" w:cs="Arial" w:eastAsia="Arial" w:hAnsi="Arial"/>
                <w:sz w:val="12"/>
                <w:szCs w:val="12"/>
                <w:color w:val="auto"/>
              </w:rPr>
              <w:t>7.41</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3,130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December 31, 2015</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668,465</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2.61</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5.71</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2,946</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December 31, 2015</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4.84</w:t>
            </w: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7.26</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3,138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1,171,380</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Outstanding at December 31, 2015</w:t>
            </w:r>
          </w:p>
        </w:tc>
        <w:tc>
          <w:tcPr>
            <w:tcW w:w="6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1,247,160</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5.05</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7.41</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3,130</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(unaudited)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94,871</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w w:val="76"/>
              </w:rPr>
              <w:t>7.02</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(2,564)</w:t>
            </w: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0.62</w:t>
            </w:r>
          </w:p>
        </w:tc>
        <w:tc>
          <w:tcPr>
            <w:tcW w:w="1140" w:type="dxa"/>
            <w:vAlign w:val="bottom"/>
          </w:tcPr>
          <w:p>
            <w:pPr>
              <w:spacing w:after="0"/>
              <w:rPr>
                <w:sz w:val="11"/>
                <w:szCs w:val="11"/>
                <w:color w:val="auto"/>
              </w:rPr>
            </w:pP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(1,928)</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76"/>
              </w:rPr>
              <w:t>7.47</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March 31, 2016</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1,337,539</w:t>
            </w:r>
          </w:p>
        </w:tc>
        <w:tc>
          <w:tcPr>
            <w:tcW w:w="100" w:type="dxa"/>
            <w:vAlign w:val="bottom"/>
          </w:tcPr>
          <w:p>
            <w:pPr>
              <w:spacing w:after="0"/>
              <w:rPr>
                <w:sz w:val="10"/>
                <w:szCs w:val="10"/>
                <w:color w:val="auto"/>
              </w:rPr>
            </w:pPr>
          </w:p>
        </w:tc>
        <w:tc>
          <w:tcPr>
            <w:tcW w:w="860" w:type="dxa"/>
            <w:vAlign w:val="bottom"/>
          </w:tcPr>
          <w:p>
            <w:pPr>
              <w:jc w:val="right"/>
              <w:ind w:right="703"/>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5.19</w:t>
            </w:r>
          </w:p>
        </w:tc>
        <w:tc>
          <w:tcPr>
            <w:tcW w:w="1140" w:type="dxa"/>
            <w:vAlign w:val="bottom"/>
          </w:tcPr>
          <w:p>
            <w:pPr>
              <w:jc w:val="right"/>
              <w:ind w:right="3"/>
              <w:spacing w:after="0" w:line="119" w:lineRule="exact"/>
              <w:rPr>
                <w:sz w:val="20"/>
                <w:szCs w:val="20"/>
                <w:color w:val="auto"/>
              </w:rPr>
            </w:pPr>
            <w:r>
              <w:rPr>
                <w:rFonts w:ascii="Arial" w:cs="Arial" w:eastAsia="Arial" w:hAnsi="Arial"/>
                <w:sz w:val="12"/>
                <w:szCs w:val="12"/>
                <w:color w:val="auto"/>
              </w:rPr>
              <w:t>7.36</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4,376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March 31, 2016</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726,702</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3.09</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5.73</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3,790</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March 31, 2016</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5.01</w:t>
            </w: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7.21</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4,318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1,254,639</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Non-Employee</w:t>
            </w: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Outstanding at December 31, 2014</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343,072</w:t>
            </w:r>
          </w:p>
        </w:tc>
        <w:tc>
          <w:tcPr>
            <w:tcW w:w="100" w:type="dxa"/>
            <w:vAlign w:val="bottom"/>
          </w:tcPr>
          <w:p>
            <w:pPr>
              <w:spacing w:after="0"/>
              <w:rPr>
                <w:sz w:val="11"/>
                <w:szCs w:val="11"/>
                <w:color w:val="auto"/>
              </w:rPr>
            </w:pP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2.93</w:t>
            </w:r>
          </w:p>
        </w:tc>
        <w:tc>
          <w:tcPr>
            <w:tcW w:w="1140" w:type="dxa"/>
            <w:vAlign w:val="bottom"/>
          </w:tcPr>
          <w:p>
            <w:pPr>
              <w:jc w:val="right"/>
              <w:ind w:right="3"/>
              <w:spacing w:after="0" w:line="128" w:lineRule="exact"/>
              <w:rPr>
                <w:sz w:val="20"/>
                <w:szCs w:val="20"/>
                <w:color w:val="auto"/>
              </w:rPr>
            </w:pPr>
            <w:r>
              <w:rPr>
                <w:rFonts w:ascii="Arial" w:cs="Arial" w:eastAsia="Arial" w:hAnsi="Arial"/>
                <w:sz w:val="12"/>
                <w:szCs w:val="12"/>
                <w:color w:val="auto"/>
              </w:rPr>
              <w:t>6.5</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8" w:lineRule="exact"/>
              <w:rPr>
                <w:sz w:val="20"/>
                <w:szCs w:val="20"/>
                <w:color w:val="auto"/>
              </w:rPr>
            </w:pPr>
            <w:r>
              <w:rPr>
                <w:rFonts w:ascii="Arial" w:cs="Arial" w:eastAsia="Arial" w:hAnsi="Arial"/>
                <w:sz w:val="12"/>
                <w:szCs w:val="12"/>
                <w:color w:val="auto"/>
              </w:rPr>
              <w:t>2,207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7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(20,852)</w:t>
            </w: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2.91</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December 31, 2015</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322,200</w:t>
            </w:r>
          </w:p>
        </w:tc>
        <w:tc>
          <w:tcPr>
            <w:tcW w:w="100" w:type="dxa"/>
            <w:vAlign w:val="bottom"/>
          </w:tcPr>
          <w:p>
            <w:pPr>
              <w:spacing w:after="0"/>
              <w:rPr>
                <w:sz w:val="10"/>
                <w:szCs w:val="10"/>
                <w:color w:val="auto"/>
              </w:rPr>
            </w:pPr>
          </w:p>
        </w:tc>
        <w:tc>
          <w:tcPr>
            <w:tcW w:w="860" w:type="dxa"/>
            <w:vAlign w:val="bottom"/>
          </w:tcPr>
          <w:p>
            <w:pPr>
              <w:jc w:val="right"/>
              <w:ind w:right="703"/>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2.93</w:t>
            </w:r>
          </w:p>
        </w:tc>
        <w:tc>
          <w:tcPr>
            <w:tcW w:w="1140" w:type="dxa"/>
            <w:vAlign w:val="bottom"/>
          </w:tcPr>
          <w:p>
            <w:pPr>
              <w:jc w:val="right"/>
              <w:ind w:right="3"/>
              <w:spacing w:after="0" w:line="119" w:lineRule="exact"/>
              <w:rPr>
                <w:sz w:val="20"/>
                <w:szCs w:val="20"/>
                <w:color w:val="auto"/>
              </w:rPr>
            </w:pPr>
            <w:r>
              <w:rPr>
                <w:rFonts w:ascii="Arial" w:cs="Arial" w:eastAsia="Arial" w:hAnsi="Arial"/>
                <w:sz w:val="12"/>
                <w:szCs w:val="12"/>
                <w:color w:val="auto"/>
              </w:rPr>
              <w:t>5.50</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1,288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December 31, 2015</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310,680</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2.70</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5.40</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1,288</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December 31, 2015</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2.93</w:t>
            </w: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5.50</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1,288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322,219</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Outstanding at December 31, 2015</w:t>
            </w:r>
          </w:p>
        </w:tc>
        <w:tc>
          <w:tcPr>
            <w:tcW w:w="6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322,220</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2.91</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5.50</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1,288</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(unaudited)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76,923</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w w:val="76"/>
              </w:rPr>
              <w:t>7.02</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rPr>
              <w:t>—</w:t>
            </w:r>
          </w:p>
        </w:tc>
        <w:tc>
          <w:tcPr>
            <w:tcW w:w="1140" w:type="dxa"/>
            <w:vAlign w:val="bottom"/>
          </w:tcPr>
          <w:p>
            <w:pPr>
              <w:spacing w:after="0"/>
              <w:rPr>
                <w:sz w:val="11"/>
                <w:szCs w:val="11"/>
                <w:color w:val="auto"/>
              </w:rPr>
            </w:pP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March 31, 2016</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399,143</w:t>
            </w:r>
          </w:p>
        </w:tc>
        <w:tc>
          <w:tcPr>
            <w:tcW w:w="100" w:type="dxa"/>
            <w:vAlign w:val="bottom"/>
          </w:tcPr>
          <w:p>
            <w:pPr>
              <w:spacing w:after="0"/>
              <w:rPr>
                <w:sz w:val="10"/>
                <w:szCs w:val="10"/>
                <w:color w:val="auto"/>
              </w:rPr>
            </w:pPr>
          </w:p>
        </w:tc>
        <w:tc>
          <w:tcPr>
            <w:tcW w:w="860" w:type="dxa"/>
            <w:vAlign w:val="bottom"/>
          </w:tcPr>
          <w:p>
            <w:pPr>
              <w:jc w:val="right"/>
              <w:ind w:right="703"/>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3.72</w:t>
            </w:r>
          </w:p>
        </w:tc>
        <w:tc>
          <w:tcPr>
            <w:tcW w:w="1140" w:type="dxa"/>
            <w:vAlign w:val="bottom"/>
          </w:tcPr>
          <w:p>
            <w:pPr>
              <w:jc w:val="right"/>
              <w:ind w:right="3"/>
              <w:spacing w:after="0" w:line="119" w:lineRule="exact"/>
              <w:rPr>
                <w:sz w:val="20"/>
                <w:szCs w:val="20"/>
                <w:color w:val="auto"/>
              </w:rPr>
            </w:pPr>
            <w:r>
              <w:rPr>
                <w:rFonts w:ascii="Arial" w:cs="Arial" w:eastAsia="Arial" w:hAnsi="Arial"/>
                <w:sz w:val="12"/>
                <w:szCs w:val="12"/>
                <w:color w:val="auto"/>
              </w:rPr>
              <w:t>6.16</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1,787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March 31, 2016</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316,770</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2.79</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5.23</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1,705</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March 31, 2016</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3.72</w:t>
            </w: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6.16</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1,787</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399,143</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During the year ended December 31, 2013, the Company issued 30,317 shares of restricted common stock to employees upon the early exercise of stock options. During the year ended December 31, 2014, the Company issued 2,564 shares of restricted common stock to employees. Under the terms of each agreement, the Company has a repurchase provision whereby the Company has the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60"/>
          </w:cols>
          <w:pgMar w:left="240" w:top="133" w:right="399" w:bottom="1440" w:gutter="0" w:footer="0" w:header="0"/>
        </w:sectPr>
      </w:pPr>
    </w:p>
    <w:bookmarkStart w:id="266" w:name="page267"/>
    <w:bookmarkEnd w:id="26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240"/>
        <w:spacing w:after="0" w:line="330" w:lineRule="auto"/>
        <w:rPr>
          <w:sz w:val="20"/>
          <w:szCs w:val="20"/>
          <w:color w:val="auto"/>
        </w:rPr>
      </w:pPr>
      <w:r>
        <w:rPr>
          <w:rFonts w:ascii="Arial" w:cs="Arial" w:eastAsia="Arial" w:hAnsi="Arial"/>
          <w:sz w:val="13"/>
          <w:szCs w:val="13"/>
          <w:color w:val="auto"/>
        </w:rPr>
        <w:t>repurchase any unvested shares when/if the shareholders terminate their business relationship with the Company, at a price equal to the original exercise price. Accordingly, the Company recorded the cumulative payments received of $0.1 million for the purchase of the restricted shares as a liability. The Company records payment received from the granting of restricted stock as a liability which is amortized over the vesting period. As of December 31, 2014 and 2015 and at March 31, 2016, the remaining liability was less than $0.1 million.</w:t>
      </w:r>
    </w:p>
    <w:p>
      <w:pPr>
        <w:spacing w:after="0" w:line="125"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Total fair value of restricted shares that vested during the years ended December 31, 2014 and 2015, was $0.1 million and less than $0.1 million, respectively, and for the three months ended March 31, 2016 was less than $0.1 million.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restricted stock award activity of the Plan during the year ended December 31, 2014 and 2015 and for the three months ended March 31, 2016:</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6"/>
          </w:tcPr>
          <w:p>
            <w:pPr>
              <w:jc w:val="center"/>
              <w:ind w:right="14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4760" w:type="dxa"/>
            <w:vAlign w:val="bottom"/>
          </w:tcPr>
          <w:p>
            <w:pPr>
              <w:spacing w:after="0"/>
              <w:rPr>
                <w:sz w:val="12"/>
                <w:szCs w:val="12"/>
                <w:color w:val="auto"/>
              </w:rPr>
            </w:pPr>
          </w:p>
        </w:tc>
        <w:tc>
          <w:tcPr>
            <w:tcW w:w="1380" w:type="dxa"/>
            <w:vAlign w:val="bottom"/>
            <w:gridSpan w:val="5"/>
          </w:tcPr>
          <w:p>
            <w:pPr>
              <w:jc w:val="right"/>
              <w:ind w:right="69"/>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Pr>
          <w:p>
            <w:pPr>
              <w:spacing w:after="0"/>
              <w:rPr>
                <w:sz w:val="12"/>
                <w:szCs w:val="12"/>
                <w:color w:val="auto"/>
              </w:rPr>
            </w:pPr>
          </w:p>
        </w:tc>
        <w:tc>
          <w:tcPr>
            <w:tcW w:w="1320" w:type="dxa"/>
            <w:vAlign w:val="bottom"/>
            <w:gridSpan w:val="5"/>
          </w:tcPr>
          <w:p>
            <w:pPr>
              <w:jc w:val="right"/>
              <w:ind w:right="29"/>
              <w:spacing w:after="0"/>
              <w:rPr>
                <w:sz w:val="20"/>
                <w:szCs w:val="20"/>
                <w:color w:val="auto"/>
              </w:rPr>
            </w:pPr>
            <w:r>
              <w:rPr>
                <w:rFonts w:ascii="Arial" w:cs="Arial" w:eastAsia="Arial" w:hAnsi="Arial"/>
                <w:sz w:val="12"/>
                <w:szCs w:val="12"/>
                <w:b w:val="1"/>
                <w:bCs w:val="1"/>
                <w:color w:val="auto"/>
              </w:rPr>
              <w:t>December 31, 2015</w:t>
            </w:r>
          </w:p>
        </w:tc>
        <w:tc>
          <w:tcPr>
            <w:tcW w:w="140" w:type="dxa"/>
            <w:vAlign w:val="bottom"/>
          </w:tcPr>
          <w:p>
            <w:pPr>
              <w:spacing w:after="0"/>
              <w:rPr>
                <w:sz w:val="12"/>
                <w:szCs w:val="12"/>
                <w:color w:val="auto"/>
              </w:rPr>
            </w:pPr>
          </w:p>
        </w:tc>
        <w:tc>
          <w:tcPr>
            <w:tcW w:w="1460" w:type="dxa"/>
            <w:vAlign w:val="bottom"/>
            <w:gridSpan w:val="6"/>
          </w:tcPr>
          <w:p>
            <w:pPr>
              <w:jc w:val="center"/>
              <w:ind w:right="140"/>
              <w:spacing w:after="0"/>
              <w:rPr>
                <w:sz w:val="20"/>
                <w:szCs w:val="20"/>
                <w:color w:val="auto"/>
              </w:rPr>
            </w:pPr>
            <w:r>
              <w:rPr>
                <w:rFonts w:ascii="Arial" w:cs="Arial" w:eastAsia="Arial" w:hAnsi="Arial"/>
                <w:sz w:val="12"/>
                <w:szCs w:val="12"/>
                <w:b w:val="1"/>
                <w:bCs w:val="1"/>
                <w:color w:val="auto"/>
              </w:rPr>
              <w:t>March 31, 2016</w:t>
            </w:r>
          </w:p>
        </w:tc>
      </w:tr>
      <w:tr>
        <w:trPr>
          <w:trHeight w:val="121"/>
        </w:trPr>
        <w:tc>
          <w:tcPr>
            <w:tcW w:w="47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w:t>
            </w: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w:t>
            </w: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w:t>
            </w:r>
          </w:p>
        </w:tc>
        <w:tc>
          <w:tcPr>
            <w:tcW w:w="140" w:type="dxa"/>
            <w:vAlign w:val="bottom"/>
          </w:tcPr>
          <w:p>
            <w:pPr>
              <w:spacing w:after="0"/>
              <w:rPr>
                <w:sz w:val="10"/>
                <w:szCs w:val="10"/>
                <w:color w:val="auto"/>
              </w:rPr>
            </w:pPr>
          </w:p>
        </w:tc>
      </w:tr>
      <w:tr>
        <w:trPr>
          <w:trHeight w:val="139"/>
        </w:trPr>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9"/>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9"/>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average</w:t>
            </w:r>
          </w:p>
        </w:tc>
      </w:tr>
      <w:tr>
        <w:trPr>
          <w:trHeight w:val="139"/>
        </w:trPr>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exercise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rPr>
              <w:t>exercise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9"/>
              </w:rPr>
              <w:t>exercise</w:t>
            </w:r>
          </w:p>
        </w:tc>
      </w:tr>
      <w:tr>
        <w:trPr>
          <w:trHeight w:val="167"/>
        </w:trPr>
        <w:tc>
          <w:tcPr>
            <w:tcW w:w="476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2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4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price</w:t>
            </w:r>
          </w:p>
        </w:tc>
      </w:tr>
      <w:tr>
        <w:trPr>
          <w:trHeight w:val="136"/>
        </w:trPr>
        <w:tc>
          <w:tcPr>
            <w:tcW w:w="47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5"/>
          </w:tcPr>
          <w:p>
            <w:pPr>
              <w:jc w:val="center"/>
              <w:spacing w:after="0" w:line="13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Unvested at beginning of period</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70,804</w:t>
            </w: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15,264</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7,574</w:t>
            </w: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40" w:type="dxa"/>
            <w:vAlign w:val="bottom"/>
            <w:shd w:val="clear" w:color="auto" w:fill="CCEEFF"/>
          </w:tcPr>
          <w:p>
            <w:pPr>
              <w:spacing w:after="0"/>
              <w:rPr>
                <w:sz w:val="16"/>
                <w:szCs w:val="16"/>
                <w:color w:val="auto"/>
              </w:rPr>
            </w:pPr>
          </w:p>
        </w:tc>
      </w:tr>
      <w:tr>
        <w:trPr>
          <w:trHeight w:val="185"/>
        </w:trPr>
        <w:tc>
          <w:tcPr>
            <w:tcW w:w="4760" w:type="dxa"/>
            <w:vAlign w:val="bottom"/>
          </w:tcPr>
          <w:p>
            <w:pPr>
              <w:ind w:left="160"/>
              <w:spacing w:after="0"/>
              <w:rPr>
                <w:sz w:val="20"/>
                <w:szCs w:val="20"/>
                <w:color w:val="auto"/>
              </w:rPr>
            </w:pPr>
            <w:r>
              <w:rPr>
                <w:rFonts w:ascii="Arial" w:cs="Arial" w:eastAsia="Arial" w:hAnsi="Arial"/>
                <w:sz w:val="15"/>
                <w:szCs w:val="15"/>
                <w:color w:val="auto"/>
              </w:rPr>
              <w:t>Issued</w:t>
            </w:r>
          </w:p>
        </w:tc>
        <w:tc>
          <w:tcPr>
            <w:tcW w:w="620" w:type="dxa"/>
            <w:vAlign w:val="bottom"/>
          </w:tcPr>
          <w:p>
            <w:pPr>
              <w:jc w:val="right"/>
              <w:spacing w:after="0"/>
              <w:rPr>
                <w:sz w:val="20"/>
                <w:szCs w:val="20"/>
                <w:color w:val="auto"/>
              </w:rPr>
            </w:pPr>
            <w:r>
              <w:rPr>
                <w:rFonts w:ascii="Arial" w:cs="Arial" w:eastAsia="Arial" w:hAnsi="Arial"/>
                <w:sz w:val="15"/>
                <w:szCs w:val="15"/>
                <w:color w:val="auto"/>
              </w:rPr>
              <w:t>2,564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0.62</w:t>
            </w: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Vested</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(58,104)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(7,690)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(1,895)</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40" w:type="dxa"/>
            <w:vAlign w:val="bottom"/>
            <w:shd w:val="clear" w:color="auto" w:fill="CCEEFF"/>
          </w:tcPr>
          <w:p>
            <w:pPr>
              <w:spacing w:after="0"/>
              <w:rPr>
                <w:sz w:val="16"/>
                <w:szCs w:val="16"/>
                <w:color w:val="auto"/>
              </w:rPr>
            </w:pPr>
          </w:p>
        </w:tc>
      </w:tr>
      <w:tr>
        <w:trPr>
          <w:trHeight w:val="177"/>
        </w:trPr>
        <w:tc>
          <w:tcPr>
            <w:tcW w:w="4760" w:type="dxa"/>
            <w:vAlign w:val="bottom"/>
          </w:tcPr>
          <w:p>
            <w:pPr>
              <w:spacing w:after="0"/>
              <w:rPr>
                <w:sz w:val="20"/>
                <w:szCs w:val="20"/>
                <w:color w:val="auto"/>
              </w:rPr>
            </w:pPr>
            <w:r>
              <w:rPr>
                <w:rFonts w:ascii="Arial" w:cs="Arial" w:eastAsia="Arial" w:hAnsi="Arial"/>
                <w:sz w:val="15"/>
                <w:szCs w:val="15"/>
                <w:color w:val="auto"/>
              </w:rPr>
              <w:t>Unvested at end of period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15,264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w:t>
            </w:r>
          </w:p>
        </w:tc>
        <w:tc>
          <w:tcPr>
            <w:tcW w:w="14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7,574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w:t>
            </w:r>
          </w:p>
        </w:tc>
        <w:tc>
          <w:tcPr>
            <w:tcW w:w="14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5,679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w:t>
            </w:r>
          </w:p>
        </w:tc>
        <w:tc>
          <w:tcPr>
            <w:tcW w:w="140" w:type="dxa"/>
            <w:vAlign w:val="bottom"/>
          </w:tcPr>
          <w:p>
            <w:pPr>
              <w:spacing w:after="0"/>
              <w:rPr>
                <w:sz w:val="15"/>
                <w:szCs w:val="15"/>
                <w:color w:val="auto"/>
              </w:rPr>
            </w:pPr>
          </w:p>
        </w:tc>
      </w:tr>
      <w:tr>
        <w:trPr>
          <w:trHeight w:val="20"/>
        </w:trPr>
        <w:tc>
          <w:tcPr>
            <w:tcW w:w="4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As of December 31, 2014 and 2015 and for the three months ended March 31, 2016, total unrecognized compensation expense related to restricted stock awards was less than $0.1 million, which the Company expects to recognize over a weighted average period of approximately 2.0 years, 1.0 year and 0.8 years, respectively.</w:t>
      </w:r>
    </w:p>
    <w:p>
      <w:pPr>
        <w:spacing w:after="0" w:line="151"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During the years ended December 31, 2014 and 2015 and for the three months ended March 31, 2015 and 2016, the Company recorded stock-based compensation expense as follows (in thousands):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rPr>
              <w:t>Three months</w:t>
            </w:r>
          </w:p>
        </w:tc>
      </w:tr>
      <w:tr>
        <w:trPr>
          <w:trHeight w:val="13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228"/>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left="72"/>
              <w:spacing w:after="0"/>
              <w:rPr>
                <w:sz w:val="20"/>
                <w:szCs w:val="20"/>
                <w:color w:val="auto"/>
              </w:rPr>
            </w:pPr>
            <w:r>
              <w:rPr>
                <w:rFonts w:ascii="Arial" w:cs="Arial" w:eastAsia="Arial" w:hAnsi="Arial"/>
                <w:sz w:val="12"/>
                <w:szCs w:val="12"/>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March 31,</w:t>
            </w:r>
          </w:p>
        </w:tc>
        <w:tc>
          <w:tcPr>
            <w:tcW w:w="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4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2"/>
                <w:szCs w:val="12"/>
                <w:b w:val="1"/>
                <w:bCs w:val="1"/>
                <w:color w:val="auto"/>
              </w:rPr>
              <w:t>2015</w:t>
            </w:r>
          </w:p>
        </w:tc>
        <w:tc>
          <w:tcPr>
            <w:tcW w:w="5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31"/>
        </w:trPr>
        <w:tc>
          <w:tcPr>
            <w:tcW w:w="4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4"/>
          </w:tcPr>
          <w:p>
            <w:pPr>
              <w:jc w:val="center"/>
              <w:ind w:right="45"/>
              <w:spacing w:after="0" w:line="13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132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167</w:t>
            </w:r>
          </w:p>
        </w:tc>
        <w:tc>
          <w:tcPr>
            <w:tcW w:w="140" w:type="dxa"/>
            <w:vAlign w:val="bottom"/>
            <w:shd w:val="clear" w:color="auto" w:fill="CCEEFF"/>
          </w:tcPr>
          <w:p>
            <w:pPr>
              <w:spacing w:after="0"/>
              <w:rPr>
                <w:sz w:val="16"/>
                <w:szCs w:val="16"/>
                <w:color w:val="auto"/>
              </w:rPr>
            </w:pPr>
          </w:p>
        </w:tc>
      </w:tr>
      <w:tr>
        <w:trPr>
          <w:trHeight w:val="185"/>
        </w:trPr>
        <w:tc>
          <w:tcPr>
            <w:tcW w:w="410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79"/>
              </w:rPr>
              <w:t>170</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9"/>
              </w:rPr>
              <w:t>115</w:t>
            </w:r>
          </w:p>
        </w:tc>
        <w:tc>
          <w:tcPr>
            <w:tcW w:w="140" w:type="dxa"/>
            <w:vAlign w:val="bottom"/>
          </w:tcPr>
          <w:p>
            <w:pPr>
              <w:spacing w:after="0"/>
              <w:rPr>
                <w:sz w:val="16"/>
                <w:szCs w:val="16"/>
                <w:color w:val="auto"/>
              </w:rPr>
            </w:pPr>
          </w:p>
        </w:tc>
      </w:tr>
      <w:tr>
        <w:trPr>
          <w:trHeight w:val="177"/>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302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282</w:t>
            </w:r>
          </w:p>
        </w:tc>
        <w:tc>
          <w:tcPr>
            <w:tcW w:w="140" w:type="dxa"/>
            <w:vAlign w:val="bottom"/>
            <w:shd w:val="clear" w:color="auto" w:fill="CCEEFF"/>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67" w:name="page268"/>
    <w:bookmarkEnd w:id="26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ind w:left="7" w:right="9160" w:hanging="7"/>
        <w:spacing w:after="0" w:line="541" w:lineRule="auto"/>
        <w:tabs>
          <w:tab w:leader="none" w:pos="259" w:val="left"/>
        </w:tabs>
        <w:numPr>
          <w:ilvl w:val="0"/>
          <w:numId w:val="138"/>
        </w:numPr>
        <w:rPr>
          <w:rFonts w:ascii="Arial" w:cs="Arial" w:eastAsia="Arial" w:hAnsi="Arial"/>
          <w:sz w:val="14"/>
          <w:szCs w:val="14"/>
          <w:b w:val="1"/>
          <w:bCs w:val="1"/>
          <w:color w:val="auto"/>
        </w:rPr>
      </w:pPr>
      <w:r>
        <w:rPr>
          <w:rFonts w:ascii="Arial" w:cs="Arial" w:eastAsia="Arial" w:hAnsi="Arial"/>
          <w:sz w:val="14"/>
          <w:szCs w:val="14"/>
          <w:b w:val="1"/>
          <w:bCs w:val="1"/>
          <w:color w:val="auto"/>
        </w:rPr>
        <w:t>Revenue arrangements Sanofi collaboration agreement</w:t>
      </w:r>
    </w:p>
    <w:p>
      <w:pPr>
        <w:ind w:left="7" w:right="160"/>
        <w:spacing w:after="0" w:line="362" w:lineRule="auto"/>
        <w:rPr>
          <w:sz w:val="20"/>
          <w:szCs w:val="20"/>
          <w:color w:val="auto"/>
        </w:rPr>
      </w:pPr>
      <w:r>
        <w:rPr>
          <w:rFonts w:ascii="Arial" w:cs="Arial" w:eastAsia="Arial" w:hAnsi="Arial"/>
          <w:sz w:val="13"/>
          <w:szCs w:val="13"/>
          <w:color w:val="auto"/>
        </w:rPr>
        <w:t>On November 27, 2012, the Company and Sanofi entered into a license and research collaboration agreement focused on the identification and development of vaccines against food allergies. Under the arrangement, the Company will perform research to identify an initial vaccine candidate for development and commercialization by Sanofi under an exclusive license.</w:t>
      </w:r>
    </w:p>
    <w:p>
      <w:pPr>
        <w:spacing w:after="0" w:line="105"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In November 2014, Sanofi exercised the option to include celiac disease as an additional indication and the Sanofi Agreement was amended to add terms specific to the celiac disease indication and to terminate Sanofi's right to exercise its option for any additional indications in May 2015.</w:t>
      </w:r>
    </w:p>
    <w:p>
      <w:pPr>
        <w:spacing w:after="0" w:line="151" w:lineRule="exact"/>
        <w:rPr>
          <w:sz w:val="20"/>
          <w:szCs w:val="20"/>
          <w:color w:val="auto"/>
        </w:rPr>
      </w:pPr>
    </w:p>
    <w:p>
      <w:pPr>
        <w:ind w:left="7" w:right="480"/>
        <w:spacing w:after="0" w:line="319" w:lineRule="auto"/>
        <w:rPr>
          <w:sz w:val="20"/>
          <w:szCs w:val="20"/>
          <w:color w:val="auto"/>
        </w:rPr>
      </w:pPr>
      <w:r>
        <w:rPr>
          <w:rFonts w:ascii="Arial" w:cs="Arial" w:eastAsia="Arial" w:hAnsi="Arial"/>
          <w:sz w:val="14"/>
          <w:szCs w:val="14"/>
          <w:color w:val="auto"/>
        </w:rPr>
        <w:t>Each party will carry out its obligations under the collaboration in accordance with a research plan approved by a Joint Research Committee ("JRC"). The Company will perform the majority of the research work to identify the potential candidate, and once identified, Sanofi will primarily be responsible for the clinical development of the candidate.</w:t>
      </w:r>
    </w:p>
    <w:p>
      <w:pPr>
        <w:spacing w:after="0" w:line="128"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At any time during the term of the development plan, but before the fifth anniversary of the start of the research term for the applicable indication, Sanofi and the Company may agree to replace the previously nominated development candidate with a new development candidate. The Company would be entitled to additional consideration for any research services performed at such time.</w:t>
      </w:r>
    </w:p>
    <w:p>
      <w:pPr>
        <w:spacing w:after="0" w:line="159" w:lineRule="exact"/>
        <w:rPr>
          <w:sz w:val="20"/>
          <w:szCs w:val="20"/>
          <w:color w:val="auto"/>
        </w:rPr>
      </w:pPr>
    </w:p>
    <w:p>
      <w:pPr>
        <w:ind w:left="7" w:right="20"/>
        <w:spacing w:after="0" w:line="283" w:lineRule="auto"/>
        <w:rPr>
          <w:sz w:val="20"/>
          <w:szCs w:val="20"/>
          <w:color w:val="auto"/>
        </w:rPr>
      </w:pPr>
      <w:r>
        <w:rPr>
          <w:rFonts w:ascii="Arial" w:cs="Arial" w:eastAsia="Arial" w:hAnsi="Arial"/>
          <w:sz w:val="14"/>
          <w:szCs w:val="14"/>
          <w:color w:val="auto"/>
        </w:rPr>
        <w:t>The research term for the first indication continues until the earlier of (a) the nomination of a development candidate for the initial indication or (b) the third anniversary of the agreement. The research term for the second indication (celiac disease) will expire upon the earlier of (a) the nomination of a development candidate for the second indication and (b) May 7, 2019. In the event that the Company is unable to complete its research obligations by the expiration of the applicable research term, its obligation will be limited to exercising commercially reasonable efforts to complete such research up to one year after the end of the research term. Each party is responsible for its own internal costs, as well as any third-party or out-of-pocket costs incurred in the performance of the activities laid out in the research plan. If the parties agree to expand the Company's scope of work, such costs will be reimbursed by Sanofi based on an agreed upon budget. Once a development candidate is nominated, all development activities will be under the direction of Sanofi pursuant to a development plan to be negotiated and agreed to at that time and Sanofi will pay the Company for expenses incurred within certain approved limits.</w:t>
      </w:r>
    </w:p>
    <w:p>
      <w:pPr>
        <w:spacing w:after="0" w:line="154"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Under the terms of the research collaboration portion of the Sanofi Agreement, the Company is required to use commercially reasonable efforts to perform the activities set out for the Company in the research and development plans created and overseen by a joint research committee. The Company is responsible for manufacturing all vaccines required for research, development and commercialization of licensed products. Pursuant to the Sanofi Agreement, Sanofi has paid the Company an initial payment of $2.0 million for the initial indication and an additional $2.0 million for the second indication of celiac disease. Sanofi is obligated to make additional payments to the Company during preclinical research totaling up to $3.0 million for each indication, which has been received for the food allergy indication. For each indication, the Company is also eligible for (i) a $5.0 million development candidate milestone payable to the Company at the start of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266305"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3" w:right="259" w:bottom="1440" w:gutter="0" w:footer="0" w:header="0"/>
        </w:sectPr>
      </w:pPr>
    </w:p>
    <w:bookmarkStart w:id="268" w:name="page269"/>
    <w:bookmarkEnd w:id="26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right="20" w:hanging="7"/>
        <w:spacing w:after="0" w:line="263" w:lineRule="auto"/>
        <w:tabs>
          <w:tab w:leader="none" w:pos="229" w:val="left"/>
        </w:tabs>
        <w:numPr>
          <w:ilvl w:val="0"/>
          <w:numId w:val="139"/>
        </w:numPr>
        <w:rPr>
          <w:rFonts w:ascii="Arial" w:cs="Arial" w:eastAsia="Arial" w:hAnsi="Arial"/>
          <w:sz w:val="15"/>
          <w:szCs w:val="15"/>
          <w:color w:val="auto"/>
        </w:rPr>
      </w:pPr>
      <w:r>
        <w:rPr>
          <w:rFonts w:ascii="Arial" w:cs="Arial" w:eastAsia="Arial" w:hAnsi="Arial"/>
          <w:sz w:val="15"/>
          <w:szCs w:val="15"/>
          <w:color w:val="auto"/>
        </w:rPr>
        <w:t>further development milestones up to an aggregate of $127.0 million, which includes up to an aggregate of $57.0 million following the initiation of Phase I, Phase II and Phase III clinical trials for the indication and filing of the first biologic license application, more than two-thirds of which is attributable to the initiation of the Phase 3 clinical trail and the filing of the first biologic license application, and an aggregate of $70.0 million upon achieving various regulatory approvals in the United States, European Union, Japan and Brazil, Russia, India or China, of which the majority is attributable to regulatory approvals in the United States, (iii) sales milestones of up to an aggregate of $170.0 million, and (iv) tiered royalties on annual net sales of licensed products at percentages ranging from mid-single to low double digits.</w:t>
      </w:r>
    </w:p>
    <w:p>
      <w:pPr>
        <w:spacing w:after="0" w:line="167"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As per the agreement, the research term expired for the first indication on the third anniversary (November 27, 2015) of the agreement. The Company completed its research obligations within the initial three year period and is not obligated to perform any further research on the specific indication under the agreement. A vaccine candidate for development and commercialization was not selected by Sanofi by the end of the research plan, and therefore no further milestone payments have been received. However, the Company is in discussions with Sanofi to extend the research term for the first indication by one year (until November 27, 2016).</w:t>
      </w:r>
    </w:p>
    <w:p>
      <w:pPr>
        <w:spacing w:after="0" w:line="162" w:lineRule="exact"/>
        <w:rPr>
          <w:sz w:val="20"/>
          <w:szCs w:val="20"/>
          <w:color w:val="auto"/>
        </w:rPr>
      </w:pPr>
    </w:p>
    <w:p>
      <w:pPr>
        <w:ind w:left="7" w:right="100"/>
        <w:spacing w:after="0" w:line="313" w:lineRule="auto"/>
        <w:rPr>
          <w:sz w:val="20"/>
          <w:szCs w:val="20"/>
          <w:color w:val="auto"/>
        </w:rPr>
      </w:pPr>
      <w:r>
        <w:rPr>
          <w:rFonts w:ascii="Arial" w:cs="Arial" w:eastAsia="Arial" w:hAnsi="Arial"/>
          <w:sz w:val="13"/>
          <w:szCs w:val="13"/>
          <w:color w:val="auto"/>
        </w:rPr>
        <w:t>The Company identified the deliverables under the arrangement as the license, the research necessary to identify the development candidate, and participation on the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$2.1 million of revenue during each of the years ended December 31, 2014 and 2015, and $0.5 million and $0.1 million during the three months ended March 31, 2015 and 2016, respectively.</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research and collaboration agreements</w:t>
      </w:r>
    </w:p>
    <w:p>
      <w:pPr>
        <w:spacing w:after="0" w:line="195" w:lineRule="exact"/>
        <w:rPr>
          <w:sz w:val="20"/>
          <w:szCs w:val="20"/>
          <w:color w:val="auto"/>
        </w:rPr>
      </w:pPr>
    </w:p>
    <w:p>
      <w:pPr>
        <w:ind w:left="7" w:right="20"/>
        <w:spacing w:after="0" w:line="362" w:lineRule="auto"/>
        <w:rPr>
          <w:sz w:val="20"/>
          <w:szCs w:val="20"/>
          <w:color w:val="auto"/>
        </w:rPr>
      </w:pPr>
      <w:r>
        <w:rPr>
          <w:rFonts w:ascii="Arial" w:cs="Arial" w:eastAsia="Arial" w:hAnsi="Arial"/>
          <w:sz w:val="13"/>
          <w:szCs w:val="13"/>
          <w:color w:val="auto"/>
        </w:rPr>
        <w:t>The Company has entered into other research and collaboration agreements in 2014 and 2015 for which the Company did not recognize any revenue for the period ended December 31, 2014 and recognized revenue in the amount of $0.3 million for the period ended December 31, 2015, and less than $0.1 million for the three months ended March 31, 2015 and 2016.</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jc w:val="both"/>
        <w:ind w:left="7" w:right="440"/>
        <w:spacing w:after="0" w:line="270" w:lineRule="auto"/>
        <w:rPr>
          <w:sz w:val="20"/>
          <w:szCs w:val="20"/>
          <w:color w:val="auto"/>
        </w:rPr>
      </w:pPr>
      <w:r>
        <w:rPr>
          <w:rFonts w:ascii="Arial" w:cs="Arial" w:eastAsia="Arial" w:hAnsi="Arial"/>
          <w:sz w:val="15"/>
          <w:szCs w:val="15"/>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69" w:name="page270"/>
    <w:bookmarkEnd w:id="26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NIH</w:t>
      </w:r>
    </w:p>
    <w:p>
      <w:pPr>
        <w:spacing w:after="0" w:line="198"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The Company has two grants through the Department of Health and Human Services, National Institutes of Health ("NIH"). The first grant, for an aggregate amount of $8.1 million, was awarded in May 2014 to support research in the development of a next generation vaccine for smoking cessation and relapse prevention. The Company recognized $0.6 million and $2.4 million of revenue for the periods ending December 31, 2014 and 2015, respectively, and $0.4 million and $1.8 million for the three months ended March 31, 2015 and 2016, respectively, under the arrangement.</w:t>
      </w:r>
    </w:p>
    <w:p>
      <w:pPr>
        <w:spacing w:after="0" w:line="162"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The second grant is for an aggregate amount of $0.2 million, which was awarded in September 2015 for the development of nanoparticles for immune tolerance to factor VIII. The company recognized revenue in the amount of $0.1 million for the year ended December 31, 2015 and less than $0.1 million for the three months ended March 31, 2016.</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JDRF</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The Company had two contracts in effect with JDRF during 2014, and only one of those contracts was in effect during 2015. The first contract was a continuation and completion of the 2011 grant for $0.8 million. The Company recognized the remaining $0.2 million of revenue during the year ended December 31, 2014 under this contract. The second JDRF grant is a joint grant with Sanofi entered into in September 2014 for $0.4 million to conduct Type 1 Diabetes research. The Company recognized less than $0.1 million and $0.2 million of revenue related to this contract during the years ended December 31, 2014 and 2015, respectively, and less than $0.1 million and $0.1 million for the three months ended March 31, 2015 and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Bill and Melinda Gates Foundation</w:t>
      </w:r>
    </w:p>
    <w:p>
      <w:pPr>
        <w:spacing w:after="0" w:line="198" w:lineRule="exact"/>
        <w:rPr>
          <w:sz w:val="20"/>
          <w:szCs w:val="20"/>
          <w:color w:val="auto"/>
        </w:rPr>
      </w:pPr>
    </w:p>
    <w:p>
      <w:pPr>
        <w:ind w:right="140"/>
        <w:spacing w:after="0" w:line="319" w:lineRule="auto"/>
        <w:rPr>
          <w:sz w:val="20"/>
          <w:szCs w:val="20"/>
          <w:color w:val="auto"/>
        </w:rPr>
      </w:pPr>
      <w:r>
        <w:rPr>
          <w:rFonts w:ascii="Arial" w:cs="Arial" w:eastAsia="Arial" w:hAnsi="Arial"/>
          <w:sz w:val="13"/>
          <w:szCs w:val="13"/>
          <w:color w:val="auto"/>
        </w:rPr>
        <w:t>The Company received a grant in 2013 from the Bill and Melinda Gates Foundation for $1.2 million to fund the Company's immunology research on malaria antigens. During 2014, the grant amount was increased to a total of $1.6 million and the term was extended to a three-year research term. Revenue recognized for the years ending December 31, 2014 and 2015 was $0.2 million and $0.6 million, respectively, and was less than $0.1 million and $0.1 million for the three months ended March 31, 2015 and 2016, respectively. Revenue is recognized on a proportional performance basis as it relates to employee time expended on the research, along reimbursement for external costs directly related to, and approved, by the grant terms.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Minpromtorg</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The Company had a contract awarded from Minpromtorg for approximately $4.6 million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clinical trial was delayed or terminated prior to completion. As a result of the penalty provision, the Company concluded the amounts received under the agreement were not fixed or determinable. Therefore, no revenue has been recognized to date. Through December 31, 2014, the Company received payments totaling approximately $1.4 million, which has been recorded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70" w:name="page271"/>
    <w:bookmarkEnd w:id="2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contingently repayable grant funding liability in the accompanying consolidated balance sheets. The agreement also required the Company to maintain a deposit in a restricted bank account equal to approximately one year of expected contract payments, which approximates $1.0 million, to cover the potential penalty. The amount is classified as restricted cash in the consolidated balance sheets for the years ended December 31, 2014 and 2015. In January 2016, the deposit was released from the restricted deposit requirement. In 2014, the Company terminated its plan to conduct the clinical trial in Russia subjecting the Company to the penalty obligation.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In February 2015, the Company received an executed final settlement agreement from Minpromtorg that included the repayment of funds previously received by the Company totaling</w:t>
      </w:r>
    </w:p>
    <w:p>
      <w:pPr>
        <w:spacing w:after="0" w:line="29"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$0.2 million, and a penalty fee that equaled to 10% of the contract value, or $0.2 million. The Company paid the settlement payment in March 2015 and all mutual claims under the contract were terminated. According to the terms of the agreement, Minpromtorg has the right to audit the expenditure incurred under the agreement for a period up to three years from each research milestone date. All grant funding received in excess of the penalty settlement will remain as a liability on the balance sheet until such time the audit period has expired and at which time, the amount will be recognized as revenue. The first audit period expired on December 31, 2015, and as a result $0.4 million of revenue was recognized for the year ending December 31, 2015. The remaining amount of unrecognized revenue is classified contingent repayable grant funding in the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Skolkovo</w:t>
      </w:r>
    </w:p>
    <w:p>
      <w:pPr>
        <w:spacing w:after="0" w:line="198"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On November 28, 2014, the Company executed a grant awarded by Skolkovo for the development of a therapeutic vaccine using nanoparticles to treat chronic infection caused by HPV and diseases associated with this infection. The grant covers a period from August 1, 2014 through July 21, 2017. The grant provides for up to $2.7 million that covers 48.5% of the estimated total cost of the research plan with the remaining 51.5% of estimated costs to be contributed by the Company. The Company received from Skolkovo $1.0 million in 2014, no additional funds were received for the year ending December 31, 2015 and $0.7 million was received for the three months ended March 31, 2016.</w:t>
      </w:r>
    </w:p>
    <w:p>
      <w:pPr>
        <w:spacing w:after="0" w:line="148"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Skolkovo's audit or the expiration of the audit term.</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Related-party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part of the Series B Preferred and Series D Preferred financings (as described in Note 9), the Company's landlord (the "Landlord") purchased 49,254 shares of Series B Preferred at</w:t>
      </w:r>
    </w:p>
    <w:p>
      <w:pPr>
        <w:spacing w:after="0" w:line="29" w:lineRule="exact"/>
        <w:rPr>
          <w:sz w:val="20"/>
          <w:szCs w:val="20"/>
          <w:color w:val="auto"/>
        </w:rPr>
      </w:pPr>
    </w:p>
    <w:p>
      <w:pPr>
        <w:ind w:right="140"/>
        <w:spacing w:after="0" w:line="275" w:lineRule="auto"/>
        <w:rPr>
          <w:sz w:val="20"/>
          <w:szCs w:val="20"/>
          <w:color w:val="auto"/>
        </w:rPr>
      </w:pPr>
      <w:r>
        <w:rPr>
          <w:rFonts w:ascii="Arial" w:cs="Arial" w:eastAsia="Arial" w:hAnsi="Arial"/>
          <w:sz w:val="15"/>
          <w:szCs w:val="15"/>
          <w:color w:val="auto"/>
        </w:rPr>
        <w:t>$2.0303 per share for total proceeds of $0.1 million and 488,888 shares of Series D Preferred at $4.50 per share for total proceeds of $2.2 million. Additionally, in April 2015, the Landlord participated in the Company's bridge loan in the amount of $0.2 million, which converted into Series E Preferred (see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1" w:name="page272"/>
    <w:bookmarkEnd w:id="2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note 9). The Landlord paid the same price as the price paid by other investors in each of these Preferred Stock purchases.</w:t>
      </w:r>
    </w:p>
    <w:p>
      <w:pPr>
        <w:spacing w:after="0" w:line="198"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The Company incurred expenses for consulting services provided by its founders totaling $0.3 million during each of the years ended December 31, 2014 and 2015, and $0.1 million for each of the three months ended March 31, 2015 and 2016.</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Technology license agreements</w:t>
      </w:r>
    </w:p>
    <w:p>
      <w:pPr>
        <w:spacing w:after="0" w:line="195"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On November 25, 2008, the Company entered into an Exclusive Patent License agreement with the Massachusetts Institute of Technology ("MIT"). The Company received an exclusive royalty-bearing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patent-cross-license agreement with BIND Therapeutics, Inc. whereby each party receives a license for the use of the other patents in their respective fields of use. In exchange for this license, the Company paid a one-time expense in 2008.</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May 2014, the Company entered into a license agreement with Shenyang Sunshine Pharmaceutical Co., Ltd., or 3SBio, which is referred to as the 3SBio License. Pursuant to the 3SBio License, the Company was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The Company was also granted a worldwide (except for Greater China) exclusive license to develop, commercialize and manufacture or have manufactured products combining the Company's proprietary SVP technology with pegsiticase or related compounds supplied by 3SBio (or otherwise supplied if the Company's rights to manufacture are in effect) for human therapeutic, diagnostic and prophylactic use. The Company was also granted a co-exclusive license to manufacture and have manufactured pegsiticase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154"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U.S. or a major European country, then 3SBio will have the right to do so, but only until the Company commercializes a product combining the Company's SVP technology with any such compound in such country. The Company has paid to 3SBio an aggregate of $1.0 million in upfront and milestone-based payments under the 3SBio License. The Company is required to make future payments to 3SBio contingent upon the occurrence of events related to the achievement of clinical and regulatory approval milestones of up to an aggregate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2" w:name="page273"/>
    <w:bookmarkEnd w:id="27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$21.0 million for products containing the Company's SVP technology, and up to an aggregate of $41.5 million for products without the Company's SVP technology. The Company is also required to pay 3SBio tiered royalties on annual worldwide net sales (on a country-by-country and product-by-product basis) related to the pegsiticase component of products at percentages ranging from the low-to-mid single digits for products containing the Company's SVP technology, and a range of no more than ten percentage points from the mid-single digits to low double-digits for products without the Company's SVP technology. The Company will pay these royalties to 3SBio, subject to specified reductions,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167"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The 3SBio License expires on the date of expiration of all of the Company's royalty payment obligations unless earlier terminated by either party for an uncured material default or for the other party's bankruptcy. Any such termination by 3SBio for material default may be on a country-by-country or product-by-product basis in certain circumstances. The Company may also terminate the 3SBio License on a country-by-country or product-by-product basis for any reason effective upon 60 days' prior written notice to 3SBio or, with respect to a given product, immediately upon written notice to 3SBio if the Company identifies a safety or efficacy concern related to such product.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Income taxes</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151"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For the years ended December 31, 2014 and 2015, the Company did not record a current or deferred income tax expense or benefit. A reconciliation of the Company's effective tax rate to the statutory federal rate is as follows: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Statutory U.S. federal rate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34.0%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State income taxes—net of federal benefit</w:t>
            </w:r>
          </w:p>
        </w:tc>
        <w:tc>
          <w:tcPr>
            <w:tcW w:w="460" w:type="dxa"/>
            <w:vAlign w:val="bottom"/>
          </w:tcPr>
          <w:p>
            <w:pPr>
              <w:jc w:val="right"/>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Permanent items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(0.7)</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Research tax credits/others</w:t>
            </w:r>
          </w:p>
        </w:tc>
        <w:tc>
          <w:tcPr>
            <w:tcW w:w="46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net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Other</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(7.8)</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3" w:name="page274"/>
    <w:bookmarkEnd w:id="27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tax effects of temporary differences that give rise to the Company's net deferred tax assets as of December 31 are as follows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7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36"/>
        </w:trPr>
        <w:tc>
          <w:tcPr>
            <w:tcW w:w="7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5"/>
          </w:tcPr>
          <w:p>
            <w:pPr>
              <w:jc w:val="right"/>
              <w:ind w:right="286"/>
              <w:spacing w:after="0" w:line="136"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1"/>
                <w:szCs w:val="11"/>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Net operating loss carryforwards</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22,444</w:t>
            </w: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31,958</w:t>
            </w:r>
          </w:p>
        </w:tc>
        <w:tc>
          <w:tcPr>
            <w:tcW w:w="140" w:type="dxa"/>
            <w:vAlign w:val="bottom"/>
          </w:tcPr>
          <w:p>
            <w:pPr>
              <w:spacing w:after="0"/>
              <w:rPr>
                <w:sz w:val="16"/>
                <w:szCs w:val="16"/>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 credits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2,305</w:t>
            </w:r>
          </w:p>
        </w:tc>
        <w:tc>
          <w:tcPr>
            <w:tcW w:w="140" w:type="dxa"/>
            <w:vAlign w:val="bottom"/>
            <w:shd w:val="clear" w:color="auto" w:fill="CCEEFF"/>
          </w:tcPr>
          <w:p>
            <w:pPr>
              <w:spacing w:after="0"/>
              <w:rPr>
                <w:sz w:val="16"/>
                <w:szCs w:val="16"/>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570</w:t>
            </w:r>
          </w:p>
        </w:tc>
        <w:tc>
          <w:tcPr>
            <w:tcW w:w="140" w:type="dxa"/>
            <w:vAlign w:val="bottom"/>
          </w:tcPr>
          <w:p>
            <w:pPr>
              <w:spacing w:after="0"/>
              <w:rPr>
                <w:sz w:val="16"/>
                <w:szCs w:val="16"/>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Deferred rent and other expenses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w:t>
            </w:r>
          </w:p>
        </w:tc>
        <w:tc>
          <w:tcPr>
            <w:tcW w:w="140" w:type="dxa"/>
            <w:vAlign w:val="bottom"/>
            <w:shd w:val="clear" w:color="auto" w:fill="CCEEFF"/>
          </w:tcPr>
          <w:p>
            <w:pPr>
              <w:spacing w:after="0"/>
              <w:rPr>
                <w:sz w:val="16"/>
                <w:szCs w:val="16"/>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Deferred revenue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2,283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1,582</w:t>
            </w:r>
          </w:p>
        </w:tc>
        <w:tc>
          <w:tcPr>
            <w:tcW w:w="140" w:type="dxa"/>
            <w:vAlign w:val="bottom"/>
          </w:tcPr>
          <w:p>
            <w:pPr>
              <w:spacing w:after="0"/>
              <w:rPr>
                <w:sz w:val="16"/>
                <w:szCs w:val="16"/>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Patent costs/amortization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w:t>
            </w:r>
          </w:p>
        </w:tc>
        <w:tc>
          <w:tcPr>
            <w:tcW w:w="140" w:type="dxa"/>
            <w:vAlign w:val="bottom"/>
            <w:shd w:val="clear" w:color="auto" w:fill="CCEEFF"/>
          </w:tcPr>
          <w:p>
            <w:pPr>
              <w:spacing w:after="0"/>
              <w:rPr>
                <w:sz w:val="16"/>
                <w:szCs w:val="16"/>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Tenant improvement allowance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Warrant liability</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40" w:type="dxa"/>
            <w:vAlign w:val="bottom"/>
            <w:shd w:val="clear" w:color="auto" w:fill="CCEEFF"/>
          </w:tcPr>
          <w:p>
            <w:pPr>
              <w:spacing w:after="0"/>
              <w:rPr>
                <w:sz w:val="16"/>
                <w:szCs w:val="16"/>
                <w:color w:val="auto"/>
              </w:rPr>
            </w:pPr>
          </w:p>
        </w:tc>
      </w:tr>
      <w:tr>
        <w:trPr>
          <w:trHeight w:val="177"/>
        </w:trPr>
        <w:tc>
          <w:tcPr>
            <w:tcW w:w="7460" w:type="dxa"/>
            <w:vAlign w:val="bottom"/>
          </w:tcPr>
          <w:p>
            <w:pPr>
              <w:ind w:left="160"/>
              <w:spacing w:after="0"/>
              <w:rPr>
                <w:sz w:val="20"/>
                <w:szCs w:val="20"/>
                <w:color w:val="auto"/>
              </w:rPr>
            </w:pPr>
            <w:r>
              <w:rPr>
                <w:rFonts w:ascii="Arial" w:cs="Arial" w:eastAsia="Arial" w:hAnsi="Arial"/>
                <w:sz w:val="15"/>
                <w:szCs w:val="15"/>
                <w:color w:val="auto"/>
              </w:rPr>
              <w:t>Gross deferred tax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30,221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40,522</w:t>
            </w:r>
          </w:p>
        </w:tc>
        <w:tc>
          <w:tcPr>
            <w:tcW w:w="140" w:type="dxa"/>
            <w:vAlign w:val="bottom"/>
          </w:tcPr>
          <w:p>
            <w:pPr>
              <w:spacing w:after="0"/>
              <w:rPr>
                <w:sz w:val="15"/>
                <w:szCs w:val="15"/>
                <w:color w:val="auto"/>
              </w:rPr>
            </w:pPr>
          </w:p>
        </w:tc>
      </w:tr>
      <w:tr>
        <w:trPr>
          <w:trHeight w:val="371"/>
        </w:trPr>
        <w:tc>
          <w:tcPr>
            <w:tcW w:w="7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Liabilities</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Depreciation</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(388)</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(197)</w:t>
            </w: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Debt discount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(97)</w:t>
            </w: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Unrealized foreign exchange gain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(1,352)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(1,728)</w:t>
            </w: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Gross deferred tax liabilities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(1,799)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(2,022)</w:t>
            </w:r>
          </w:p>
        </w:tc>
      </w:tr>
      <w:tr>
        <w:trPr>
          <w:trHeight w:val="185"/>
        </w:trPr>
        <w:tc>
          <w:tcPr>
            <w:tcW w:w="7460" w:type="dxa"/>
            <w:vAlign w:val="bottom"/>
          </w:tcPr>
          <w:p>
            <w:pPr>
              <w:ind w:left="160"/>
              <w:spacing w:after="0"/>
              <w:rPr>
                <w:sz w:val="20"/>
                <w:szCs w:val="20"/>
                <w:color w:val="auto"/>
              </w:rPr>
            </w:pPr>
            <w:r>
              <w:rPr>
                <w:rFonts w:ascii="Arial" w:cs="Arial" w:eastAsia="Arial" w:hAnsi="Arial"/>
                <w:sz w:val="15"/>
                <w:szCs w:val="15"/>
                <w:color w:val="auto"/>
              </w:rPr>
              <w:t>Net deferred tax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28,422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38,500</w:t>
            </w:r>
          </w:p>
        </w:tc>
        <w:tc>
          <w:tcPr>
            <w:tcW w:w="140" w:type="dxa"/>
            <w:vAlign w:val="bottom"/>
          </w:tcPr>
          <w:p>
            <w:pPr>
              <w:spacing w:after="0"/>
              <w:rPr>
                <w:sz w:val="16"/>
                <w:szCs w:val="16"/>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(28,422)</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(38,500)</w:t>
            </w:r>
          </w:p>
        </w:tc>
      </w:tr>
      <w:tr>
        <w:trPr>
          <w:trHeight w:val="177"/>
        </w:trPr>
        <w:tc>
          <w:tcPr>
            <w:tcW w:w="7460" w:type="dxa"/>
            <w:vAlign w:val="bottom"/>
          </w:tcPr>
          <w:p>
            <w:pPr>
              <w:spacing w:after="0"/>
              <w:rPr>
                <w:sz w:val="20"/>
                <w:szCs w:val="20"/>
                <w:color w:val="auto"/>
              </w:rPr>
            </w:pPr>
            <w:r>
              <w:rPr>
                <w:rFonts w:ascii="Arial" w:cs="Arial" w:eastAsia="Arial" w:hAnsi="Arial"/>
                <w:sz w:val="15"/>
                <w:szCs w:val="15"/>
                <w:color w:val="auto"/>
              </w:rPr>
              <w:t>Net deferred tax assets</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Company has provided a full valuation allowance against its net deferred tax assets, as the Company believes that it is more likely than not that the deferred tax assets will not be realized. 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The valuation allowance increased by $4.3 million and $10.1 million for the years ended December 31, 2014 and 2015, respectively, primarily as a result of an increase in net operating loss. In 2014, the Company's Russian subsidiary was granted a 10 year tax holiday in Russia. As a result, previously reported deferred tax assets were adjusted for the change in tax rate. There has been no change to the tax holiday status for the subsidiary as of December 31, 2015.</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At December 31, 2015, the Company had federal and state net operating loss carryforwards of $82.4 million and $76.3 million, which will expire at various times through 2035. Included in the net operating loss above is approximately $0.2 million related to excess stock option deductions. The Company also has federal and state research and development tax credit carryforwards of $1.6 million and $1.1 million available to reduce future tax liabilities, which will expire at various times through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74" w:name="page275"/>
    <w:bookmarkEnd w:id="2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Utilization of the net operating loss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159"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Company applies ASC 740, Income Taxes to uncertain tax positions. As of the adoption date on January 1, 2009 and through December 31, 2015, the Company had no unrecognized tax benefits or related interest and penalties accrued.</w:t>
      </w:r>
    </w:p>
    <w:p>
      <w:pPr>
        <w:spacing w:after="0" w:line="151" w:lineRule="exact"/>
        <w:rPr>
          <w:sz w:val="20"/>
          <w:szCs w:val="20"/>
          <w:color w:val="auto"/>
        </w:rPr>
      </w:pPr>
    </w:p>
    <w:p>
      <w:pPr>
        <w:ind w:right="60"/>
        <w:spacing w:after="0" w:line="319" w:lineRule="auto"/>
        <w:rPr>
          <w:sz w:val="20"/>
          <w:szCs w:val="20"/>
          <w:color w:val="auto"/>
        </w:rPr>
      </w:pPr>
      <w:r>
        <w:rPr>
          <w:rFonts w:ascii="Arial" w:cs="Arial" w:eastAsia="Arial" w:hAnsi="Arial"/>
          <w:sz w:val="13"/>
          <w:szCs w:val="13"/>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13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Interest and penalty charges, if any, related to unrecognized tax benefits would be classified as income tax expense in the accompanying statement of operations and comprehensive loss. As of December 31, 2015, the Company had no accrued interest related to uncertain tax positions.</w:t>
      </w:r>
    </w:p>
    <w:p>
      <w:pPr>
        <w:spacing w:after="0" w:line="151"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401(k) Savings Plan</w:t>
      </w:r>
    </w:p>
    <w:p>
      <w:pPr>
        <w:spacing w:after="0" w:line="195" w:lineRule="exact"/>
        <w:rPr>
          <w:sz w:val="20"/>
          <w:szCs w:val="20"/>
          <w:color w:val="auto"/>
        </w:rPr>
      </w:pPr>
    </w:p>
    <w:p>
      <w:pPr>
        <w:ind w:right="20"/>
        <w:spacing w:after="0" w:line="330" w:lineRule="auto"/>
        <w:rPr>
          <w:sz w:val="20"/>
          <w:szCs w:val="20"/>
          <w:color w:val="auto"/>
        </w:rPr>
      </w:pPr>
      <w:r>
        <w:rPr>
          <w:rFonts w:ascii="Arial" w:cs="Arial" w:eastAsia="Arial" w:hAnsi="Arial"/>
          <w:sz w:val="13"/>
          <w:szCs w:val="13"/>
          <w:color w:val="auto"/>
        </w:rPr>
        <w:t>The Company maintains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401 (k) Plan provides for matching contributions on a portion of participant contributions pursuant to the 401(k) Plan's matching formula. All matching contributions vest ratably over 4 years and participant contributions vest immediately.</w:t>
      </w:r>
    </w:p>
    <w:p>
      <w:pPr>
        <w:spacing w:after="0" w:line="125"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auto"/>
        </w:rPr>
        <w:t>Contributions by the Company totaling $0.1 million and $0.1 million for the years ended December 31, 2014 and 2015, respectively, and $0.1 million for each of the three months ended March 31, 2015 and 2016, have been recorded in the consolidated statements of operations and comprehensive loss.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Subsequent Events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 License Agreement</w:t>
      </w:r>
      <w:r>
        <w:rPr>
          <w:rFonts w:ascii="Arial" w:cs="Arial" w:eastAsia="Arial" w:hAnsi="Arial"/>
          <w:sz w:val="15"/>
          <w:szCs w:val="15"/>
          <w:color w:val="auto"/>
        </w:rPr>
        <w:t xml:space="preserve"> (unaudited)</w:t>
      </w:r>
    </w:p>
    <w:p>
      <w:pPr>
        <w:spacing w:after="0" w:line="198"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In May 2016, the Company entered into a license agreement with the Massachusetts Eye and Ear Infirmary and The Schepens Eye Research Institute, Inc., or, collectively, MEE, referred to as the MEE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5" w:name="page276"/>
    <w:bookmarkEnd w:id="27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know-how owned or controlled by MEE, for use of Anc80 gene therapy vectors for gene augmentation therapies expressing certain target sequences.</w:t>
      </w:r>
    </w:p>
    <w:p>
      <w:pPr>
        <w:spacing w:after="0" w:line="159"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44"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44"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Pursuant to the MEE Agreement, the Company agreed to pay MEE a license fee in the low six figures, annual license maintenance fees ranging from the mid-twenty thousands to mid-seventy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product-by-licensed product basis, totaling up to an aggregate of between $4,175,000 to $37,025,000 and sales milestones on a licensed product-by-licensed product basis, totaling up to an aggregate of between $50,000,000 to $70,000,000; tiered royalties on a licensed product-by-licensed product and country-by-country basis equal to a percentage of net sales ranging from mid-single digits to mid-teens, subject to the prevalence of the targeted disease and certain reductions; and a percentage, in a range expected to be in the mid-teens depending on timing, of any sublicense income the Company receives from sublicensing its rights granted thereunder, subject to certain reductions and exclusions. Upon exercise of each option, the Company agreed to pay MEE an option exercise fee ranging from low-six figures to mid-six figures, depending on the prevalence of the targeted disease.</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sequence-by-target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76" w:name="page277"/>
    <w:bookmarkEnd w:id="27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5"/>
          <w:szCs w:val="15"/>
          <w:color w:val="auto"/>
        </w:rPr>
        <w:t>convicted of a felony relating to manufacture, use, sale or importation of licensed products; or upon the Company's insolvency or bankruptcy.</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5"/>
          <w:szCs w:val="15"/>
          <w:u w:val="single" w:color="auto"/>
          <w:color w:val="auto"/>
        </w:rPr>
        <w:t>b) Reverse Stock Split</w:t>
      </w:r>
    </w:p>
    <w:p>
      <w:pPr>
        <w:spacing w:after="0" w:line="198" w:lineRule="exact"/>
        <w:rPr>
          <w:sz w:val="20"/>
          <w:szCs w:val="20"/>
          <w:color w:val="auto"/>
        </w:rPr>
      </w:pPr>
    </w:p>
    <w:p>
      <w:pPr>
        <w:jc w:val="both"/>
        <w:ind w:left="7" w:right="120"/>
        <w:spacing w:after="0" w:line="290" w:lineRule="auto"/>
        <w:rPr>
          <w:sz w:val="20"/>
          <w:szCs w:val="20"/>
          <w:color w:val="auto"/>
        </w:rPr>
      </w:pPr>
      <w:r>
        <w:rPr>
          <w:rFonts w:ascii="Arial" w:cs="Arial" w:eastAsia="Arial" w:hAnsi="Arial"/>
          <w:sz w:val="14"/>
          <w:szCs w:val="14"/>
          <w:color w:val="auto"/>
        </w:rPr>
        <w:t>The Company's Board of Directors and stockholders approved a 1-for-3.9 reverse stock split of the Company's common stock. The reverse stock split became effective on June 7, 2016. All common stock share and per share amounts in the consolidated financial statements and notes thereto have been retroactively adjusted for all periods presented to give effect to this reverse stock split. The shares of common stock retained a par value of $0.0001 per share. Accordingly, the stockholder's deficit reflects the reverse stock split by reclassifying from common stock to additional paid in capital an amount equal to the par value of the decreased shares resulting from the effect of the reverse stock split.</w:t>
      </w:r>
    </w:p>
    <w:p>
      <w:pPr>
        <w:spacing w:after="0" w:line="148" w:lineRule="exact"/>
        <w:rPr>
          <w:sz w:val="20"/>
          <w:szCs w:val="20"/>
          <w:color w:val="auto"/>
        </w:rPr>
      </w:pPr>
    </w:p>
    <w:p>
      <w:pPr>
        <w:ind w:left="147" w:hanging="147"/>
        <w:spacing w:after="0"/>
        <w:tabs>
          <w:tab w:leader="none" w:pos="147" w:val="left"/>
        </w:tabs>
        <w:numPr>
          <w:ilvl w:val="0"/>
          <w:numId w:val="140"/>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Equity Plan</w:t>
      </w:r>
      <w:r>
        <w:rPr>
          <w:rFonts w:ascii="Arial" w:cs="Arial" w:eastAsia="Arial" w:hAnsi="Arial"/>
          <w:sz w:val="15"/>
          <w:szCs w:val="15"/>
          <w:color w:val="auto"/>
        </w:rPr>
        <w:t xml:space="preserve"> (unaudited)</w:t>
      </w:r>
    </w:p>
    <w:p>
      <w:pPr>
        <w:spacing w:after="0" w:line="198" w:lineRule="exact"/>
        <w:rPr>
          <w:sz w:val="20"/>
          <w:szCs w:val="20"/>
          <w:color w:val="auto"/>
        </w:rPr>
      </w:pPr>
    </w:p>
    <w:p>
      <w:pPr>
        <w:ind w:left="7" w:right="260"/>
        <w:spacing w:after="0" w:line="266" w:lineRule="auto"/>
        <w:rPr>
          <w:sz w:val="20"/>
          <w:szCs w:val="20"/>
          <w:color w:val="auto"/>
        </w:rPr>
      </w:pPr>
      <w:r>
        <w:rPr>
          <w:rFonts w:ascii="Arial" w:cs="Arial" w:eastAsia="Arial" w:hAnsi="Arial"/>
          <w:sz w:val="15"/>
          <w:szCs w:val="15"/>
          <w:color w:val="auto"/>
        </w:rPr>
        <w:t>The Company's Board of Directors adopted and the Company's stockholders approved the Selecta Bioscience, Inc. 2016 incentive plan ("2016 Plan"), which will become effective on the date that is immediately prior to the date of effectiveness of the registration statement on Form S-1 for the Company's initial public offering. The 2016 Plan provides for the grant of incentive stock options, nonstatutory stock options, restricted stock awards, restricted stock units, stock appreciation rights and other stock-based awards. The Company's employees, officers, directors and consultants and advisors are eligible to receive awards under the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77" w:name="page278"/>
    <w:bookmarkEnd w:id="2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130175</wp:posOffset>
            </wp:positionV>
            <wp:extent cx="4699635" cy="11766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4699635" cy="117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Until , 2016 (the 25th day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71385" cy="203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sectPr>
      </w:pPr>
    </w:p>
    <w:bookmarkStart w:id="278" w:name="page279"/>
    <w:bookmarkEnd w:id="278"/>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80910" cy="7620"/>
                    </a:xfrm>
                    <a:prstGeom prst="rect">
                      <a:avLst/>
                    </a:prstGeom>
                    <a:noFill/>
                  </pic:spPr>
                </pic:pic>
              </a:graphicData>
            </a:graphic>
          </wp:anchor>
        </w:drawing>
        <w:t>Part II</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Other Expenses of Issuance and Distribution.</w:t>
      </w:r>
    </w:p>
    <w:p>
      <w:pPr>
        <w:spacing w:after="0" w:line="202"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listing fee.</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r>
      <w:tr>
        <w:trPr>
          <w:trHeight w:val="177"/>
        </w:trPr>
        <w:tc>
          <w:tcPr>
            <w:tcW w:w="8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Securities and Exchange Commission registration fee</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7,875</w:t>
            </w:r>
          </w:p>
        </w:tc>
        <w:tc>
          <w:tcPr>
            <w:tcW w:w="140" w:type="dxa"/>
            <w:vAlign w:val="bottom"/>
            <w:shd w:val="clear" w:color="auto" w:fill="CCEEFF"/>
          </w:tcPr>
          <w:p>
            <w:pPr>
              <w:spacing w:after="0"/>
              <w:rPr>
                <w:sz w:val="15"/>
                <w:szCs w:val="15"/>
                <w:color w:val="auto"/>
              </w:rPr>
            </w:pPr>
          </w:p>
        </w:tc>
      </w:tr>
      <w:tr>
        <w:trPr>
          <w:trHeight w:val="185"/>
        </w:trPr>
        <w:tc>
          <w:tcPr>
            <w:tcW w:w="8140" w:type="dxa"/>
            <w:vAlign w:val="bottom"/>
            <w:gridSpan w:val="2"/>
          </w:tcPr>
          <w:p>
            <w:pPr>
              <w:spacing w:after="0"/>
              <w:rPr>
                <w:sz w:val="20"/>
                <w:szCs w:val="20"/>
                <w:color w:val="auto"/>
              </w:rPr>
            </w:pPr>
            <w:r>
              <w:rPr>
                <w:rFonts w:ascii="Arial" w:cs="Arial" w:eastAsia="Arial" w:hAnsi="Arial"/>
                <w:sz w:val="15"/>
                <w:szCs w:val="15"/>
                <w:color w:val="auto"/>
              </w:rPr>
              <w:t>FINRA filing fee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12,230</w:t>
            </w:r>
          </w:p>
        </w:tc>
        <w:tc>
          <w:tcPr>
            <w:tcW w:w="140" w:type="dxa"/>
            <w:vAlign w:val="bottom"/>
          </w:tcPr>
          <w:p>
            <w:pPr>
              <w:spacing w:after="0"/>
              <w:rPr>
                <w:sz w:val="16"/>
                <w:szCs w:val="16"/>
                <w:color w:val="auto"/>
              </w:rPr>
            </w:pPr>
          </w:p>
        </w:tc>
      </w:tr>
      <w:tr>
        <w:trPr>
          <w:trHeight w:val="185"/>
        </w:trPr>
        <w:tc>
          <w:tcPr>
            <w:tcW w:w="8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NASDAQ initial listing fee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125,000</w:t>
            </w:r>
          </w:p>
        </w:tc>
        <w:tc>
          <w:tcPr>
            <w:tcW w:w="140" w:type="dxa"/>
            <w:vAlign w:val="bottom"/>
            <w:shd w:val="clear" w:color="auto" w:fill="CCEEFF"/>
          </w:tcPr>
          <w:p>
            <w:pPr>
              <w:spacing w:after="0"/>
              <w:rPr>
                <w:sz w:val="16"/>
                <w:szCs w:val="16"/>
                <w:color w:val="auto"/>
              </w:rPr>
            </w:pPr>
          </w:p>
        </w:tc>
      </w:tr>
      <w:tr>
        <w:trPr>
          <w:trHeight w:val="185"/>
        </w:trPr>
        <w:tc>
          <w:tcPr>
            <w:tcW w:w="8140" w:type="dxa"/>
            <w:vAlign w:val="bottom"/>
            <w:gridSpan w:val="2"/>
          </w:tcPr>
          <w:p>
            <w:pPr>
              <w:spacing w:after="0"/>
              <w:rPr>
                <w:sz w:val="20"/>
                <w:szCs w:val="20"/>
                <w:color w:val="auto"/>
              </w:rPr>
            </w:pPr>
            <w:r>
              <w:rPr>
                <w:rFonts w:ascii="Arial" w:cs="Arial" w:eastAsia="Arial" w:hAnsi="Arial"/>
                <w:sz w:val="15"/>
                <w:szCs w:val="15"/>
                <w:color w:val="auto"/>
              </w:rPr>
              <w:t>Accountants' fees and expenses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1,050,000</w:t>
            </w:r>
          </w:p>
        </w:tc>
        <w:tc>
          <w:tcPr>
            <w:tcW w:w="140" w:type="dxa"/>
            <w:vAlign w:val="bottom"/>
          </w:tcPr>
          <w:p>
            <w:pPr>
              <w:spacing w:after="0"/>
              <w:rPr>
                <w:sz w:val="16"/>
                <w:szCs w:val="16"/>
                <w:color w:val="auto"/>
              </w:rPr>
            </w:pPr>
          </w:p>
        </w:tc>
      </w:tr>
      <w:tr>
        <w:trPr>
          <w:trHeight w:val="185"/>
        </w:trPr>
        <w:tc>
          <w:tcPr>
            <w:tcW w:w="8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2,461,866</w:t>
            </w:r>
          </w:p>
        </w:tc>
        <w:tc>
          <w:tcPr>
            <w:tcW w:w="140" w:type="dxa"/>
            <w:vAlign w:val="bottom"/>
            <w:shd w:val="clear" w:color="auto" w:fill="CCEEFF"/>
          </w:tcPr>
          <w:p>
            <w:pPr>
              <w:spacing w:after="0"/>
              <w:rPr>
                <w:sz w:val="16"/>
                <w:szCs w:val="16"/>
                <w:color w:val="auto"/>
              </w:rPr>
            </w:pPr>
          </w:p>
        </w:tc>
      </w:tr>
      <w:tr>
        <w:trPr>
          <w:trHeight w:val="185"/>
        </w:trPr>
        <w:tc>
          <w:tcPr>
            <w:tcW w:w="8140" w:type="dxa"/>
            <w:vAlign w:val="bottom"/>
            <w:gridSpan w:val="2"/>
          </w:tcPr>
          <w:p>
            <w:pPr>
              <w:spacing w:after="0"/>
              <w:rPr>
                <w:sz w:val="20"/>
                <w:szCs w:val="20"/>
                <w:color w:val="auto"/>
              </w:rPr>
            </w:pPr>
            <w:r>
              <w:rPr>
                <w:rFonts w:ascii="Arial" w:cs="Arial" w:eastAsia="Arial" w:hAnsi="Arial"/>
                <w:sz w:val="15"/>
                <w:szCs w:val="15"/>
                <w:color w:val="auto"/>
              </w:rPr>
              <w:t>Printing and engraving expenses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120,000</w:t>
            </w:r>
          </w:p>
        </w:tc>
        <w:tc>
          <w:tcPr>
            <w:tcW w:w="140" w:type="dxa"/>
            <w:vAlign w:val="bottom"/>
          </w:tcPr>
          <w:p>
            <w:pPr>
              <w:spacing w:after="0"/>
              <w:rPr>
                <w:sz w:val="16"/>
                <w:szCs w:val="16"/>
                <w:color w:val="auto"/>
              </w:rPr>
            </w:pPr>
          </w:p>
        </w:tc>
      </w:tr>
      <w:tr>
        <w:trPr>
          <w:trHeight w:val="185"/>
        </w:trPr>
        <w:tc>
          <w:tcPr>
            <w:tcW w:w="8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Miscellaneous</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123,030</w:t>
            </w:r>
          </w:p>
        </w:tc>
        <w:tc>
          <w:tcPr>
            <w:tcW w:w="140" w:type="dxa"/>
            <w:vAlign w:val="bottom"/>
            <w:shd w:val="clear" w:color="auto" w:fill="CCEEFF"/>
          </w:tcPr>
          <w:p>
            <w:pPr>
              <w:spacing w:after="0"/>
              <w:rPr>
                <w:sz w:val="16"/>
                <w:szCs w:val="16"/>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Total expenses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3,900,000</w:t>
            </w:r>
          </w:p>
        </w:tc>
        <w:tc>
          <w:tcPr>
            <w:tcW w:w="14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940" w:type="dxa"/>
            <w:vAlign w:val="bottom"/>
            <w:tcBorders>
              <w:bottom w:val="single" w:sz="8" w:color="auto"/>
            </w:tcBorders>
          </w:tcPr>
          <w:p>
            <w:pPr>
              <w:spacing w:after="0"/>
              <w:rPr>
                <w:sz w:val="5"/>
                <w:szCs w:val="5"/>
                <w:color w:val="auto"/>
              </w:rPr>
            </w:pPr>
          </w:p>
        </w:tc>
        <w:tc>
          <w:tcPr>
            <w:tcW w:w="7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Indemnification of Directors and Officers.</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67" w:lineRule="exact"/>
        <w:rPr>
          <w:sz w:val="20"/>
          <w:szCs w:val="20"/>
          <w:color w:val="auto"/>
        </w:rPr>
      </w:pPr>
    </w:p>
    <w:p>
      <w:pPr>
        <w:ind w:right="20"/>
        <w:spacing w:after="0" w:line="308" w:lineRule="auto"/>
        <w:rPr>
          <w:sz w:val="20"/>
          <w:szCs w:val="20"/>
          <w:color w:val="auto"/>
        </w:rPr>
      </w:pPr>
      <w:r>
        <w:rPr>
          <w:rFonts w:ascii="Arial" w:cs="Arial" w:eastAsia="Arial" w:hAnsi="Arial"/>
          <w:sz w:val="13"/>
          <w:szCs w:val="13"/>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7266305"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79" w:name="page280"/>
    <w:bookmarkEnd w:id="279"/>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but in view of all of the circumstances of the case, such person is fairly and reasonably entitled to indemnity for such expenses which the Court of Chancery or such other court shall deem proper.</w:t>
      </w:r>
    </w:p>
    <w:p>
      <w:pPr>
        <w:spacing w:after="0" w:line="151"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Our restated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restated certificate of incorporation provides that we will indemnify any Indemnitee who was or is a party to an action or suit by or in the right of us to procure a judgment in our favour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58" w:lineRule="exact"/>
        <w:rPr>
          <w:sz w:val="20"/>
          <w:szCs w:val="20"/>
          <w:color w:val="auto"/>
        </w:rPr>
      </w:pPr>
    </w:p>
    <w:p>
      <w:pPr>
        <w:ind w:right="140"/>
        <w:spacing w:after="0" w:line="297" w:lineRule="auto"/>
        <w:rPr>
          <w:sz w:val="20"/>
          <w:szCs w:val="20"/>
          <w:color w:val="auto"/>
        </w:rPr>
      </w:pPr>
      <w:r>
        <w:rPr>
          <w:rFonts w:ascii="Arial" w:cs="Arial" w:eastAsia="Arial" w:hAnsi="Arial"/>
          <w:sz w:val="14"/>
          <w:szCs w:val="14"/>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44"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51"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the Securities Act, against certain liabilities.</w:t>
      </w:r>
    </w:p>
    <w:p>
      <w:pPr>
        <w:spacing w:after="0" w:line="124"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Recent Sales of Unregistered Securities.</w:t>
      </w:r>
    </w:p>
    <w:p>
      <w:pPr>
        <w:spacing w:after="0" w:line="202"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Set forth below is information regarding securities issued by us within the past three years. Also included is the consideration received by us for such shares and information relating to the section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280" w:name="page281"/>
    <w:bookmarkEnd w:id="280"/>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the Securities Act, or rule of the Securities and Exchange Commission, under which exemption from registration was claimed.</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(a)  Issuance of Capital Stock.</w:t>
      </w:r>
    </w:p>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From April 7, 2014 to August 14, 2014, the registrant issued an aggregate of 3,211,105 shares of Series D Preferred Stock for aggregate consideration of $14.4 million to accredited investors pursuant to Section 4(a)(2) of the Securities Act and Rule 506 as a transaction not involving a public offering.</w:t>
      </w:r>
    </w:p>
    <w:p>
      <w:pPr>
        <w:spacing w:after="0" w:line="151"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On July 15, 2014, the registrant also issued an aggregate of 1,333,332 shares of Series SRN Preferred Stock for aggregate consideration of $6.0 million to accredited investors pursuant to Section 4(a)(2) of the Securities Act and Rule 506 as a transaction not involving a public offering.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On August 27, 2015, September 3, 2015 and September 17, 2015, the registrant issued an aggregate of 7,269,338 shares of Series E Preferred Stock for aggregate consideration of</w:t>
      </w:r>
    </w:p>
    <w:p>
      <w:pPr>
        <w:spacing w:after="0" w:line="29" w:lineRule="exact"/>
        <w:rPr>
          <w:sz w:val="20"/>
          <w:szCs w:val="20"/>
          <w:color w:val="auto"/>
        </w:rPr>
      </w:pPr>
    </w:p>
    <w:p>
      <w:pPr>
        <w:ind w:right="400"/>
        <w:spacing w:after="0" w:line="275" w:lineRule="auto"/>
        <w:rPr>
          <w:sz w:val="20"/>
          <w:szCs w:val="20"/>
          <w:color w:val="auto"/>
        </w:rPr>
      </w:pPr>
      <w:r>
        <w:rPr>
          <w:rFonts w:ascii="Arial" w:cs="Arial" w:eastAsia="Arial" w:hAnsi="Arial"/>
          <w:sz w:val="15"/>
          <w:szCs w:val="15"/>
          <w:color w:val="auto"/>
        </w:rPr>
        <w:t>$32.7 million to accredited investors and 1,619,550 shares of Series E Preferred upon the cancellation of debt totaling $7.3 million pursuant to Section 4(a)(2) of the Securities Act and Rule 506 as a transaction not involving a public offering.</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(b)  Equity Grants.</w:t>
      </w:r>
    </w:p>
    <w:p>
      <w:pPr>
        <w:spacing w:after="0" w:line="198"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Since December 31, 2012, the registrant granted stock options to purchase an aggregate of 1,056,748 shares of its common stock with exercise prices ranging between $2.77 and $9.36 per share, including stock options that were exercised prior to vesting in exchange for 30,318 shares of restricted stock, and 2,564 shares of restricted common stock to employees, non-employees, and directors in connection with services provided to the registrant by such parties.</w:t>
      </w:r>
    </w:p>
    <w:p>
      <w:pPr>
        <w:spacing w:after="0" w:line="159" w:lineRule="exact"/>
        <w:rPr>
          <w:sz w:val="20"/>
          <w:szCs w:val="20"/>
          <w:color w:val="auto"/>
        </w:rPr>
      </w:pPr>
    </w:p>
    <w:p>
      <w:pPr>
        <w:ind w:right="100"/>
        <w:spacing w:after="0" w:line="319" w:lineRule="auto"/>
        <w:rPr>
          <w:sz w:val="20"/>
          <w:szCs w:val="20"/>
          <w:color w:val="auto"/>
        </w:rPr>
      </w:pPr>
      <w:r>
        <w:rPr>
          <w:rFonts w:ascii="Arial" w:cs="Arial" w:eastAsia="Arial" w:hAnsi="Arial"/>
          <w:sz w:val="14"/>
          <w:szCs w:val="14"/>
          <w:color w:val="auto"/>
        </w:rPr>
        <w:t>In May 2016, the registrant granted stock options to purchase an aggregate of 390,805 shares of common stock, which will become effective in connection with this offering, to some of our executive officers and employees, at an exercise price per share equal to the initial public offering price in this offering in connection with services provided to the registrant.</w:t>
      </w:r>
    </w:p>
    <w:p>
      <w:pPr>
        <w:spacing w:after="0" w:line="128"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The issuances of such stock options, the shares of common stock issuable upon the exercise of such options and such restricted shares of common stock were issued pursuant to written compensatory plans or arrangements with our employees, directors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w:t>
      </w:r>
    </w:p>
    <w:p>
      <w:pPr>
        <w:spacing w:after="0" w:line="125"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(c)</w:t>
      </w:r>
      <w:r>
        <w:rPr>
          <w:sz w:val="20"/>
          <w:szCs w:val="20"/>
          <w:color w:val="auto"/>
        </w:rPr>
        <w:tab/>
      </w:r>
      <w:r>
        <w:rPr>
          <w:rFonts w:ascii="Arial" w:cs="Arial" w:eastAsia="Arial" w:hAnsi="Arial"/>
          <w:sz w:val="13"/>
          <w:szCs w:val="13"/>
          <w:color w:val="auto"/>
        </w:rPr>
        <w:t>Warrants.</w:t>
      </w:r>
    </w:p>
    <w:p>
      <w:pPr>
        <w:spacing w:after="0" w:line="198"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On August 9, 2013 and July 25, 2014, the registrant issued warrants to purchase an aggregate of 66,668 shares of Series D preferred stock to Oxford Finance LLC, or Oxford, and Square 1 Bank pursuant to Section 4(a)(2) of the Securities Act as a transaction not involving a public offering</w:t>
      </w:r>
    </w:p>
    <w:p>
      <w:pPr>
        <w:spacing w:after="0" w:line="151"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On July 24, 2015, the registrant issued warrants to purchase up to 80,820 shares of common stock to accredited investors pursuant to Section 4(a)(2) of the Securities Act and Rule 506 as a transaction not involving a public offering.</w:t>
      </w:r>
    </w:p>
    <w:p>
      <w:pPr>
        <w:spacing w:after="0" w:line="151"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On August 27, 2015, September 3, 2015 and September 17, 2015, the registrant issued warrants to purchase up to an aggregate of 569,791 shares of common stock to accredited investors pursuant to Section 4(a)(2) of the Securities Act and Rule 506 as a transaction not involving a public offering.</w:t>
      </w:r>
    </w:p>
    <w:p>
      <w:pPr>
        <w:spacing w:after="0" w:line="151" w:lineRule="exact"/>
        <w:rPr>
          <w:sz w:val="20"/>
          <w:szCs w:val="20"/>
          <w:color w:val="auto"/>
        </w:rPr>
      </w:pPr>
    </w:p>
    <w:p>
      <w:pPr>
        <w:ind w:right="700"/>
        <w:spacing w:after="0" w:line="282" w:lineRule="auto"/>
        <w:rPr>
          <w:sz w:val="20"/>
          <w:szCs w:val="20"/>
          <w:color w:val="auto"/>
        </w:rPr>
      </w:pPr>
      <w:r>
        <w:rPr>
          <w:rFonts w:ascii="Arial" w:cs="Arial" w:eastAsia="Arial" w:hAnsi="Arial"/>
          <w:sz w:val="15"/>
          <w:szCs w:val="15"/>
          <w:color w:val="auto"/>
        </w:rPr>
        <w:t>On December 31, 2015, the registrant issued warrants to purchase up to an aggregate of 37,978 shares of Series E Preferred Stock to Oxford and Pacific Western Bank pursuant to Section 4(a)(2) of the Securities Act as a transaction not involving a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281" w:name="page282"/>
    <w:bookmarkEnd w:id="281"/>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3"/>
          <w:szCs w:val="13"/>
          <w:b w:val="1"/>
          <w:bCs w:val="1"/>
          <w:color w:val="auto"/>
        </w:rPr>
        <w:t>Exhibits and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(a)  Exhibits.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300" w:type="dxa"/>
            <w:vAlign w:val="bottom"/>
          </w:tcPr>
          <w:p>
            <w:pPr>
              <w:spacing w:after="0"/>
              <w:rPr>
                <w:sz w:val="12"/>
                <w:szCs w:val="12"/>
                <w:color w:val="auto"/>
              </w:rPr>
            </w:pPr>
          </w:p>
        </w:tc>
      </w:tr>
      <w:tr>
        <w:trPr>
          <w:trHeight w:val="149"/>
        </w:trPr>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00" w:type="dxa"/>
            <w:vAlign w:val="bottom"/>
          </w:tcPr>
          <w:p>
            <w:pPr>
              <w:ind w:left="6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82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rPr>
              <w:t>1.1</w:t>
            </w:r>
          </w:p>
        </w:tc>
        <w:tc>
          <w:tcPr>
            <w:tcW w:w="8300" w:type="dxa"/>
            <w:vAlign w:val="bottom"/>
            <w:tcBorders>
              <w:top w:val="single" w:sz="8" w:color="auto"/>
            </w:tcBorders>
          </w:tcPr>
          <w:p>
            <w:pPr>
              <w:ind w:left="60"/>
              <w:spacing w:after="0"/>
              <w:rPr>
                <w:sz w:val="20"/>
                <w:szCs w:val="20"/>
                <w:color w:val="auto"/>
              </w:rPr>
            </w:pPr>
            <w:r>
              <w:rPr>
                <w:rFonts w:ascii="Arial" w:cs="Arial" w:eastAsia="Arial" w:hAnsi="Arial"/>
                <w:sz w:val="15"/>
                <w:szCs w:val="15"/>
                <w:color w:val="auto"/>
              </w:rPr>
              <w:t>Form of Underwriting Agreement</w:t>
            </w:r>
          </w:p>
        </w:tc>
      </w:tr>
      <w:tr>
        <w:trPr>
          <w:trHeight w:val="387"/>
        </w:trPr>
        <w:tc>
          <w:tcPr>
            <w:tcW w:w="840" w:type="dxa"/>
            <w:vAlign w:val="bottom"/>
            <w:gridSpan w:val="2"/>
          </w:tcPr>
          <w:p>
            <w:pPr>
              <w:jc w:val="right"/>
              <w:ind w:right="205"/>
              <w:spacing w:after="0"/>
              <w:rPr>
                <w:sz w:val="20"/>
                <w:szCs w:val="20"/>
                <w:color w:val="auto"/>
              </w:rPr>
            </w:pPr>
            <w:r>
              <w:rPr>
                <w:rFonts w:ascii="Arial" w:cs="Arial" w:eastAsia="Arial" w:hAnsi="Arial"/>
                <w:sz w:val="15"/>
                <w:szCs w:val="15"/>
                <w:color w:val="auto"/>
              </w:rPr>
              <w:t>3.1</w:t>
            </w:r>
          </w:p>
        </w:tc>
        <w:tc>
          <w:tcPr>
            <w:tcW w:w="8300" w:type="dxa"/>
            <w:vAlign w:val="bottom"/>
          </w:tcPr>
          <w:p>
            <w:pPr>
              <w:ind w:left="60"/>
              <w:spacing w:after="0"/>
              <w:rPr>
                <w:sz w:val="20"/>
                <w:szCs w:val="20"/>
                <w:color w:val="auto"/>
              </w:rPr>
            </w:pPr>
            <w:r>
              <w:rPr>
                <w:rFonts w:ascii="Arial" w:cs="Arial" w:eastAsia="Arial" w:hAnsi="Arial"/>
                <w:sz w:val="15"/>
                <w:szCs w:val="15"/>
                <w:color w:val="auto"/>
              </w:rPr>
              <w:t>Certificate of Incorporation of the Registrant, as amended (currently in effect)</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3.2**</w:t>
            </w:r>
          </w:p>
        </w:tc>
        <w:tc>
          <w:tcPr>
            <w:tcW w:w="8300" w:type="dxa"/>
            <w:vAlign w:val="bottom"/>
          </w:tcPr>
          <w:p>
            <w:pPr>
              <w:ind w:left="60"/>
              <w:spacing w:after="0"/>
              <w:rPr>
                <w:sz w:val="20"/>
                <w:szCs w:val="20"/>
                <w:color w:val="auto"/>
              </w:rPr>
            </w:pPr>
            <w:r>
              <w:rPr>
                <w:rFonts w:ascii="Arial" w:cs="Arial" w:eastAsia="Arial" w:hAnsi="Arial"/>
                <w:sz w:val="15"/>
                <w:szCs w:val="15"/>
                <w:color w:val="auto"/>
              </w:rPr>
              <w:t>Bylaws of the Registrant (currently in effect)</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3.3**</w:t>
            </w:r>
          </w:p>
        </w:tc>
        <w:tc>
          <w:tcPr>
            <w:tcW w:w="8300" w:type="dxa"/>
            <w:vAlign w:val="bottom"/>
          </w:tcPr>
          <w:p>
            <w:pPr>
              <w:ind w:left="60"/>
              <w:spacing w:after="0"/>
              <w:rPr>
                <w:sz w:val="20"/>
                <w:szCs w:val="20"/>
                <w:color w:val="auto"/>
              </w:rPr>
            </w:pPr>
            <w:r>
              <w:rPr>
                <w:rFonts w:ascii="Arial" w:cs="Arial" w:eastAsia="Arial" w:hAnsi="Arial"/>
                <w:sz w:val="15"/>
                <w:szCs w:val="15"/>
                <w:color w:val="auto"/>
              </w:rPr>
              <w:t>Form of Restated Certificate of Incorporation of the Registrant (to be effective upon the closing of this offering)</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3.4**</w:t>
            </w:r>
          </w:p>
        </w:tc>
        <w:tc>
          <w:tcPr>
            <w:tcW w:w="8300" w:type="dxa"/>
            <w:vAlign w:val="bottom"/>
          </w:tcPr>
          <w:p>
            <w:pPr>
              <w:ind w:left="60"/>
              <w:spacing w:after="0"/>
              <w:rPr>
                <w:sz w:val="20"/>
                <w:szCs w:val="20"/>
                <w:color w:val="auto"/>
              </w:rPr>
            </w:pPr>
            <w:r>
              <w:rPr>
                <w:rFonts w:ascii="Arial" w:cs="Arial" w:eastAsia="Arial" w:hAnsi="Arial"/>
                <w:sz w:val="15"/>
                <w:szCs w:val="15"/>
                <w:color w:val="auto"/>
              </w:rPr>
              <w:t>Form of Restated Bylaws of the Registrant (to be effective upon the closing of this offering)</w:t>
            </w:r>
          </w:p>
        </w:tc>
      </w:tr>
      <w:tr>
        <w:trPr>
          <w:trHeight w:val="389"/>
        </w:trPr>
        <w:tc>
          <w:tcPr>
            <w:tcW w:w="840" w:type="dxa"/>
            <w:vAlign w:val="bottom"/>
            <w:gridSpan w:val="2"/>
          </w:tcPr>
          <w:p>
            <w:pPr>
              <w:jc w:val="right"/>
              <w:ind w:right="205"/>
              <w:spacing w:after="0"/>
              <w:rPr>
                <w:sz w:val="20"/>
                <w:szCs w:val="20"/>
                <w:color w:val="auto"/>
              </w:rPr>
            </w:pPr>
            <w:r>
              <w:rPr>
                <w:rFonts w:ascii="Arial" w:cs="Arial" w:eastAsia="Arial" w:hAnsi="Arial"/>
                <w:sz w:val="15"/>
                <w:szCs w:val="15"/>
                <w:color w:val="auto"/>
              </w:rPr>
              <w:t>4.1</w:t>
            </w:r>
          </w:p>
        </w:tc>
        <w:tc>
          <w:tcPr>
            <w:tcW w:w="8300" w:type="dxa"/>
            <w:vAlign w:val="bottom"/>
          </w:tcPr>
          <w:p>
            <w:pPr>
              <w:ind w:left="60"/>
              <w:spacing w:after="0"/>
              <w:rPr>
                <w:sz w:val="20"/>
                <w:szCs w:val="20"/>
                <w:color w:val="auto"/>
              </w:rPr>
            </w:pPr>
            <w:r>
              <w:rPr>
                <w:rFonts w:ascii="Arial" w:cs="Arial" w:eastAsia="Arial" w:hAnsi="Arial"/>
                <w:sz w:val="15"/>
                <w:szCs w:val="15"/>
                <w:color w:val="auto"/>
                <w:w w:val="91"/>
              </w:rPr>
              <w:t>Fifth Amended and Restated Investors' Rights Agreement, dated as of August 26, 2015, by and between the Registrant and each of the</w:t>
            </w: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w w:val="91"/>
              </w:rPr>
              <w:t>stockholders party thereto, as amended by Amendment No. 1 to Fifth Amended and Restated Investors' Rights Agreement, dated as of</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June 7, 2016</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4.2**</w:t>
            </w:r>
          </w:p>
        </w:tc>
        <w:tc>
          <w:tcPr>
            <w:tcW w:w="8300" w:type="dxa"/>
            <w:vAlign w:val="bottom"/>
          </w:tcPr>
          <w:p>
            <w:pPr>
              <w:ind w:left="60"/>
              <w:spacing w:after="0"/>
              <w:rPr>
                <w:sz w:val="20"/>
                <w:szCs w:val="20"/>
                <w:color w:val="auto"/>
              </w:rPr>
            </w:pPr>
            <w:r>
              <w:rPr>
                <w:rFonts w:ascii="Arial" w:cs="Arial" w:eastAsia="Arial" w:hAnsi="Arial"/>
                <w:sz w:val="15"/>
                <w:szCs w:val="15"/>
                <w:color w:val="auto"/>
              </w:rPr>
              <w:t>Specimen Stock Certificate evidencing the shares of common stock</w:t>
            </w:r>
          </w:p>
        </w:tc>
      </w:tr>
      <w:tr>
        <w:trPr>
          <w:trHeight w:val="389"/>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4.3**</w:t>
            </w:r>
          </w:p>
        </w:tc>
        <w:tc>
          <w:tcPr>
            <w:tcW w:w="8300" w:type="dxa"/>
            <w:vAlign w:val="bottom"/>
          </w:tcPr>
          <w:p>
            <w:pPr>
              <w:ind w:left="60"/>
              <w:spacing w:after="0"/>
              <w:rPr>
                <w:sz w:val="20"/>
                <w:szCs w:val="20"/>
                <w:color w:val="auto"/>
              </w:rPr>
            </w:pPr>
            <w:r>
              <w:rPr>
                <w:rFonts w:ascii="Arial" w:cs="Arial" w:eastAsia="Arial" w:hAnsi="Arial"/>
                <w:sz w:val="15"/>
                <w:szCs w:val="15"/>
                <w:color w:val="auto"/>
                <w:w w:val="92"/>
              </w:rPr>
              <w:t>Form of Warrant to Purchase Common Stock, dated July 24, 2015, issued by the Registrant to Investors in the Registrant's April 2015</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Convertible Notes Financing, together with a schedule of warrantholders</w:t>
            </w:r>
          </w:p>
        </w:tc>
      </w:tr>
      <w:tr>
        <w:trPr>
          <w:trHeight w:val="389"/>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4.4**</w:t>
            </w:r>
          </w:p>
        </w:tc>
        <w:tc>
          <w:tcPr>
            <w:tcW w:w="8300" w:type="dxa"/>
            <w:vAlign w:val="bottom"/>
          </w:tcPr>
          <w:p>
            <w:pPr>
              <w:ind w:left="60"/>
              <w:spacing w:after="0"/>
              <w:rPr>
                <w:sz w:val="20"/>
                <w:szCs w:val="20"/>
                <w:color w:val="auto"/>
              </w:rPr>
            </w:pPr>
            <w:r>
              <w:rPr>
                <w:rFonts w:ascii="Arial" w:cs="Arial" w:eastAsia="Arial" w:hAnsi="Arial"/>
                <w:sz w:val="15"/>
                <w:szCs w:val="15"/>
                <w:color w:val="auto"/>
                <w:w w:val="96"/>
              </w:rPr>
              <w:t>Form of Warrant to Purchase Common Stock, dated August 27, 2015, September 3, 2015 or September 17, 2015, issued by the</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Registrant to Investors in the Registrant's Series E Preferred Stock Financing, together with a schedule of warrantholders</w:t>
            </w:r>
          </w:p>
        </w:tc>
      </w:tr>
      <w:tr>
        <w:trPr>
          <w:trHeight w:val="389"/>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4.5**</w:t>
            </w:r>
          </w:p>
        </w:tc>
        <w:tc>
          <w:tcPr>
            <w:tcW w:w="8300" w:type="dxa"/>
            <w:vAlign w:val="bottom"/>
          </w:tcPr>
          <w:p>
            <w:pPr>
              <w:ind w:left="60"/>
              <w:spacing w:after="0"/>
              <w:rPr>
                <w:sz w:val="20"/>
                <w:szCs w:val="20"/>
                <w:color w:val="auto"/>
              </w:rPr>
            </w:pPr>
            <w:r>
              <w:rPr>
                <w:rFonts w:ascii="Arial" w:cs="Arial" w:eastAsia="Arial" w:hAnsi="Arial"/>
                <w:sz w:val="15"/>
                <w:szCs w:val="15"/>
                <w:color w:val="auto"/>
                <w:w w:val="93"/>
              </w:rPr>
              <w:t>Form of Warrant to Purchase Shares of Series D Preferred Stock, dated August 9, 2013 or July 25, 2014, issued by the Registrant to</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Oxford Finance LLC and Square One Bank, together with a schedule of warrantholders</w:t>
            </w:r>
          </w:p>
        </w:tc>
      </w:tr>
      <w:tr>
        <w:trPr>
          <w:trHeight w:val="389"/>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4.6**</w:t>
            </w:r>
          </w:p>
        </w:tc>
        <w:tc>
          <w:tcPr>
            <w:tcW w:w="8300" w:type="dxa"/>
            <w:vAlign w:val="bottom"/>
          </w:tcPr>
          <w:p>
            <w:pPr>
              <w:ind w:left="60"/>
              <w:spacing w:after="0"/>
              <w:rPr>
                <w:sz w:val="20"/>
                <w:szCs w:val="20"/>
                <w:color w:val="auto"/>
              </w:rPr>
            </w:pPr>
            <w:r>
              <w:rPr>
                <w:rFonts w:ascii="Arial" w:cs="Arial" w:eastAsia="Arial" w:hAnsi="Arial"/>
                <w:sz w:val="15"/>
                <w:szCs w:val="15"/>
                <w:color w:val="auto"/>
                <w:w w:val="96"/>
              </w:rPr>
              <w:t>Form of Warrant to Purchase Shares of Series E Preferred Stock, dated December 31, 2015, issued by the Registrant to Oxford</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Finance LLC and Square One Bank, together with a schedule of warrantholders</w:t>
            </w:r>
          </w:p>
        </w:tc>
      </w:tr>
      <w:tr>
        <w:trPr>
          <w:trHeight w:val="394"/>
        </w:trPr>
        <w:tc>
          <w:tcPr>
            <w:tcW w:w="840" w:type="dxa"/>
            <w:vAlign w:val="bottom"/>
            <w:gridSpan w:val="2"/>
          </w:tcPr>
          <w:p>
            <w:pPr>
              <w:jc w:val="right"/>
              <w:ind w:right="205"/>
              <w:spacing w:after="0"/>
              <w:rPr>
                <w:sz w:val="20"/>
                <w:szCs w:val="20"/>
                <w:color w:val="auto"/>
              </w:rPr>
            </w:pPr>
            <w:r>
              <w:rPr>
                <w:rFonts w:ascii="Arial" w:cs="Arial" w:eastAsia="Arial" w:hAnsi="Arial"/>
                <w:sz w:val="15"/>
                <w:szCs w:val="15"/>
                <w:color w:val="auto"/>
              </w:rPr>
              <w:t>5.1</w:t>
            </w:r>
          </w:p>
        </w:tc>
        <w:tc>
          <w:tcPr>
            <w:tcW w:w="8300" w:type="dxa"/>
            <w:vAlign w:val="bottom"/>
          </w:tcPr>
          <w:p>
            <w:pPr>
              <w:ind w:left="60"/>
              <w:spacing w:after="0"/>
              <w:rPr>
                <w:sz w:val="20"/>
                <w:szCs w:val="20"/>
                <w:color w:val="auto"/>
              </w:rPr>
            </w:pPr>
            <w:r>
              <w:rPr>
                <w:rFonts w:ascii="Arial" w:cs="Arial" w:eastAsia="Arial" w:hAnsi="Arial"/>
                <w:sz w:val="15"/>
                <w:szCs w:val="15"/>
                <w:color w:val="auto"/>
              </w:rPr>
              <w:t>Opinion of Latham &amp; Watkins LLP</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10.1**</w:t>
            </w:r>
          </w:p>
        </w:tc>
        <w:tc>
          <w:tcPr>
            <w:tcW w:w="8300" w:type="dxa"/>
            <w:vAlign w:val="bottom"/>
          </w:tcPr>
          <w:p>
            <w:pPr>
              <w:ind w:left="60"/>
              <w:spacing w:after="0"/>
              <w:rPr>
                <w:sz w:val="20"/>
                <w:szCs w:val="20"/>
                <w:color w:val="auto"/>
              </w:rPr>
            </w:pPr>
            <w:r>
              <w:rPr>
                <w:rFonts w:ascii="Arial" w:cs="Arial" w:eastAsia="Arial" w:hAnsi="Arial"/>
                <w:sz w:val="15"/>
                <w:szCs w:val="15"/>
                <w:color w:val="auto"/>
              </w:rPr>
              <w:t>2008 Stock Incentive Plan, as amended, and form of option agreements thereunder</w:t>
            </w:r>
          </w:p>
        </w:tc>
      </w:tr>
      <w:tr>
        <w:trPr>
          <w:trHeight w:val="394"/>
        </w:trPr>
        <w:tc>
          <w:tcPr>
            <w:tcW w:w="840" w:type="dxa"/>
            <w:vAlign w:val="bottom"/>
            <w:gridSpan w:val="2"/>
          </w:tcPr>
          <w:p>
            <w:pPr>
              <w:jc w:val="right"/>
              <w:ind w:right="205"/>
              <w:spacing w:after="0"/>
              <w:rPr>
                <w:sz w:val="20"/>
                <w:szCs w:val="20"/>
                <w:color w:val="auto"/>
              </w:rPr>
            </w:pPr>
            <w:r>
              <w:rPr>
                <w:rFonts w:ascii="Arial" w:cs="Arial" w:eastAsia="Arial" w:hAnsi="Arial"/>
                <w:sz w:val="15"/>
                <w:szCs w:val="15"/>
                <w:color w:val="auto"/>
              </w:rPr>
              <w:t>10.2</w:t>
            </w:r>
          </w:p>
        </w:tc>
        <w:tc>
          <w:tcPr>
            <w:tcW w:w="8300" w:type="dxa"/>
            <w:vAlign w:val="bottom"/>
          </w:tcPr>
          <w:p>
            <w:pPr>
              <w:ind w:left="60"/>
              <w:spacing w:after="0"/>
              <w:rPr>
                <w:sz w:val="20"/>
                <w:szCs w:val="20"/>
                <w:color w:val="auto"/>
              </w:rPr>
            </w:pPr>
            <w:r>
              <w:rPr>
                <w:rFonts w:ascii="Arial" w:cs="Arial" w:eastAsia="Arial" w:hAnsi="Arial"/>
                <w:sz w:val="15"/>
                <w:szCs w:val="15"/>
                <w:color w:val="auto"/>
              </w:rPr>
              <w:t>2016 Incentive Award Plan and form of award agreements thereunder</w:t>
            </w:r>
          </w:p>
        </w:tc>
      </w:tr>
      <w:tr>
        <w:trPr>
          <w:trHeight w:val="394"/>
        </w:trPr>
        <w:tc>
          <w:tcPr>
            <w:tcW w:w="840" w:type="dxa"/>
            <w:vAlign w:val="bottom"/>
            <w:gridSpan w:val="2"/>
          </w:tcPr>
          <w:p>
            <w:pPr>
              <w:jc w:val="right"/>
              <w:ind w:right="205"/>
              <w:spacing w:after="0"/>
              <w:rPr>
                <w:sz w:val="20"/>
                <w:szCs w:val="20"/>
                <w:color w:val="auto"/>
              </w:rPr>
            </w:pPr>
            <w:r>
              <w:rPr>
                <w:rFonts w:ascii="Arial" w:cs="Arial" w:eastAsia="Arial" w:hAnsi="Arial"/>
                <w:sz w:val="15"/>
                <w:szCs w:val="15"/>
                <w:color w:val="auto"/>
              </w:rPr>
              <w:t>10.3</w:t>
            </w:r>
          </w:p>
        </w:tc>
        <w:tc>
          <w:tcPr>
            <w:tcW w:w="8300" w:type="dxa"/>
            <w:vAlign w:val="bottom"/>
          </w:tcPr>
          <w:p>
            <w:pPr>
              <w:ind w:left="60"/>
              <w:spacing w:after="0"/>
              <w:rPr>
                <w:sz w:val="20"/>
                <w:szCs w:val="20"/>
                <w:color w:val="auto"/>
              </w:rPr>
            </w:pPr>
            <w:r>
              <w:rPr>
                <w:rFonts w:ascii="Arial" w:cs="Arial" w:eastAsia="Arial" w:hAnsi="Arial"/>
                <w:sz w:val="15"/>
                <w:szCs w:val="15"/>
                <w:color w:val="auto"/>
              </w:rPr>
              <w:t>2016 Employee Stock Purchase Plan</w:t>
            </w:r>
          </w:p>
        </w:tc>
      </w:tr>
      <w:tr>
        <w:trPr>
          <w:trHeight w:val="394"/>
        </w:trPr>
        <w:tc>
          <w:tcPr>
            <w:tcW w:w="840" w:type="dxa"/>
            <w:vAlign w:val="bottom"/>
            <w:gridSpan w:val="2"/>
          </w:tcPr>
          <w:p>
            <w:pPr>
              <w:jc w:val="right"/>
              <w:ind w:right="205"/>
              <w:spacing w:after="0"/>
              <w:rPr>
                <w:sz w:val="20"/>
                <w:szCs w:val="20"/>
                <w:color w:val="auto"/>
              </w:rPr>
            </w:pPr>
            <w:r>
              <w:rPr>
                <w:rFonts w:ascii="Arial" w:cs="Arial" w:eastAsia="Arial" w:hAnsi="Arial"/>
                <w:sz w:val="15"/>
                <w:szCs w:val="15"/>
                <w:color w:val="auto"/>
              </w:rPr>
              <w:t>10.4</w:t>
            </w:r>
          </w:p>
        </w:tc>
        <w:tc>
          <w:tcPr>
            <w:tcW w:w="8300" w:type="dxa"/>
            <w:vAlign w:val="bottom"/>
          </w:tcPr>
          <w:p>
            <w:pPr>
              <w:ind w:left="60"/>
              <w:spacing w:after="0"/>
              <w:rPr>
                <w:sz w:val="20"/>
                <w:szCs w:val="20"/>
                <w:color w:val="auto"/>
              </w:rPr>
            </w:pPr>
            <w:r>
              <w:rPr>
                <w:rFonts w:ascii="Arial" w:cs="Arial" w:eastAsia="Arial" w:hAnsi="Arial"/>
                <w:sz w:val="15"/>
                <w:szCs w:val="15"/>
                <w:color w:val="auto"/>
              </w:rPr>
              <w:t>Non-Employee Director Compensation Program</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10.5**</w:t>
            </w:r>
          </w:p>
        </w:tc>
        <w:tc>
          <w:tcPr>
            <w:tcW w:w="8300" w:type="dxa"/>
            <w:vAlign w:val="bottom"/>
          </w:tcPr>
          <w:p>
            <w:pPr>
              <w:ind w:left="60"/>
              <w:spacing w:after="0"/>
              <w:rPr>
                <w:sz w:val="20"/>
                <w:szCs w:val="20"/>
                <w:color w:val="auto"/>
              </w:rPr>
            </w:pPr>
            <w:r>
              <w:rPr>
                <w:rFonts w:ascii="Arial" w:cs="Arial" w:eastAsia="Arial" w:hAnsi="Arial"/>
                <w:sz w:val="15"/>
                <w:szCs w:val="15"/>
                <w:color w:val="auto"/>
              </w:rPr>
              <w:t>Form of Indemnification Agreement for Directors and Officers</w:t>
            </w:r>
          </w:p>
        </w:tc>
      </w:tr>
      <w:tr>
        <w:trPr>
          <w:trHeight w:val="389"/>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10.6**</w:t>
            </w:r>
          </w:p>
        </w:tc>
        <w:tc>
          <w:tcPr>
            <w:tcW w:w="8300" w:type="dxa"/>
            <w:vAlign w:val="bottom"/>
          </w:tcPr>
          <w:p>
            <w:pPr>
              <w:ind w:left="60"/>
              <w:spacing w:after="0"/>
              <w:rPr>
                <w:sz w:val="20"/>
                <w:szCs w:val="20"/>
                <w:color w:val="auto"/>
              </w:rPr>
            </w:pPr>
            <w:r>
              <w:rPr>
                <w:rFonts w:ascii="Arial" w:cs="Arial" w:eastAsia="Arial" w:hAnsi="Arial"/>
                <w:sz w:val="15"/>
                <w:szCs w:val="15"/>
                <w:color w:val="auto"/>
                <w:w w:val="97"/>
              </w:rPr>
              <w:t>Amended and Restated Loan and Security Agreement, dated as of December 31, 2015, by and between the Registrant, Oxford</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Finance LLC and Pacific Western Bank</w:t>
            </w:r>
          </w:p>
        </w:tc>
      </w:tr>
      <w:tr>
        <w:trPr>
          <w:trHeight w:val="389"/>
        </w:trPr>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10.7(a)†**</w:t>
            </w:r>
          </w:p>
        </w:tc>
        <w:tc>
          <w:tcPr>
            <w:tcW w:w="8300" w:type="dxa"/>
            <w:vAlign w:val="bottom"/>
          </w:tcPr>
          <w:p>
            <w:pPr>
              <w:ind w:left="60"/>
              <w:spacing w:after="0"/>
              <w:rPr>
                <w:sz w:val="20"/>
                <w:szCs w:val="20"/>
                <w:color w:val="auto"/>
              </w:rPr>
            </w:pPr>
            <w:r>
              <w:rPr>
                <w:rFonts w:ascii="Arial" w:cs="Arial" w:eastAsia="Arial" w:hAnsi="Arial"/>
                <w:sz w:val="15"/>
                <w:szCs w:val="15"/>
                <w:color w:val="auto"/>
                <w:w w:val="90"/>
              </w:rPr>
              <w:t>Exclusive Patent License Agreement, dated as of November 25, 2008, by and between the Registrant and the Massachusetts Institute of</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Technology</w:t>
            </w:r>
          </w:p>
        </w:tc>
      </w:tr>
      <w:tr>
        <w:trPr>
          <w:trHeight w:val="389"/>
        </w:trPr>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10.7(b)†**</w:t>
            </w:r>
          </w:p>
        </w:tc>
        <w:tc>
          <w:tcPr>
            <w:tcW w:w="8300" w:type="dxa"/>
            <w:vAlign w:val="bottom"/>
          </w:tcPr>
          <w:p>
            <w:pPr>
              <w:ind w:left="60"/>
              <w:spacing w:after="0"/>
              <w:rPr>
                <w:sz w:val="20"/>
                <w:szCs w:val="20"/>
                <w:color w:val="auto"/>
              </w:rPr>
            </w:pPr>
            <w:r>
              <w:rPr>
                <w:rFonts w:ascii="Arial" w:cs="Arial" w:eastAsia="Arial" w:hAnsi="Arial"/>
                <w:sz w:val="15"/>
                <w:szCs w:val="15"/>
                <w:color w:val="auto"/>
                <w:w w:val="96"/>
              </w:rPr>
              <w:t>First Amendment to Exclusive Patent License Agreement, dated as of January 12, 2010, by and between the Registrant and the</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Massachusetts Institute of Technology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6305"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28" w:right="1379" w:bottom="1440" w:gutter="0" w:footer="0" w:header="0"/>
        </w:sectPr>
      </w:pPr>
    </w:p>
    <w:bookmarkStart w:id="282" w:name="page283"/>
    <w:bookmarkEnd w:id="282"/>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4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8300" w:type="dxa"/>
            <w:vAlign w:val="bottom"/>
          </w:tcPr>
          <w:p>
            <w:pPr>
              <w:spacing w:after="0"/>
              <w:rPr>
                <w:sz w:val="12"/>
                <w:szCs w:val="12"/>
                <w:color w:val="auto"/>
              </w:rPr>
            </w:pPr>
          </w:p>
        </w:tc>
      </w:tr>
      <w:tr>
        <w:trPr>
          <w:trHeight w:val="149"/>
        </w:trPr>
        <w:tc>
          <w:tcPr>
            <w:tcW w:w="8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83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840" w:type="dxa"/>
            <w:vAlign w:val="bottom"/>
          </w:tcPr>
          <w:p>
            <w:pPr>
              <w:jc w:val="right"/>
              <w:spacing w:after="0"/>
              <w:rPr>
                <w:sz w:val="20"/>
                <w:szCs w:val="20"/>
                <w:color w:val="auto"/>
              </w:rPr>
            </w:pPr>
            <w:r>
              <w:rPr>
                <w:rFonts w:ascii="Arial" w:cs="Arial" w:eastAsia="Arial" w:hAnsi="Arial"/>
                <w:sz w:val="15"/>
                <w:szCs w:val="15"/>
                <w:color w:val="auto"/>
              </w:rPr>
              <w:t>10.7(c)†**</w:t>
            </w:r>
          </w:p>
        </w:tc>
        <w:tc>
          <w:tcPr>
            <w:tcW w:w="8300" w:type="dxa"/>
            <w:vAlign w:val="bottom"/>
          </w:tcPr>
          <w:p>
            <w:pPr>
              <w:ind w:left="60"/>
              <w:spacing w:after="0"/>
              <w:rPr>
                <w:sz w:val="20"/>
                <w:szCs w:val="20"/>
                <w:color w:val="auto"/>
              </w:rPr>
            </w:pPr>
            <w:r>
              <w:rPr>
                <w:rFonts w:ascii="Arial" w:cs="Arial" w:eastAsia="Arial" w:hAnsi="Arial"/>
                <w:sz w:val="15"/>
                <w:szCs w:val="15"/>
                <w:color w:val="auto"/>
                <w:w w:val="93"/>
              </w:rPr>
              <w:t>Letter Agreement, dated as of November 27, 2012, by and among the Registrant, Massachusetts Institute of Technology and Sanofi</w:t>
            </w:r>
          </w:p>
        </w:tc>
      </w:tr>
      <w:tr>
        <w:trPr>
          <w:trHeight w:val="387"/>
        </w:trPr>
        <w:tc>
          <w:tcPr>
            <w:tcW w:w="840" w:type="dxa"/>
            <w:vAlign w:val="bottom"/>
          </w:tcPr>
          <w:p>
            <w:pPr>
              <w:jc w:val="right"/>
              <w:spacing w:after="0"/>
              <w:rPr>
                <w:sz w:val="20"/>
                <w:szCs w:val="20"/>
                <w:color w:val="auto"/>
              </w:rPr>
            </w:pPr>
            <w:r>
              <w:rPr>
                <w:rFonts w:ascii="Arial" w:cs="Arial" w:eastAsia="Arial" w:hAnsi="Arial"/>
                <w:sz w:val="15"/>
                <w:szCs w:val="15"/>
                <w:color w:val="auto"/>
              </w:rPr>
              <w:t>10.7(d)†**</w:t>
            </w:r>
          </w:p>
        </w:tc>
        <w:tc>
          <w:tcPr>
            <w:tcW w:w="8300" w:type="dxa"/>
            <w:vAlign w:val="bottom"/>
          </w:tcPr>
          <w:p>
            <w:pPr>
              <w:ind w:left="60"/>
              <w:spacing w:after="0"/>
              <w:rPr>
                <w:sz w:val="20"/>
                <w:szCs w:val="20"/>
                <w:color w:val="auto"/>
              </w:rPr>
            </w:pPr>
            <w:r>
              <w:rPr>
                <w:rFonts w:ascii="Arial" w:cs="Arial" w:eastAsia="Arial" w:hAnsi="Arial"/>
                <w:sz w:val="15"/>
                <w:szCs w:val="15"/>
                <w:color w:val="auto"/>
                <w:w w:val="94"/>
              </w:rPr>
              <w:t>Letter Amendment, dated as of November 27, 2012, by and between the Registrant and the Massachusetts Institute of Technology</w:t>
            </w:r>
          </w:p>
        </w:tc>
      </w:tr>
      <w:tr>
        <w:trPr>
          <w:trHeight w:val="389"/>
        </w:trPr>
        <w:tc>
          <w:tcPr>
            <w:tcW w:w="840" w:type="dxa"/>
            <w:vAlign w:val="bottom"/>
          </w:tcPr>
          <w:p>
            <w:pPr>
              <w:jc w:val="right"/>
              <w:spacing w:after="0"/>
              <w:rPr>
                <w:sz w:val="20"/>
                <w:szCs w:val="20"/>
                <w:color w:val="auto"/>
              </w:rPr>
            </w:pPr>
            <w:r>
              <w:rPr>
                <w:rFonts w:ascii="Arial" w:cs="Arial" w:eastAsia="Arial" w:hAnsi="Arial"/>
                <w:sz w:val="15"/>
                <w:szCs w:val="15"/>
                <w:color w:val="auto"/>
              </w:rPr>
              <w:t>10.7(e)†**</w:t>
            </w:r>
          </w:p>
        </w:tc>
        <w:tc>
          <w:tcPr>
            <w:tcW w:w="8300" w:type="dxa"/>
            <w:vAlign w:val="bottom"/>
          </w:tcPr>
          <w:p>
            <w:pPr>
              <w:ind w:left="60"/>
              <w:spacing w:after="0"/>
              <w:rPr>
                <w:sz w:val="20"/>
                <w:szCs w:val="20"/>
                <w:color w:val="auto"/>
              </w:rPr>
            </w:pPr>
            <w:r>
              <w:rPr>
                <w:rFonts w:ascii="Arial" w:cs="Arial" w:eastAsia="Arial" w:hAnsi="Arial"/>
                <w:sz w:val="15"/>
                <w:szCs w:val="15"/>
                <w:color w:val="auto"/>
                <w:w w:val="95"/>
              </w:rPr>
              <w:t>Second Amendment to Exclusive Patent License Agreement, dated as of August 29, 2013, by and between the Registrant and the</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Massachusetts Institute of Technology</w:t>
            </w:r>
          </w:p>
        </w:tc>
      </w:tr>
      <w:tr>
        <w:trPr>
          <w:trHeight w:val="394"/>
        </w:trPr>
        <w:tc>
          <w:tcPr>
            <w:tcW w:w="840" w:type="dxa"/>
            <w:vAlign w:val="bottom"/>
          </w:tcPr>
          <w:p>
            <w:pPr>
              <w:jc w:val="right"/>
              <w:spacing w:after="0"/>
              <w:rPr>
                <w:sz w:val="20"/>
                <w:szCs w:val="20"/>
                <w:color w:val="auto"/>
              </w:rPr>
            </w:pPr>
            <w:r>
              <w:rPr>
                <w:rFonts w:ascii="Arial" w:cs="Arial" w:eastAsia="Arial" w:hAnsi="Arial"/>
                <w:sz w:val="15"/>
                <w:szCs w:val="15"/>
                <w:color w:val="auto"/>
              </w:rPr>
              <w:t>10.8(a)†**</w:t>
            </w:r>
          </w:p>
        </w:tc>
        <w:tc>
          <w:tcPr>
            <w:tcW w:w="8300" w:type="dxa"/>
            <w:vAlign w:val="bottom"/>
          </w:tcPr>
          <w:p>
            <w:pPr>
              <w:ind w:left="60"/>
              <w:spacing w:after="0"/>
              <w:rPr>
                <w:sz w:val="20"/>
                <w:szCs w:val="20"/>
                <w:color w:val="auto"/>
              </w:rPr>
            </w:pPr>
            <w:r>
              <w:rPr>
                <w:rFonts w:ascii="Arial" w:cs="Arial" w:eastAsia="Arial" w:hAnsi="Arial"/>
                <w:sz w:val="15"/>
                <w:szCs w:val="15"/>
                <w:color w:val="auto"/>
                <w:w w:val="99"/>
              </w:rPr>
              <w:t>License and Research Collaboration Agreement, dated as of November 27, 2012, by and between the Registrant and Sanofi</w:t>
            </w:r>
          </w:p>
        </w:tc>
      </w:tr>
      <w:tr>
        <w:trPr>
          <w:trHeight w:val="389"/>
        </w:trPr>
        <w:tc>
          <w:tcPr>
            <w:tcW w:w="840" w:type="dxa"/>
            <w:vAlign w:val="bottom"/>
          </w:tcPr>
          <w:p>
            <w:pPr>
              <w:jc w:val="right"/>
              <w:spacing w:after="0"/>
              <w:rPr>
                <w:sz w:val="20"/>
                <w:szCs w:val="20"/>
                <w:color w:val="auto"/>
              </w:rPr>
            </w:pPr>
            <w:r>
              <w:rPr>
                <w:rFonts w:ascii="Arial" w:cs="Arial" w:eastAsia="Arial" w:hAnsi="Arial"/>
                <w:sz w:val="15"/>
                <w:szCs w:val="15"/>
                <w:color w:val="auto"/>
              </w:rPr>
              <w:t>10.8(b)†**</w:t>
            </w:r>
          </w:p>
        </w:tc>
        <w:tc>
          <w:tcPr>
            <w:tcW w:w="8300" w:type="dxa"/>
            <w:vAlign w:val="bottom"/>
          </w:tcPr>
          <w:p>
            <w:pPr>
              <w:ind w:left="60"/>
              <w:spacing w:after="0"/>
              <w:rPr>
                <w:sz w:val="20"/>
                <w:szCs w:val="20"/>
                <w:color w:val="auto"/>
              </w:rPr>
            </w:pPr>
            <w:r>
              <w:rPr>
                <w:rFonts w:ascii="Arial" w:cs="Arial" w:eastAsia="Arial" w:hAnsi="Arial"/>
                <w:sz w:val="15"/>
                <w:szCs w:val="15"/>
                <w:color w:val="auto"/>
                <w:w w:val="95"/>
              </w:rPr>
              <w:t>Supplemental Agreement No. 1 to License and Research Collaboration Agreement, dated as of May 7, 2015, by and between the</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Registrant and Sanofi</w:t>
            </w:r>
          </w:p>
        </w:tc>
      </w:tr>
      <w:tr>
        <w:trPr>
          <w:trHeight w:val="394"/>
        </w:trPr>
        <w:tc>
          <w:tcPr>
            <w:tcW w:w="840" w:type="dxa"/>
            <w:vAlign w:val="bottom"/>
          </w:tcPr>
          <w:p>
            <w:pPr>
              <w:jc w:val="right"/>
              <w:spacing w:after="0"/>
              <w:rPr>
                <w:sz w:val="20"/>
                <w:szCs w:val="20"/>
                <w:color w:val="auto"/>
              </w:rPr>
            </w:pPr>
            <w:r>
              <w:rPr>
                <w:rFonts w:ascii="Arial" w:cs="Arial" w:eastAsia="Arial" w:hAnsi="Arial"/>
                <w:sz w:val="15"/>
                <w:szCs w:val="15"/>
                <w:color w:val="auto"/>
              </w:rPr>
              <w:t>10.9†**</w:t>
            </w:r>
          </w:p>
        </w:tc>
        <w:tc>
          <w:tcPr>
            <w:tcW w:w="8300" w:type="dxa"/>
            <w:vAlign w:val="bottom"/>
          </w:tcPr>
          <w:p>
            <w:pPr>
              <w:ind w:left="60"/>
              <w:spacing w:after="0"/>
              <w:rPr>
                <w:sz w:val="20"/>
                <w:szCs w:val="20"/>
                <w:color w:val="auto"/>
              </w:rPr>
            </w:pPr>
            <w:r>
              <w:rPr>
                <w:rFonts w:ascii="Arial" w:cs="Arial" w:eastAsia="Arial" w:hAnsi="Arial"/>
                <w:sz w:val="15"/>
                <w:szCs w:val="15"/>
                <w:color w:val="auto"/>
                <w:w w:val="96"/>
              </w:rPr>
              <w:t>License Agreement, dated as of May 12, 2014, by and between the Registrant and Shenyang Sunshine Pharmaceutical Co., Ltd.</w:t>
            </w:r>
          </w:p>
        </w:tc>
      </w:tr>
      <w:tr>
        <w:trPr>
          <w:trHeight w:val="389"/>
        </w:trPr>
        <w:tc>
          <w:tcPr>
            <w:tcW w:w="840" w:type="dxa"/>
            <w:vAlign w:val="bottom"/>
          </w:tcPr>
          <w:p>
            <w:pPr>
              <w:ind w:left="220"/>
              <w:spacing w:after="0"/>
              <w:rPr>
                <w:sz w:val="20"/>
                <w:szCs w:val="20"/>
                <w:color w:val="auto"/>
              </w:rPr>
            </w:pPr>
            <w:r>
              <w:rPr>
                <w:rFonts w:ascii="Arial" w:cs="Arial" w:eastAsia="Arial" w:hAnsi="Arial"/>
                <w:sz w:val="15"/>
                <w:szCs w:val="15"/>
                <w:color w:val="auto"/>
              </w:rPr>
              <w:t>10.10†**</w:t>
            </w:r>
          </w:p>
        </w:tc>
        <w:tc>
          <w:tcPr>
            <w:tcW w:w="8300" w:type="dxa"/>
            <w:vAlign w:val="bottom"/>
          </w:tcPr>
          <w:p>
            <w:pPr>
              <w:ind w:left="60"/>
              <w:spacing w:after="0"/>
              <w:rPr>
                <w:sz w:val="20"/>
                <w:szCs w:val="20"/>
                <w:color w:val="auto"/>
              </w:rPr>
            </w:pPr>
            <w:r>
              <w:rPr>
                <w:rFonts w:ascii="Arial" w:cs="Arial" w:eastAsia="Arial" w:hAnsi="Arial"/>
                <w:sz w:val="15"/>
                <w:szCs w:val="15"/>
                <w:color w:val="auto"/>
              </w:rPr>
              <w:t>Manufacturing Services Agreement, dated as of August 1, 2014, by and between the Registrant and Shenyang Sunshine</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Pharmaceutical Co., Ltd.</w:t>
            </w:r>
          </w:p>
        </w:tc>
      </w:tr>
      <w:tr>
        <w:trPr>
          <w:trHeight w:val="389"/>
        </w:trPr>
        <w:tc>
          <w:tcPr>
            <w:tcW w:w="840" w:type="dxa"/>
            <w:vAlign w:val="bottom"/>
          </w:tcPr>
          <w:p>
            <w:pPr>
              <w:ind w:left="220"/>
              <w:spacing w:after="0"/>
              <w:rPr>
                <w:sz w:val="20"/>
                <w:szCs w:val="20"/>
                <w:color w:val="auto"/>
              </w:rPr>
            </w:pPr>
            <w:r>
              <w:rPr>
                <w:rFonts w:ascii="Arial" w:cs="Arial" w:eastAsia="Arial" w:hAnsi="Arial"/>
                <w:sz w:val="15"/>
                <w:szCs w:val="15"/>
                <w:color w:val="auto"/>
              </w:rPr>
              <w:t>10.11†**</w:t>
            </w:r>
          </w:p>
        </w:tc>
        <w:tc>
          <w:tcPr>
            <w:tcW w:w="8300" w:type="dxa"/>
            <w:vAlign w:val="bottom"/>
          </w:tcPr>
          <w:p>
            <w:pPr>
              <w:ind w:left="60"/>
              <w:spacing w:after="0"/>
              <w:rPr>
                <w:sz w:val="20"/>
                <w:szCs w:val="20"/>
                <w:color w:val="auto"/>
              </w:rPr>
            </w:pPr>
            <w:r>
              <w:rPr>
                <w:rFonts w:ascii="Arial" w:cs="Arial" w:eastAsia="Arial" w:hAnsi="Arial"/>
                <w:sz w:val="15"/>
                <w:szCs w:val="15"/>
                <w:color w:val="auto"/>
                <w:w w:val="90"/>
              </w:rPr>
              <w:t>Patent Cross-License Agreement, dated as of December 18, 2008, by and between the Registrant and BIND Therapeutics, Inc. (formerly</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BIND Biosciences, Inc.)</w:t>
            </w:r>
          </w:p>
        </w:tc>
      </w:tr>
      <w:tr>
        <w:trPr>
          <w:trHeight w:val="389"/>
        </w:trPr>
        <w:tc>
          <w:tcPr>
            <w:tcW w:w="840" w:type="dxa"/>
            <w:vAlign w:val="bottom"/>
          </w:tcPr>
          <w:p>
            <w:pPr>
              <w:ind w:left="220"/>
              <w:spacing w:after="0"/>
              <w:rPr>
                <w:sz w:val="20"/>
                <w:szCs w:val="20"/>
                <w:color w:val="auto"/>
              </w:rPr>
            </w:pPr>
            <w:r>
              <w:rPr>
                <w:rFonts w:ascii="Arial" w:cs="Arial" w:eastAsia="Arial" w:hAnsi="Arial"/>
                <w:sz w:val="15"/>
                <w:szCs w:val="15"/>
                <w:color w:val="auto"/>
              </w:rPr>
              <w:t>10.12†**</w:t>
            </w:r>
          </w:p>
        </w:tc>
        <w:tc>
          <w:tcPr>
            <w:tcW w:w="8300" w:type="dxa"/>
            <w:vAlign w:val="bottom"/>
          </w:tcPr>
          <w:p>
            <w:pPr>
              <w:ind w:left="60"/>
              <w:spacing w:after="0"/>
              <w:rPr>
                <w:sz w:val="20"/>
                <w:szCs w:val="20"/>
                <w:color w:val="auto"/>
              </w:rPr>
            </w:pPr>
            <w:r>
              <w:rPr>
                <w:rFonts w:ascii="Arial" w:cs="Arial" w:eastAsia="Arial" w:hAnsi="Arial"/>
                <w:sz w:val="15"/>
                <w:szCs w:val="15"/>
                <w:color w:val="auto"/>
                <w:w w:val="92"/>
              </w:rPr>
              <w:t>Exclusive License Agreement, dated as of May 17, 2016, by and among the Registrant, the Massachusetts Eye and Ear Infirmary and</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The Schepens Eye Research Institute, Inc.</w:t>
            </w:r>
          </w:p>
        </w:tc>
      </w:tr>
      <w:tr>
        <w:trPr>
          <w:trHeight w:val="389"/>
        </w:trPr>
        <w:tc>
          <w:tcPr>
            <w:tcW w:w="840" w:type="dxa"/>
            <w:vAlign w:val="bottom"/>
          </w:tcPr>
          <w:p>
            <w:pPr>
              <w:ind w:left="220"/>
              <w:spacing w:after="0"/>
              <w:rPr>
                <w:sz w:val="20"/>
                <w:szCs w:val="20"/>
                <w:color w:val="auto"/>
              </w:rPr>
            </w:pPr>
            <w:r>
              <w:rPr>
                <w:rFonts w:ascii="Arial" w:cs="Arial" w:eastAsia="Arial" w:hAnsi="Arial"/>
                <w:sz w:val="15"/>
                <w:szCs w:val="15"/>
                <w:color w:val="auto"/>
              </w:rPr>
              <w:t>10.13†**</w:t>
            </w:r>
          </w:p>
        </w:tc>
        <w:tc>
          <w:tcPr>
            <w:tcW w:w="8300" w:type="dxa"/>
            <w:vAlign w:val="bottom"/>
          </w:tcPr>
          <w:p>
            <w:pPr>
              <w:ind w:left="60"/>
              <w:spacing w:after="0"/>
              <w:rPr>
                <w:sz w:val="20"/>
                <w:szCs w:val="20"/>
                <w:color w:val="auto"/>
              </w:rPr>
            </w:pPr>
            <w:r>
              <w:rPr>
                <w:rFonts w:ascii="Arial" w:cs="Arial" w:eastAsia="Arial" w:hAnsi="Arial"/>
                <w:sz w:val="15"/>
                <w:szCs w:val="15"/>
                <w:color w:val="auto"/>
                <w:w w:val="90"/>
              </w:rPr>
              <w:t>Lease, dated as of September 30, 2008, as amended by the First Amendment, dated as of July 12, 2011, the Second Amendment, dated</w:t>
            </w:r>
          </w:p>
        </w:tc>
      </w:tr>
      <w:tr>
        <w:trPr>
          <w:trHeight w:val="185"/>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w w:val="95"/>
              </w:rPr>
              <w:t>as of October 11, 2011 and the Third Amendment, dated as of April 6, 2015, by and between the Registrant and ARE-480 Arsenal</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Street, LLC</w:t>
            </w:r>
          </w:p>
        </w:tc>
      </w:tr>
      <w:tr>
        <w:trPr>
          <w:trHeight w:val="389"/>
        </w:trPr>
        <w:tc>
          <w:tcPr>
            <w:tcW w:w="840" w:type="dxa"/>
            <w:vAlign w:val="bottom"/>
          </w:tcPr>
          <w:p>
            <w:pPr>
              <w:ind w:left="220"/>
              <w:spacing w:after="0"/>
              <w:rPr>
                <w:sz w:val="20"/>
                <w:szCs w:val="20"/>
                <w:color w:val="auto"/>
              </w:rPr>
            </w:pPr>
            <w:r>
              <w:rPr>
                <w:rFonts w:ascii="Arial" w:cs="Arial" w:eastAsia="Arial" w:hAnsi="Arial"/>
                <w:sz w:val="15"/>
                <w:szCs w:val="15"/>
                <w:color w:val="auto"/>
              </w:rPr>
              <w:t>10.14**</w:t>
            </w:r>
          </w:p>
        </w:tc>
        <w:tc>
          <w:tcPr>
            <w:tcW w:w="8300" w:type="dxa"/>
            <w:vAlign w:val="bottom"/>
          </w:tcPr>
          <w:p>
            <w:pPr>
              <w:ind w:left="60"/>
              <w:spacing w:after="0"/>
              <w:rPr>
                <w:sz w:val="20"/>
                <w:szCs w:val="20"/>
                <w:color w:val="auto"/>
              </w:rPr>
            </w:pPr>
            <w:r>
              <w:rPr>
                <w:rFonts w:ascii="Arial" w:cs="Arial" w:eastAsia="Arial" w:hAnsi="Arial"/>
                <w:sz w:val="15"/>
                <w:szCs w:val="15"/>
                <w:color w:val="auto"/>
                <w:w w:val="97"/>
              </w:rPr>
              <w:t>Consulting Agreement, dated as of March 10, 2008, as amended by the First Amendment to Consulting Agreement, dated as of</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January 1, 2012, by and between the Registrant and Robert S. Langer</w:t>
            </w:r>
          </w:p>
        </w:tc>
      </w:tr>
      <w:tr>
        <w:trPr>
          <w:trHeight w:val="389"/>
        </w:trPr>
        <w:tc>
          <w:tcPr>
            <w:tcW w:w="840" w:type="dxa"/>
            <w:vAlign w:val="bottom"/>
          </w:tcPr>
          <w:p>
            <w:pPr>
              <w:ind w:left="220"/>
              <w:spacing w:after="0"/>
              <w:rPr>
                <w:sz w:val="20"/>
                <w:szCs w:val="20"/>
                <w:color w:val="auto"/>
              </w:rPr>
            </w:pPr>
            <w:r>
              <w:rPr>
                <w:rFonts w:ascii="Arial" w:cs="Arial" w:eastAsia="Arial" w:hAnsi="Arial"/>
                <w:sz w:val="15"/>
                <w:szCs w:val="15"/>
                <w:color w:val="auto"/>
              </w:rPr>
              <w:t>10.15**</w:t>
            </w:r>
          </w:p>
        </w:tc>
        <w:tc>
          <w:tcPr>
            <w:tcW w:w="8300" w:type="dxa"/>
            <w:vAlign w:val="bottom"/>
          </w:tcPr>
          <w:p>
            <w:pPr>
              <w:ind w:left="60"/>
              <w:spacing w:after="0"/>
              <w:rPr>
                <w:sz w:val="20"/>
                <w:szCs w:val="20"/>
                <w:color w:val="auto"/>
              </w:rPr>
            </w:pPr>
            <w:r>
              <w:rPr>
                <w:rFonts w:ascii="Arial" w:cs="Arial" w:eastAsia="Arial" w:hAnsi="Arial"/>
                <w:sz w:val="15"/>
                <w:szCs w:val="15"/>
                <w:color w:val="auto"/>
                <w:w w:val="97"/>
              </w:rPr>
              <w:t>Consulting Agreement, dated as of March 10, 2008, as amended by the First Amendment to Consulting Agreement, dated as of</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January 1, 2012, by and between the Registrant and Omid Farokhzad</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10.16</w:t>
            </w:r>
          </w:p>
        </w:tc>
        <w:tc>
          <w:tcPr>
            <w:tcW w:w="8300" w:type="dxa"/>
            <w:vAlign w:val="bottom"/>
          </w:tcPr>
          <w:p>
            <w:pPr>
              <w:ind w:left="60"/>
              <w:spacing w:after="0"/>
              <w:rPr>
                <w:sz w:val="20"/>
                <w:szCs w:val="20"/>
                <w:color w:val="auto"/>
              </w:rPr>
            </w:pPr>
            <w:r>
              <w:rPr>
                <w:rFonts w:ascii="Arial" w:cs="Arial" w:eastAsia="Arial" w:hAnsi="Arial"/>
                <w:sz w:val="15"/>
                <w:szCs w:val="15"/>
                <w:color w:val="auto"/>
              </w:rPr>
              <w:t>Summary of Oral Agreement, by and between the Registrant and Omid Farokhzad</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10.17</w:t>
            </w:r>
          </w:p>
        </w:tc>
        <w:tc>
          <w:tcPr>
            <w:tcW w:w="8300" w:type="dxa"/>
            <w:vAlign w:val="bottom"/>
          </w:tcPr>
          <w:p>
            <w:pPr>
              <w:ind w:left="60"/>
              <w:spacing w:after="0"/>
              <w:rPr>
                <w:sz w:val="20"/>
                <w:szCs w:val="20"/>
                <w:color w:val="auto"/>
              </w:rPr>
            </w:pPr>
            <w:r>
              <w:rPr>
                <w:rFonts w:ascii="Arial" w:cs="Arial" w:eastAsia="Arial" w:hAnsi="Arial"/>
                <w:sz w:val="15"/>
                <w:szCs w:val="15"/>
                <w:color w:val="auto"/>
              </w:rPr>
              <w:t>Employment Agreement, dated as of June 6, 2016, by and between the Registrant and Werner Cautreels</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10.18</w:t>
            </w:r>
          </w:p>
        </w:tc>
        <w:tc>
          <w:tcPr>
            <w:tcW w:w="8300" w:type="dxa"/>
            <w:vAlign w:val="bottom"/>
          </w:tcPr>
          <w:p>
            <w:pPr>
              <w:ind w:left="60"/>
              <w:spacing w:after="0"/>
              <w:rPr>
                <w:sz w:val="20"/>
                <w:szCs w:val="20"/>
                <w:color w:val="auto"/>
              </w:rPr>
            </w:pPr>
            <w:r>
              <w:rPr>
                <w:rFonts w:ascii="Arial" w:cs="Arial" w:eastAsia="Arial" w:hAnsi="Arial"/>
                <w:sz w:val="15"/>
                <w:szCs w:val="15"/>
                <w:color w:val="auto"/>
              </w:rPr>
              <w:t>Employment Agreement, dated as of June 6, 2016, by and between the Registrant and Takashi Kei Kishimoto</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10.19</w:t>
            </w:r>
          </w:p>
        </w:tc>
        <w:tc>
          <w:tcPr>
            <w:tcW w:w="8300" w:type="dxa"/>
            <w:vAlign w:val="bottom"/>
          </w:tcPr>
          <w:p>
            <w:pPr>
              <w:ind w:left="60"/>
              <w:spacing w:after="0"/>
              <w:rPr>
                <w:sz w:val="20"/>
                <w:szCs w:val="20"/>
                <w:color w:val="auto"/>
              </w:rPr>
            </w:pPr>
            <w:r>
              <w:rPr>
                <w:rFonts w:ascii="Arial" w:cs="Arial" w:eastAsia="Arial" w:hAnsi="Arial"/>
                <w:sz w:val="15"/>
                <w:szCs w:val="15"/>
                <w:color w:val="auto"/>
              </w:rPr>
              <w:t>Employment Agreement, dated as of June 6, 2016, by and between the Registrant and Peter Keller</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10.20</w:t>
            </w:r>
          </w:p>
        </w:tc>
        <w:tc>
          <w:tcPr>
            <w:tcW w:w="8300" w:type="dxa"/>
            <w:vAlign w:val="bottom"/>
          </w:tcPr>
          <w:p>
            <w:pPr>
              <w:ind w:left="60"/>
              <w:spacing w:after="0"/>
              <w:rPr>
                <w:sz w:val="20"/>
                <w:szCs w:val="20"/>
                <w:color w:val="auto"/>
              </w:rPr>
            </w:pPr>
            <w:r>
              <w:rPr>
                <w:rFonts w:ascii="Arial" w:cs="Arial" w:eastAsia="Arial" w:hAnsi="Arial"/>
                <w:sz w:val="15"/>
                <w:szCs w:val="15"/>
                <w:color w:val="auto"/>
              </w:rPr>
              <w:t>Employment Agreement, dated as of June 6, 2016, by and between the Registrant and Earl E. Sands</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10.21</w:t>
            </w:r>
          </w:p>
        </w:tc>
        <w:tc>
          <w:tcPr>
            <w:tcW w:w="8300" w:type="dxa"/>
            <w:vAlign w:val="bottom"/>
          </w:tcPr>
          <w:p>
            <w:pPr>
              <w:ind w:left="60"/>
              <w:spacing w:after="0"/>
              <w:rPr>
                <w:sz w:val="20"/>
                <w:szCs w:val="20"/>
                <w:color w:val="auto"/>
              </w:rPr>
            </w:pPr>
            <w:r>
              <w:rPr>
                <w:rFonts w:ascii="Arial" w:cs="Arial" w:eastAsia="Arial" w:hAnsi="Arial"/>
                <w:sz w:val="15"/>
                <w:szCs w:val="15"/>
                <w:color w:val="auto"/>
              </w:rPr>
              <w:t>Employment Agreement, dated as of June 6, 2016, by and between the Registrant and Lloyd P. M. Johnston, Ph.D.</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10.22</w:t>
            </w:r>
          </w:p>
        </w:tc>
        <w:tc>
          <w:tcPr>
            <w:tcW w:w="8300" w:type="dxa"/>
            <w:vAlign w:val="bottom"/>
          </w:tcPr>
          <w:p>
            <w:pPr>
              <w:ind w:left="60"/>
              <w:spacing w:after="0"/>
              <w:rPr>
                <w:sz w:val="20"/>
                <w:szCs w:val="20"/>
                <w:color w:val="auto"/>
              </w:rPr>
            </w:pPr>
            <w:r>
              <w:rPr>
                <w:rFonts w:ascii="Arial" w:cs="Arial" w:eastAsia="Arial" w:hAnsi="Arial"/>
                <w:sz w:val="15"/>
                <w:szCs w:val="15"/>
                <w:color w:val="auto"/>
              </w:rPr>
              <w:t>Employment Agreement, dated as of June 6, 2016, by and between the Registrant and David Abraham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6305"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83" w:name="page284"/>
    <w:bookmarkEnd w:id="283"/>
    <w:p>
      <w:pPr>
        <w:ind w:left="7"/>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2"/>
                <w:szCs w:val="12"/>
                <w:color w:val="auto"/>
              </w:rPr>
            </w:pPr>
          </w:p>
        </w:tc>
        <w:tc>
          <w:tcPr>
            <w:tcW w:w="820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gridSpan w:val="2"/>
          </w:tcPr>
          <w:p>
            <w:pPr>
              <w:ind w:left="10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78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rPr>
              <w:t>10.23</w:t>
            </w:r>
          </w:p>
        </w:tc>
        <w:tc>
          <w:tcPr>
            <w:tcW w:w="834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color w:val="auto"/>
              </w:rPr>
              <w:t>Employment Agreement, dated as of June 6, 2016, by and between the Registrant and David Siewers</w:t>
            </w:r>
          </w:p>
        </w:tc>
      </w:tr>
      <w:tr>
        <w:trPr>
          <w:trHeight w:val="382"/>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10.24</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w w:val="93"/>
              </w:rPr>
              <w:t>Independent Director Consulting Agreement, dated as of May 5, 2009, as amended by the First Amendment to Independent Director</w:t>
            </w:r>
          </w:p>
        </w:tc>
      </w:tr>
      <w:tr>
        <w:trPr>
          <w:trHeight w:val="18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w w:val="92"/>
              </w:rPr>
              <w:t>Consulting Agreement, dated as of July 22, 2009, by and between the Registrant and George R. Siber, M.D., as terminated by a letter,</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dated as of June 1, 2016</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10.25**</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Employment Agreement, dated as of July 19, 2010, by and between the Registrant and Werner Cautreels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10.26**</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Employment Agreement, dated as of June 22, 2011, by and between the Registrant and Takashi Kei Kishimoto</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10.27**</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Employment Agreement, dated as of January 7, 2011, by and between the Registrant and Peter Keller</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10.28**</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Employment Agreement, dated as of July 1, 2015, by and between the Registrant and Earl E. Sands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10.29**</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Offer Letter, dated as of June 30, 2015, by and between the Registrant and Earl E. Sands, M.D.</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10.30**</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Offer Letter, dated as of June 2, 2008, by and between the Registrant and Lloyd P. M. Johnston, Ph.D.</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10.31**</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Offer Letter, dated as of April 4, 2011, by and between the Registrant and David Abraham</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10.32**</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Offer Letter, dated as of September 4, 2009, by and between the Registrant and David Siewers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21.1**</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Subsidiaries of the Registrant</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23.1</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Consent of Ernst &amp; Young LLP</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23.2</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Consent of Latham &amp; Watkins LLP (included in Exhibit 5.1)</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24.1**</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Power of Attorney (included on signature page)</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99.1**</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Consent of Director Nominee</w:t>
            </w: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0" w:type="dxa"/>
            <w:vAlign w:val="bottom"/>
          </w:tcPr>
          <w:p>
            <w:pPr>
              <w:spacing w:after="0"/>
              <w:rPr>
                <w:sz w:val="8"/>
                <w:szCs w:val="8"/>
                <w:color w:val="auto"/>
              </w:rPr>
            </w:pPr>
          </w:p>
        </w:tc>
      </w:tr>
    </w:tbl>
    <w:p>
      <w:pPr>
        <w:spacing w:after="0" w:line="165" w:lineRule="exact"/>
        <w:rPr>
          <w:sz w:val="20"/>
          <w:szCs w:val="20"/>
          <w:color w:val="auto"/>
        </w:rPr>
      </w:pPr>
    </w:p>
    <w:p>
      <w:pPr>
        <w:ind w:left="1607" w:hanging="463"/>
        <w:spacing w:after="0"/>
        <w:tabs>
          <w:tab w:leader="none" w:pos="1607"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05" w:lineRule="exact"/>
        <w:rPr>
          <w:rFonts w:ascii="Arial" w:cs="Arial" w:eastAsia="Arial" w:hAnsi="Arial"/>
          <w:sz w:val="12"/>
          <w:szCs w:val="12"/>
          <w:color w:val="auto"/>
        </w:rPr>
      </w:pPr>
    </w:p>
    <w:p>
      <w:pPr>
        <w:ind w:left="1147"/>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Previously filed.</w:t>
      </w:r>
    </w:p>
    <w:p>
      <w:pPr>
        <w:spacing w:after="0" w:line="105" w:lineRule="exact"/>
        <w:rPr>
          <w:sz w:val="20"/>
          <w:szCs w:val="20"/>
          <w:color w:val="auto"/>
        </w:rPr>
      </w:pPr>
    </w:p>
    <w:p>
      <w:pPr>
        <w:ind w:left="1607" w:hanging="463"/>
        <w:spacing w:after="0"/>
        <w:tabs>
          <w:tab w:leader="none" w:pos="1607" w:val="left"/>
        </w:tabs>
        <w:numPr>
          <w:ilvl w:val="1"/>
          <w:numId w:val="143"/>
        </w:numPr>
        <w:rPr>
          <w:rFonts w:ascii="Arial" w:cs="Arial" w:eastAsia="Arial" w:hAnsi="Arial"/>
          <w:sz w:val="12"/>
          <w:szCs w:val="12"/>
          <w:color w:val="auto"/>
        </w:rPr>
      </w:pPr>
      <w:r>
        <w:rPr>
          <w:rFonts w:ascii="Arial" w:cs="Arial" w:eastAsia="Arial" w:hAnsi="Arial"/>
          <w:sz w:val="12"/>
          <w:szCs w:val="12"/>
          <w:color w:val="auto"/>
        </w:rPr>
        <w:t>Portions of this exhibit (indicated by asterisks) have been omitted pursuant to a request for confidential treatment pursuant to Rule 406 under the Securities Exchange Act of 1933.</w:t>
      </w:r>
    </w:p>
    <w:p>
      <w:pPr>
        <w:spacing w:after="0" w:line="176" w:lineRule="exact"/>
        <w:rPr>
          <w:rFonts w:ascii="Arial" w:cs="Arial" w:eastAsia="Arial" w:hAnsi="Arial"/>
          <w:sz w:val="12"/>
          <w:szCs w:val="12"/>
          <w:color w:val="auto"/>
        </w:rPr>
      </w:pPr>
    </w:p>
    <w:p>
      <w:pPr>
        <w:ind w:left="7" w:hanging="7"/>
        <w:spacing w:after="0" w:line="282" w:lineRule="auto"/>
        <w:tabs>
          <w:tab w:leader="none" w:pos="296" w:val="left"/>
        </w:tabs>
        <w:numPr>
          <w:ilvl w:val="0"/>
          <w:numId w:val="143"/>
        </w:numPr>
        <w:rPr>
          <w:rFonts w:ascii="Arial" w:cs="Arial" w:eastAsia="Arial" w:hAnsi="Arial"/>
          <w:sz w:val="15"/>
          <w:szCs w:val="15"/>
          <w:color w:val="auto"/>
        </w:rPr>
      </w:pPr>
      <w:r>
        <w:rPr>
          <w:rFonts w:ascii="Arial" w:cs="Arial" w:eastAsia="Arial" w:hAnsi="Arial"/>
          <w:sz w:val="15"/>
          <w:szCs w:val="15"/>
          <w:color w:val="auto"/>
        </w:rPr>
        <w:t>Financial Statement Schedules. Schedules not listed above have been omitted because the information required to be set forth therein is not applicable or is shown in the consolidated financial statements or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7"/>
          </w:cols>
          <w:pgMar w:left="233" w:top="128" w:right="439" w:bottom="1440" w:gutter="0" w:footer="0" w:header="0"/>
        </w:sectPr>
      </w:pPr>
    </w:p>
    <w:bookmarkStart w:id="284" w:name="page285"/>
    <w:bookmarkEnd w:id="284"/>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3"/>
          <w:szCs w:val="13"/>
          <w:b w:val="1"/>
          <w:bCs w:val="1"/>
          <w:color w:val="auto"/>
        </w:rPr>
        <w:t>Undertakings.</w:t>
      </w:r>
    </w:p>
    <w:p>
      <w:pPr>
        <w:spacing w:after="0" w:line="202"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51" w:lineRule="exact"/>
        <w:rPr>
          <w:sz w:val="20"/>
          <w:szCs w:val="20"/>
          <w:color w:val="auto"/>
        </w:rPr>
      </w:pPr>
    </w:p>
    <w:p>
      <w:pPr>
        <w:ind w:right="80"/>
        <w:spacing w:after="0" w:line="310" w:lineRule="auto"/>
        <w:rPr>
          <w:sz w:val="20"/>
          <w:szCs w:val="20"/>
          <w:color w:val="auto"/>
        </w:rPr>
      </w:pPr>
      <w:r>
        <w:rPr>
          <w:rFonts w:ascii="Arial" w:cs="Arial" w:eastAsia="Arial" w:hAnsi="Arial"/>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hereby undertakes that:</w:t>
      </w:r>
    </w:p>
    <w:p>
      <w:pPr>
        <w:spacing w:after="0" w:line="210" w:lineRule="exact"/>
        <w:rPr>
          <w:sz w:val="20"/>
          <w:szCs w:val="20"/>
          <w:color w:val="auto"/>
        </w:rPr>
      </w:pPr>
    </w:p>
    <w:p>
      <w:pPr>
        <w:jc w:val="both"/>
        <w:ind w:left="920" w:right="160" w:hanging="464"/>
        <w:spacing w:after="0" w:line="270" w:lineRule="auto"/>
        <w:tabs>
          <w:tab w:leader="none" w:pos="92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2" w:lineRule="exact"/>
        <w:rPr>
          <w:rFonts w:ascii="Arial" w:cs="Arial" w:eastAsia="Arial" w:hAnsi="Arial"/>
          <w:sz w:val="15"/>
          <w:szCs w:val="15"/>
          <w:color w:val="auto"/>
        </w:rPr>
      </w:pPr>
    </w:p>
    <w:p>
      <w:pPr>
        <w:ind w:left="920" w:right="400" w:hanging="464"/>
        <w:spacing w:after="0" w:line="362" w:lineRule="auto"/>
        <w:tabs>
          <w:tab w:leader="none" w:pos="92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66305"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85" w:name="page286"/>
    <w:bookmarkEnd w:id="285"/>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0910" cy="7620"/>
                    </a:xfrm>
                    <a:prstGeom prst="rect">
                      <a:avLst/>
                    </a:prstGeom>
                    <a:noFill/>
                  </pic:spPr>
                </pic:pic>
              </a:graphicData>
            </a:graphic>
          </wp:anchor>
        </w:drawing>
        <w:t>Signatures</w:t>
      </w:r>
    </w:p>
    <w:p>
      <w:pPr>
        <w:spacing w:after="0" w:line="18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Pursuant to the requirements of the Securities Act, the registrant has duly caused this registration statement to be signed on its behalf by the undersigned, thereunto duly authorized, in the City of Watertown, Commonwealth of Massachusetts, on this 8</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day of June, 2016.</w:t>
      </w:r>
    </w:p>
    <w:p>
      <w:pPr>
        <w:spacing w:after="0" w:line="25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SELECTA BIOSCIENCES, INC.</w:t>
      </w:r>
    </w:p>
    <w:p>
      <w:pPr>
        <w:spacing w:after="0" w:line="221" w:lineRule="exact"/>
        <w:rPr>
          <w:sz w:val="20"/>
          <w:szCs w:val="20"/>
          <w:color w:val="auto"/>
        </w:rPr>
      </w:pPr>
    </w:p>
    <w:p>
      <w:pPr>
        <w:ind w:left="5460"/>
        <w:spacing w:after="0"/>
        <w:tabs>
          <w:tab w:leader="none" w:pos="61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64135</wp:posOffset>
            </wp:positionV>
            <wp:extent cx="3353435"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155"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Werner Cautreels, Ph.D.</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00"/>
          </w:cols>
          <w:pgMar w:left="240" w:top="333" w:right="459" w:bottom="1440" w:gutter="0" w:footer="0" w:header="0"/>
        </w:sectPr>
      </w:pPr>
    </w:p>
    <w:bookmarkStart w:id="286" w:name="page287"/>
    <w:bookmarkEnd w:id="286"/>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0910" cy="7620"/>
                    </a:xfrm>
                    <a:prstGeom prst="rect">
                      <a:avLst/>
                    </a:prstGeom>
                    <a:noFill/>
                  </pic:spPr>
                </pic:pic>
              </a:graphicData>
            </a:graphic>
          </wp:anchor>
        </w:drawing>
        <w:t>Signatures and power of attorney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held on the dates indicated.</w:t>
      </w:r>
    </w:p>
    <w:p>
      <w:pPr>
        <w:spacing w:after="0" w:line="207" w:lineRule="exact"/>
        <w:rPr>
          <w:sz w:val="20"/>
          <w:szCs w:val="20"/>
          <w:color w:val="auto"/>
        </w:rPr>
      </w:pPr>
    </w:p>
    <w:p>
      <w:pPr>
        <w:ind w:left="1140"/>
        <w:spacing w:after="0"/>
        <w:tabs>
          <w:tab w:leader="none" w:pos="6700" w:val="left"/>
          <w:tab w:leader="none" w:pos="970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6985</wp:posOffset>
            </wp:positionV>
            <wp:extent cx="5831840" cy="762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831840" cy="7620"/>
                    </a:xfrm>
                    <a:prstGeom prst="rect">
                      <a:avLst/>
                    </a:prstGeom>
                    <a:noFill/>
                  </pic:spPr>
                </pic:pic>
              </a:graphicData>
            </a:graphic>
          </wp:anchor>
        </w:drawing>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4"/>
              </w:rPr>
              <w:t>/s/ WERNER CAUTREELS, PH.D.</w:t>
            </w:r>
          </w:p>
        </w:tc>
        <w:tc>
          <w:tcPr>
            <w:tcW w:w="4940" w:type="dxa"/>
            <w:vAlign w:val="bottom"/>
          </w:tcPr>
          <w:p>
            <w:pPr>
              <w:ind w:left="120"/>
              <w:spacing w:after="0"/>
              <w:rPr>
                <w:sz w:val="20"/>
                <w:szCs w:val="20"/>
                <w:color w:val="auto"/>
              </w:rPr>
            </w:pPr>
            <w:r>
              <w:rPr>
                <w:rFonts w:ascii="Arial" w:cs="Arial" w:eastAsia="Arial" w:hAnsi="Arial"/>
                <w:sz w:val="15"/>
                <w:szCs w:val="15"/>
                <w:color w:val="auto"/>
                <w:w w:val="97"/>
              </w:rPr>
              <w:t>President, Chief Executive Officer and Director (principal executive officer)</w:t>
            </w:r>
          </w:p>
        </w:tc>
        <w:tc>
          <w:tcPr>
            <w:tcW w:w="1000" w:type="dxa"/>
            <w:vAlign w:val="bottom"/>
          </w:tcPr>
          <w:p>
            <w:pPr>
              <w:ind w:left="240"/>
              <w:spacing w:after="0"/>
              <w:rPr>
                <w:sz w:val="20"/>
                <w:szCs w:val="20"/>
                <w:color w:val="auto"/>
              </w:rPr>
            </w:pPr>
            <w:r>
              <w:rPr>
                <w:rFonts w:ascii="Arial" w:cs="Arial" w:eastAsia="Arial" w:hAnsi="Arial"/>
                <w:sz w:val="15"/>
                <w:szCs w:val="15"/>
                <w:color w:val="auto"/>
                <w:w w:val="85"/>
              </w:rPr>
              <w:t>June 8, 2016</w:t>
            </w: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25"/>
              <w:spacing w:after="0"/>
              <w:rPr>
                <w:sz w:val="20"/>
                <w:szCs w:val="20"/>
                <w:color w:val="auto"/>
              </w:rPr>
            </w:pPr>
            <w:r>
              <w:rPr>
                <w:rFonts w:ascii="Arial" w:cs="Arial" w:eastAsia="Arial" w:hAnsi="Arial"/>
                <w:sz w:val="15"/>
                <w:szCs w:val="15"/>
                <w:color w:val="auto"/>
                <w:w w:val="89"/>
              </w:rPr>
              <w:t>Werner Cautreels, Ph.D.</w:t>
            </w:r>
          </w:p>
        </w:tc>
        <w:tc>
          <w:tcPr>
            <w:tcW w:w="4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9"/>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4"/>
              </w:rPr>
              <w:t>/s/ DAVID SIEWERS</w:t>
            </w:r>
          </w:p>
        </w:tc>
        <w:tc>
          <w:tcPr>
            <w:tcW w:w="4940" w:type="dxa"/>
            <w:vAlign w:val="bottom"/>
          </w:tcPr>
          <w:p>
            <w:pPr>
              <w:ind w:left="120"/>
              <w:spacing w:after="0"/>
              <w:rPr>
                <w:sz w:val="20"/>
                <w:szCs w:val="20"/>
                <w:color w:val="auto"/>
              </w:rPr>
            </w:pPr>
            <w:r>
              <w:rPr>
                <w:rFonts w:ascii="Arial" w:cs="Arial" w:eastAsia="Arial" w:hAnsi="Arial"/>
                <w:sz w:val="15"/>
                <w:szCs w:val="15"/>
                <w:color w:val="auto"/>
                <w:w w:val="99"/>
              </w:rPr>
              <w:t>Chief Financial Officer (principal financial officer and principal accounting</w:t>
            </w:r>
          </w:p>
        </w:tc>
        <w:tc>
          <w:tcPr>
            <w:tcW w:w="1000" w:type="dxa"/>
            <w:vAlign w:val="bottom"/>
          </w:tcPr>
          <w:p>
            <w:pPr>
              <w:ind w:left="240"/>
              <w:spacing w:after="0"/>
              <w:rPr>
                <w:sz w:val="20"/>
                <w:szCs w:val="20"/>
                <w:color w:val="auto"/>
              </w:rPr>
            </w:pPr>
            <w:r>
              <w:rPr>
                <w:rFonts w:ascii="Arial" w:cs="Arial" w:eastAsia="Arial" w:hAnsi="Arial"/>
                <w:sz w:val="15"/>
                <w:szCs w:val="15"/>
                <w:color w:val="auto"/>
                <w:w w:val="85"/>
              </w:rPr>
              <w:t>June 8, 2016</w:t>
            </w:r>
          </w:p>
        </w:tc>
        <w:tc>
          <w:tcPr>
            <w:tcW w:w="0" w:type="dxa"/>
            <w:vAlign w:val="bottom"/>
          </w:tcPr>
          <w:p>
            <w:pPr>
              <w:spacing w:after="0"/>
              <w:rPr>
                <w:sz w:val="1"/>
                <w:szCs w:val="1"/>
                <w:color w:val="auto"/>
              </w:rPr>
            </w:pPr>
          </w:p>
        </w:tc>
      </w:tr>
      <w:tr>
        <w:trPr>
          <w:trHeight w:val="65"/>
        </w:trPr>
        <w:tc>
          <w:tcPr>
            <w:tcW w:w="4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4940" w:type="dxa"/>
            <w:vAlign w:val="bottom"/>
            <w:vMerge w:val="restart"/>
          </w:tcPr>
          <w:p>
            <w:pPr>
              <w:ind w:left="120"/>
              <w:spacing w:after="0"/>
              <w:rPr>
                <w:sz w:val="20"/>
                <w:szCs w:val="20"/>
                <w:color w:val="auto"/>
              </w:rPr>
            </w:pPr>
            <w:r>
              <w:rPr>
                <w:rFonts w:ascii="Arial" w:cs="Arial" w:eastAsia="Arial" w:hAnsi="Arial"/>
                <w:sz w:val="15"/>
                <w:szCs w:val="15"/>
                <w:color w:val="auto"/>
              </w:rPr>
              <w:t>officer)</w:t>
            </w: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460" w:type="dxa"/>
            <w:vAlign w:val="bottom"/>
          </w:tcPr>
          <w:p>
            <w:pPr>
              <w:spacing w:after="0"/>
              <w:rPr>
                <w:sz w:val="9"/>
                <w:szCs w:val="9"/>
                <w:color w:val="auto"/>
              </w:rPr>
            </w:pPr>
          </w:p>
        </w:tc>
        <w:tc>
          <w:tcPr>
            <w:tcW w:w="2720" w:type="dxa"/>
            <w:vAlign w:val="bottom"/>
            <w:vMerge w:val="restart"/>
          </w:tcPr>
          <w:p>
            <w:pPr>
              <w:jc w:val="center"/>
              <w:ind w:right="405"/>
              <w:spacing w:after="0"/>
              <w:rPr>
                <w:sz w:val="20"/>
                <w:szCs w:val="20"/>
                <w:color w:val="auto"/>
              </w:rPr>
            </w:pPr>
            <w:r>
              <w:rPr>
                <w:rFonts w:ascii="Arial" w:cs="Arial" w:eastAsia="Arial" w:hAnsi="Arial"/>
                <w:sz w:val="15"/>
                <w:szCs w:val="15"/>
                <w:color w:val="auto"/>
                <w:w w:val="91"/>
              </w:rPr>
              <w:t>David Siewers</w:t>
            </w:r>
          </w:p>
        </w:tc>
        <w:tc>
          <w:tcPr>
            <w:tcW w:w="49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6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4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2"/>
              </w:rPr>
              <w:t>Omid Farokhzad, M.D.</w:t>
            </w:r>
          </w:p>
        </w:tc>
        <w:tc>
          <w:tcPr>
            <w:tcW w:w="494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00" w:type="dxa"/>
            <w:vAlign w:val="bottom"/>
          </w:tcPr>
          <w:p>
            <w:pPr>
              <w:ind w:left="240"/>
              <w:spacing w:after="0"/>
              <w:rPr>
                <w:sz w:val="20"/>
                <w:szCs w:val="20"/>
                <w:color w:val="auto"/>
              </w:rPr>
            </w:pPr>
            <w:r>
              <w:rPr>
                <w:rFonts w:ascii="Arial" w:cs="Arial" w:eastAsia="Arial" w:hAnsi="Arial"/>
                <w:sz w:val="15"/>
                <w:szCs w:val="15"/>
                <w:color w:val="auto"/>
                <w:w w:val="85"/>
              </w:rPr>
              <w:t>June 8,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0"/>
              </w:rPr>
              <w:t>Carl Gordon, Ph.D.</w:t>
            </w:r>
          </w:p>
        </w:tc>
        <w:tc>
          <w:tcPr>
            <w:tcW w:w="494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00" w:type="dxa"/>
            <w:vAlign w:val="bottom"/>
          </w:tcPr>
          <w:p>
            <w:pPr>
              <w:ind w:left="240"/>
              <w:spacing w:after="0"/>
              <w:rPr>
                <w:sz w:val="20"/>
                <w:szCs w:val="20"/>
                <w:color w:val="auto"/>
              </w:rPr>
            </w:pPr>
            <w:r>
              <w:rPr>
                <w:rFonts w:ascii="Arial" w:cs="Arial" w:eastAsia="Arial" w:hAnsi="Arial"/>
                <w:sz w:val="15"/>
                <w:szCs w:val="15"/>
                <w:color w:val="auto"/>
                <w:w w:val="85"/>
              </w:rPr>
              <w:t>June 8,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25"/>
              <w:spacing w:after="0"/>
              <w:rPr>
                <w:sz w:val="20"/>
                <w:szCs w:val="20"/>
                <w:color w:val="auto"/>
              </w:rPr>
            </w:pPr>
            <w:r>
              <w:rPr>
                <w:rFonts w:ascii="Arial" w:cs="Arial" w:eastAsia="Arial" w:hAnsi="Arial"/>
                <w:sz w:val="15"/>
                <w:szCs w:val="15"/>
                <w:color w:val="auto"/>
                <w:w w:val="91"/>
              </w:rPr>
              <w:t>Peter Barton Hutt</w:t>
            </w:r>
          </w:p>
        </w:tc>
        <w:tc>
          <w:tcPr>
            <w:tcW w:w="494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00" w:type="dxa"/>
            <w:vAlign w:val="bottom"/>
          </w:tcPr>
          <w:p>
            <w:pPr>
              <w:ind w:left="240"/>
              <w:spacing w:after="0"/>
              <w:rPr>
                <w:sz w:val="20"/>
                <w:szCs w:val="20"/>
                <w:color w:val="auto"/>
              </w:rPr>
            </w:pPr>
            <w:r>
              <w:rPr>
                <w:rFonts w:ascii="Arial" w:cs="Arial" w:eastAsia="Arial" w:hAnsi="Arial"/>
                <w:sz w:val="15"/>
                <w:szCs w:val="15"/>
                <w:color w:val="auto"/>
                <w:w w:val="85"/>
              </w:rPr>
              <w:t>June 8,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2"/>
              </w:rPr>
              <w:t>Edwin M. Kania, Jr.</w:t>
            </w:r>
          </w:p>
        </w:tc>
        <w:tc>
          <w:tcPr>
            <w:tcW w:w="494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00" w:type="dxa"/>
            <w:vAlign w:val="bottom"/>
          </w:tcPr>
          <w:p>
            <w:pPr>
              <w:ind w:left="240"/>
              <w:spacing w:after="0"/>
              <w:rPr>
                <w:sz w:val="20"/>
                <w:szCs w:val="20"/>
                <w:color w:val="auto"/>
              </w:rPr>
            </w:pPr>
            <w:r>
              <w:rPr>
                <w:rFonts w:ascii="Arial" w:cs="Arial" w:eastAsia="Arial" w:hAnsi="Arial"/>
                <w:sz w:val="15"/>
                <w:szCs w:val="15"/>
                <w:color w:val="auto"/>
                <w:w w:val="85"/>
              </w:rPr>
              <w:t>June 8,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0"/>
              </w:rPr>
              <w:t>Robert S. Langer, Sc.D.</w:t>
            </w:r>
          </w:p>
        </w:tc>
        <w:tc>
          <w:tcPr>
            <w:tcW w:w="494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00" w:type="dxa"/>
            <w:vAlign w:val="bottom"/>
          </w:tcPr>
          <w:p>
            <w:pPr>
              <w:ind w:left="240"/>
              <w:spacing w:after="0"/>
              <w:rPr>
                <w:sz w:val="20"/>
                <w:szCs w:val="20"/>
                <w:color w:val="auto"/>
              </w:rPr>
            </w:pPr>
            <w:r>
              <w:rPr>
                <w:rFonts w:ascii="Arial" w:cs="Arial" w:eastAsia="Arial" w:hAnsi="Arial"/>
                <w:sz w:val="15"/>
                <w:szCs w:val="15"/>
                <w:color w:val="auto"/>
                <w:w w:val="85"/>
              </w:rPr>
              <w:t>June 8,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25"/>
              <w:spacing w:after="0"/>
              <w:rPr>
                <w:sz w:val="20"/>
                <w:szCs w:val="20"/>
                <w:color w:val="auto"/>
              </w:rPr>
            </w:pPr>
            <w:r>
              <w:rPr>
                <w:rFonts w:ascii="Arial" w:cs="Arial" w:eastAsia="Arial" w:hAnsi="Arial"/>
                <w:sz w:val="15"/>
                <w:szCs w:val="15"/>
                <w:color w:val="auto"/>
                <w:w w:val="92"/>
              </w:rPr>
              <w:t>Amir Nashat, Sc.D.</w:t>
            </w:r>
          </w:p>
        </w:tc>
        <w:tc>
          <w:tcPr>
            <w:tcW w:w="494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00" w:type="dxa"/>
            <w:vAlign w:val="bottom"/>
          </w:tcPr>
          <w:p>
            <w:pPr>
              <w:ind w:left="240"/>
              <w:spacing w:after="0"/>
              <w:rPr>
                <w:sz w:val="20"/>
                <w:szCs w:val="20"/>
                <w:color w:val="auto"/>
              </w:rPr>
            </w:pPr>
            <w:r>
              <w:rPr>
                <w:rFonts w:ascii="Arial" w:cs="Arial" w:eastAsia="Arial" w:hAnsi="Arial"/>
                <w:sz w:val="15"/>
                <w:szCs w:val="15"/>
                <w:color w:val="auto"/>
                <w:w w:val="85"/>
              </w:rPr>
              <w:t>June 8,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5"/>
              </w:rPr>
              <w:t>Aymeric Sallin, M.S.</w:t>
            </w:r>
          </w:p>
        </w:tc>
        <w:tc>
          <w:tcPr>
            <w:tcW w:w="494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00" w:type="dxa"/>
            <w:vAlign w:val="bottom"/>
          </w:tcPr>
          <w:p>
            <w:pPr>
              <w:ind w:left="240"/>
              <w:spacing w:after="0"/>
              <w:rPr>
                <w:sz w:val="20"/>
                <w:szCs w:val="20"/>
                <w:color w:val="auto"/>
              </w:rPr>
            </w:pPr>
            <w:r>
              <w:rPr>
                <w:rFonts w:ascii="Arial" w:cs="Arial" w:eastAsia="Arial" w:hAnsi="Arial"/>
                <w:sz w:val="15"/>
                <w:szCs w:val="15"/>
                <w:color w:val="auto"/>
                <w:w w:val="85"/>
              </w:rPr>
              <w:t>June 8,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4"/>
              </w:rPr>
              <w:t>Leysan Shaydullina, M.D.</w:t>
            </w:r>
          </w:p>
        </w:tc>
        <w:tc>
          <w:tcPr>
            <w:tcW w:w="494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00" w:type="dxa"/>
            <w:vAlign w:val="bottom"/>
          </w:tcPr>
          <w:p>
            <w:pPr>
              <w:ind w:left="240"/>
              <w:spacing w:after="0"/>
              <w:rPr>
                <w:sz w:val="20"/>
                <w:szCs w:val="20"/>
                <w:color w:val="auto"/>
              </w:rPr>
            </w:pPr>
            <w:r>
              <w:rPr>
                <w:rFonts w:ascii="Arial" w:cs="Arial" w:eastAsia="Arial" w:hAnsi="Arial"/>
                <w:sz w:val="15"/>
                <w:szCs w:val="15"/>
                <w:color w:val="auto"/>
                <w:w w:val="85"/>
              </w:rPr>
              <w:t>June 8,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25"/>
              <w:spacing w:after="0"/>
              <w:rPr>
                <w:sz w:val="20"/>
                <w:szCs w:val="20"/>
                <w:color w:val="auto"/>
              </w:rPr>
            </w:pPr>
            <w:r>
              <w:rPr>
                <w:rFonts w:ascii="Arial" w:cs="Arial" w:eastAsia="Arial" w:hAnsi="Arial"/>
                <w:sz w:val="15"/>
                <w:szCs w:val="15"/>
                <w:color w:val="auto"/>
                <w:w w:val="91"/>
              </w:rPr>
              <w:t>George Siber, M.D.</w:t>
            </w:r>
          </w:p>
        </w:tc>
        <w:tc>
          <w:tcPr>
            <w:tcW w:w="494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00" w:type="dxa"/>
            <w:vAlign w:val="bottom"/>
          </w:tcPr>
          <w:p>
            <w:pPr>
              <w:ind w:left="240"/>
              <w:spacing w:after="0"/>
              <w:rPr>
                <w:sz w:val="20"/>
                <w:szCs w:val="20"/>
                <w:color w:val="auto"/>
              </w:rPr>
            </w:pPr>
            <w:r>
              <w:rPr>
                <w:rFonts w:ascii="Arial" w:cs="Arial" w:eastAsia="Arial" w:hAnsi="Arial"/>
                <w:sz w:val="15"/>
                <w:szCs w:val="15"/>
                <w:color w:val="auto"/>
                <w:w w:val="85"/>
              </w:rPr>
              <w:t>June 8, 2016</w:t>
            </w:r>
          </w:p>
        </w:tc>
        <w:tc>
          <w:tcPr>
            <w:tcW w:w="0" w:type="dxa"/>
            <w:vAlign w:val="bottom"/>
          </w:tcPr>
          <w:p>
            <w:pPr>
              <w:spacing w:after="0"/>
              <w:rPr>
                <w:sz w:val="1"/>
                <w:szCs w:val="1"/>
                <w:color w:val="auto"/>
              </w:rPr>
            </w:pPr>
          </w:p>
        </w:tc>
      </w:tr>
      <w:tr>
        <w:trPr>
          <w:trHeight w:val="394"/>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2720" w:type="dxa"/>
            <w:vAlign w:val="bottom"/>
          </w:tcPr>
          <w:p>
            <w:pPr>
              <w:jc w:val="center"/>
              <w:spacing w:after="0"/>
              <w:rPr>
                <w:sz w:val="20"/>
                <w:szCs w:val="20"/>
                <w:color w:val="auto"/>
              </w:rPr>
            </w:pPr>
            <w:r>
              <w:rPr>
                <w:rFonts w:ascii="Arial" w:cs="Arial" w:eastAsia="Arial" w:hAnsi="Arial"/>
                <w:sz w:val="15"/>
                <w:szCs w:val="15"/>
                <w:color w:val="auto"/>
                <w:w w:val="95"/>
              </w:rPr>
              <w:t>/s/ WERNER CAUTREELS, PH.D.</w:t>
            </w:r>
          </w:p>
        </w:tc>
        <w:tc>
          <w:tcPr>
            <w:tcW w:w="4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5"/>
                <w:szCs w:val="15"/>
                <w:color w:val="auto"/>
                <w:w w:val="89"/>
              </w:rPr>
              <w:t>Werner Cautreels, Ph.D.</w:t>
            </w:r>
          </w:p>
        </w:tc>
        <w:tc>
          <w:tcPr>
            <w:tcW w:w="4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2720" w:type="dxa"/>
            <w:vAlign w:val="bottom"/>
          </w:tcPr>
          <w:p>
            <w:pPr>
              <w:jc w:val="center"/>
              <w:spacing w:after="0"/>
              <w:rPr>
                <w:sz w:val="20"/>
                <w:szCs w:val="20"/>
                <w:color w:val="auto"/>
              </w:rPr>
            </w:pPr>
            <w:r>
              <w:rPr>
                <w:rFonts w:ascii="Arial" w:cs="Arial" w:eastAsia="Arial" w:hAnsi="Arial"/>
                <w:sz w:val="15"/>
                <w:szCs w:val="15"/>
                <w:i w:val="1"/>
                <w:iCs w:val="1"/>
                <w:color w:val="auto"/>
                <w:w w:val="96"/>
              </w:rPr>
              <w:t>Attorney-in-fact</w:t>
            </w:r>
          </w:p>
        </w:tc>
        <w:tc>
          <w:tcPr>
            <w:tcW w:w="4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6305"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87" w:name="page288"/>
    <w:bookmarkEnd w:id="287"/>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0910" cy="7620"/>
                    </a:xfrm>
                    <a:prstGeom prst="rect">
                      <a:avLst/>
                    </a:prstGeom>
                    <a:noFill/>
                  </pic:spPr>
                </pic:pic>
              </a:graphicData>
            </a:graphic>
          </wp:anchor>
        </w:drawing>
        <w:t>Exhibit index</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34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tcPr>
          <w:p>
            <w:pPr>
              <w:ind w:left="8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78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rPr>
              <w:t>1.1</w:t>
            </w:r>
          </w:p>
        </w:tc>
        <w:tc>
          <w:tcPr>
            <w:tcW w:w="834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Form of Underwriting Agreement</w:t>
            </w:r>
          </w:p>
        </w:tc>
      </w:tr>
      <w:tr>
        <w:trPr>
          <w:trHeight w:val="387"/>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3.1</w:t>
            </w:r>
          </w:p>
        </w:tc>
        <w:tc>
          <w:tcPr>
            <w:tcW w:w="8340" w:type="dxa"/>
            <w:vAlign w:val="bottom"/>
          </w:tcPr>
          <w:p>
            <w:pPr>
              <w:ind w:left="80"/>
              <w:spacing w:after="0"/>
              <w:rPr>
                <w:sz w:val="20"/>
                <w:szCs w:val="20"/>
                <w:color w:val="auto"/>
              </w:rPr>
            </w:pPr>
            <w:r>
              <w:rPr>
                <w:rFonts w:ascii="Arial" w:cs="Arial" w:eastAsia="Arial" w:hAnsi="Arial"/>
                <w:sz w:val="15"/>
                <w:szCs w:val="15"/>
                <w:color w:val="auto"/>
              </w:rPr>
              <w:t>Certificate of Incorporation of the Registrant, as amended (currently in effect)</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3.2**</w:t>
            </w:r>
          </w:p>
        </w:tc>
        <w:tc>
          <w:tcPr>
            <w:tcW w:w="8340" w:type="dxa"/>
            <w:vAlign w:val="bottom"/>
          </w:tcPr>
          <w:p>
            <w:pPr>
              <w:ind w:left="80"/>
              <w:spacing w:after="0"/>
              <w:rPr>
                <w:sz w:val="20"/>
                <w:szCs w:val="20"/>
                <w:color w:val="auto"/>
              </w:rPr>
            </w:pPr>
            <w:r>
              <w:rPr>
                <w:rFonts w:ascii="Arial" w:cs="Arial" w:eastAsia="Arial" w:hAnsi="Arial"/>
                <w:sz w:val="15"/>
                <w:szCs w:val="15"/>
                <w:color w:val="auto"/>
              </w:rPr>
              <w:t>Bylaws of the Registrant (currently in effect)</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3.3**</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Restated Certificate of Incorporation of the Registrant (to be effective upon the closing of this offering)</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3.4**</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Restated Bylaws of the Registrant (to be effective upon the closing of this offering)</w:t>
            </w:r>
          </w:p>
        </w:tc>
      </w:tr>
      <w:tr>
        <w:trPr>
          <w:trHeight w:val="389"/>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4.1</w:t>
            </w:r>
          </w:p>
        </w:tc>
        <w:tc>
          <w:tcPr>
            <w:tcW w:w="8340" w:type="dxa"/>
            <w:vAlign w:val="bottom"/>
          </w:tcPr>
          <w:p>
            <w:pPr>
              <w:ind w:left="80"/>
              <w:spacing w:after="0"/>
              <w:rPr>
                <w:sz w:val="20"/>
                <w:szCs w:val="20"/>
                <w:color w:val="auto"/>
              </w:rPr>
            </w:pPr>
            <w:r>
              <w:rPr>
                <w:rFonts w:ascii="Arial" w:cs="Arial" w:eastAsia="Arial" w:hAnsi="Arial"/>
                <w:sz w:val="15"/>
                <w:szCs w:val="15"/>
                <w:color w:val="auto"/>
                <w:w w:val="91"/>
              </w:rPr>
              <w:t>Fifth Amended and Restated Investors' Rights Agreement, dated as of August 26, 2015, by and between the Registrant and each of the</w:t>
            </w:r>
          </w:p>
        </w:tc>
      </w:tr>
      <w:tr>
        <w:trPr>
          <w:trHeight w:val="18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w w:val="92"/>
              </w:rPr>
              <w:t>stockholders party thereto, as amended by Amendment No. 1 to Fifth Amended and Restated Investors Rights Agreement, dated as of</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June 7, 2016</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4.2**</w:t>
            </w:r>
          </w:p>
        </w:tc>
        <w:tc>
          <w:tcPr>
            <w:tcW w:w="8340" w:type="dxa"/>
            <w:vAlign w:val="bottom"/>
          </w:tcPr>
          <w:p>
            <w:pPr>
              <w:ind w:left="80"/>
              <w:spacing w:after="0"/>
              <w:rPr>
                <w:sz w:val="20"/>
                <w:szCs w:val="20"/>
                <w:color w:val="auto"/>
              </w:rPr>
            </w:pPr>
            <w:r>
              <w:rPr>
                <w:rFonts w:ascii="Arial" w:cs="Arial" w:eastAsia="Arial" w:hAnsi="Arial"/>
                <w:sz w:val="15"/>
                <w:szCs w:val="15"/>
                <w:color w:val="auto"/>
              </w:rPr>
              <w:t>Specimen Stock Certificate evidencing the shares of common stock</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4.3**</w:t>
            </w:r>
          </w:p>
        </w:tc>
        <w:tc>
          <w:tcPr>
            <w:tcW w:w="8340" w:type="dxa"/>
            <w:vAlign w:val="bottom"/>
          </w:tcPr>
          <w:p>
            <w:pPr>
              <w:ind w:left="80"/>
              <w:spacing w:after="0"/>
              <w:rPr>
                <w:sz w:val="20"/>
                <w:szCs w:val="20"/>
                <w:color w:val="auto"/>
              </w:rPr>
            </w:pPr>
            <w:r>
              <w:rPr>
                <w:rFonts w:ascii="Arial" w:cs="Arial" w:eastAsia="Arial" w:hAnsi="Arial"/>
                <w:sz w:val="15"/>
                <w:szCs w:val="15"/>
                <w:color w:val="auto"/>
                <w:w w:val="93"/>
              </w:rPr>
              <w:t>Form of Warrant to Purchase Common Stock, dated July 24, 2015, issued by the Registrant to Investors in the Registrant's April 2015</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Convertible Notes Financing, together with a schedule of warrantholders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4.4**</w:t>
            </w:r>
          </w:p>
        </w:tc>
        <w:tc>
          <w:tcPr>
            <w:tcW w:w="8340" w:type="dxa"/>
            <w:vAlign w:val="bottom"/>
          </w:tcPr>
          <w:p>
            <w:pPr>
              <w:ind w:left="80"/>
              <w:spacing w:after="0"/>
              <w:rPr>
                <w:sz w:val="20"/>
                <w:szCs w:val="20"/>
                <w:color w:val="auto"/>
              </w:rPr>
            </w:pPr>
            <w:r>
              <w:rPr>
                <w:rFonts w:ascii="Arial" w:cs="Arial" w:eastAsia="Arial" w:hAnsi="Arial"/>
                <w:sz w:val="15"/>
                <w:szCs w:val="15"/>
                <w:color w:val="auto"/>
                <w:w w:val="96"/>
              </w:rPr>
              <w:t>Form of Warrant to Purchase Common Stock, dated August 27, 2015, September 3, 2015 or September 17, 2015, issued by the</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Registrant to Investors in the Registrant's Series E Preferred Stock Financing, together with a schedule of warrantholders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4.5**</w:t>
            </w:r>
          </w:p>
        </w:tc>
        <w:tc>
          <w:tcPr>
            <w:tcW w:w="8340" w:type="dxa"/>
            <w:vAlign w:val="bottom"/>
          </w:tcPr>
          <w:p>
            <w:pPr>
              <w:ind w:left="80"/>
              <w:spacing w:after="0"/>
              <w:rPr>
                <w:sz w:val="20"/>
                <w:szCs w:val="20"/>
                <w:color w:val="auto"/>
              </w:rPr>
            </w:pPr>
            <w:r>
              <w:rPr>
                <w:rFonts w:ascii="Arial" w:cs="Arial" w:eastAsia="Arial" w:hAnsi="Arial"/>
                <w:sz w:val="15"/>
                <w:szCs w:val="15"/>
                <w:color w:val="auto"/>
                <w:w w:val="93"/>
              </w:rPr>
              <w:t>Form of Warrant to Purchase Shares of Series D Preferred Stock, dated August 9, 2013 or July 25, 2014, issued by the Registrant to</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Oxford Finance LLC and Square One Bank, together with a schedule of warrantholders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4.6**</w:t>
            </w:r>
          </w:p>
        </w:tc>
        <w:tc>
          <w:tcPr>
            <w:tcW w:w="8340" w:type="dxa"/>
            <w:vAlign w:val="bottom"/>
          </w:tcPr>
          <w:p>
            <w:pPr>
              <w:ind w:left="80"/>
              <w:spacing w:after="0"/>
              <w:rPr>
                <w:sz w:val="20"/>
                <w:szCs w:val="20"/>
                <w:color w:val="auto"/>
              </w:rPr>
            </w:pPr>
            <w:r>
              <w:rPr>
                <w:rFonts w:ascii="Arial" w:cs="Arial" w:eastAsia="Arial" w:hAnsi="Arial"/>
                <w:sz w:val="15"/>
                <w:szCs w:val="15"/>
                <w:color w:val="auto"/>
                <w:w w:val="97"/>
              </w:rPr>
              <w:t>Form of Warrant to Purchase Shares of Series E Preferred Stock, dated December 31, 2015, issued by the Registrant to Oxford</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Finance LLC and Pacific Western Bank, together with a schedule of warrantholders</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5.1</w:t>
            </w:r>
          </w:p>
        </w:tc>
        <w:tc>
          <w:tcPr>
            <w:tcW w:w="8340" w:type="dxa"/>
            <w:vAlign w:val="bottom"/>
          </w:tcPr>
          <w:p>
            <w:pPr>
              <w:ind w:left="80"/>
              <w:spacing w:after="0"/>
              <w:rPr>
                <w:sz w:val="20"/>
                <w:szCs w:val="20"/>
                <w:color w:val="auto"/>
              </w:rPr>
            </w:pPr>
            <w:r>
              <w:rPr>
                <w:rFonts w:ascii="Arial" w:cs="Arial" w:eastAsia="Arial" w:hAnsi="Arial"/>
                <w:sz w:val="15"/>
                <w:szCs w:val="15"/>
                <w:color w:val="auto"/>
              </w:rPr>
              <w:t>Opinion of Latham &amp; Watkins LLP</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10.1**</w:t>
            </w:r>
          </w:p>
        </w:tc>
        <w:tc>
          <w:tcPr>
            <w:tcW w:w="8340" w:type="dxa"/>
            <w:vAlign w:val="bottom"/>
          </w:tcPr>
          <w:p>
            <w:pPr>
              <w:ind w:left="80"/>
              <w:spacing w:after="0"/>
              <w:rPr>
                <w:sz w:val="20"/>
                <w:szCs w:val="20"/>
                <w:color w:val="auto"/>
              </w:rPr>
            </w:pPr>
            <w:r>
              <w:rPr>
                <w:rFonts w:ascii="Arial" w:cs="Arial" w:eastAsia="Arial" w:hAnsi="Arial"/>
                <w:sz w:val="15"/>
                <w:szCs w:val="15"/>
                <w:color w:val="auto"/>
              </w:rPr>
              <w:t>2008 Stock Incentive Plan, as amended, and form of option agreements thereunder</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10.2</w:t>
            </w:r>
          </w:p>
        </w:tc>
        <w:tc>
          <w:tcPr>
            <w:tcW w:w="8340" w:type="dxa"/>
            <w:vAlign w:val="bottom"/>
          </w:tcPr>
          <w:p>
            <w:pPr>
              <w:ind w:left="80"/>
              <w:spacing w:after="0"/>
              <w:rPr>
                <w:sz w:val="20"/>
                <w:szCs w:val="20"/>
                <w:color w:val="auto"/>
              </w:rPr>
            </w:pPr>
            <w:r>
              <w:rPr>
                <w:rFonts w:ascii="Arial" w:cs="Arial" w:eastAsia="Arial" w:hAnsi="Arial"/>
                <w:sz w:val="15"/>
                <w:szCs w:val="15"/>
                <w:color w:val="auto"/>
              </w:rPr>
              <w:t>2016 Incentive Award Plan and form of award agreements thereunder</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10.3</w:t>
            </w:r>
          </w:p>
        </w:tc>
        <w:tc>
          <w:tcPr>
            <w:tcW w:w="8340" w:type="dxa"/>
            <w:vAlign w:val="bottom"/>
          </w:tcPr>
          <w:p>
            <w:pPr>
              <w:ind w:left="80"/>
              <w:spacing w:after="0"/>
              <w:rPr>
                <w:sz w:val="20"/>
                <w:szCs w:val="20"/>
                <w:color w:val="auto"/>
              </w:rPr>
            </w:pPr>
            <w:r>
              <w:rPr>
                <w:rFonts w:ascii="Arial" w:cs="Arial" w:eastAsia="Arial" w:hAnsi="Arial"/>
                <w:sz w:val="15"/>
                <w:szCs w:val="15"/>
                <w:color w:val="auto"/>
              </w:rPr>
              <w:t>2016 Employee Stock Purchase Plan</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10.4</w:t>
            </w:r>
          </w:p>
        </w:tc>
        <w:tc>
          <w:tcPr>
            <w:tcW w:w="8340" w:type="dxa"/>
            <w:vAlign w:val="bottom"/>
          </w:tcPr>
          <w:p>
            <w:pPr>
              <w:ind w:left="80"/>
              <w:spacing w:after="0"/>
              <w:rPr>
                <w:sz w:val="20"/>
                <w:szCs w:val="20"/>
                <w:color w:val="auto"/>
              </w:rPr>
            </w:pPr>
            <w:r>
              <w:rPr>
                <w:rFonts w:ascii="Arial" w:cs="Arial" w:eastAsia="Arial" w:hAnsi="Arial"/>
                <w:sz w:val="15"/>
                <w:szCs w:val="15"/>
                <w:color w:val="auto"/>
              </w:rPr>
              <w:t>Non-Employee Director Compensation Program</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10.5**</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Indemnification Agreement for Directors and Officers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10.6**</w:t>
            </w:r>
          </w:p>
        </w:tc>
        <w:tc>
          <w:tcPr>
            <w:tcW w:w="8340" w:type="dxa"/>
            <w:vAlign w:val="bottom"/>
          </w:tcPr>
          <w:p>
            <w:pPr>
              <w:ind w:left="80"/>
              <w:spacing w:after="0"/>
              <w:rPr>
                <w:sz w:val="20"/>
                <w:szCs w:val="20"/>
                <w:color w:val="auto"/>
              </w:rPr>
            </w:pPr>
            <w:r>
              <w:rPr>
                <w:rFonts w:ascii="Arial" w:cs="Arial" w:eastAsia="Arial" w:hAnsi="Arial"/>
                <w:sz w:val="15"/>
                <w:szCs w:val="15"/>
                <w:color w:val="auto"/>
                <w:w w:val="97"/>
              </w:rPr>
              <w:t>Amended and Restated Loan and Security Agreement, dated as of December 31, 2015, by and between the Registrant, Oxford</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Finance LLC and Pacific Western Bank</w:t>
            </w:r>
          </w:p>
        </w:tc>
      </w:tr>
    </w:tbl>
    <w:p>
      <w:pPr>
        <w:spacing w:after="0" w:line="180" w:lineRule="exact"/>
        <w:rPr>
          <w:sz w:val="20"/>
          <w:szCs w:val="20"/>
          <w:color w:val="auto"/>
        </w:rPr>
      </w:pPr>
    </w:p>
    <w:p>
      <w:pPr>
        <w:ind w:left="2020" w:right="100" w:hanging="754"/>
        <w:spacing w:after="0" w:line="314" w:lineRule="auto"/>
        <w:rPr>
          <w:sz w:val="20"/>
          <w:szCs w:val="20"/>
          <w:color w:val="auto"/>
        </w:rPr>
      </w:pPr>
      <w:r>
        <w:rPr>
          <w:rFonts w:ascii="Arial" w:cs="Arial" w:eastAsia="Arial" w:hAnsi="Arial"/>
          <w:sz w:val="15"/>
          <w:szCs w:val="15"/>
          <w:color w:val="auto"/>
        </w:rPr>
        <w:t>10.7(a)†** Exclusive Patent License Agreement, dated as of November 25, 2008, by and between the Registrant and the Massachusetts Institute of Technology</w:t>
      </w:r>
    </w:p>
    <w:p>
      <w:pPr>
        <w:spacing w:after="0" w:line="128" w:lineRule="exact"/>
        <w:rPr>
          <w:sz w:val="20"/>
          <w:szCs w:val="20"/>
          <w:color w:val="auto"/>
        </w:rPr>
      </w:pPr>
    </w:p>
    <w:p>
      <w:pPr>
        <w:ind w:left="2020" w:right="620" w:hanging="762"/>
        <w:spacing w:after="0" w:line="314" w:lineRule="auto"/>
        <w:rPr>
          <w:sz w:val="20"/>
          <w:szCs w:val="20"/>
          <w:color w:val="auto"/>
        </w:rPr>
      </w:pPr>
      <w:r>
        <w:rPr>
          <w:rFonts w:ascii="Arial" w:cs="Arial" w:eastAsia="Arial" w:hAnsi="Arial"/>
          <w:sz w:val="15"/>
          <w:szCs w:val="15"/>
          <w:color w:val="auto"/>
        </w:rPr>
        <w:t>10.7(b)†** First Amendment to Exclusive Patent License Agreement, dated as of January 12, 2010, by and between the Registrant and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271385" cy="2032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333" w:right="1379" w:bottom="1440" w:gutter="0" w:footer="0" w:header="0"/>
        </w:sectPr>
      </w:pPr>
    </w:p>
    <w:bookmarkStart w:id="288" w:name="page289"/>
    <w:bookmarkEnd w:id="288"/>
    <w:p>
      <w:pPr>
        <w:spacing w:after="0"/>
        <w:rPr>
          <w:sz w:val="20"/>
          <w:szCs w:val="20"/>
          <w:color w:val="auto"/>
        </w:rPr>
      </w:pPr>
      <w:r>
        <w:rPr>
          <w:rFonts w:ascii="Arial" w:cs="Arial" w:eastAsia="Arial" w:hAnsi="Arial"/>
          <w:sz w:val="14"/>
          <w:szCs w:val="14"/>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280910" cy="76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p>
      <w:pPr>
        <w:spacing w:after="0" w:line="400"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Exhibit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6985</wp:posOffset>
            </wp:positionV>
            <wp:extent cx="5810250" cy="76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5810250" cy="762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1600" w:space="420"/>
            <w:col w:w="9420"/>
          </w:cols>
          <w:pgMar w:left="240" w:top="124" w:right="219"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10.7(c)†** Letter Agreement, dated as of November 27, 2012, by and among the Registrant, Massachusetts Institute of Technology and Sanofi</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10.7(d)†** Letter Amendment, dated as of November 27, 2012, by and between the Registrant and the Massachusetts Institute of Technology</w:t>
      </w:r>
    </w:p>
    <w:p>
      <w:pPr>
        <w:spacing w:after="0" w:line="221" w:lineRule="exact"/>
        <w:rPr>
          <w:sz w:val="20"/>
          <w:szCs w:val="20"/>
          <w:color w:val="auto"/>
        </w:rPr>
      </w:pPr>
    </w:p>
    <w:p>
      <w:pPr>
        <w:ind w:left="2020" w:right="1640" w:hanging="754"/>
        <w:spacing w:after="0" w:line="314" w:lineRule="auto"/>
        <w:rPr>
          <w:sz w:val="20"/>
          <w:szCs w:val="20"/>
          <w:color w:val="auto"/>
        </w:rPr>
      </w:pPr>
      <w:r>
        <w:rPr>
          <w:rFonts w:ascii="Arial" w:cs="Arial" w:eastAsia="Arial" w:hAnsi="Arial"/>
          <w:sz w:val="15"/>
          <w:szCs w:val="15"/>
          <w:color w:val="auto"/>
        </w:rPr>
        <w:t>10.7(e)†** Second Amendment to Exclusive Patent License Agreement, dated as of August 29, 2013, by and between the Registrant and the Massachusetts Institute of Technology</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10.8(a)†** License and Research Collaboration Agreement, dated as of November 27, 2012, by and between the Registrant and Sanofi</w:t>
      </w:r>
    </w:p>
    <w:p>
      <w:pPr>
        <w:spacing w:after="0" w:line="221" w:lineRule="exact"/>
        <w:rPr>
          <w:sz w:val="20"/>
          <w:szCs w:val="20"/>
          <w:color w:val="auto"/>
        </w:rPr>
      </w:pPr>
    </w:p>
    <w:p>
      <w:pPr>
        <w:ind w:left="2020" w:right="1660" w:hanging="762"/>
        <w:spacing w:after="0" w:line="314" w:lineRule="auto"/>
        <w:rPr>
          <w:sz w:val="20"/>
          <w:szCs w:val="20"/>
          <w:color w:val="auto"/>
        </w:rPr>
      </w:pPr>
      <w:r>
        <w:rPr>
          <w:rFonts w:ascii="Arial" w:cs="Arial" w:eastAsia="Arial" w:hAnsi="Arial"/>
          <w:sz w:val="15"/>
          <w:szCs w:val="15"/>
          <w:color w:val="auto"/>
        </w:rPr>
        <w:t>10.8(b)†** Supplemental Agreement No. 1 to License and Research Collaboration Agreement, dated as of May 7, 2015, by and between the Registrant and Sanofi</w:t>
      </w:r>
    </w:p>
    <w:p>
      <w:pPr>
        <w:spacing w:after="0" w:line="12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10.9†** License Agreement, dated as of May 12, 2014, by and between the Registrant and Shenyang Sunshine Pharmaceutical Co., Ltd.</w:t>
      </w:r>
    </w:p>
    <w:p>
      <w:pPr>
        <w:spacing w:after="0" w:line="221" w:lineRule="exact"/>
        <w:rPr>
          <w:sz w:val="20"/>
          <w:szCs w:val="20"/>
          <w:color w:val="auto"/>
        </w:rPr>
      </w:pPr>
    </w:p>
    <w:p>
      <w:pPr>
        <w:ind w:left="2020" w:right="2200" w:hanging="662"/>
        <w:spacing w:after="0" w:line="314" w:lineRule="auto"/>
        <w:rPr>
          <w:sz w:val="20"/>
          <w:szCs w:val="20"/>
          <w:color w:val="auto"/>
        </w:rPr>
      </w:pPr>
      <w:r>
        <w:rPr>
          <w:rFonts w:ascii="Arial" w:cs="Arial" w:eastAsia="Arial" w:hAnsi="Arial"/>
          <w:sz w:val="15"/>
          <w:szCs w:val="15"/>
          <w:color w:val="auto"/>
        </w:rPr>
        <w:t>10.10†** Manufacturing Services Agreement, dated as of August 1, 2014, by and between the Registrant and Shenyang Sunshine Pharmaceutical Co., Ltd.</w:t>
      </w:r>
    </w:p>
    <w:p>
      <w:pPr>
        <w:spacing w:after="0" w:line="128" w:lineRule="exact"/>
        <w:rPr>
          <w:sz w:val="20"/>
          <w:szCs w:val="20"/>
          <w:color w:val="auto"/>
        </w:rPr>
      </w:pPr>
    </w:p>
    <w:p>
      <w:pPr>
        <w:ind w:left="2020" w:right="1200" w:hanging="656"/>
        <w:spacing w:after="0" w:line="314" w:lineRule="auto"/>
        <w:rPr>
          <w:sz w:val="20"/>
          <w:szCs w:val="20"/>
          <w:color w:val="auto"/>
        </w:rPr>
      </w:pPr>
      <w:r>
        <w:rPr>
          <w:rFonts w:ascii="Arial" w:cs="Arial" w:eastAsia="Arial" w:hAnsi="Arial"/>
          <w:sz w:val="15"/>
          <w:szCs w:val="15"/>
          <w:color w:val="auto"/>
        </w:rPr>
        <w:t>10.11†** Patent Cross-License Agreement, dated as of December 18, 2008, by and between the Registrant and BIND Therapeutics, Inc. (formerly BIND Biosciences, Inc.)</w:t>
      </w:r>
    </w:p>
    <w:p>
      <w:pPr>
        <w:spacing w:after="0" w:line="128" w:lineRule="exact"/>
        <w:rPr>
          <w:sz w:val="20"/>
          <w:szCs w:val="20"/>
          <w:color w:val="auto"/>
        </w:rPr>
      </w:pPr>
    </w:p>
    <w:p>
      <w:pPr>
        <w:ind w:left="2020" w:right="1400" w:hanging="662"/>
        <w:spacing w:after="0" w:line="314" w:lineRule="auto"/>
        <w:rPr>
          <w:sz w:val="20"/>
          <w:szCs w:val="20"/>
          <w:color w:val="auto"/>
        </w:rPr>
      </w:pPr>
      <w:r>
        <w:rPr>
          <w:rFonts w:ascii="Arial" w:cs="Arial" w:eastAsia="Arial" w:hAnsi="Arial"/>
          <w:sz w:val="15"/>
          <w:szCs w:val="15"/>
          <w:color w:val="auto"/>
        </w:rPr>
        <w:t>10.12†** Exclusive License Agreement, dated as of May 17, 2016, by and among the Registrant, the Massachusetts Eye and Ear Infirmary and The Schepens Eye Research Institute, Inc.</w:t>
      </w:r>
    </w:p>
    <w:p>
      <w:pPr>
        <w:spacing w:after="0" w:line="128" w:lineRule="exact"/>
        <w:rPr>
          <w:sz w:val="20"/>
          <w:szCs w:val="20"/>
          <w:color w:val="auto"/>
        </w:rPr>
      </w:pPr>
    </w:p>
    <w:p>
      <w:pPr>
        <w:ind w:left="2020" w:right="1320" w:hanging="662"/>
        <w:spacing w:after="0" w:line="286" w:lineRule="auto"/>
        <w:rPr>
          <w:sz w:val="20"/>
          <w:szCs w:val="20"/>
          <w:color w:val="auto"/>
        </w:rPr>
      </w:pPr>
      <w:r>
        <w:rPr>
          <w:rFonts w:ascii="Arial" w:cs="Arial" w:eastAsia="Arial" w:hAnsi="Arial"/>
          <w:sz w:val="15"/>
          <w:szCs w:val="15"/>
          <w:color w:val="auto"/>
        </w:rPr>
        <w:t>10.13†** Lease, dated as of September 30, 2008, as amended by the First Amendment, dated as of July 12, 2011, the Second Amendment, dated as of October 11, 2011 and the Third Amendment, dated as of April 6, 2015, by and between the Registrant and ARE-480 Arsenal Street, LLC</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40" w:type="dxa"/>
            <w:vAlign w:val="bottom"/>
          </w:tcPr>
          <w:p>
            <w:pPr>
              <w:ind w:left="1360"/>
              <w:spacing w:after="0"/>
              <w:rPr>
                <w:sz w:val="20"/>
                <w:szCs w:val="20"/>
                <w:color w:val="auto"/>
              </w:rPr>
            </w:pPr>
            <w:r>
              <w:rPr>
                <w:rFonts w:ascii="Arial" w:cs="Arial" w:eastAsia="Arial" w:hAnsi="Arial"/>
                <w:sz w:val="15"/>
                <w:szCs w:val="15"/>
                <w:color w:val="auto"/>
              </w:rPr>
              <w:t>10.14**</w:t>
            </w:r>
          </w:p>
        </w:tc>
        <w:tc>
          <w:tcPr>
            <w:tcW w:w="9500" w:type="dxa"/>
            <w:vAlign w:val="bottom"/>
          </w:tcPr>
          <w:p>
            <w:pPr>
              <w:ind w:left="80"/>
              <w:spacing w:after="0"/>
              <w:rPr>
                <w:sz w:val="20"/>
                <w:szCs w:val="20"/>
                <w:color w:val="auto"/>
              </w:rPr>
            </w:pPr>
            <w:r>
              <w:rPr>
                <w:rFonts w:ascii="Arial" w:cs="Arial" w:eastAsia="Arial" w:hAnsi="Arial"/>
                <w:sz w:val="15"/>
                <w:szCs w:val="15"/>
                <w:color w:val="auto"/>
              </w:rPr>
              <w:t>Consulting Agreement, dated as of March 10, 2008, as amended by the First Amendment to Consulting Agreement, dated as of</w:t>
            </w:r>
          </w:p>
        </w:tc>
      </w:tr>
      <w:tr>
        <w:trPr>
          <w:trHeight w:val="190"/>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Robert S. Langer</w:t>
            </w:r>
          </w:p>
        </w:tc>
      </w:tr>
      <w:tr>
        <w:trPr>
          <w:trHeight w:val="389"/>
        </w:trPr>
        <w:tc>
          <w:tcPr>
            <w:tcW w:w="1940" w:type="dxa"/>
            <w:vAlign w:val="bottom"/>
          </w:tcPr>
          <w:p>
            <w:pPr>
              <w:ind w:left="1360"/>
              <w:spacing w:after="0"/>
              <w:rPr>
                <w:sz w:val="20"/>
                <w:szCs w:val="20"/>
                <w:color w:val="auto"/>
              </w:rPr>
            </w:pPr>
            <w:r>
              <w:rPr>
                <w:rFonts w:ascii="Arial" w:cs="Arial" w:eastAsia="Arial" w:hAnsi="Arial"/>
                <w:sz w:val="15"/>
                <w:szCs w:val="15"/>
                <w:color w:val="auto"/>
              </w:rPr>
              <w:t>10.15**</w:t>
            </w:r>
          </w:p>
        </w:tc>
        <w:tc>
          <w:tcPr>
            <w:tcW w:w="9500" w:type="dxa"/>
            <w:vAlign w:val="bottom"/>
          </w:tcPr>
          <w:p>
            <w:pPr>
              <w:ind w:left="80"/>
              <w:spacing w:after="0"/>
              <w:rPr>
                <w:sz w:val="20"/>
                <w:szCs w:val="20"/>
                <w:color w:val="auto"/>
              </w:rPr>
            </w:pPr>
            <w:r>
              <w:rPr>
                <w:rFonts w:ascii="Arial" w:cs="Arial" w:eastAsia="Arial" w:hAnsi="Arial"/>
                <w:sz w:val="15"/>
                <w:szCs w:val="15"/>
                <w:color w:val="auto"/>
              </w:rPr>
              <w:t>Consulting Agreement, dated as of March 10, 2008, as amended by the First Amendment to Consulting Agreement, dated as of</w:t>
            </w:r>
          </w:p>
        </w:tc>
      </w:tr>
      <w:tr>
        <w:trPr>
          <w:trHeight w:val="190"/>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Omid Farokhzad</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10.16</w:t>
            </w:r>
          </w:p>
        </w:tc>
        <w:tc>
          <w:tcPr>
            <w:tcW w:w="9500" w:type="dxa"/>
            <w:vAlign w:val="bottom"/>
          </w:tcPr>
          <w:p>
            <w:pPr>
              <w:ind w:left="80"/>
              <w:spacing w:after="0"/>
              <w:rPr>
                <w:sz w:val="20"/>
                <w:szCs w:val="20"/>
                <w:color w:val="auto"/>
              </w:rPr>
            </w:pPr>
            <w:r>
              <w:rPr>
                <w:rFonts w:ascii="Arial" w:cs="Arial" w:eastAsia="Arial" w:hAnsi="Arial"/>
                <w:sz w:val="15"/>
                <w:szCs w:val="15"/>
                <w:color w:val="auto"/>
              </w:rPr>
              <w:t>Summary of Oral Agreement, by and between the Registrant and Omid Farokhzad</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10.17</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Werner Cautreels</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10.18</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Takashi Kei Kishimoto</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10.19</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Peter Keller</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10.20</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Earl E. Sands</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10.21</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Lloyd P. M. Johnston, Ph.D.</w:t>
            </w:r>
          </w:p>
        </w:tc>
      </w:tr>
      <w:tr>
        <w:trPr>
          <w:trHeight w:val="102"/>
        </w:trPr>
        <w:tc>
          <w:tcPr>
            <w:tcW w:w="1940" w:type="dxa"/>
            <w:vAlign w:val="bottom"/>
            <w:tcBorders>
              <w:bottom w:val="single" w:sz="8" w:color="808080"/>
            </w:tcBorders>
          </w:tcPr>
          <w:p>
            <w:pPr>
              <w:spacing w:after="0"/>
              <w:rPr>
                <w:sz w:val="8"/>
                <w:szCs w:val="8"/>
                <w:color w:val="auto"/>
              </w:rPr>
            </w:pPr>
          </w:p>
        </w:tc>
        <w:tc>
          <w:tcPr>
            <w:tcW w:w="95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type w:val="continuous"/>
        </w:sectPr>
      </w:pPr>
    </w:p>
    <w:bookmarkStart w:id="289" w:name="page290"/>
    <w:bookmarkEnd w:id="289"/>
    <w:p>
      <w:pPr>
        <w:spacing w:after="0"/>
        <w:rPr>
          <w:sz w:val="20"/>
          <w:szCs w:val="20"/>
          <w:color w:val="auto"/>
        </w:rPr>
      </w:pPr>
      <w:r>
        <w:rPr>
          <w:rFonts w:ascii="Arial" w:cs="Arial" w:eastAsia="Arial" w:hAnsi="Arial"/>
          <w:sz w:val="15"/>
          <w:szCs w:val="15"/>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2"/>
                <w:szCs w:val="12"/>
                <w:color w:val="auto"/>
              </w:rPr>
            </w:pPr>
          </w:p>
        </w:tc>
        <w:tc>
          <w:tcPr>
            <w:tcW w:w="820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gridSpan w:val="2"/>
          </w:tcPr>
          <w:p>
            <w:pPr>
              <w:ind w:left="8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78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rPr>
              <w:t>10.22</w:t>
            </w:r>
          </w:p>
        </w:tc>
        <w:tc>
          <w:tcPr>
            <w:tcW w:w="834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David Abraham</w:t>
            </w:r>
          </w:p>
        </w:tc>
      </w:tr>
      <w:tr>
        <w:trPr>
          <w:trHeight w:val="387"/>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10.23</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David Siewers</w:t>
            </w:r>
          </w:p>
        </w:tc>
      </w:tr>
      <w:tr>
        <w:trPr>
          <w:trHeight w:val="389"/>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10.24</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w w:val="93"/>
              </w:rPr>
              <w:t>Independent Director Consulting Agreement, dated as of May 5, 2009, as amended by the First Amendment to Independent Director</w:t>
            </w:r>
          </w:p>
        </w:tc>
      </w:tr>
      <w:tr>
        <w:trPr>
          <w:trHeight w:val="18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gridSpan w:val="2"/>
          </w:tcPr>
          <w:p>
            <w:pPr>
              <w:ind w:left="80"/>
              <w:spacing w:after="0"/>
              <w:rPr>
                <w:sz w:val="20"/>
                <w:szCs w:val="20"/>
                <w:color w:val="auto"/>
              </w:rPr>
            </w:pPr>
            <w:r>
              <w:rPr>
                <w:rFonts w:ascii="Arial" w:cs="Arial" w:eastAsia="Arial" w:hAnsi="Arial"/>
                <w:sz w:val="15"/>
                <w:szCs w:val="15"/>
                <w:color w:val="auto"/>
                <w:w w:val="92"/>
              </w:rPr>
              <w:t>Consulting Agreement, dated as of July 22, 2009, by and between the Registrant and George R. Siber, M.D., as terminated by a letter,</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dated as of June 1, 2016</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10.25**</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Employment Agreement, dated as of July 19, 2010, by and between the Registrant and Werner Cautreels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10.26**</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Employment Agreement, dated as of June 22, 2011, by and between the Registrant and Takashi Kei Kishimoto</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10.27**</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Employment Agreement, dated as of January 7, 2011, by and between the Registrant and Peter Keller</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10.28**</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Employment Agreement, dated as of July 1, 2015, by and between the Registrant and Earl E. Sands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10.29**</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Offer Letter, dated as of June 30, 2015, by and between the Registrant and Earl E. Sands, M.D.</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10.30**</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Offer Letter, dated as of June 2, 2008, by and between the Registrant and Lloyd P. M. Johnston, Ph.D.</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Offer Letter, dated as of April 4, 2011, by and between the Registrant and David Abraham</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10.32**</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Offer Letter, dated as of September 4, 2009, by and between the Registrant and David Siewers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21.1**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Subsidiaries of the Registrant</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23.1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Ernst &amp; Young LLP</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23.2</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Latham &amp; Watkins LLP (included in Exhibit 5.1)</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24.1**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Power of Attorney (included on signature page)</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99.1**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Director Nominee</w:t>
            </w: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05" w:lineRule="exact"/>
        <w:rPr>
          <w:rFonts w:ascii="Arial" w:cs="Arial" w:eastAsia="Arial" w:hAnsi="Arial"/>
          <w:sz w:val="12"/>
          <w:szCs w:val="12"/>
          <w:color w:val="auto"/>
        </w:rPr>
      </w:pPr>
    </w:p>
    <w:p>
      <w:pPr>
        <w:ind w:left="114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Previously filed.</w:t>
      </w:r>
    </w:p>
    <w:p>
      <w:pPr>
        <w:spacing w:after="0" w:line="105" w:lineRule="exact"/>
        <w:rPr>
          <w:sz w:val="20"/>
          <w:szCs w:val="20"/>
          <w:color w:val="auto"/>
        </w:rPr>
      </w:pPr>
    </w:p>
    <w:p>
      <w:pPr>
        <w:ind w:left="1600" w:hanging="463"/>
        <w:spacing w:after="0"/>
        <w:tabs>
          <w:tab w:leader="none" w:pos="1600" w:val="left"/>
        </w:tabs>
        <w:numPr>
          <w:ilvl w:val="0"/>
          <w:numId w:val="146"/>
        </w:numPr>
        <w:rPr>
          <w:rFonts w:ascii="Arial" w:cs="Arial" w:eastAsia="Arial" w:hAnsi="Arial"/>
          <w:sz w:val="10"/>
          <w:szCs w:val="10"/>
          <w:color w:val="auto"/>
        </w:rPr>
      </w:pPr>
      <w:r>
        <w:rPr>
          <w:rFonts w:ascii="Arial" w:cs="Arial" w:eastAsia="Arial" w:hAnsi="Arial"/>
          <w:sz w:val="10"/>
          <w:szCs w:val="10"/>
          <w:color w:val="auto"/>
        </w:rPr>
        <w:t>Portions of this exhibit (indicated by asterisks) have been omitted pursuant to a request for confidential treatment pursuant to Rule 406 under the Securities Exchange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271385" cy="203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24" w:right="1379" w:bottom="1440" w:gutter="0" w:footer="0" w:header="0"/>
        </w:sectPr>
      </w:pPr>
    </w:p>
    <w:bookmarkStart w:id="290" w:name="page291"/>
    <w:bookmarkEnd w:id="2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1" w:name="page292"/>
    <w:bookmarkEnd w:id="291"/>
    <w:p>
      <w:pPr>
        <w:spacing w:after="0" w:line="8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Exhibit 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SELECTA BIOSCIENCES, INC.</w:t>
      </w: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Shares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Common Stock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($0.0001 par value per Share)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UNDERWRITING AGREEMENT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2016</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1285 Avenue of the Americas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10019</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Stifel, Nicolaus &amp; Company, Incorporated</w:t>
      </w:r>
    </w:p>
    <w:p>
      <w:pPr>
        <w:spacing w:after="0" w:line="219" w:lineRule="auto"/>
        <w:rPr>
          <w:sz w:val="20"/>
          <w:szCs w:val="20"/>
          <w:color w:val="auto"/>
        </w:rPr>
      </w:pPr>
      <w:r>
        <w:rPr>
          <w:rFonts w:ascii="Arial" w:cs="Arial" w:eastAsia="Arial" w:hAnsi="Arial"/>
          <w:sz w:val="15"/>
          <w:szCs w:val="15"/>
          <w:color w:val="auto"/>
        </w:rPr>
        <w:t>787 7</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Avenue, 11</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Floor</w:t>
      </w:r>
    </w:p>
    <w:p>
      <w:pPr>
        <w:spacing w:after="0"/>
        <w:rPr>
          <w:sz w:val="20"/>
          <w:szCs w:val="20"/>
          <w:color w:val="auto"/>
        </w:rPr>
      </w:pPr>
      <w:r>
        <w:rPr>
          <w:rFonts w:ascii="Arial" w:cs="Arial" w:eastAsia="Arial" w:hAnsi="Arial"/>
          <w:sz w:val="15"/>
          <w:szCs w:val="15"/>
          <w:color w:val="auto"/>
        </w:rPr>
        <w:t>New York, New York 10019</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5"/>
          <w:szCs w:val="15"/>
          <w:i w:val="1"/>
          <w:iCs w:val="1"/>
          <w:color w:val="auto"/>
        </w:rPr>
        <w:t>as Managing Underwriters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Selecta Biosciences,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xml:space="preserve">”), proposes to issue and sell to the underwriters named in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annexed hereto (the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Underwriters</w:t>
      </w:r>
      <w:r>
        <w:rPr>
          <w:rFonts w:ascii="Arial" w:cs="Arial" w:eastAsia="Arial" w:hAnsi="Arial"/>
          <w:sz w:val="14"/>
          <w:szCs w:val="14"/>
          <w:color w:val="auto"/>
        </w:rPr>
        <w:t>”), for whom you are acting as representatives, an aggregate of [•] shares (the “</w:t>
      </w:r>
      <w:r>
        <w:rPr>
          <w:rFonts w:ascii="Arial" w:cs="Arial" w:eastAsia="Arial" w:hAnsi="Arial"/>
          <w:sz w:val="14"/>
          <w:szCs w:val="14"/>
          <w:u w:val="single" w:color="auto"/>
          <w:color w:val="auto"/>
        </w:rPr>
        <w:t>Firm Shares</w:t>
      </w:r>
      <w:r>
        <w:rPr>
          <w:rFonts w:ascii="Arial" w:cs="Arial" w:eastAsia="Arial" w:hAnsi="Arial"/>
          <w:sz w:val="14"/>
          <w:szCs w:val="14"/>
          <w:color w:val="auto"/>
        </w:rPr>
        <w:t>”) of common stock, $0.0001 par value per share (the “</w:t>
      </w:r>
      <w:r>
        <w:rPr>
          <w:rFonts w:ascii="Arial" w:cs="Arial" w:eastAsia="Arial" w:hAnsi="Arial"/>
          <w:sz w:val="14"/>
          <w:szCs w:val="14"/>
          <w:u w:val="single" w:color="auto"/>
          <w:color w:val="auto"/>
        </w:rPr>
        <w:t>Common Stock</w:t>
      </w:r>
      <w:r>
        <w:rPr>
          <w:rFonts w:ascii="Arial" w:cs="Arial" w:eastAsia="Arial" w:hAnsi="Arial"/>
          <w:sz w:val="14"/>
          <w:szCs w:val="14"/>
          <w:color w:val="auto"/>
        </w:rPr>
        <w:t>”), of the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Company. In addition, solely for the purpose of covering over-allotments, the Company proposes to grant to the Underwriters the option to purchase from the Company up to an</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additional [·] shares of Common Stock (the “</w:t>
      </w:r>
      <w:r>
        <w:rPr>
          <w:rFonts w:ascii="Arial" w:cs="Arial" w:eastAsia="Arial" w:hAnsi="Arial"/>
          <w:sz w:val="14"/>
          <w:szCs w:val="14"/>
          <w:u w:val="single" w:color="auto"/>
          <w:color w:val="auto"/>
        </w:rPr>
        <w:t>Additional Shares</w:t>
      </w:r>
      <w:r>
        <w:rPr>
          <w:rFonts w:ascii="Arial" w:cs="Arial" w:eastAsia="Arial" w:hAnsi="Arial"/>
          <w:sz w:val="14"/>
          <w:szCs w:val="14"/>
          <w:color w:val="auto"/>
        </w:rPr>
        <w:t>”). The Firm Shares and the Additional Shares are hereinafter collectively sometimes referred to as the “</w:t>
      </w:r>
      <w:r>
        <w:rPr>
          <w:rFonts w:ascii="Arial" w:cs="Arial" w:eastAsia="Arial" w:hAnsi="Arial"/>
          <w:sz w:val="14"/>
          <w:szCs w:val="14"/>
          <w:u w:val="single" w:color="auto"/>
          <w:color w:val="auto"/>
        </w:rPr>
        <w:t>Shares</w:t>
      </w:r>
      <w:r>
        <w:rPr>
          <w:rFonts w:ascii="Arial" w:cs="Arial" w:eastAsia="Arial" w:hAnsi="Arial"/>
          <w:sz w:val="14"/>
          <w:szCs w:val="14"/>
          <w:color w:val="auto"/>
        </w:rPr>
        <w:t>.” The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Shares are described in the Prospectus which is referred to below.</w:t>
      </w:r>
    </w:p>
    <w:p>
      <w:pPr>
        <w:spacing w:after="0" w:line="188" w:lineRule="exact"/>
        <w:rPr>
          <w:sz w:val="20"/>
          <w:szCs w:val="20"/>
          <w:color w:val="auto"/>
        </w:rPr>
      </w:pPr>
    </w:p>
    <w:p>
      <w:pPr>
        <w:ind w:right="60" w:firstLine="1112"/>
        <w:spacing w:after="0" w:line="282" w:lineRule="auto"/>
        <w:rPr>
          <w:sz w:val="20"/>
          <w:szCs w:val="20"/>
          <w:color w:val="auto"/>
        </w:rPr>
      </w:pPr>
      <w:r>
        <w:rPr>
          <w:rFonts w:ascii="Arial" w:cs="Arial" w:eastAsia="Arial" w:hAnsi="Arial"/>
          <w:sz w:val="14"/>
          <w:szCs w:val="14"/>
          <w:color w:val="auto"/>
        </w:rPr>
        <w:t>The Company hereby acknowledges that, in connection with the proposed offering of the Shares, it has requested UBS Financial Services Inc. (“</w:t>
      </w:r>
      <w:r>
        <w:rPr>
          <w:rFonts w:ascii="Arial" w:cs="Arial" w:eastAsia="Arial" w:hAnsi="Arial"/>
          <w:sz w:val="14"/>
          <w:szCs w:val="14"/>
          <w:u w:val="single" w:color="auto"/>
          <w:color w:val="auto"/>
        </w:rPr>
        <w:t>UBS-FinSvc</w:t>
      </w:r>
      <w:r>
        <w:rPr>
          <w:rFonts w:ascii="Arial" w:cs="Arial" w:eastAsia="Arial" w:hAnsi="Arial"/>
          <w:sz w:val="14"/>
          <w:szCs w:val="14"/>
          <w:color w:val="auto"/>
        </w:rPr>
        <w:t>”) to administer a directed share program (the “</w:t>
      </w:r>
      <w:r>
        <w:rPr>
          <w:rFonts w:ascii="Arial" w:cs="Arial" w:eastAsia="Arial" w:hAnsi="Arial"/>
          <w:sz w:val="14"/>
          <w:szCs w:val="14"/>
          <w:u w:val="single" w:color="auto"/>
          <w:color w:val="auto"/>
        </w:rPr>
        <w:t>Directed Share Program</w:t>
      </w:r>
      <w:r>
        <w:rPr>
          <w:rFonts w:ascii="Arial" w:cs="Arial" w:eastAsia="Arial" w:hAnsi="Arial"/>
          <w:sz w:val="14"/>
          <w:szCs w:val="14"/>
          <w:color w:val="auto"/>
        </w:rPr>
        <w:t>”) under which up to [·] of the Firm Shares, or 5% of the Firm Shares to be purchased by the Underwriters (the “</w:t>
      </w:r>
      <w:r>
        <w:rPr>
          <w:rFonts w:ascii="Arial" w:cs="Arial" w:eastAsia="Arial" w:hAnsi="Arial"/>
          <w:sz w:val="14"/>
          <w:szCs w:val="14"/>
          <w:u w:val="single" w:color="auto"/>
          <w:color w:val="auto"/>
        </w:rPr>
        <w:t>Reserved Shares</w:t>
      </w:r>
      <w:r>
        <w:rPr>
          <w:rFonts w:ascii="Arial" w:cs="Arial" w:eastAsia="Arial" w:hAnsi="Arial"/>
          <w:sz w:val="14"/>
          <w:szCs w:val="14"/>
          <w:color w:val="auto"/>
        </w:rPr>
        <w:t>”), shall be reserved for sale by UBS-FinSvc at the initial public offering price to the Company’s officers, directors, employees and consultants and other persons having a relationship with the Company as designated by the Company (the “</w:t>
      </w:r>
      <w:r>
        <w:rPr>
          <w:rFonts w:ascii="Arial" w:cs="Arial" w:eastAsia="Arial" w:hAnsi="Arial"/>
          <w:sz w:val="14"/>
          <w:szCs w:val="14"/>
          <w:u w:val="single" w:color="auto"/>
          <w:color w:val="auto"/>
        </w:rPr>
        <w:t>Directed Share Participants</w:t>
      </w:r>
      <w:r>
        <w:rPr>
          <w:rFonts w:ascii="Arial" w:cs="Arial" w:eastAsia="Arial" w:hAnsi="Arial"/>
          <w:sz w:val="14"/>
          <w:szCs w:val="14"/>
          <w:color w:val="auto"/>
        </w:rPr>
        <w:t>”) as part of the distribution of the Shares by the Underwriters, subject to the terms of this Agreement, the applicable rules, regulations and interpretations of the Financial Industry Regulatory Authority, Inc. (“</w:t>
      </w:r>
      <w:r>
        <w:rPr>
          <w:rFonts w:ascii="Arial" w:cs="Arial" w:eastAsia="Arial" w:hAnsi="Arial"/>
          <w:sz w:val="14"/>
          <w:szCs w:val="14"/>
          <w:u w:val="single" w:color="auto"/>
          <w:color w:val="auto"/>
        </w:rPr>
        <w:t>FINRA</w:t>
      </w:r>
      <w:r>
        <w:rPr>
          <w:rFonts w:ascii="Arial" w:cs="Arial" w:eastAsia="Arial" w:hAnsi="Arial"/>
          <w:sz w:val="14"/>
          <w:szCs w:val="14"/>
          <w:color w:val="auto"/>
        </w:rPr>
        <w:t>”) and all other applicable laws, rules and regulations. The number of Shares available for sale to the general public will be reduced to the extent that Directed Share Participants purchase Reserved Shares. The Underwriters may offer any Reserved Shares not purchased by Directed Share Participants to the general public on the same basis as the other Shares being issued and sold hereunder. The Company has supplied UBS-FinSvc with the names, addresses and telephone numbers of the individuals or other entities which the Company has designated to be participants in the Directed Share Program. It is understood that any number of those so designated to participate in the Directed Share Program may decline to do so.</w:t>
      </w:r>
    </w:p>
    <w:p>
      <w:pPr>
        <w:spacing w:after="0" w:line="151" w:lineRule="exact"/>
        <w:rPr>
          <w:sz w:val="20"/>
          <w:szCs w:val="20"/>
          <w:color w:val="auto"/>
        </w:rPr>
      </w:pPr>
    </w:p>
    <w:p>
      <w:pPr>
        <w:ind w:right="720" w:firstLine="1112"/>
        <w:spacing w:after="0" w:line="289" w:lineRule="auto"/>
        <w:rPr>
          <w:sz w:val="20"/>
          <w:szCs w:val="20"/>
          <w:color w:val="auto"/>
        </w:rPr>
      </w:pPr>
      <w:r>
        <w:rPr>
          <w:rFonts w:ascii="Arial" w:cs="Arial" w:eastAsia="Arial" w:hAnsi="Arial"/>
          <w:sz w:val="15"/>
          <w:szCs w:val="15"/>
          <w:color w:val="auto"/>
        </w:rPr>
        <w:t>The Company has prepared and filed, in accordance with the provisions of the Securities Act of 1933, as amended, and the rules and regulations thereunder (collectively, the “</w:t>
      </w:r>
      <w:r>
        <w:rPr>
          <w:rFonts w:ascii="Arial" w:cs="Arial" w:eastAsia="Arial" w:hAnsi="Arial"/>
          <w:sz w:val="15"/>
          <w:szCs w:val="15"/>
          <w:u w:val="single" w:color="auto"/>
          <w:color w:val="auto"/>
        </w:rPr>
        <w:t>Act</w:t>
      </w:r>
      <w:r>
        <w:rPr>
          <w:rFonts w:ascii="Arial" w:cs="Arial" w:eastAsia="Arial" w:hAnsi="Arial"/>
          <w:sz w:val="15"/>
          <w:szCs w:val="15"/>
          <w:color w:val="auto"/>
        </w:rPr>
        <w:t>”), with the Securities and Exchange Commission (the “</w:t>
      </w:r>
      <w:r>
        <w:rPr>
          <w:rFonts w:ascii="Arial" w:cs="Arial" w:eastAsia="Arial" w:hAnsi="Arial"/>
          <w:sz w:val="15"/>
          <w:szCs w:val="15"/>
          <w:u w:val="single" w:color="auto"/>
          <w:color w:val="auto"/>
        </w:rPr>
        <w:t>Commission</w:t>
      </w:r>
      <w:r>
        <w:rPr>
          <w:rFonts w:ascii="Arial" w:cs="Arial" w:eastAsia="Arial" w:hAnsi="Arial"/>
          <w:sz w:val="15"/>
          <w:szCs w:val="15"/>
          <w:color w:val="auto"/>
        </w:rPr>
        <w:t>”) a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285990" cy="2730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statement on Form S-1 (File No. 333-211555) under the Act, including a prospectus, relating to the Shares.</w:t>
      </w:r>
    </w:p>
    <w:p>
      <w:pPr>
        <w:spacing w:after="0" w:line="198" w:lineRule="exact"/>
        <w:rPr>
          <w:sz w:val="20"/>
          <w:szCs w:val="20"/>
          <w:color w:val="auto"/>
        </w:rPr>
      </w:pPr>
    </w:p>
    <w:p>
      <w:pPr>
        <w:jc w:val="both"/>
        <w:ind w:right="160" w:firstLine="1112"/>
        <w:spacing w:after="0" w:line="302" w:lineRule="auto"/>
        <w:rPr>
          <w:sz w:val="20"/>
          <w:szCs w:val="20"/>
          <w:color w:val="auto"/>
        </w:rPr>
      </w:pPr>
      <w:r>
        <w:rPr>
          <w:rFonts w:ascii="Arial" w:cs="Arial" w:eastAsia="Arial" w:hAnsi="Arial"/>
          <w:sz w:val="13"/>
          <w:szCs w:val="13"/>
          <w:color w:val="auto"/>
        </w:rPr>
        <w:t>Except where the context otherwise requires,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as used herein, means the registration statement, as amended, at the time of such registration statement’s effectiveness for purposes of Section 11 of the Act, as such section applies to the respective Underwriters (the “</w:t>
      </w:r>
      <w:r>
        <w:rPr>
          <w:rFonts w:ascii="Arial" w:cs="Arial" w:eastAsia="Arial" w:hAnsi="Arial"/>
          <w:sz w:val="13"/>
          <w:szCs w:val="13"/>
          <w:u w:val="single" w:color="auto"/>
          <w:color w:val="auto"/>
        </w:rPr>
        <w:t>Effective Time</w:t>
      </w:r>
      <w:r>
        <w:rPr>
          <w:rFonts w:ascii="Arial" w:cs="Arial" w:eastAsia="Arial" w:hAnsi="Arial"/>
          <w:sz w:val="13"/>
          <w:szCs w:val="13"/>
          <w:color w:val="auto"/>
        </w:rPr>
        <w:t>”), including (i) all documents filed as a part thereof, (ii) any information contained in a prospectus filed with the Commission pursuant to Rule 424(b) under the Act, to the extent such information is deemed, pursuant to</w:t>
      </w:r>
    </w:p>
    <w:p>
      <w:pPr>
        <w:spacing w:after="0" w:line="2" w:lineRule="exact"/>
        <w:rPr>
          <w:sz w:val="20"/>
          <w:szCs w:val="20"/>
          <w:color w:val="auto"/>
        </w:rPr>
      </w:pPr>
    </w:p>
    <w:p>
      <w:pPr>
        <w:ind w:right="360"/>
        <w:spacing w:after="0" w:line="275" w:lineRule="auto"/>
        <w:rPr>
          <w:sz w:val="20"/>
          <w:szCs w:val="20"/>
          <w:color w:val="auto"/>
        </w:rPr>
      </w:pPr>
      <w:r>
        <w:rPr>
          <w:rFonts w:ascii="Arial" w:cs="Arial" w:eastAsia="Arial" w:hAnsi="Arial"/>
          <w:sz w:val="15"/>
          <w:szCs w:val="15"/>
          <w:color w:val="auto"/>
        </w:rPr>
        <w:t>Rule 430A or Rule 430C under the Act, to be part of the registration statement at the Effective Time, and (iii) any registration statement filed to register the offer and sale of Shares pursuant to Rule 462(b) under the Act.</w:t>
      </w:r>
    </w:p>
    <w:p>
      <w:pPr>
        <w:spacing w:after="0" w:line="150" w:lineRule="exact"/>
        <w:rPr>
          <w:sz w:val="20"/>
          <w:szCs w:val="20"/>
          <w:color w:val="auto"/>
        </w:rPr>
      </w:pPr>
    </w:p>
    <w:p>
      <w:pPr>
        <w:ind w:right="100" w:firstLine="1112"/>
        <w:spacing w:after="0" w:line="268" w:lineRule="auto"/>
        <w:rPr>
          <w:sz w:val="20"/>
          <w:szCs w:val="20"/>
          <w:color w:val="auto"/>
        </w:rPr>
      </w:pPr>
      <w:r>
        <w:rPr>
          <w:rFonts w:ascii="Arial" w:cs="Arial" w:eastAsia="Arial" w:hAnsi="Arial"/>
          <w:sz w:val="15"/>
          <w:szCs w:val="15"/>
          <w:color w:val="auto"/>
        </w:rPr>
        <w:t>Except where the context otherwise requires, “</w:t>
      </w:r>
      <w:r>
        <w:rPr>
          <w:rFonts w:ascii="Arial" w:cs="Arial" w:eastAsia="Arial" w:hAnsi="Arial"/>
          <w:sz w:val="15"/>
          <w:szCs w:val="15"/>
          <w:u w:val="single" w:color="auto"/>
          <w:color w:val="auto"/>
        </w:rPr>
        <w:t>Prospectus</w:t>
      </w:r>
      <w:r>
        <w:rPr>
          <w:rFonts w:ascii="Arial" w:cs="Arial" w:eastAsia="Arial" w:hAnsi="Arial"/>
          <w:sz w:val="15"/>
          <w:szCs w:val="15"/>
          <w:color w:val="auto"/>
        </w:rPr>
        <w:t>,” as used herein, means the prospectus, relating to the Shares, filed by the Company with the Commission pursuant to Rule 424(b) under the Act on or before the second business day after the date hereof (or such earlier time as may be required under the Act), or, if no such filing is required, the final prospectus included in the Registration Statement at the time it became effective under the Act, in each case in the form furnished by the Company to you for use by the Underwriters and by dealers in connection with the offering of the Shares.</w:t>
      </w:r>
    </w:p>
    <w:p>
      <w:pPr>
        <w:spacing w:after="0" w:line="156"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Preliminary Prospectus</w:t>
      </w:r>
      <w:r>
        <w:rPr>
          <w:rFonts w:ascii="Arial" w:cs="Arial" w:eastAsia="Arial" w:hAnsi="Arial"/>
          <w:sz w:val="14"/>
          <w:szCs w:val="14"/>
          <w:color w:val="auto"/>
        </w:rPr>
        <w:t>,” as used herein, means, as of any time, the prospectus relating to the Shares that is included in the Registration Statement immediately prior</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to that time.</w:t>
      </w:r>
    </w:p>
    <w:p>
      <w:pPr>
        <w:spacing w:after="0" w:line="188" w:lineRule="exact"/>
        <w:rPr>
          <w:sz w:val="20"/>
          <w:szCs w:val="20"/>
          <w:color w:val="auto"/>
        </w:rPr>
      </w:pPr>
    </w:p>
    <w:p>
      <w:pPr>
        <w:ind w:right="180" w:firstLine="1112"/>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Free Writing Prospectuses</w:t>
      </w:r>
      <w:r>
        <w:rPr>
          <w:rFonts w:ascii="Arial" w:cs="Arial" w:eastAsia="Arial" w:hAnsi="Arial"/>
          <w:sz w:val="15"/>
          <w:szCs w:val="15"/>
          <w:color w:val="auto"/>
        </w:rPr>
        <w:t xml:space="preserve">,” as used herein, means the documents listed on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attached hereto under the heading “Permitted Free Writing Prospectuses” and each “road show” (as defined in Rule 433 under the Act), if any, related to the offering of the Shares contemplated hereby that is a “written communication” (as defined in Rule 405 under the Act) (each such road show, an “</w:t>
      </w:r>
      <w:r>
        <w:rPr>
          <w:rFonts w:ascii="Arial" w:cs="Arial" w:eastAsia="Arial" w:hAnsi="Arial"/>
          <w:sz w:val="15"/>
          <w:szCs w:val="15"/>
          <w:u w:val="single" w:color="auto"/>
          <w:color w:val="auto"/>
        </w:rPr>
        <w:t>Electronic Road Show</w:t>
      </w:r>
      <w:r>
        <w:rPr>
          <w:rFonts w:ascii="Arial" w:cs="Arial" w:eastAsia="Arial" w:hAnsi="Arial"/>
          <w:sz w:val="15"/>
          <w:szCs w:val="15"/>
          <w:color w:val="auto"/>
        </w:rPr>
        <w:t>”). The Underwriters have not offered or sold and will not offer or sell, without the Company’s consent, any Shares by means of any “free writing prospectus” (as defined in Rule 405 under the Act) that is required to be filed by the Underwriters with the Commission pursuant to Rule 433 under the Act, other than a Permitted Free Writing Prospectus.</w:t>
      </w:r>
    </w:p>
    <w:p>
      <w:pPr>
        <w:spacing w:after="0" w:line="160" w:lineRule="exact"/>
        <w:rPr>
          <w:sz w:val="20"/>
          <w:szCs w:val="20"/>
          <w:color w:val="auto"/>
        </w:rPr>
      </w:pPr>
    </w:p>
    <w:p>
      <w:pPr>
        <w:ind w:right="180" w:firstLine="1112"/>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Covered Free Writing Prospectuses</w:t>
      </w:r>
      <w:r>
        <w:rPr>
          <w:rFonts w:ascii="Arial" w:cs="Arial" w:eastAsia="Arial" w:hAnsi="Arial"/>
          <w:sz w:val="15"/>
          <w:szCs w:val="15"/>
          <w:color w:val="auto"/>
        </w:rPr>
        <w:t>,” as used herein, means (i) each “issuer free writing prospectus” (as defined in Rule 433(h)(1) under the Act), if any, relating to the Shares, which is not a Permitted Free Writing Prospectus and (ii) each Permitted Free Writing Prospectus.</w:t>
      </w:r>
    </w:p>
    <w:p>
      <w:pPr>
        <w:spacing w:after="0" w:line="141" w:lineRule="exact"/>
        <w:rPr>
          <w:sz w:val="20"/>
          <w:szCs w:val="20"/>
          <w:color w:val="auto"/>
        </w:rPr>
      </w:pPr>
    </w:p>
    <w:p>
      <w:pPr>
        <w:jc w:val="both"/>
        <w:ind w:right="460" w:firstLine="1112"/>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Exempt Written Communication</w:t>
      </w:r>
      <w:r>
        <w:rPr>
          <w:rFonts w:ascii="Arial" w:cs="Arial" w:eastAsia="Arial" w:hAnsi="Arial"/>
          <w:sz w:val="14"/>
          <w:szCs w:val="14"/>
          <w:color w:val="auto"/>
        </w:rPr>
        <w:t>,” as used herein, means each written communication, if any, by the Company or any person authorized to act on behalf of the Company made to one or more qualified institutional buyers (“</w:t>
      </w:r>
      <w:r>
        <w:rPr>
          <w:rFonts w:ascii="Arial" w:cs="Arial" w:eastAsia="Arial" w:hAnsi="Arial"/>
          <w:sz w:val="14"/>
          <w:szCs w:val="14"/>
          <w:u w:val="single" w:color="auto"/>
          <w:color w:val="auto"/>
        </w:rPr>
        <w:t>QIBs</w:t>
      </w:r>
      <w:r>
        <w:rPr>
          <w:rFonts w:ascii="Arial" w:cs="Arial" w:eastAsia="Arial" w:hAnsi="Arial"/>
          <w:sz w:val="14"/>
          <w:szCs w:val="14"/>
          <w:color w:val="auto"/>
        </w:rPr>
        <w:t>”) as such term is defined in Rule 144A under the Act or one or more institutions that are accredited investors (“</w:t>
      </w:r>
      <w:r>
        <w:rPr>
          <w:rFonts w:ascii="Arial" w:cs="Arial" w:eastAsia="Arial" w:hAnsi="Arial"/>
          <w:sz w:val="14"/>
          <w:szCs w:val="14"/>
          <w:u w:val="single" w:color="auto"/>
          <w:color w:val="auto"/>
        </w:rPr>
        <w:t>IAIs</w:t>
      </w:r>
      <w:r>
        <w:rPr>
          <w:rFonts w:ascii="Arial" w:cs="Arial" w:eastAsia="Arial" w:hAnsi="Arial"/>
          <w:sz w:val="14"/>
          <w:szCs w:val="14"/>
          <w:color w:val="auto"/>
        </w:rPr>
        <w:t>”), as defined in Rule 501(a) under the Act to determine whether such investors might have an interest in a contemplated securities offering.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firstLine="1112"/>
        <w:spacing w:after="0" w:line="3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Exempt Oral Communication</w:t>
      </w:r>
      <w:r>
        <w:rPr>
          <w:rFonts w:ascii="Arial" w:cs="Arial" w:eastAsia="Arial" w:hAnsi="Arial"/>
          <w:sz w:val="13"/>
          <w:szCs w:val="13"/>
          <w:color w:val="auto"/>
        </w:rPr>
        <w:t>,” as used herein, means each oral communication made prior to the filing of the Registration Statement by the Company or any person authorized to act on behalf of the Company made to one or more QIBs and/or one or more IAIs to determine whether such investors might have an interest in a contemplated securities</w:t>
      </w:r>
    </w:p>
    <w:p>
      <w:pPr>
        <w:sectPr>
          <w:pgSz w:w="11900" w:h="16925" w:orient="portrait"/>
          <w:cols w:equalWidth="0" w:num="1">
            <w:col w:w="11440"/>
          </w:cols>
          <w:pgMar w:left="240" w:top="332" w:right="219" w:bottom="0" w:gutter="0" w:footer="0" w:header="0"/>
        </w:sectPr>
      </w:pPr>
    </w:p>
    <w:bookmarkStart w:id="292" w:name="page293"/>
    <w:bookmarkEnd w:id="292"/>
    <w:p>
      <w:pPr>
        <w:spacing w:after="0"/>
        <w:rPr>
          <w:sz w:val="20"/>
          <w:szCs w:val="20"/>
          <w:color w:val="auto"/>
        </w:rPr>
      </w:pPr>
      <w:r>
        <w:rPr>
          <w:rFonts w:ascii="Arial" w:cs="Arial" w:eastAsia="Arial" w:hAnsi="Arial"/>
          <w:sz w:val="15"/>
          <w:szCs w:val="15"/>
          <w:color w:val="auto"/>
        </w:rPr>
        <w:t>offering.</w:t>
      </w:r>
    </w:p>
    <w:p>
      <w:pPr>
        <w:spacing w:after="0" w:line="198" w:lineRule="exact"/>
        <w:rPr>
          <w:sz w:val="20"/>
          <w:szCs w:val="20"/>
          <w:color w:val="auto"/>
        </w:rPr>
      </w:pPr>
    </w:p>
    <w:p>
      <w:pPr>
        <w:ind w:firstLine="1112"/>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Exempt Written Communication</w:t>
      </w:r>
      <w:r>
        <w:rPr>
          <w:rFonts w:ascii="Arial" w:cs="Arial" w:eastAsia="Arial" w:hAnsi="Arial"/>
          <w:sz w:val="15"/>
          <w:szCs w:val="15"/>
          <w:color w:val="auto"/>
        </w:rPr>
        <w:t>,” as used herein, means the documents listed on Schedule B attached hereto under the heading “Permitted Exempt Written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-160655</wp:posOffset>
            </wp:positionV>
            <wp:extent cx="90170"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90170" cy="7620"/>
                    </a:xfrm>
                    <a:prstGeom prst="rect">
                      <a:avLst/>
                    </a:prstGeom>
                    <a:noFill/>
                  </pic:spPr>
                </pic:pic>
              </a:graphicData>
            </a:graphic>
          </wp:anchor>
        </w:drawing>
      </w:r>
    </w:p>
    <w:p>
      <w:pPr>
        <w:spacing w:after="0" w:line="121" w:lineRule="exact"/>
        <w:rPr>
          <w:sz w:val="20"/>
          <w:szCs w:val="20"/>
          <w:color w:val="auto"/>
        </w:rPr>
      </w:pPr>
    </w:p>
    <w:p>
      <w:pPr>
        <w:ind w:right="160" w:firstLine="1112"/>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Covered Exempt Written Communication</w:t>
      </w:r>
      <w:r>
        <w:rPr>
          <w:rFonts w:ascii="Arial" w:cs="Arial" w:eastAsia="Arial" w:hAnsi="Arial"/>
          <w:sz w:val="15"/>
          <w:szCs w:val="15"/>
          <w:color w:val="auto"/>
        </w:rPr>
        <w:t>,” as used herein, means (i) each Exempt Written Communication that is not a Permitted Exempt Written Communication and (ii) each Permitted Exempt Written Communication.</w:t>
      </w:r>
    </w:p>
    <w:p>
      <w:pPr>
        <w:spacing w:after="0" w:line="141" w:lineRule="exact"/>
        <w:rPr>
          <w:sz w:val="20"/>
          <w:szCs w:val="20"/>
          <w:color w:val="auto"/>
        </w:rPr>
      </w:pPr>
    </w:p>
    <w:p>
      <w:pPr>
        <w:ind w:right="300" w:firstLine="1112"/>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Disclosure Package</w:t>
      </w:r>
      <w:r>
        <w:rPr>
          <w:rFonts w:ascii="Arial" w:cs="Arial" w:eastAsia="Arial" w:hAnsi="Arial"/>
          <w:sz w:val="15"/>
          <w:szCs w:val="15"/>
          <w:color w:val="auto"/>
        </w:rPr>
        <w:t xml:space="preserve">,” as used herein, means, collectively, the pricing information set forth on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attached hereto under the heading “Pricing Information Provided Orally by Underwriters,” the Preliminary Prospectus and all Permitted Free Writing Prospectuses, if any, considered together.</w:t>
      </w:r>
    </w:p>
    <w:p>
      <w:pPr>
        <w:spacing w:after="0" w:line="141"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Time</w:t>
      </w:r>
      <w:r>
        <w:rPr>
          <w:rFonts w:ascii="Arial" w:cs="Arial" w:eastAsia="Arial" w:hAnsi="Arial"/>
          <w:sz w:val="15"/>
          <w:szCs w:val="15"/>
          <w:color w:val="auto"/>
        </w:rPr>
        <w:t>”, as used herein, means [·] [“A.M.” / “P.M.”], New York City time, on [·].</w:t>
      </w:r>
    </w:p>
    <w:p>
      <w:pPr>
        <w:spacing w:after="0" w:line="198" w:lineRule="exact"/>
        <w:rPr>
          <w:sz w:val="20"/>
          <w:szCs w:val="20"/>
          <w:color w:val="auto"/>
        </w:rPr>
      </w:pPr>
    </w:p>
    <w:p>
      <w:pPr>
        <w:ind w:right="440" w:firstLine="1112"/>
        <w:spacing w:after="0" w:line="273" w:lineRule="auto"/>
        <w:rPr>
          <w:sz w:val="20"/>
          <w:szCs w:val="20"/>
          <w:color w:val="auto"/>
        </w:rPr>
      </w:pPr>
      <w:r>
        <w:rPr>
          <w:rFonts w:ascii="Arial" w:cs="Arial" w:eastAsia="Arial" w:hAnsi="Arial"/>
          <w:sz w:val="15"/>
          <w:szCs w:val="15"/>
          <w:color w:val="auto"/>
        </w:rPr>
        <w:t>As used in this Agreement, “</w:t>
      </w:r>
      <w:r>
        <w:rPr>
          <w:rFonts w:ascii="Arial" w:cs="Arial" w:eastAsia="Arial" w:hAnsi="Arial"/>
          <w:sz w:val="15"/>
          <w:szCs w:val="15"/>
          <w:u w:val="single" w:color="auto"/>
          <w:color w:val="auto"/>
        </w:rPr>
        <w:t>business day</w:t>
      </w:r>
      <w:r>
        <w:rPr>
          <w:rFonts w:ascii="Arial" w:cs="Arial" w:eastAsia="Arial" w:hAnsi="Arial"/>
          <w:sz w:val="15"/>
          <w:szCs w:val="15"/>
          <w:color w:val="auto"/>
        </w:rPr>
        <w:t>” shall mean a day on which The NASDAQ Stock Market is open for trading. The terms “herein,” “hereof,” “hereto,” “hereinafter” and similar terms, as used in this Agreement, shall in each case refer to this Agreement as a whole and not to any particular section, paragraph, sentence or other subdivision of this Agreement. The term “or,” as used herein, is not exclusive.</w:t>
      </w:r>
    </w:p>
    <w:p>
      <w:pPr>
        <w:spacing w:after="0" w:line="153" w:lineRule="exact"/>
        <w:rPr>
          <w:sz w:val="20"/>
          <w:szCs w:val="20"/>
          <w:color w:val="auto"/>
        </w:rPr>
      </w:pPr>
    </w:p>
    <w:p>
      <w:pPr>
        <w:jc w:val="both"/>
        <w:ind w:right="200" w:firstLine="1112"/>
        <w:spacing w:after="0" w:line="273" w:lineRule="auto"/>
        <w:rPr>
          <w:sz w:val="20"/>
          <w:szCs w:val="20"/>
          <w:color w:val="auto"/>
        </w:rPr>
      </w:pPr>
      <w:r>
        <w:rPr>
          <w:rFonts w:ascii="Arial" w:cs="Arial" w:eastAsia="Arial" w:hAnsi="Arial"/>
          <w:sz w:val="15"/>
          <w:szCs w:val="15"/>
          <w:color w:val="auto"/>
        </w:rPr>
        <w:t>The Company has prepared and filed, in accordance with Section 12 of the Securities Exchange Act of 1934, as amended, and the rules and regulations thereunder (collectively, the “</w:t>
      </w:r>
      <w:r>
        <w:rPr>
          <w:rFonts w:ascii="Arial" w:cs="Arial" w:eastAsia="Arial" w:hAnsi="Arial"/>
          <w:sz w:val="15"/>
          <w:szCs w:val="15"/>
          <w:u w:val="single" w:color="auto"/>
          <w:color w:val="auto"/>
        </w:rPr>
        <w:t>Exchange Act</w:t>
      </w:r>
      <w:r>
        <w:rPr>
          <w:rFonts w:ascii="Arial" w:cs="Arial" w:eastAsia="Arial" w:hAnsi="Arial"/>
          <w:sz w:val="15"/>
          <w:szCs w:val="15"/>
          <w:color w:val="auto"/>
        </w:rPr>
        <w:t>”)”, a registration statement (as amended, the “</w:t>
      </w:r>
      <w:r>
        <w:rPr>
          <w:rFonts w:ascii="Arial" w:cs="Arial" w:eastAsia="Arial" w:hAnsi="Arial"/>
          <w:sz w:val="15"/>
          <w:szCs w:val="15"/>
          <w:u w:val="single" w:color="auto"/>
          <w:color w:val="auto"/>
        </w:rPr>
        <w:t>Exchange Act Registration Statement</w:t>
      </w:r>
      <w:r>
        <w:rPr>
          <w:rFonts w:ascii="Arial" w:cs="Arial" w:eastAsia="Arial" w:hAnsi="Arial"/>
          <w:sz w:val="15"/>
          <w:szCs w:val="15"/>
          <w:color w:val="auto"/>
        </w:rPr>
        <w:t>”) on Form 8-A (File No. [·]) under the Exchange Act to register, under Section 12(b) of the Exchange Act, the class of securities consisting of the Common Stock.</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Company and the Underwriters agree as follows:</w:t>
      </w:r>
    </w:p>
    <w:p>
      <w:pPr>
        <w:spacing w:after="0" w:line="198" w:lineRule="exact"/>
        <w:rPr>
          <w:sz w:val="20"/>
          <w:szCs w:val="20"/>
          <w:color w:val="auto"/>
        </w:rPr>
      </w:pPr>
    </w:p>
    <w:p>
      <w:pPr>
        <w:ind w:right="40" w:firstLine="549"/>
        <w:spacing w:after="0" w:line="264" w:lineRule="auto"/>
        <w:tabs>
          <w:tab w:leader="none" w:pos="1112" w:val="left"/>
        </w:tabs>
        <w:numPr>
          <w:ilvl w:val="0"/>
          <w:numId w:val="147"/>
        </w:numPr>
        <w:rPr>
          <w:rFonts w:ascii="Arial" w:cs="Arial" w:eastAsia="Arial" w:hAnsi="Arial"/>
          <w:sz w:val="15"/>
          <w:szCs w:val="15"/>
          <w:color w:val="auto"/>
        </w:rPr>
      </w:pPr>
      <w:r>
        <w:rPr>
          <w:rFonts w:ascii="Arial" w:cs="Arial" w:eastAsia="Arial" w:hAnsi="Arial"/>
          <w:sz w:val="15"/>
          <w:szCs w:val="15"/>
          <w:u w:val="single" w:color="auto"/>
          <w:color w:val="auto"/>
        </w:rPr>
        <w:t>Sale and Purchase</w:t>
      </w:r>
      <w:r>
        <w:rPr>
          <w:rFonts w:ascii="Arial" w:cs="Arial" w:eastAsia="Arial" w:hAnsi="Arial"/>
          <w:sz w:val="15"/>
          <w:szCs w:val="15"/>
          <w:color w:val="auto"/>
        </w:rPr>
        <w:t xml:space="preserve">.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attached hereto, subject to adjustment in accordance with Section 8 hereof, in each case at a purchase price of $[·] per Share. The Company is advised by you that the Underwriters intend (i) to make a public offering of their respective portions of the Firm Shares as soon after the effective date of the Registration Statement as in your judgment is advisable and (ii) initially to offer the Firm Shares upon the terms set forth in the Prospectus. You may from time to time increase or decrease the public offering price after the initial public offering to such extent as you may determine.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firstLine="1112"/>
        <w:spacing w:after="0" w:line="280" w:lineRule="auto"/>
        <w:rPr>
          <w:sz w:val="20"/>
          <w:szCs w:val="20"/>
          <w:color w:val="auto"/>
        </w:rPr>
      </w:pPr>
      <w:r>
        <w:rPr>
          <w:rFonts w:ascii="Arial" w:cs="Arial" w:eastAsia="Arial" w:hAnsi="Arial"/>
          <w:sz w:val="14"/>
          <w:szCs w:val="14"/>
          <w:color w:val="auto"/>
        </w:rPr>
        <w:t>In addition, the Company hereby grants to the several Underwriters the option (the “</w:t>
      </w:r>
      <w:r>
        <w:rPr>
          <w:rFonts w:ascii="Arial" w:cs="Arial" w:eastAsia="Arial" w:hAnsi="Arial"/>
          <w:sz w:val="14"/>
          <w:szCs w:val="14"/>
          <w:u w:val="single" w:color="auto"/>
          <w:color w:val="auto"/>
        </w:rPr>
        <w:t>Over-Allotment Option</w:t>
      </w:r>
      <w:r>
        <w:rPr>
          <w:rFonts w:ascii="Arial" w:cs="Arial" w:eastAsia="Arial" w:hAnsi="Arial"/>
          <w:sz w:val="14"/>
          <w:szCs w:val="14"/>
          <w:color w:val="auto"/>
        </w:rPr>
        <w:t>”)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 the Additional Shares as may be necessary to cover over-allotments made in connection with the offering of the Firm Shares, at the same purchase price per share to be paid by the Underwriters to the Company for the Firm Shares less an amount per share equal to any dividend or distribution declared by the Company and payable on the Firm Shares but not payable on the Additional Shares. The Over-Allotment Option may be exercised by UBS Securities LLC (“</w:t>
      </w:r>
      <w:r>
        <w:rPr>
          <w:rFonts w:ascii="Arial" w:cs="Arial" w:eastAsia="Arial" w:hAnsi="Arial"/>
          <w:sz w:val="14"/>
          <w:szCs w:val="14"/>
          <w:u w:val="single" w:color="auto"/>
          <w:color w:val="auto"/>
        </w:rPr>
        <w:t>UBS</w:t>
      </w:r>
      <w:r>
        <w:rPr>
          <w:rFonts w:ascii="Arial" w:cs="Arial" w:eastAsia="Arial" w:hAnsi="Arial"/>
          <w:sz w:val="14"/>
          <w:szCs w:val="14"/>
          <w:color w:val="auto"/>
        </w:rPr>
        <w:t>”) and Stifel, Nicolaus &amp; Company, Incorporated (“</w:t>
      </w:r>
      <w:r>
        <w:rPr>
          <w:rFonts w:ascii="Arial" w:cs="Arial" w:eastAsia="Arial" w:hAnsi="Arial"/>
          <w:sz w:val="14"/>
          <w:szCs w:val="14"/>
          <w:u w:val="single" w:color="auto"/>
          <w:color w:val="auto"/>
        </w:rPr>
        <w:t>Stifel</w:t>
      </w:r>
      <w:r>
        <w:rPr>
          <w:rFonts w:ascii="Arial" w:cs="Arial" w:eastAsia="Arial" w:hAnsi="Arial"/>
          <w:sz w:val="14"/>
          <w:szCs w:val="14"/>
          <w:color w:val="auto"/>
        </w:rPr>
        <w:t>” and, together with UBS, the “</w:t>
      </w:r>
      <w:r>
        <w:rPr>
          <w:rFonts w:ascii="Arial" w:cs="Arial" w:eastAsia="Arial" w:hAnsi="Arial"/>
          <w:sz w:val="14"/>
          <w:szCs w:val="14"/>
          <w:u w:val="single" w:color="auto"/>
          <w:color w:val="auto"/>
        </w:rPr>
        <w:t>Representatives</w:t>
      </w:r>
      <w:r>
        <w:rPr>
          <w:rFonts w:ascii="Arial" w:cs="Arial" w:eastAsia="Arial" w:hAnsi="Arial"/>
          <w:sz w:val="14"/>
          <w:szCs w:val="14"/>
          <w:color w:val="auto"/>
        </w:rPr>
        <w:t>”) on behalf of the several Underwriters at any time and from time to time on or before the thirtieth day following the date of the Prospectus, by written notice to the Company. Such notice shall set forth the aggregate number of Additional Shares as to which the Over-Allotment Option is being exercised and the date and time when the Additional Shares are to be delivered (any such date and time being herein referred to as an “</w:t>
      </w:r>
      <w:r>
        <w:rPr>
          <w:rFonts w:ascii="Arial" w:cs="Arial" w:eastAsia="Arial" w:hAnsi="Arial"/>
          <w:sz w:val="14"/>
          <w:szCs w:val="14"/>
          <w:u w:val="single" w:color="auto"/>
          <w:color w:val="auto"/>
        </w:rPr>
        <w:t>additional time of purchase</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no additional time of purchase shall be earlier than the “time of purchase” (as defined below) nor earlier than the second business day after the date on which the Over-Allotment Option shall have been exercised nor later than the tenth business day after the date on which the Over-Allotment Option shall have been exercised. The number of Additional Shares to be sold to each Underwriter shall be the number which bears the same proportion to the aggregate number of Additional Shares being purchased as the number of Firm Shares set forth opposite the name of such Underwriter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hereto bears to the total number of Firm Shares (subject, in each case, to such adjustment as UBS may determine to eliminate fractional shares), subject to adjustment in accordance with Section 8 hereof.</w:t>
      </w:r>
    </w:p>
    <w:p>
      <w:pPr>
        <w:spacing w:after="0" w:line="153" w:lineRule="exact"/>
        <w:rPr>
          <w:sz w:val="20"/>
          <w:szCs w:val="20"/>
          <w:color w:val="auto"/>
        </w:rPr>
      </w:pPr>
    </w:p>
    <w:p>
      <w:pPr>
        <w:ind w:right="100" w:firstLine="549"/>
        <w:spacing w:after="0" w:line="265" w:lineRule="auto"/>
        <w:tabs>
          <w:tab w:leader="none" w:pos="1112"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Payment and Delivery</w:t>
      </w:r>
      <w:r>
        <w:rPr>
          <w:rFonts w:ascii="Arial" w:cs="Arial" w:eastAsia="Arial" w:hAnsi="Arial"/>
          <w:sz w:val="15"/>
          <w:szCs w:val="15"/>
          <w:color w:val="auto"/>
        </w:rPr>
        <w:t>. Payment of the purchase price for the Firm Shares shall be made to the Company by federal funds wire transfer against delivery of such Firm Shares to you through the facilities of The Depository Trust Company (“</w:t>
      </w:r>
      <w:r>
        <w:rPr>
          <w:rFonts w:ascii="Arial" w:cs="Arial" w:eastAsia="Arial" w:hAnsi="Arial"/>
          <w:sz w:val="15"/>
          <w:szCs w:val="15"/>
          <w:u w:val="single" w:color="auto"/>
          <w:color w:val="auto"/>
        </w:rPr>
        <w:t>DTC</w:t>
      </w:r>
      <w:r>
        <w:rPr>
          <w:rFonts w:ascii="Arial" w:cs="Arial" w:eastAsia="Arial" w:hAnsi="Arial"/>
          <w:sz w:val="15"/>
          <w:szCs w:val="15"/>
          <w:color w:val="auto"/>
        </w:rPr>
        <w:t>”) for the respective accounts of the Underwriters. Such payment and delivery shall be made at 10:00 A.M., New York City time, on the date of the closing (unless another time shall be agreed to by you and the Company or unless postponed in accordance with the provisions of Section 8 hereof). The time at which such payment and delivery are to be made is hereinafter sometimes called the “</w:t>
      </w:r>
      <w:r>
        <w:rPr>
          <w:rFonts w:ascii="Arial" w:cs="Arial" w:eastAsia="Arial" w:hAnsi="Arial"/>
          <w:sz w:val="15"/>
          <w:szCs w:val="15"/>
          <w:u w:val="single" w:color="auto"/>
          <w:color w:val="auto"/>
        </w:rPr>
        <w:t>time of purchase</w:t>
      </w:r>
      <w:r>
        <w:rPr>
          <w:rFonts w:ascii="Arial" w:cs="Arial" w:eastAsia="Arial" w:hAnsi="Arial"/>
          <w:sz w:val="15"/>
          <w:szCs w:val="15"/>
          <w:color w:val="auto"/>
        </w:rPr>
        <w:t>.” Electronic transfer of the Firm Shares shall be made to you at the time of purchase in such names and in such denominations as you shall specify.</w:t>
      </w:r>
    </w:p>
    <w:p>
      <w:pPr>
        <w:spacing w:after="0" w:line="160" w:lineRule="exact"/>
        <w:rPr>
          <w:sz w:val="20"/>
          <w:szCs w:val="20"/>
          <w:color w:val="auto"/>
        </w:rPr>
      </w:pPr>
    </w:p>
    <w:p>
      <w:pPr>
        <w:ind w:right="60" w:firstLine="1112"/>
        <w:spacing w:after="0" w:line="273" w:lineRule="auto"/>
        <w:rPr>
          <w:sz w:val="20"/>
          <w:szCs w:val="20"/>
          <w:color w:val="auto"/>
        </w:rPr>
      </w:pPr>
      <w:r>
        <w:rPr>
          <w:rFonts w:ascii="Arial" w:cs="Arial" w:eastAsia="Arial" w:hAnsi="Arial"/>
          <w:sz w:val="15"/>
          <w:szCs w:val="15"/>
          <w:color w:val="auto"/>
        </w:rPr>
        <w:t>Payment of the purchase price for the Additional Shares shall be made at the additional time of purchase in the same manner and at the same office and time of day as the payment for the Firm Shares. Electronic transfer of the Additional Shares shall be made to you at the additional time of purchase in such names and in such denominations as you shall specify.</w:t>
      </w:r>
    </w:p>
    <w:p>
      <w:pPr>
        <w:spacing w:after="0" w:line="153" w:lineRule="exact"/>
        <w:rPr>
          <w:sz w:val="20"/>
          <w:szCs w:val="20"/>
          <w:color w:val="auto"/>
        </w:rPr>
      </w:pPr>
    </w:p>
    <w:p>
      <w:pPr>
        <w:ind w:right="60" w:firstLine="1112"/>
        <w:spacing w:after="0" w:line="371" w:lineRule="auto"/>
        <w:rPr>
          <w:sz w:val="20"/>
          <w:szCs w:val="20"/>
          <w:color w:val="auto"/>
        </w:rPr>
      </w:pPr>
      <w:r>
        <w:rPr>
          <w:rFonts w:ascii="Arial" w:cs="Arial" w:eastAsia="Arial" w:hAnsi="Arial"/>
          <w:sz w:val="13"/>
          <w:szCs w:val="13"/>
          <w:color w:val="auto"/>
        </w:rPr>
        <w:t>Deliveries of the documents described in Section 6 hereof with respect to the purchase of the Shares shall be made at the offices of Cooley LLP at 1114 Avenue of the Americas, New York, New York 10036, at 9:00 A.M., New York City time, on the date of the closing of the purchase of the Firm Shares or the Additional Shares, as the case may be.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hanging="551"/>
        <w:spacing w:after="0"/>
        <w:tabs>
          <w:tab w:leader="none" w:pos="1100"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Company</w:t>
      </w:r>
      <w:r>
        <w:rPr>
          <w:rFonts w:ascii="Arial" w:cs="Arial" w:eastAsia="Arial" w:hAnsi="Arial"/>
          <w:sz w:val="15"/>
          <w:szCs w:val="15"/>
          <w:color w:val="auto"/>
        </w:rPr>
        <w:t>. The Company represents and warrants to and agrees with each of the Underwriters that:</w:t>
      </w:r>
    </w:p>
    <w:p>
      <w:pPr>
        <w:spacing w:after="0" w:line="198" w:lineRule="exact"/>
        <w:rPr>
          <w:rFonts w:ascii="Arial" w:cs="Arial" w:eastAsia="Arial" w:hAnsi="Arial"/>
          <w:sz w:val="15"/>
          <w:szCs w:val="15"/>
          <w:color w:val="auto"/>
        </w:rPr>
      </w:pPr>
    </w:p>
    <w:p>
      <w:pPr>
        <w:ind w:left="540" w:right="20" w:firstLine="564"/>
        <w:spacing w:after="0" w:line="289" w:lineRule="auto"/>
        <w:tabs>
          <w:tab w:leader="none" w:pos="1649" w:val="left"/>
        </w:tabs>
        <w:numPr>
          <w:ilvl w:val="1"/>
          <w:numId w:val="149"/>
        </w:numPr>
        <w:rPr>
          <w:rFonts w:ascii="Arial" w:cs="Arial" w:eastAsia="Arial" w:hAnsi="Arial"/>
          <w:sz w:val="14"/>
          <w:szCs w:val="14"/>
          <w:color w:val="auto"/>
        </w:rPr>
      </w:pPr>
      <w:r>
        <w:rPr>
          <w:rFonts w:ascii="Arial" w:cs="Arial" w:eastAsia="Arial" w:hAnsi="Arial"/>
          <w:sz w:val="14"/>
          <w:szCs w:val="14"/>
          <w:color w:val="auto"/>
        </w:rPr>
        <w:t>the Registration Statement has heretofore become effective under the Act or, with respect to any registration statement to be filed to register the offer and sale of Shares pursuant to Rule 462(b) under the Act, will be filed with the Commission and become effective under the Act no later than 10:00 P.M., New York City time, on the date of determination of the public offering price for the Shares; no stop order of the Commission preventing or suspending the use of any Preliminary Prospectus or Permitted Free Writing Prospectus, or the effectiveness of the Registration Statement, has been issued, and no proceedings for such purpose have been instituted or, to the Company’s knowledge, are contemplated by the Commission; the Exchange Act Registration Statement has become effective as provided in Section 12 of the Exchange Act.</w:t>
      </w:r>
    </w:p>
    <w:p>
      <w:pPr>
        <w:spacing w:after="0" w:line="142" w:lineRule="exact"/>
        <w:rPr>
          <w:rFonts w:ascii="Arial" w:cs="Arial" w:eastAsia="Arial" w:hAnsi="Arial"/>
          <w:sz w:val="14"/>
          <w:szCs w:val="14"/>
          <w:color w:val="auto"/>
        </w:rPr>
      </w:pPr>
    </w:p>
    <w:p>
      <w:pPr>
        <w:ind w:left="540" w:firstLine="564"/>
        <w:spacing w:after="0" w:line="281" w:lineRule="auto"/>
        <w:tabs>
          <w:tab w:leader="none" w:pos="1658" w:val="left"/>
        </w:tabs>
        <w:numPr>
          <w:ilvl w:val="1"/>
          <w:numId w:val="149"/>
        </w:numPr>
        <w:rPr>
          <w:rFonts w:ascii="Arial" w:cs="Arial" w:eastAsia="Arial" w:hAnsi="Arial"/>
          <w:sz w:val="14"/>
          <w:szCs w:val="14"/>
          <w:color w:val="auto"/>
        </w:rPr>
      </w:pPr>
      <w:r>
        <w:rPr>
          <w:rFonts w:ascii="Arial" w:cs="Arial" w:eastAsia="Arial" w:hAnsi="Arial"/>
          <w:sz w:val="14"/>
          <w:szCs w:val="14"/>
          <w:color w:val="auto"/>
        </w:rPr>
        <w:t xml:space="preserve">as of the Effective Time, the Registration Statement complied in all material respects with the requirements of the Act and did not contain an untrue statement of a material fact or omit to state a material fact required to be stated therein or necessary to make the statements therein not misleading; as of the Applicable Time, the Preliminary Prospectus complied in all material respects with the requirements of the Act (including, without limitation, Section 10(a) of the Act) and the Disclosure Package did not include an untrue statement of a material fact or omit to state a material fact necessary in order to make the statements therein, in light of the circumstances under which they were made, not misleading; the Prospectus will comply, as of its date, the time of purchase and each additional time of purchase, if any, in all material respects, with the requirements of the Act (including, without limitation, Section 10(a) of the Act) and, as of the date the Prospectus is filed with the Commission, the time of purchase and any additional time of purchase, if any, the Prospectus will not, as then amended or supplemented,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makes no representation or warranty in this Section 3(b) with respect to any statement contained in the Registration Statement, the Disclosure Package or the Prospectus made in reliance upon and in conformity with information concerning an Underwriter and furnished in writing by or on behalf of such Underwriter through you to the Company expressly for use in the Registration Statement, the Disclosure Package or the Prospectus.</w:t>
      </w:r>
    </w:p>
    <w:p>
      <w:pPr>
        <w:spacing w:after="0" w:line="150" w:lineRule="exact"/>
        <w:rPr>
          <w:rFonts w:ascii="Arial" w:cs="Arial" w:eastAsia="Arial" w:hAnsi="Arial"/>
          <w:sz w:val="14"/>
          <w:szCs w:val="14"/>
          <w:color w:val="auto"/>
        </w:rPr>
      </w:pPr>
    </w:p>
    <w:p>
      <w:pPr>
        <w:ind w:left="540" w:right="260" w:firstLine="564"/>
        <w:spacing w:after="0" w:line="327" w:lineRule="auto"/>
        <w:tabs>
          <w:tab w:leader="none" w:pos="1661" w:val="left"/>
        </w:tabs>
        <w:numPr>
          <w:ilvl w:val="1"/>
          <w:numId w:val="149"/>
        </w:numPr>
        <w:rPr>
          <w:rFonts w:ascii="Arial" w:cs="Arial" w:eastAsia="Arial" w:hAnsi="Arial"/>
          <w:sz w:val="14"/>
          <w:szCs w:val="14"/>
          <w:color w:val="auto"/>
        </w:rPr>
      </w:pPr>
      <w:r>
        <w:rPr>
          <w:rFonts w:ascii="Arial" w:cs="Arial" w:eastAsia="Arial" w:hAnsi="Arial"/>
          <w:sz w:val="14"/>
          <w:szCs w:val="14"/>
          <w:color w:val="auto"/>
        </w:rPr>
        <w:t>prior to the execution of this Agreement, the Company has not, directly or indirectly, offered or sold any Shares by means of any “prospectus” (within the meaning of the Act) or used any “prospectus” (within the meaning of the Act) in connection with the offer or sale of the Shares, in each case other than the Preliminary</w:t>
      </w:r>
    </w:p>
    <w:p>
      <w:pPr>
        <w:sectPr>
          <w:pgSz w:w="11900" w:h="16838" w:orient="portrait"/>
          <w:cols w:equalWidth="0" w:num="1">
            <w:col w:w="11420"/>
          </w:cols>
          <w:pgMar w:left="240" w:top="129" w:right="239" w:bottom="0" w:gutter="0" w:footer="0" w:header="0"/>
        </w:sectPr>
      </w:pPr>
    </w:p>
    <w:bookmarkStart w:id="293" w:name="page294"/>
    <w:bookmarkEnd w:id="293"/>
    <w:p>
      <w:pPr>
        <w:spacing w:after="0" w:line="7" w:lineRule="exact"/>
        <w:rPr>
          <w:sz w:val="20"/>
          <w:szCs w:val="20"/>
          <w:color w:val="auto"/>
        </w:rPr>
      </w:pPr>
    </w:p>
    <w:p>
      <w:pPr>
        <w:spacing w:after="0" w:line="371" w:lineRule="auto"/>
        <w:rPr>
          <w:sz w:val="20"/>
          <w:szCs w:val="20"/>
          <w:color w:val="auto"/>
        </w:rPr>
      </w:pPr>
      <w:r>
        <w:rPr>
          <w:rFonts w:ascii="Arial" w:cs="Arial" w:eastAsia="Arial" w:hAnsi="Arial"/>
          <w:sz w:val="13"/>
          <w:szCs w:val="13"/>
          <w:color w:val="auto"/>
        </w:rPr>
        <w:t>Prospectus, the Permitted Free Writing Prospectuses, if any and, the Permitted Exempt Written Communications, if any; the Company has not, directly or indirectly, prepared, used or referred to any Permitted Free Writing Prospectus except in compliance with Rules 164 and 433 under the Act; assuming that such Permitted Free Writing Prospectus is</w:t>
      </w:r>
    </w:p>
    <w:p>
      <w:pPr>
        <w:spacing w:after="0" w:line="94"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accompanied or preceded by the most recent Preliminary Prospectus that contains a price range or the Prospectus, as the case may be, and that such Permitted Free Writing Prospectus is so sent or given after the Registration Statement was filed with the Commission (and after such Permitted Free Writing Prospectus was, if required pursuant to Rule 433(d) under the Act, filed with the Commission), the sending or giving, by any Underwriter, of any Permitted Free Writing Prospectus will satisfy the provisions of Rule 164 and Rule 433 (without reliance on subsections (b), (c) and (d) of Rule 164); the Preliminary Prospectus dated [·] is a prospectus that, other than by reason of Rule 433 or Rule 431 under the Act, satisfies the requirements of Section 10 of the Act, including a price range where required by rule; neither the Company nor the Underwriters are disqualified, by reason of subsection (f) or (g) of Rule 164 under the Act, from using, in connection with the offer and sale of the Shares, “free writing prospectuses” (as defined in Rule 405 under the Act) pursuant to Rules 164 and 433 under the Act; the Company is not an “ineligible issuer” (as defined in Rule 405 under the Act) as of the eligibility determination date for purposes of Rules 164 and 433 under the Act with respect to the offering of the Shares contemplated by the Registration Statement, without taking into account any determination by the Commission pursuant to Rule 405 under the Act that it is not necessary under the circumstances that the Company be considered an “ineligible issuer”; the parties hereto agree and understand that the content of any and all “road shows” (as defined in Rule 433 under the Act), Exempt Oral Communications and Covered Exempt Written Communications related to the offering of the Shares contemplated hereby are solely the property of the Company; the Company has caused there to be made available at least one version of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electronic road show” (as defined in Rule 433 under the Act) in a manner that, pursuant to Rule 433(d)(8)(ii) under the Act, causes the Company not to be required, pursuant to Rule 433(d) under the Act, to file, with the Commission, any Electronic Road Show;</w:t>
      </w:r>
    </w:p>
    <w:p>
      <w:pPr>
        <w:spacing w:after="0" w:line="153" w:lineRule="exact"/>
        <w:rPr>
          <w:sz w:val="20"/>
          <w:szCs w:val="20"/>
          <w:color w:val="auto"/>
        </w:rPr>
      </w:pPr>
    </w:p>
    <w:p>
      <w:pPr>
        <w:ind w:right="160" w:firstLine="564"/>
        <w:spacing w:after="0" w:line="289" w:lineRule="auto"/>
        <w:tabs>
          <w:tab w:leader="none" w:pos="1118" w:val="left"/>
        </w:tabs>
        <w:numPr>
          <w:ilvl w:val="0"/>
          <w:numId w:val="150"/>
        </w:numPr>
        <w:rPr>
          <w:rFonts w:ascii="Arial" w:cs="Arial" w:eastAsia="Arial" w:hAnsi="Arial"/>
          <w:sz w:val="15"/>
          <w:szCs w:val="15"/>
          <w:color w:val="auto"/>
        </w:rPr>
      </w:pPr>
      <w:r>
        <w:rPr>
          <w:rFonts w:ascii="Arial" w:cs="Arial" w:eastAsia="Arial" w:hAnsi="Arial"/>
          <w:sz w:val="15"/>
          <w:szCs w:val="15"/>
          <w:color w:val="auto"/>
        </w:rPr>
        <w:t>as of the date of initial confidential submission of the Registration Statement and as of the date of this Agreement, the Company qualifies or qualified as an emerging growth company (“</w:t>
      </w:r>
      <w:r>
        <w:rPr>
          <w:rFonts w:ascii="Arial" w:cs="Arial" w:eastAsia="Arial" w:hAnsi="Arial"/>
          <w:sz w:val="15"/>
          <w:szCs w:val="15"/>
          <w:u w:val="single" w:color="auto"/>
          <w:color w:val="auto"/>
        </w:rPr>
        <w:t>EGC</w:t>
      </w:r>
      <w:r>
        <w:rPr>
          <w:rFonts w:ascii="Arial" w:cs="Arial" w:eastAsia="Arial" w:hAnsi="Arial"/>
          <w:sz w:val="15"/>
          <w:szCs w:val="15"/>
          <w:color w:val="auto"/>
        </w:rPr>
        <w:t>”), as defined in Section 2(a)(19) of the Act;</w:t>
      </w:r>
    </w:p>
    <w:p>
      <w:pPr>
        <w:spacing w:after="0" w:line="140" w:lineRule="exact"/>
        <w:rPr>
          <w:rFonts w:ascii="Arial" w:cs="Arial" w:eastAsia="Arial" w:hAnsi="Arial"/>
          <w:sz w:val="15"/>
          <w:szCs w:val="15"/>
          <w:color w:val="auto"/>
        </w:rPr>
      </w:pPr>
    </w:p>
    <w:p>
      <w:pPr>
        <w:ind w:right="300" w:firstLine="564"/>
        <w:spacing w:after="0" w:line="289" w:lineRule="auto"/>
        <w:tabs>
          <w:tab w:leader="none" w:pos="112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each Permitted Exempt Written Communication, if any, did not as of its date include an untrue statement of a material fact or omit to state a material fact necessary in order to make the statements therein, in the light of the circumstances under which they were made, not misleading;</w:t>
      </w:r>
    </w:p>
    <w:p>
      <w:pPr>
        <w:spacing w:after="0" w:line="140" w:lineRule="exact"/>
        <w:rPr>
          <w:rFonts w:ascii="Arial" w:cs="Arial" w:eastAsia="Arial" w:hAnsi="Arial"/>
          <w:sz w:val="15"/>
          <w:szCs w:val="15"/>
          <w:color w:val="auto"/>
        </w:rPr>
      </w:pPr>
    </w:p>
    <w:p>
      <w:pPr>
        <w:ind w:firstLine="564"/>
        <w:spacing w:after="0" w:line="289" w:lineRule="auto"/>
        <w:tabs>
          <w:tab w:leader="none" w:pos="1115"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Company has, prior to the date of the Preliminary Prospectus, furnished to you a list containing the names of the recipients of all Covered Exempt Written Communications and all Exempt Oral Communications;</w:t>
      </w:r>
    </w:p>
    <w:p>
      <w:pPr>
        <w:spacing w:after="0" w:line="140" w:lineRule="exact"/>
        <w:rPr>
          <w:rFonts w:ascii="Arial" w:cs="Arial" w:eastAsia="Arial" w:hAnsi="Arial"/>
          <w:sz w:val="15"/>
          <w:szCs w:val="15"/>
          <w:color w:val="auto"/>
        </w:rPr>
      </w:pPr>
    </w:p>
    <w:p>
      <w:pPr>
        <w:ind w:right="80" w:firstLine="564"/>
        <w:spacing w:after="0" w:line="289" w:lineRule="auto"/>
        <w:tabs>
          <w:tab w:leader="none" w:pos="113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Company has filed publicly on the Commission’s EDGAR database at least 15 calendar days prior to any “road show,” (as defined in Rule 433 under the Act) any confidentially submitted registration statements and registration amendments relating to the offer and sale of the Shares;</w:t>
      </w:r>
    </w:p>
    <w:p>
      <w:pPr>
        <w:spacing w:after="0" w:line="140" w:lineRule="exact"/>
        <w:rPr>
          <w:rFonts w:ascii="Arial" w:cs="Arial" w:eastAsia="Arial" w:hAnsi="Arial"/>
          <w:sz w:val="15"/>
          <w:szCs w:val="15"/>
          <w:color w:val="auto"/>
        </w:rPr>
      </w:pPr>
    </w:p>
    <w:p>
      <w:pPr>
        <w:ind w:left="1120" w:hanging="556"/>
        <w:spacing w:after="0"/>
        <w:tabs>
          <w:tab w:leader="none" w:pos="11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each Covered Exempt Written Communication, if any, does not as of the</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date hereof conflict with the information contained in the Registration Statement, the Disclosure Package and the Prospectus;</w:t>
      </w:r>
    </w:p>
    <w:p>
      <w:pPr>
        <w:spacing w:after="0" w:line="198" w:lineRule="exact"/>
        <w:rPr>
          <w:sz w:val="20"/>
          <w:szCs w:val="20"/>
          <w:color w:val="auto"/>
        </w:rPr>
      </w:pPr>
    </w:p>
    <w:p>
      <w:pPr>
        <w:ind w:firstLine="564"/>
        <w:spacing w:after="0" w:line="279" w:lineRule="auto"/>
        <w:tabs>
          <w:tab w:leader="none" w:pos="113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as of the date of this Agreement, the Company has an authorized and outstanding capitalization or will have an authorized and outstanding capitalization upon the purchase of the Shares, in each case as set forth in the sections of the Registration Statement, the Disclosure Package and the Prospectus entitled “Capitalization” and “Description of Capital Stock”, and, as of the time of purchase and any additional time of purchase, as the case may be, the Company shall have an authorized and outstanding capitalization or will have an authorized and outstanding capitalization upon the time of such purchase, in each case, as set forth in the sections of the Registration Statement, the Disclosure Package and the Prospectus entitled “Capitalization” and “Description of Capital Stock” (subject, in each case, to the issuance of shares of Common Stock upon exercise of stock options and warrants disclosed as outstanding in the Registration Statement, the Disclosure Package and the Prospectus and the grant of options under existing stock option plans described in the Registration Statement, the Disclosure Package and the Prospectus); all of the issued and outstanding shares of capital stock, including the Common Stock, of the Company have been duly authorized and validly issued and are fully paid and non-assessable, have been issued in compliance with all applicable securities laws and were not issued in violation of any preemptive right, resale right, right of first refusal or similar right; on or prior to the closing, all outstanding shares of preferred stock of the Company shall convert into shares of Common Stock in the manner described in the Registration Statement, the Disclosure Package and the Prospectus; prior to the date hereof, the Company has duly effected and completed a one-for-[·] reverse stock split of the Common Stock in the manner described in the Registration Statement, the Disclosure Package and the Prospectus; and the Certificate of Incorporation (the “</w:t>
      </w:r>
      <w:r>
        <w:rPr>
          <w:rFonts w:ascii="Arial" w:cs="Arial" w:eastAsia="Arial" w:hAnsi="Arial"/>
          <w:sz w:val="14"/>
          <w:szCs w:val="14"/>
          <w:u w:val="single" w:color="auto"/>
          <w:color w:val="auto"/>
        </w:rPr>
        <w:t>Charter</w:t>
      </w:r>
      <w:r>
        <w:rPr>
          <w:rFonts w:ascii="Arial" w:cs="Arial" w:eastAsia="Arial" w:hAnsi="Arial"/>
          <w:sz w:val="14"/>
          <w:szCs w:val="14"/>
          <w:color w:val="auto"/>
        </w:rPr>
        <w:t>”) and Bylaws (the “</w:t>
      </w:r>
      <w:r>
        <w:rPr>
          <w:rFonts w:ascii="Arial" w:cs="Arial" w:eastAsia="Arial" w:hAnsi="Arial"/>
          <w:sz w:val="14"/>
          <w:szCs w:val="14"/>
          <w:u w:val="single" w:color="auto"/>
          <w:color w:val="auto"/>
        </w:rPr>
        <w:t>Bylaws</w:t>
      </w:r>
      <w:r>
        <w:rPr>
          <w:rFonts w:ascii="Arial" w:cs="Arial" w:eastAsia="Arial" w:hAnsi="Arial"/>
          <w:sz w:val="14"/>
          <w:szCs w:val="14"/>
          <w:color w:val="auto"/>
        </w:rPr>
        <w:t>”) of the Company, each as amended and in the form filed as an exhibit to the Registration Statement, have been heretofore duly authorized and approved in accordance with the Delaware General Corporation Law and shall become effective and in full force and effect at or before the closing; the Shares are duly listed, and admitted and authorized for trading, subject to official notice of issuance and evidence of satisfactory distribution on The NASDAQ Global Market (“</w:t>
      </w:r>
      <w:r>
        <w:rPr>
          <w:rFonts w:ascii="Arial" w:cs="Arial" w:eastAsia="Arial" w:hAnsi="Arial"/>
          <w:sz w:val="14"/>
          <w:szCs w:val="14"/>
          <w:u w:val="single" w:color="auto"/>
          <w:color w:val="auto"/>
        </w:rPr>
        <w:t>NASDAQ</w:t>
      </w:r>
      <w:r>
        <w:rPr>
          <w:rFonts w:ascii="Arial" w:cs="Arial" w:eastAsia="Arial" w:hAnsi="Arial"/>
          <w:sz w:val="14"/>
          <w:szCs w:val="14"/>
          <w:color w:val="auto"/>
        </w:rPr>
        <w:t>”);</w:t>
      </w:r>
    </w:p>
    <w:p>
      <w:pPr>
        <w:spacing w:after="0" w:line="157" w:lineRule="exact"/>
        <w:rPr>
          <w:rFonts w:ascii="Arial" w:cs="Arial" w:eastAsia="Arial" w:hAnsi="Arial"/>
          <w:sz w:val="14"/>
          <w:szCs w:val="14"/>
          <w:color w:val="auto"/>
        </w:rPr>
      </w:pPr>
    </w:p>
    <w:p>
      <w:pPr>
        <w:jc w:val="both"/>
        <w:ind w:firstLine="564"/>
        <w:spacing w:after="0" w:line="273" w:lineRule="auto"/>
        <w:tabs>
          <w:tab w:leader="none" w:pos="1119"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Company has been duly incorporated and is validly existing as a corporation in good standing under the laws of the State of Delaware, with full corporate power and authority to own, lease and operate its properties and conduct its business as described in the Registration Statement, the Disclosure Package and the Prospectus, and to execute and deliver this Agreement and to issue, sell and deliver the Shares as contemplated herein;</w:t>
      </w:r>
    </w:p>
    <w:p>
      <w:pPr>
        <w:spacing w:after="0" w:line="152" w:lineRule="exact"/>
        <w:rPr>
          <w:rFonts w:ascii="Arial" w:cs="Arial" w:eastAsia="Arial" w:hAnsi="Arial"/>
          <w:sz w:val="15"/>
          <w:szCs w:val="15"/>
          <w:color w:val="auto"/>
        </w:rPr>
      </w:pPr>
    </w:p>
    <w:p>
      <w:pPr>
        <w:ind w:right="40" w:firstLine="564"/>
        <w:spacing w:after="0" w:line="273" w:lineRule="auto"/>
        <w:tabs>
          <w:tab w:leader="none" w:pos="1118"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either (i) have a material adverse effect on the business, properties, financial condition, results of</w:t>
      </w:r>
    </w:p>
    <w:p>
      <w:pPr>
        <w:spacing w:after="0" w:line="153"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operations or prospects related thereto of the Company and the Subsidiaries (as defined below) taken as a whole, (ii) prevent or materially interfere with consummation of the transactions contemplated hereby or (iii) prevent the shares of Common Stock from being accepted for listing on, or result in the delisting of shares of Common Stock from NASDAQ (the occurrence of any such effect or any such prevention or interference or any such result described in the foregoing clauses (i), (ii) and (iii) being herein referred to as a “</w:t>
      </w:r>
      <w:r>
        <w:rPr>
          <w:rFonts w:ascii="Arial" w:cs="Arial" w:eastAsia="Arial" w:hAnsi="Arial"/>
          <w:sz w:val="15"/>
          <w:szCs w:val="15"/>
          <w:u w:val="single" w:color="auto"/>
          <w:color w:val="auto"/>
        </w:rPr>
        <w:t>Material Adverse Effect</w:t>
      </w:r>
      <w:r>
        <w:rPr>
          <w:rFonts w:ascii="Arial" w:cs="Arial" w:eastAsia="Arial" w:hAnsi="Arial"/>
          <w:sz w:val="15"/>
          <w:szCs w:val="15"/>
          <w:color w:val="auto"/>
        </w:rPr>
        <w:t>”);</w:t>
      </w:r>
    </w:p>
    <w:p>
      <w:pPr>
        <w:spacing w:after="0" w:line="156" w:lineRule="exact"/>
        <w:rPr>
          <w:sz w:val="20"/>
          <w:szCs w:val="20"/>
          <w:color w:val="auto"/>
        </w:rPr>
      </w:pPr>
    </w:p>
    <w:p>
      <w:pPr>
        <w:ind w:right="40" w:firstLine="564"/>
        <w:spacing w:after="0" w:line="280" w:lineRule="auto"/>
        <w:tabs>
          <w:tab w:leader="none" w:pos="113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Company has no subsidiaries (as defined under the Act) other than Selecta (RUS) Limited Liability Company and Selecta Biosciences Security Corporation (collectively, the “</w:t>
      </w:r>
      <w:r>
        <w:rPr>
          <w:rFonts w:ascii="Arial" w:cs="Arial" w:eastAsia="Arial" w:hAnsi="Arial"/>
          <w:sz w:val="14"/>
          <w:szCs w:val="14"/>
          <w:u w:val="single" w:color="auto"/>
          <w:color w:val="auto"/>
        </w:rPr>
        <w:t>Subsidiaries</w:t>
      </w:r>
      <w:r>
        <w:rPr>
          <w:rFonts w:ascii="Arial" w:cs="Arial" w:eastAsia="Arial" w:hAnsi="Arial"/>
          <w:sz w:val="14"/>
          <w:szCs w:val="14"/>
          <w:color w:val="auto"/>
        </w:rPr>
        <w:t>”); the Company owns all of the issued and outstanding membership interests or capital stock of each of the Subsidiaries; other than the membership interests or capital stock of the Subsidiaries, the Company does not own, directly or indirectly, any shares of stock or any other equity interests or long-term debt securities of any corporation, firm, partnership, joint venture, association or other entity; complete and correct copies of the charters and the bylaws of the Company and each Subsidiary and all amendments thereto have been delivered to you, and, except as set forth in the exhibits to the Registration Statement, no changes therein will be made on or after the date hereof through and including the time of purchase or, if later, any additional time of purchase; each Subsidiary has been duly incorporated and is validly existing as a corporation in good standing under the laws of the jurisdiction of its incorporation, with full limited liability company or corporate power and authority to own, lease and operate its properties and to conduct its business as described in the Registration Statement, the Disclosure Package and the Prospectus; each Subsidiary is duly qualified to do business as a foreign limited liability company or corporation and is in good standing in each jurisdiction where the ownership or leasing of its properties or the conduct of its business requires such qualification, except where the failure to be so qualified and in good standing would not, individually or in the aggregate, reasonably be expected to have a Material Adverse Effect; all of the outstanding membership interests or shares of capital stock of each of the Subsidiaries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no options, warrants or other rights to purchase, agreements or other obligations to issue or other rights to convert any obligation into shares of capital stock or ownership interests in the Subsidiaries are</w:t>
      </w:r>
    </w:p>
    <w:p>
      <w:pPr>
        <w:sectPr>
          <w:pgSz w:w="11900" w:h="16845" w:orient="portrait"/>
          <w:cols w:equalWidth="0" w:num="1">
            <w:col w:w="10880"/>
          </w:cols>
          <w:pgMar w:left="780" w:top="129" w:right="239" w:bottom="0" w:gutter="0" w:footer="0" w:header="0"/>
        </w:sectPr>
      </w:pPr>
    </w:p>
    <w:bookmarkStart w:id="294" w:name="page295"/>
    <w:bookmarkEnd w:id="294"/>
    <w:p>
      <w:pPr>
        <w:ind w:right="60"/>
        <w:spacing w:after="0" w:line="289" w:lineRule="auto"/>
        <w:rPr>
          <w:sz w:val="20"/>
          <w:szCs w:val="20"/>
          <w:color w:val="auto"/>
        </w:rPr>
      </w:pPr>
      <w:r>
        <w:rPr>
          <w:rFonts w:ascii="Arial" w:cs="Arial" w:eastAsia="Arial" w:hAnsi="Arial"/>
          <w:sz w:val="15"/>
          <w:szCs w:val="15"/>
          <w:color w:val="auto"/>
        </w:rPr>
        <w:t>outstanding; each “significant subsidiary” of the Company, as that term is defined in Rule 1-02(w) of Regulation S-X under the Act, is listed in Exhibit 21.1 of the Registration Statement;</w:t>
      </w:r>
    </w:p>
    <w:p>
      <w:pPr>
        <w:spacing w:after="0" w:line="141" w:lineRule="exact"/>
        <w:rPr>
          <w:sz w:val="20"/>
          <w:szCs w:val="20"/>
          <w:color w:val="auto"/>
        </w:rPr>
      </w:pPr>
    </w:p>
    <w:p>
      <w:pPr>
        <w:ind w:right="20" w:firstLine="564"/>
        <w:spacing w:after="0" w:line="268" w:lineRule="auto"/>
        <w:tabs>
          <w:tab w:leader="none" w:pos="1115"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Shares have been duly and validly authorized and, when issued and delivered against payment therefor as provided herein, will be duly and validly issued, fully paid and non-assessable and free of statutory and contractual preemptive rights, resale rights, rights of first refusal and similar rights, except for any such rights that have been waived; the Shares, when issued and delivered against payment therefor as provided herein, will be free of any restriction upon the voting or transfer thereof pursuant to the Delaware General Corporation Law and the Company’s Charter or Bylaws and any</w:t>
      </w:r>
    </w:p>
    <w:p>
      <w:pPr>
        <w:spacing w:after="0" w:line="15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agreement or other instrument to which the Company is a party, except for any such rights that have been waived;</w:t>
      </w:r>
    </w:p>
    <w:p>
      <w:pPr>
        <w:spacing w:after="0" w:line="198" w:lineRule="exact"/>
        <w:rPr>
          <w:sz w:val="20"/>
          <w:szCs w:val="20"/>
          <w:color w:val="auto"/>
        </w:rPr>
      </w:pPr>
    </w:p>
    <w:p>
      <w:pPr>
        <w:ind w:right="360" w:firstLine="564"/>
        <w:spacing w:after="0" w:line="289" w:lineRule="auto"/>
        <w:tabs>
          <w:tab w:leader="none" w:pos="1118"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capital stock of the Company, including the Shares, conforms in all material respects to each description thereof, if any, contained in the Registration Statement, the Disclosure Package and the Prospectus; and the certificates for the Shares are in due and proper form;</w:t>
      </w:r>
    </w:p>
    <w:p>
      <w:pPr>
        <w:spacing w:after="0" w:line="140" w:lineRule="exact"/>
        <w:rPr>
          <w:rFonts w:ascii="Arial" w:cs="Arial" w:eastAsia="Arial" w:hAnsi="Arial"/>
          <w:sz w:val="15"/>
          <w:szCs w:val="15"/>
          <w:color w:val="auto"/>
        </w:rPr>
      </w:pPr>
    </w:p>
    <w:p>
      <w:pPr>
        <w:ind w:left="1120" w:hanging="556"/>
        <w:spacing w:after="0"/>
        <w:tabs>
          <w:tab w:leader="none" w:pos="11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this Agreement has been duly authorized, executed and delivered by the Company;</w:t>
      </w:r>
    </w:p>
    <w:p>
      <w:pPr>
        <w:spacing w:after="0" w:line="198" w:lineRule="exact"/>
        <w:rPr>
          <w:rFonts w:ascii="Arial" w:cs="Arial" w:eastAsia="Arial" w:hAnsi="Arial"/>
          <w:sz w:val="15"/>
          <w:szCs w:val="15"/>
          <w:color w:val="auto"/>
        </w:rPr>
      </w:pPr>
    </w:p>
    <w:p>
      <w:pPr>
        <w:ind w:right="60" w:firstLine="564"/>
        <w:spacing w:after="0" w:line="261" w:lineRule="auto"/>
        <w:tabs>
          <w:tab w:leader="none" w:pos="1118" w:val="left"/>
        </w:tabs>
        <w:numPr>
          <w:ilvl w:val="0"/>
          <w:numId w:val="154"/>
        </w:numPr>
        <w:rPr>
          <w:rFonts w:ascii="Arial" w:cs="Arial" w:eastAsia="Arial" w:hAnsi="Arial"/>
          <w:sz w:val="15"/>
          <w:szCs w:val="15"/>
          <w:color w:val="auto"/>
        </w:rPr>
      </w:pPr>
      <w:r>
        <w:rPr>
          <w:rFonts w:ascii="Arial" w:cs="Arial" w:eastAsia="Arial" w:hAnsi="Arial"/>
          <w:sz w:val="15"/>
          <w:szCs w:val="15"/>
          <w:color w:val="auto"/>
        </w:rPr>
        <w:t>neither the Company nor any of the Subsidiaries is in breach or violation of or in default under (nor has any event occurred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(A) its charter or bylaws or similar governing documents, or (B) any indenture, mortgage, deed of trust, bank loan or credit agreement or other evidence of indebtedness, or any material license, lease, contract or other agreement or instrument to which it is a party or by which it or any of its properties may be bound or effected, or (C) any U.S. or Russian federal, state, local or foreign law, regulation or rule, or (D) any rule or regulation of any self-regulatory organization or other non-governmental regulatory authority having jurisdiction over the Company or the Subsidiaries (including, without limitation, the rules and regulations of NASDAQ), or (E) any decree, judgment or order applicable to it or any of its properties, except in the case of the foregoing clauses (B), (C), (D) and (E), for any such breaches, violations, defaults or events that would not, individually or in the aggregate, reasonably be expected to have a Material Adverse Effect;</w:t>
      </w:r>
    </w:p>
    <w:p>
      <w:pPr>
        <w:spacing w:after="0" w:line="164" w:lineRule="exact"/>
        <w:rPr>
          <w:rFonts w:ascii="Arial" w:cs="Arial" w:eastAsia="Arial" w:hAnsi="Arial"/>
          <w:sz w:val="15"/>
          <w:szCs w:val="15"/>
          <w:color w:val="auto"/>
        </w:rPr>
      </w:pPr>
    </w:p>
    <w:p>
      <w:pPr>
        <w:ind w:right="80" w:firstLine="564"/>
        <w:spacing w:after="0" w:line="282" w:lineRule="auto"/>
        <w:tabs>
          <w:tab w:leader="none" w:pos="1118"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execution, delivery and performance of this Agreement, the issuance and sale of the Shares and the consummation of the transactions contemplated hereby will not conflict with, result in any breach or violation of or constitute a default under (nor constitute any event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Subsidiary pursuant to) (A) the Charter or Bylaws of the Company or similar organizational documents of any of the Subsidiaries, or (B) 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is subject, or (C) any U.S. or Russian federal, state, local or foreign law, regulation or rule, or (D) any rule or regulation of any self-regulatory organization or other non-governmental regulatory authority having jurisdiction over the Company or the Shares (including, without limitation, the rules and</w:t>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regulations of NASDAQ), or (E) any decree, judgment or order applicable to the Company or any of the Subsidiaries or any of their respective properties, except in the case of the foregoing clauses (B), (C), (D) and (E), for any such breaches, violations, defaults, repurchases, redemptions, repayments or events that would not, individually or in the aggregate, reasonably be expected to have a Material Adverse Effect;</w:t>
      </w:r>
    </w:p>
    <w:p>
      <w:pPr>
        <w:spacing w:after="0" w:line="153" w:lineRule="exact"/>
        <w:rPr>
          <w:sz w:val="20"/>
          <w:szCs w:val="20"/>
          <w:color w:val="auto"/>
        </w:rPr>
      </w:pPr>
    </w:p>
    <w:p>
      <w:pPr>
        <w:ind w:firstLine="564"/>
        <w:spacing w:after="0" w:line="261" w:lineRule="auto"/>
        <w:tabs>
          <w:tab w:leader="none" w:pos="1127" w:val="left"/>
        </w:tabs>
        <w:numPr>
          <w:ilvl w:val="1"/>
          <w:numId w:val="155"/>
        </w:numPr>
        <w:rPr>
          <w:rFonts w:ascii="Arial" w:cs="Arial" w:eastAsia="Arial" w:hAnsi="Arial"/>
          <w:sz w:val="15"/>
          <w:szCs w:val="15"/>
          <w:color w:val="auto"/>
        </w:rPr>
      </w:pPr>
      <w:r>
        <w:rPr>
          <w:rFonts w:ascii="Arial" w:cs="Arial" w:eastAsia="Arial" w:hAnsi="Arial"/>
          <w:sz w:val="15"/>
          <w:szCs w:val="15"/>
          <w:color w:val="auto"/>
        </w:rPr>
        <w:t>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NASDAQ), or approval of the stockholders of the Company is required in connection with the issuance and sale of the Shares or the consummation by the Company of the transactions contemplated hereby, other than (i) registration of the Shares under the Act, which has been effected (or, with respect to any registration statement to be filed hereunder pursuant to Rule 462(b) under the Act, will be effected in accordance herewith), (ii) any necessary qualification under the securities or blue sky laws of the various jurisdictions in which the Shares are being offered by the Underwriters, (iii) under the Conduct Rules of FINRA; (iv) any listing applications and related consents or any notices required by NASDAQ in the ordinary course of the offering of the Shares, or (v) filings with the Commission pursuant to Rule 424(b) under the Act, except as have already been made, obtained or waived or where the failure to obtain any such approval, authorization, consent, order or filing would not impair the ability of the Company to issue and sell the Shares or to consummate the transactions contemplated by this Agreement;</w:t>
      </w:r>
    </w:p>
    <w:p>
      <w:pPr>
        <w:spacing w:after="0" w:line="164" w:lineRule="exact"/>
        <w:rPr>
          <w:rFonts w:ascii="Arial" w:cs="Arial" w:eastAsia="Arial" w:hAnsi="Arial"/>
          <w:sz w:val="15"/>
          <w:szCs w:val="15"/>
          <w:color w:val="auto"/>
        </w:rPr>
      </w:pPr>
    </w:p>
    <w:p>
      <w:pPr>
        <w:ind w:right="140" w:firstLine="564"/>
        <w:spacing w:after="0" w:line="305" w:lineRule="auto"/>
        <w:tabs>
          <w:tab w:leader="none" w:pos="1124" w:val="left"/>
        </w:tabs>
        <w:numPr>
          <w:ilvl w:val="1"/>
          <w:numId w:val="155"/>
        </w:numPr>
        <w:rPr>
          <w:rFonts w:ascii="Arial" w:cs="Arial" w:eastAsia="Arial" w:hAnsi="Arial"/>
          <w:sz w:val="13"/>
          <w:szCs w:val="13"/>
          <w:color w:val="auto"/>
        </w:rPr>
      </w:pPr>
      <w:r>
        <w:rPr>
          <w:rFonts w:ascii="Arial" w:cs="Arial" w:eastAsia="Arial" w:hAnsi="Arial"/>
          <w:sz w:val="13"/>
          <w:szCs w:val="13"/>
          <w:color w:val="auto"/>
        </w:rPr>
        <w:t>except as described in the Registration Statement, the Disclosure Package and the Prospectus or as otherwise have been waived (i) no person has the right, contractual or otherwise, to cause the Company to issue or sell to it any shares of Common Stock or shares of any other capital stock or other equity interests of the Company,</w:t>
      </w:r>
    </w:p>
    <w:p>
      <w:pPr>
        <w:ind w:right="120" w:firstLine="9"/>
        <w:spacing w:after="0" w:line="262" w:lineRule="auto"/>
        <w:tabs>
          <w:tab w:leader="none" w:pos="227" w:val="left"/>
        </w:tabs>
        <w:numPr>
          <w:ilvl w:val="0"/>
          <w:numId w:val="156"/>
        </w:numPr>
        <w:rPr>
          <w:rFonts w:ascii="Arial" w:cs="Arial" w:eastAsia="Arial" w:hAnsi="Arial"/>
          <w:sz w:val="15"/>
          <w:szCs w:val="15"/>
          <w:color w:val="auto"/>
        </w:rPr>
      </w:pPr>
      <w:r>
        <w:rPr>
          <w:rFonts w:ascii="Arial" w:cs="Arial" w:eastAsia="Arial" w:hAnsi="Arial"/>
          <w:sz w:val="15"/>
          <w:szCs w:val="15"/>
          <w:color w:val="auto"/>
        </w:rPr>
        <w:t>no person has any preemptive rights, resale rights, rights of first refusal or other rights to purchase any shares of Common Stock or shares of any other capital stock of or other equity interests in the Company and (iii) no person has the right to act as an underwriter or as a financial advisor to the Company in connection with the offer and sale of the Shares; no person has the right, contractual or otherwise, to cause the Company to register under the Act any shares of Common Stock or shares of any other capital stock of or other equity interests in the Company or to include any such shares or interests in the Registration Statement or the offering contemplated thereby other than those that have been otherwise waived;</w:t>
      </w:r>
    </w:p>
    <w:p>
      <w:pPr>
        <w:spacing w:after="0" w:line="160" w:lineRule="exact"/>
        <w:rPr>
          <w:rFonts w:ascii="Arial" w:cs="Arial" w:eastAsia="Arial" w:hAnsi="Arial"/>
          <w:sz w:val="15"/>
          <w:szCs w:val="15"/>
          <w:color w:val="auto"/>
        </w:rPr>
      </w:pPr>
    </w:p>
    <w:p>
      <w:pPr>
        <w:ind w:right="80" w:firstLine="564"/>
        <w:spacing w:after="0" w:line="265" w:lineRule="auto"/>
        <w:tabs>
          <w:tab w:leader="none" w:pos="1119" w:val="left"/>
        </w:tabs>
        <w:numPr>
          <w:ilvl w:val="1"/>
          <w:numId w:val="156"/>
        </w:numPr>
        <w:rPr>
          <w:rFonts w:ascii="Arial" w:cs="Arial" w:eastAsia="Arial" w:hAnsi="Arial"/>
          <w:sz w:val="15"/>
          <w:szCs w:val="15"/>
          <w:color w:val="auto"/>
        </w:rPr>
      </w:pPr>
      <w:r>
        <w:rPr>
          <w:rFonts w:ascii="Arial" w:cs="Arial" w:eastAsia="Arial" w:hAnsi="Arial"/>
          <w:sz w:val="15"/>
          <w:szCs w:val="15"/>
          <w:color w:val="auto"/>
        </w:rPr>
        <w:t>except for licenses, authorizations, consents and approvals required to be obtained from the Food and Drug Administration of the U.S. Department of Health and Human Services, each of the Company and the Subsidiaries has obtained all necessary licenses, authorizations, consents and approvals from all applicable authorities, in each case, as required to conduct their respective businesses as currently conducted, except where the failure to obtain such license, authorization, consent or approval or make such filing would not, individually or in the aggregate, reasonably be expected to have a Material Adverse Effect; neither the Company nor any of the Subsidiaries is in violation</w:t>
      </w:r>
    </w:p>
    <w:p>
      <w:pPr>
        <w:spacing w:after="0" w:line="160"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60"/>
        <w:spacing w:after="0" w:line="302" w:lineRule="auto"/>
        <w:rPr>
          <w:sz w:val="20"/>
          <w:szCs w:val="20"/>
          <w:color w:val="auto"/>
        </w:rPr>
      </w:pPr>
      <w:r>
        <w:rPr>
          <w:rFonts w:ascii="Arial" w:cs="Arial" w:eastAsia="Arial" w:hAnsi="Arial"/>
          <w:sz w:val="14"/>
          <w:szCs w:val="14"/>
          <w:color w:val="auto"/>
        </w:rPr>
        <w:t>of, or in default under, or has received written notice of any proceedings from any applicable governmental or regulatory authority relating to the revocation or adverse modification of, any such license, authorization, consent or approval, except as described in the Registration Statement, the Disclosure Package and the Prospectus or where such violation, default, revocation or adverse modification would not, individually or in the aggregate, reasonably be expected to have a Material Adverse Effect;</w:t>
      </w:r>
    </w:p>
    <w:p>
      <w:pPr>
        <w:spacing w:after="0" w:line="133" w:lineRule="exact"/>
        <w:rPr>
          <w:sz w:val="20"/>
          <w:szCs w:val="20"/>
          <w:color w:val="auto"/>
        </w:rPr>
      </w:pPr>
    </w:p>
    <w:p>
      <w:pPr>
        <w:ind w:right="100" w:firstLine="564"/>
        <w:spacing w:after="0" w:line="265" w:lineRule="auto"/>
        <w:tabs>
          <w:tab w:leader="none" w:pos="1118" w:val="left"/>
        </w:tabs>
        <w:numPr>
          <w:ilvl w:val="0"/>
          <w:numId w:val="157"/>
        </w:numPr>
        <w:rPr>
          <w:rFonts w:ascii="Arial" w:cs="Arial" w:eastAsia="Arial" w:hAnsi="Arial"/>
          <w:sz w:val="15"/>
          <w:szCs w:val="15"/>
          <w:color w:val="auto"/>
        </w:rPr>
      </w:pPr>
      <w:r>
        <w:rPr>
          <w:rFonts w:ascii="Arial" w:cs="Arial" w:eastAsia="Arial" w:hAnsi="Arial"/>
          <w:sz w:val="15"/>
          <w:szCs w:val="15"/>
          <w:color w:val="auto"/>
        </w:rPr>
        <w:t>except as described in the Registration Statement, the Disclosure Package and the Prospectus, there is no legal, governmental, administrative or regulatory investigation, action, suit, claim or proceeding pending or, to the Company’s knowledge, threatened to which the Company or any of its Subsidiaries or any of their respective officers or directors is a party (in their respective capacities as such), or to which any property of the Company or the Subsidiaries is or would reasonably be expected to be subject, before any court, board, body, regulatory or non-regulatory administrative agency or competent authority, which if determined adversely to the Company or any of the Subsidiaries would, individually or in the aggregate, have a Material Adverse Effect;</w:t>
      </w:r>
    </w:p>
    <w:p>
      <w:pPr>
        <w:spacing w:after="0" w:line="159" w:lineRule="exact"/>
        <w:rPr>
          <w:rFonts w:ascii="Arial" w:cs="Arial" w:eastAsia="Arial" w:hAnsi="Arial"/>
          <w:sz w:val="15"/>
          <w:szCs w:val="15"/>
          <w:color w:val="auto"/>
        </w:rPr>
      </w:pPr>
    </w:p>
    <w:p>
      <w:pPr>
        <w:ind w:right="40" w:firstLine="564"/>
        <w:spacing w:after="0" w:line="273" w:lineRule="auto"/>
        <w:tabs>
          <w:tab w:leader="none" w:pos="1118" w:val="left"/>
        </w:tabs>
        <w:numPr>
          <w:ilvl w:val="0"/>
          <w:numId w:val="157"/>
        </w:numPr>
        <w:rPr>
          <w:rFonts w:ascii="Arial" w:cs="Arial" w:eastAsia="Arial" w:hAnsi="Arial"/>
          <w:sz w:val="15"/>
          <w:szCs w:val="15"/>
          <w:color w:val="auto"/>
        </w:rPr>
      </w:pPr>
      <w:r>
        <w:rPr>
          <w:rFonts w:ascii="Arial" w:cs="Arial" w:eastAsia="Arial" w:hAnsi="Arial"/>
          <w:sz w:val="15"/>
          <w:szCs w:val="15"/>
          <w:color w:val="auto"/>
        </w:rPr>
        <w:t>Ernst &amp; Young LLP, whose report on the consolidated financial statements of the Company and the Subsidiaries is included in the Registration Statement, the Disclosure Package and the Prospectus, are independent registered public accountants as required by the Act and by the rules of the Public Company Accounting Oversight Board;</w:t>
      </w:r>
    </w:p>
    <w:p>
      <w:pPr>
        <w:sectPr>
          <w:pgSz w:w="11900" w:h="16838" w:orient="portrait"/>
          <w:cols w:equalWidth="0" w:num="1">
            <w:col w:w="10900"/>
          </w:cols>
          <w:pgMar w:left="780" w:top="129" w:right="219" w:bottom="0" w:gutter="0" w:footer="0" w:header="0"/>
        </w:sectPr>
      </w:pPr>
    </w:p>
    <w:bookmarkStart w:id="295" w:name="page296"/>
    <w:bookmarkEnd w:id="295"/>
    <w:p>
      <w:pPr>
        <w:spacing w:after="0" w:line="7" w:lineRule="exact"/>
        <w:rPr>
          <w:sz w:val="20"/>
          <w:szCs w:val="20"/>
          <w:color w:val="auto"/>
        </w:rPr>
      </w:pPr>
    </w:p>
    <w:p>
      <w:pPr>
        <w:ind w:right="20" w:firstLine="564"/>
        <w:spacing w:after="0" w:line="280" w:lineRule="auto"/>
        <w:tabs>
          <w:tab w:leader="none" w:pos="1129"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financial statements included in the Registration Statement, the Disclosure Package and the Prospectus,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and have been prepared in material compliance with the requirements of the Act and the Exchange Act and in conformity with United States generally accepted accounting principles (“</w:t>
      </w:r>
      <w:r>
        <w:rPr>
          <w:rFonts w:ascii="Arial" w:cs="Arial" w:eastAsia="Arial" w:hAnsi="Arial"/>
          <w:sz w:val="14"/>
          <w:szCs w:val="14"/>
          <w:u w:val="single" w:color="auto"/>
          <w:color w:val="auto"/>
        </w:rPr>
        <w:t>GAAP</w:t>
      </w:r>
      <w:r>
        <w:rPr>
          <w:rFonts w:ascii="Arial" w:cs="Arial" w:eastAsia="Arial" w:hAnsi="Arial"/>
          <w:sz w:val="14"/>
          <w:szCs w:val="14"/>
          <w:color w:val="auto"/>
        </w:rPr>
        <w:t>”) applied on a consistent basis during the periods involved, and all adjustments necessary for a fair presentation of results for such periods have been made; all pro forma financial information included in the Registration Statement, the Disclosure Package and the Prospectus presents fairly in all material respects the information shown therein, has been prepared in accordance with the provisions of the Act and the Rules and Regulations with respect to pro forma financial information, has been properly compiled on the pro forma bases described therein in accordance with the provisions of the Act and the Rules and Regulations, and the assumptions used in the preparation thereof are reasonable and the adjustments therein are appropriate to give effect to the transactions or circumstances referred to therein; the summary and selected combined financial and operating data included in the Registration Statement, the Disclosure Package and the Prospectus present fairly in all material respects the information shown therein and such data have been compiled on a basis consistent with the financial statements presented therein and the books and records of the Company; there are no financial statements (historical or pro forma) that are required to be included in the Registration Statement, the Disclosure Package or the</w:t>
      </w:r>
    </w:p>
    <w:p>
      <w:pPr>
        <w:spacing w:after="0" w:line="155"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Prospectus that are not included as required; the Company and the Subsidiaries do not have any material liabilities or obligations, direct or contingent (including any off-balance sheet obligations), that are not described in the Registration Statement, the Disclosure Package and the Prospectus; and any disclosures contained in the Registration Statement, the Disclosure Package and the Prospectus that constitute “non-GAAP financial measures” (as such term is defined by the rules and regulations of the Commission) comply with Regulation G of the Exchange Act and Item 10 of Regulation S-K under the Act, to the extent applicable;</w:t>
      </w:r>
    </w:p>
    <w:p>
      <w:pPr>
        <w:spacing w:after="0" w:line="156" w:lineRule="exact"/>
        <w:rPr>
          <w:sz w:val="20"/>
          <w:szCs w:val="20"/>
          <w:color w:val="auto"/>
        </w:rPr>
      </w:pPr>
    </w:p>
    <w:p>
      <w:pPr>
        <w:ind w:right="20" w:firstLine="564"/>
        <w:spacing w:after="0" w:line="261" w:lineRule="auto"/>
        <w:tabs>
          <w:tab w:leader="none" w:pos="1118" w:val="left"/>
        </w:tabs>
        <w:numPr>
          <w:ilvl w:val="0"/>
          <w:numId w:val="159"/>
        </w:numPr>
        <w:rPr>
          <w:rFonts w:ascii="Arial" w:cs="Arial" w:eastAsia="Arial" w:hAnsi="Arial"/>
          <w:sz w:val="15"/>
          <w:szCs w:val="15"/>
          <w:color w:val="auto"/>
        </w:rPr>
      </w:pPr>
      <w:r>
        <w:rPr>
          <w:rFonts w:ascii="Arial" w:cs="Arial" w:eastAsia="Arial" w:hAnsi="Arial"/>
          <w:sz w:val="15"/>
          <w:szCs w:val="15"/>
          <w:color w:val="auto"/>
        </w:rPr>
        <w:t>except as disclosed in the Registration Statement, the Disclosure Package and the Prospectus, each stock option granted under any stock option plan of the Company or any Subsidiary (each, a “</w:t>
      </w:r>
      <w:r>
        <w:rPr>
          <w:rFonts w:ascii="Arial" w:cs="Arial" w:eastAsia="Arial" w:hAnsi="Arial"/>
          <w:sz w:val="15"/>
          <w:szCs w:val="15"/>
          <w:u w:val="single" w:color="auto"/>
          <w:color w:val="auto"/>
        </w:rPr>
        <w:t>Stock Plan</w:t>
      </w:r>
      <w:r>
        <w:rPr>
          <w:rFonts w:ascii="Arial" w:cs="Arial" w:eastAsia="Arial" w:hAnsi="Arial"/>
          <w:sz w:val="15"/>
          <w:szCs w:val="15"/>
          <w:color w:val="auto"/>
        </w:rPr>
        <w:t>”) was granted with a per share exercise price no less than the fair market value per share of Common Stock, or, with respect to incentive stock options granted to an employee who on the date of grant was the owner of stock possessing more than 10% of the total combined voting power of all classes of stock of the Company (after taking into account the attribution of stock ownership rules of Section 424(d) of the Internal Revenue Code of 1986, as amended (the “</w:t>
      </w:r>
      <w:r>
        <w:rPr>
          <w:rFonts w:ascii="Arial" w:cs="Arial" w:eastAsia="Arial" w:hAnsi="Arial"/>
          <w:sz w:val="15"/>
          <w:szCs w:val="15"/>
          <w:u w:val="single" w:color="auto"/>
          <w:color w:val="auto"/>
        </w:rPr>
        <w:t>Internal</w:t>
      </w:r>
      <w:r>
        <w:rPr>
          <w:rFonts w:ascii="Arial" w:cs="Arial" w:eastAsia="Arial" w:hAnsi="Arial"/>
          <w:sz w:val="15"/>
          <w:szCs w:val="15"/>
          <w:color w:val="auto"/>
        </w:rPr>
        <w:t xml:space="preserve"> </w:t>
      </w:r>
      <w:r>
        <w:rPr>
          <w:rFonts w:ascii="Arial" w:cs="Arial" w:eastAsia="Arial" w:hAnsi="Arial"/>
          <w:sz w:val="15"/>
          <w:szCs w:val="15"/>
          <w:u w:val="single" w:color="auto"/>
          <w:color w:val="auto"/>
        </w:rPr>
        <w:t>Revenue Code</w:t>
      </w:r>
      <w:r>
        <w:rPr>
          <w:rFonts w:ascii="Arial" w:cs="Arial" w:eastAsia="Arial" w:hAnsi="Arial"/>
          <w:sz w:val="15"/>
          <w:szCs w:val="15"/>
          <w:color w:val="auto"/>
        </w:rPr>
        <w:t>” or the “</w:t>
      </w:r>
      <w:r>
        <w:rPr>
          <w:rFonts w:ascii="Arial" w:cs="Arial" w:eastAsia="Arial" w:hAnsi="Arial"/>
          <w:sz w:val="15"/>
          <w:szCs w:val="15"/>
          <w:u w:val="single" w:color="auto"/>
          <w:color w:val="auto"/>
        </w:rPr>
        <w:t>Code</w:t>
      </w:r>
      <w:r>
        <w:rPr>
          <w:rFonts w:ascii="Arial" w:cs="Arial" w:eastAsia="Arial" w:hAnsi="Arial"/>
          <w:sz w:val="15"/>
          <w:szCs w:val="15"/>
          <w:color w:val="auto"/>
        </w:rPr>
        <w:t>”), no less than 110% of the fair market value per share of Common Stock, on the grant date of such option, as determined by the Company’s board of directors, and no such grant involved any “back-dating,” “forward-dating” or similar practice with respect to the effective date of such grant; except as would not, individually or in the aggregate, reasonably be expected to have a Material Adverse Effect, each such option (i) was granted in compliance with applicable law and with the applicable Stock Plan(s), (ii) was duly approved by the board of directors (or a duly authorized committee thereof or an officer of the Company duly authorized by the board of directors or authorized committee thereof to make such grants) of the Company or such Subsidiary, as applicable, and (iii) has been properly accounted for in the Company’s financial statements in accordance with GAAP;</w:t>
      </w:r>
    </w:p>
    <w:p>
      <w:pPr>
        <w:spacing w:after="0" w:line="162" w:lineRule="exact"/>
        <w:rPr>
          <w:rFonts w:ascii="Arial" w:cs="Arial" w:eastAsia="Arial" w:hAnsi="Arial"/>
          <w:sz w:val="15"/>
          <w:szCs w:val="15"/>
          <w:color w:val="auto"/>
        </w:rPr>
      </w:pPr>
    </w:p>
    <w:p>
      <w:pPr>
        <w:ind w:right="20" w:firstLine="564"/>
        <w:spacing w:after="0" w:line="282" w:lineRule="auto"/>
        <w:tabs>
          <w:tab w:leader="none" w:pos="1118" w:val="left"/>
        </w:tabs>
        <w:numPr>
          <w:ilvl w:val="0"/>
          <w:numId w:val="159"/>
        </w:numPr>
        <w:rPr>
          <w:rFonts w:ascii="Arial" w:cs="Arial" w:eastAsia="Arial" w:hAnsi="Arial"/>
          <w:sz w:val="14"/>
          <w:szCs w:val="14"/>
          <w:color w:val="auto"/>
        </w:rPr>
      </w:pPr>
      <w:r>
        <w:rPr>
          <w:rFonts w:ascii="Arial" w:cs="Arial" w:eastAsia="Arial" w:hAnsi="Arial"/>
          <w:sz w:val="14"/>
          <w:szCs w:val="14"/>
          <w:color w:val="auto"/>
        </w:rPr>
        <w:t>except as otherwise set forth or contemplated in the Registration Statement, the Disclosure Package or the Prospectus, subsequent to the respective dates as of which information is given in the Registration Statement, the Disclosure Package and the Prospectus, in each case, excluding any amendments or supplements to the foregoing made after the execution of this Agreement, there has not been (i) any material adverse change, or any development involving a prospective material adverse change, in the business, properties, management, financial condition or results of operations of the Company and the Subsidiaries taken as a whole,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change in the capital stock or outstanding indebtedness of the Company or any Subsidiaries (other than borrowings in the ordinary course of business under the Company’s Loan and Security Agreement, as amended on December 31, 2015, and as described in the Registration Statement, the Disclosure Package and the Prospectus, the issuance of shares of Common Stock upon exercise of stock options and warrants described as outstanding in the Registration Statement, the Disclosure Package and the</w:t>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Prospectus, the grant in the ordinary course of business of awards under equity incentive plans described in the Registration Statement, the Disclosure Package and the Prospectus and the repurchase by the Company or forfeiture of shares of common stock by the holder thereof pursuant to the terms of equity awards described as outstanding in the Registration Statement, the Disclosure Package and the Prospectus) or (v) any dividend or distribution of any kind declared, paid or made on the capital stock of the Company or any Subsidiary;</w:t>
      </w:r>
    </w:p>
    <w:p>
      <w:pPr>
        <w:spacing w:after="0" w:line="156" w:lineRule="exact"/>
        <w:rPr>
          <w:sz w:val="20"/>
          <w:szCs w:val="20"/>
          <w:color w:val="auto"/>
        </w:rPr>
      </w:pPr>
    </w:p>
    <w:p>
      <w:pPr>
        <w:ind w:right="40" w:firstLine="564"/>
        <w:spacing w:after="0" w:line="268" w:lineRule="auto"/>
        <w:tabs>
          <w:tab w:leader="none" w:pos="1121" w:val="left"/>
        </w:tabs>
        <w:numPr>
          <w:ilvl w:val="0"/>
          <w:numId w:val="160"/>
        </w:numPr>
        <w:rPr>
          <w:rFonts w:ascii="Arial" w:cs="Arial" w:eastAsia="Arial" w:hAnsi="Arial"/>
          <w:sz w:val="15"/>
          <w:szCs w:val="15"/>
          <w:color w:val="auto"/>
        </w:rPr>
      </w:pPr>
      <w:r>
        <w:rPr>
          <w:rFonts w:ascii="Arial" w:cs="Arial" w:eastAsia="Arial" w:hAnsi="Arial"/>
          <w:sz w:val="15"/>
          <w:szCs w:val="15"/>
          <w:color w:val="auto"/>
        </w:rPr>
        <w:t xml:space="preserve">the Company has obtained, for the benefit of the Underwriters, executed copies of lock-up agreements, to the effect set forth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(a “</w:t>
      </w:r>
      <w:r>
        <w:rPr>
          <w:rFonts w:ascii="Arial" w:cs="Arial" w:eastAsia="Arial" w:hAnsi="Arial"/>
          <w:sz w:val="15"/>
          <w:szCs w:val="15"/>
          <w:u w:val="single" w:color="auto"/>
          <w:color w:val="auto"/>
        </w:rPr>
        <w:t>Lock-Up</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xml:space="preserve">”), from each officer and director of the Company, each of the persons listed on </w:t>
      </w:r>
      <w:r>
        <w:rPr>
          <w:rFonts w:ascii="Arial" w:cs="Arial" w:eastAsia="Arial" w:hAnsi="Arial"/>
          <w:sz w:val="15"/>
          <w:szCs w:val="15"/>
          <w:u w:val="single" w:color="auto"/>
          <w:color w:val="auto"/>
        </w:rPr>
        <w:t>Schedule C</w:t>
      </w:r>
      <w:r>
        <w:rPr>
          <w:rFonts w:ascii="Arial" w:cs="Arial" w:eastAsia="Arial" w:hAnsi="Arial"/>
          <w:sz w:val="15"/>
          <w:szCs w:val="15"/>
          <w:color w:val="auto"/>
        </w:rPr>
        <w:t xml:space="preserve"> hereto and each Directed Share Participant that purchases at least an aggregate of $1,000,000 in Shares under the Directed Share Program (which, for Directed Share Participants other than the Company’s officers and directors, will have a lock-up period of 25 days);</w:t>
      </w:r>
    </w:p>
    <w:p>
      <w:pPr>
        <w:spacing w:after="0" w:line="156" w:lineRule="exact"/>
        <w:rPr>
          <w:sz w:val="20"/>
          <w:szCs w:val="20"/>
          <w:color w:val="auto"/>
        </w:rPr>
      </w:pPr>
    </w:p>
    <w:p>
      <w:pPr>
        <w:jc w:val="both"/>
        <w:ind w:right="60" w:firstLine="564"/>
        <w:spacing w:after="0" w:line="302" w:lineRule="auto"/>
        <w:tabs>
          <w:tab w:leader="none" w:pos="1097" w:val="left"/>
        </w:tabs>
        <w:numPr>
          <w:ilvl w:val="0"/>
          <w:numId w:val="161"/>
        </w:numPr>
        <w:rPr>
          <w:rFonts w:ascii="Arial" w:cs="Arial" w:eastAsia="Arial" w:hAnsi="Arial"/>
          <w:sz w:val="14"/>
          <w:szCs w:val="14"/>
          <w:color w:val="auto"/>
        </w:rPr>
      </w:pPr>
      <w:r>
        <w:rPr>
          <w:rFonts w:ascii="Arial" w:cs="Arial" w:eastAsia="Arial" w:hAnsi="Arial"/>
          <w:sz w:val="14"/>
          <w:szCs w:val="14"/>
          <w:color w:val="auto"/>
        </w:rPr>
        <w:t>neither the Company nor any Subsidiary is and, after giving effect to the offering and sale of the Shares and the application of the proceeds thereof, neither of them will be, an “investment company” or an entity “controlled” by an “investment company,” as such terms are defined in the Investment Company Act of 1940, as amended (the “</w:t>
      </w:r>
      <w:r>
        <w:rPr>
          <w:rFonts w:ascii="Arial" w:cs="Arial" w:eastAsia="Arial" w:hAnsi="Arial"/>
          <w:sz w:val="14"/>
          <w:szCs w:val="14"/>
          <w:u w:val="single" w:color="auto"/>
          <w:color w:val="auto"/>
        </w:rPr>
        <w:t>Investment Company Act</w:t>
      </w:r>
      <w:r>
        <w:rPr>
          <w:rFonts w:ascii="Arial" w:cs="Arial" w:eastAsia="Arial" w:hAnsi="Arial"/>
          <w:sz w:val="14"/>
          <w:szCs w:val="14"/>
          <w:color w:val="auto"/>
        </w:rPr>
        <w:t>”), or a “passive foreign investment company” or a “controlled foreign corporation,” as such terms are defined in the Internal Revenue Code;</w:t>
      </w:r>
    </w:p>
    <w:p>
      <w:pPr>
        <w:spacing w:after="0" w:line="133" w:lineRule="exact"/>
        <w:rPr>
          <w:rFonts w:ascii="Arial" w:cs="Arial" w:eastAsia="Arial" w:hAnsi="Arial"/>
          <w:sz w:val="14"/>
          <w:szCs w:val="14"/>
          <w:color w:val="auto"/>
        </w:rPr>
      </w:pPr>
    </w:p>
    <w:p>
      <w:pPr>
        <w:ind w:firstLine="564"/>
        <w:spacing w:after="0" w:line="262" w:lineRule="auto"/>
        <w:tabs>
          <w:tab w:leader="none" w:pos="1114" w:val="left"/>
        </w:tabs>
        <w:numPr>
          <w:ilvl w:val="0"/>
          <w:numId w:val="161"/>
        </w:numPr>
        <w:rPr>
          <w:rFonts w:ascii="Arial" w:cs="Arial" w:eastAsia="Arial" w:hAnsi="Arial"/>
          <w:sz w:val="15"/>
          <w:szCs w:val="15"/>
          <w:color w:val="auto"/>
        </w:rPr>
      </w:pPr>
      <w:r>
        <w:rPr>
          <w:rFonts w:ascii="Arial" w:cs="Arial" w:eastAsia="Arial" w:hAnsi="Arial"/>
          <w:sz w:val="15"/>
          <w:szCs w:val="15"/>
          <w:color w:val="auto"/>
        </w:rPr>
        <w:t>neither the Company nor the Subsidiaries own any real property; the Company and each of the Subsidiaries have good and marketable title to all tangible personal property described in the Registration Statement, the Disclosure Package and the Prospectus as being owned by any of them, free and clear of all liens, claims, security interests or other encumbrances, except those that do not materially interfere with the use or proposed use of such property by the Company or the Subsidiary, respectively, or as would not materially or adversely affect the value of such property; all the property described in the Registration Statement, the Disclosure Package and the Prospectus as being held under lease by the Company or a Subsidiary is held thereby under valid, subsisting and enforceable leases, except where such failure to hold such property would not, individually or in the aggregate, reasonably be expected to have a Material Adverse Effect and except that the enforcement thereof may be subject to (i) bankruptcy, insolvency, reorganization, receivership, moratorium, fraudulent conveyance or other similar laws relating to creditor’s rights generally and (ii) general principles of equity and the discretion of the court before which any proceeding therefor may be brought;</w:t>
      </w:r>
    </w:p>
    <w:p>
      <w:pPr>
        <w:spacing w:after="0" w:line="161" w:lineRule="exact"/>
        <w:rPr>
          <w:rFonts w:ascii="Arial" w:cs="Arial" w:eastAsia="Arial" w:hAnsi="Arial"/>
          <w:sz w:val="15"/>
          <w:szCs w:val="15"/>
          <w:color w:val="auto"/>
        </w:rPr>
      </w:pPr>
    </w:p>
    <w:p>
      <w:pPr>
        <w:ind w:right="20" w:firstLine="564"/>
        <w:spacing w:after="0" w:line="268" w:lineRule="auto"/>
        <w:tabs>
          <w:tab w:leader="none" w:pos="11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except as disclosed in the Registration Statement, the Disclosure Package and the Prospectus, the Company and the Subsidiaries own, or have obtained valid and enforceable licenses for, or other rights to use, the patent applications, patents, trademarks, trademark registrations, tradenames, service marks, copyrights, trade secrets and other unpatented and/or unpatentable proprietary information necessary for, or used in the conduct, or the proposed conduct, of the business of the Company and its Subsidiaries taken as a whole in the manner described in the Registration Statement, the</w:t>
      </w:r>
    </w:p>
    <w:p>
      <w:pPr>
        <w:spacing w:after="0" w:line="156"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Disclosure Package and the Prospectus (collectively, “</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except as such failure to own or obtain rights would not result in a Material Adverse Effect; except as disclosed in the Registration Statement, the Disclosure Package and the Prospectus (i) to the knowledge of the Company, there are no third parties who have any ownership rights in or to any Intellectual Property that is owned by the Company, and, to the knowledge of the Company, no third party has any ownership right in or to any Intellectual Property in any field of use that is exclusively licensed to the Company, other than the licensor to the Company of such Intellectual Property; (ii) the Company has not received written notice of any material infringement by third parties of any Intellectual Property; (iii) there is no pending or, to the Company’s knowledge, threatened action, suit, proceeding or claim by others alleging that the Company is infringing, misappropriating, diluting or otherwise violating any rights of others with respect to any Intellectual Property; (iv) there is no pending or, to the Company’s knowledge, threatened action, suit, proceeding or claim by others challenging the validity, enforceability or scope of any of the patent or patent applications owned or exclusively licensed by the Company included in the Intellectual Property; (v) the Company has not received written notice of any claim of material infringement with any asserted rights of others with respect to any of the Company’s products, proposed products, processes or Intellectual</w:t>
      </w:r>
    </w:p>
    <w:p>
      <w:pPr>
        <w:sectPr>
          <w:pgSz w:w="11900" w:h="16845" w:orient="portrait"/>
          <w:cols w:equalWidth="0" w:num="1">
            <w:col w:w="10900"/>
          </w:cols>
          <w:pgMar w:left="780" w:top="129" w:right="219" w:bottom="0" w:gutter="0" w:footer="0" w:header="0"/>
        </w:sectPr>
      </w:pPr>
    </w:p>
    <w:bookmarkStart w:id="296" w:name="page297"/>
    <w:bookmarkEnd w:id="296"/>
    <w:p>
      <w:pPr>
        <w:spacing w:after="0" w:line="26"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Property; (vi) except as would not reasonably be expected to result in a Material Adverse Effect, the development, sale and any currently proposed use of any of the products, proposed products or processes of the Company referred to in the Registration Statement, the Disclosure Package and the Prospectus, in the current or proposed conduct of the businesses of the Company in the manner and to the extent described in the Registration Statement, the Disclosure Package and the Prospectus, do not currently, and will not upon commercialization, infringe any right or valid patent claim of any third party; (vii) to the knowledge of the Company, the parties prosecuting the patents and patent applications owned or licensed to the Company or under which the Company has rights included in the Intellectual Property have complied with their duty of candor and disclosure to the U.S. Patent and Trademark Office (the “</w:t>
      </w:r>
      <w:r>
        <w:rPr>
          <w:rFonts w:ascii="Arial" w:cs="Arial" w:eastAsia="Arial" w:hAnsi="Arial"/>
          <w:sz w:val="14"/>
          <w:szCs w:val="14"/>
          <w:u w:val="single" w:color="auto"/>
          <w:color w:val="auto"/>
        </w:rPr>
        <w:t>USPTO</w:t>
      </w:r>
      <w:r>
        <w:rPr>
          <w:rFonts w:ascii="Arial" w:cs="Arial" w:eastAsia="Arial" w:hAnsi="Arial"/>
          <w:sz w:val="14"/>
          <w:szCs w:val="14"/>
          <w:color w:val="auto"/>
        </w:rPr>
        <w:t>”) in connection with such applications and the Company is not aware of any facts required to be disclosed to the USPTO that were not disclosed to the USPTO and which would preclude the grant of a patent in connection with any such application, or in the view of the Company could form a reasonable basis of a finding of invalidity with respect to any patents that have issued with respect to such applications; (viii) there is no prior art that may render any patent application within the Intellectual Property unpatentable that has not been disclosed to the U.S. Patent and Trademark Office or of which the Company is otherwise aware; (ix) the product candidates described in the Registration Statement, the Disclosure Package and the Prospectus as under development by the Company or any Subsidiary fall within the scope of the claims of one or more patents owned by, or exclusively licensed to, the Company or any Subsidiary; and (x) to the Company’s knowledge, there is no patent or published patent application in the U.S. or other jurisdiction which contains claims that dominate or may dominate the Intellectual Property or that interferes with the issued or pending claims of any such Intellectual Property;</w:t>
      </w:r>
    </w:p>
    <w:p>
      <w:pPr>
        <w:spacing w:after="0" w:line="153" w:lineRule="exact"/>
        <w:rPr>
          <w:sz w:val="20"/>
          <w:szCs w:val="20"/>
          <w:color w:val="auto"/>
        </w:rPr>
      </w:pPr>
    </w:p>
    <w:p>
      <w:pPr>
        <w:ind w:left="5100" w:right="5520" w:hanging="4536"/>
        <w:spacing w:after="0" w:line="604" w:lineRule="auto"/>
        <w:tabs>
          <w:tab w:leader="none" w:pos="1126" w:val="left"/>
        </w:tabs>
        <w:numPr>
          <w:ilvl w:val="0"/>
          <w:numId w:val="162"/>
        </w:numPr>
        <w:rPr>
          <w:rFonts w:ascii="Arial" w:cs="Arial" w:eastAsia="Arial" w:hAnsi="Arial"/>
          <w:sz w:val="14"/>
          <w:szCs w:val="14"/>
          <w:color w:val="auto"/>
        </w:rPr>
      </w:pPr>
      <w:r>
        <w:rPr>
          <w:rFonts w:ascii="Arial" w:cs="Arial" w:eastAsia="Arial" w:hAnsi="Arial"/>
          <w:sz w:val="14"/>
          <w:szCs w:val="14"/>
          <w:color w:val="auto"/>
        </w:rPr>
        <w:t>except for matters which would not, individually or in the aggregate,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-97790</wp:posOffset>
            </wp:positionV>
            <wp:extent cx="7285990" cy="2730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39"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reasonably be expected to have a Material Adverse Effect,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 to the Company’s knowledge, threatened and (B) no strike, labor dispute, slowdown or stoppage pending or, to the Company’s knowledge, threatened against the Company or any of the Subsidiaries or against any of the principal suppliers, contractors or customers of the Company or any of its Subsidiaries;</w:t>
      </w:r>
    </w:p>
    <w:p>
      <w:pPr>
        <w:spacing w:after="0" w:line="140" w:lineRule="exact"/>
        <w:rPr>
          <w:sz w:val="20"/>
          <w:szCs w:val="20"/>
          <w:color w:val="auto"/>
        </w:rPr>
      </w:pPr>
    </w:p>
    <w:p>
      <w:pPr>
        <w:ind w:firstLine="564"/>
        <w:spacing w:after="0" w:line="260" w:lineRule="auto"/>
        <w:tabs>
          <w:tab w:leader="none" w:pos="112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the Company and the Subsidiaries are in compliance with, and hold all permits, authorizations and approvals required under, Environmental Laws (as defined below), except to the extent that failure to so comply or to hold such permits, authorizations or approvals would not, individually or in the aggregate, reasonably be expected to have a Material Adverse Effect; the Company and the Subsidiaries are not aware of any non-compliance with Environmental Laws, any past or present events, conditions, activities, practices, actions, omissions or plans that could reasonably be expected to result in non-compliance with Environmental Laws or any current liabilities under Environmental Laws, that could individually or in the aggregate, reasonably be expected to have a Material Adverse Effect; the Company and the Subsidiaries (i) are not the subject of any investigation known to the Company, (ii) have not received any notice or claim, (iii) are not a party to any pending or, to the Company’s knowledge, threatened action, suit or proceeding, (iv) are not bound by any judgment, decree or order or (v) have not entered into any agreement, in each case relating to any alleged violation of any Environmental Law or any actual or alleged release or threatened release or cleanup at any location of any Hazardous Materials (as defined below) (as used herein, “</w:t>
      </w:r>
      <w:r>
        <w:rPr>
          <w:rFonts w:ascii="Arial" w:cs="Arial" w:eastAsia="Arial" w:hAnsi="Arial"/>
          <w:sz w:val="15"/>
          <w:szCs w:val="15"/>
          <w:u w:val="single" w:color="auto"/>
          <w:color w:val="auto"/>
        </w:rPr>
        <w:t>Environmental Law</w:t>
      </w:r>
      <w:r>
        <w:rPr>
          <w:rFonts w:ascii="Arial" w:cs="Arial" w:eastAsia="Arial" w:hAnsi="Arial"/>
          <w:sz w:val="15"/>
          <w:szCs w:val="15"/>
          <w:color w:val="auto"/>
        </w:rPr>
        <w:t>” means any federal, state, local or foreign law, statute, ordinance, rule, regulation, order, decree, judgment, injunction, permit, license, authorization or other legal requirement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Arial" w:cs="Arial" w:eastAsia="Arial" w:hAnsi="Arial"/>
          <w:sz w:val="15"/>
          <w:szCs w:val="15"/>
          <w:u w:val="single" w:color="auto"/>
          <w:color w:val="auto"/>
        </w:rPr>
        <w:t>Hazardous Materials</w:t>
      </w:r>
      <w:r>
        <w:rPr>
          <w:rFonts w:ascii="Arial" w:cs="Arial" w:eastAsia="Arial" w:hAnsi="Arial"/>
          <w:sz w:val="15"/>
          <w:szCs w:val="15"/>
          <w:color w:val="auto"/>
        </w:rPr>
        <w:t>” means any material (including, without limitation, pollutants, contaminants, hazardous or toxic substances or wastes) that is regulated by or may give rise to liability under any Environmental Law);</w:t>
      </w:r>
    </w:p>
    <w:p>
      <w:pPr>
        <w:spacing w:after="0" w:line="165" w:lineRule="exact"/>
        <w:rPr>
          <w:rFonts w:ascii="Arial" w:cs="Arial" w:eastAsia="Arial" w:hAnsi="Arial"/>
          <w:sz w:val="15"/>
          <w:szCs w:val="15"/>
          <w:color w:val="auto"/>
        </w:rPr>
      </w:pPr>
    </w:p>
    <w:p>
      <w:pPr>
        <w:ind w:right="120" w:firstLine="564"/>
        <w:spacing w:after="0" w:line="268" w:lineRule="auto"/>
        <w:tabs>
          <w:tab w:leader="none" w:pos="1106" w:val="left"/>
        </w:tabs>
        <w:numPr>
          <w:ilvl w:val="0"/>
          <w:numId w:val="163"/>
        </w:numPr>
        <w:rPr>
          <w:rFonts w:ascii="Arial" w:cs="Arial" w:eastAsia="Arial" w:hAnsi="Arial"/>
          <w:sz w:val="15"/>
          <w:szCs w:val="15"/>
          <w:color w:val="auto"/>
        </w:rPr>
      </w:pPr>
      <w:r>
        <w:rPr>
          <w:rFonts w:ascii="Arial" w:cs="Arial" w:eastAsia="Arial" w:hAnsi="Arial"/>
          <w:sz w:val="15"/>
          <w:szCs w:val="15"/>
          <w:color w:val="auto"/>
        </w:rPr>
        <w:t>except as described in the Registration Statement, the Disclosure Package or the Prospectus, all material tax returns required to be filed by the Company or any of the Subsidiaries have been filed (subject to permitted extensions), and all material taxes and other assessments of a similar nature (whether imposed directly or through withholding) including any material interest, additions to tax or penalties applicable thereto due or claimed to be due from such entities have been paid, other than those being contested in good faith and for which adequate reserves have been provided;</w:t>
      </w:r>
    </w:p>
    <w:p>
      <w:pPr>
        <w:spacing w:after="0" w:line="156" w:lineRule="exact"/>
        <w:rPr>
          <w:rFonts w:ascii="Arial" w:cs="Arial" w:eastAsia="Arial" w:hAnsi="Arial"/>
          <w:sz w:val="15"/>
          <w:szCs w:val="15"/>
          <w:color w:val="auto"/>
        </w:rPr>
      </w:pPr>
    </w:p>
    <w:p>
      <w:pPr>
        <w:ind w:right="320" w:firstLine="564"/>
        <w:spacing w:after="0" w:line="289" w:lineRule="auto"/>
        <w:tabs>
          <w:tab w:leader="none" w:pos="1137" w:val="left"/>
        </w:tabs>
        <w:numPr>
          <w:ilvl w:val="0"/>
          <w:numId w:val="163"/>
        </w:numPr>
        <w:rPr>
          <w:rFonts w:ascii="Arial" w:cs="Arial" w:eastAsia="Arial" w:hAnsi="Arial"/>
          <w:sz w:val="15"/>
          <w:szCs w:val="15"/>
          <w:color w:val="auto"/>
        </w:rPr>
      </w:pPr>
      <w:r>
        <w:rPr>
          <w:rFonts w:ascii="Arial" w:cs="Arial" w:eastAsia="Arial" w:hAnsi="Arial"/>
          <w:sz w:val="15"/>
          <w:szCs w:val="15"/>
          <w:color w:val="auto"/>
        </w:rPr>
        <w:t>the Company and each of the Subsidiaries maintain insurance covering their respective properties, operations, personnel and businesses as the Company reasonably deems adequate; such insurance insures against such losses and risks in</w:t>
      </w:r>
    </w:p>
    <w:p>
      <w:pPr>
        <w:spacing w:after="0" w:line="141"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accordance with customary industry practice to protect the Company and the Subsidiaries and their respective businesses and which is commercially reasonably for the current conduct of its business; to the Company’s knowledge, all such insurance is fully in force on the date hereof and is expected to be fully in force at the time of purchase and each additional time of purchase, if any; neither the Company nor any Subsidiary has reason to believe that it will not be able to (i) renew any such insurance as and when such insurance expires or (ii) obtain comparable coverage from similar institutions as may be necessary or appropriate to conduct its business as now conducted at a cost that would not, individually or in the aggregate, reasonably be expected to result in any Material Adverse Effect;</w:t>
      </w:r>
    </w:p>
    <w:p>
      <w:pPr>
        <w:spacing w:after="0" w:line="160" w:lineRule="exact"/>
        <w:rPr>
          <w:sz w:val="20"/>
          <w:szCs w:val="20"/>
          <w:color w:val="auto"/>
        </w:rPr>
      </w:pPr>
    </w:p>
    <w:p>
      <w:pPr>
        <w:jc w:val="both"/>
        <w:ind w:right="140" w:firstLine="564"/>
        <w:spacing w:after="0" w:line="268" w:lineRule="auto"/>
        <w:tabs>
          <w:tab w:leader="none" w:pos="1114" w:val="left"/>
        </w:tabs>
        <w:numPr>
          <w:ilvl w:val="1"/>
          <w:numId w:val="164"/>
        </w:numPr>
        <w:rPr>
          <w:rFonts w:ascii="Arial" w:cs="Arial" w:eastAsia="Arial" w:hAnsi="Arial"/>
          <w:sz w:val="15"/>
          <w:szCs w:val="15"/>
          <w:color w:val="auto"/>
        </w:rPr>
      </w:pPr>
      <w:r>
        <w:rPr>
          <w:rFonts w:ascii="Arial" w:cs="Arial" w:eastAsia="Arial" w:hAnsi="Arial"/>
          <w:sz w:val="15"/>
          <w:szCs w:val="15"/>
          <w:color w:val="auto"/>
        </w:rPr>
        <w:t>except as referred to or described in the Registration Statement, the Disclosure Package or the Prospectus, neither the Company nor any Subsidiary has sent or received any communication regarding termination of, or intent not to renew, any of the contracts or agreements referred to or described in the Registration Statement, the Disclosure Package or the Prospectus, and no such termination or non-renewal has been threatened by the Company or any Subsidiary or, to the Company’s knowledge, any counterparty to any such contract or agreement;</w:t>
      </w:r>
    </w:p>
    <w:p>
      <w:pPr>
        <w:spacing w:after="0" w:line="156" w:lineRule="exact"/>
        <w:rPr>
          <w:rFonts w:ascii="Arial" w:cs="Arial" w:eastAsia="Arial" w:hAnsi="Arial"/>
          <w:sz w:val="15"/>
          <w:szCs w:val="15"/>
          <w:color w:val="auto"/>
        </w:rPr>
      </w:pPr>
    </w:p>
    <w:p>
      <w:pPr>
        <w:ind w:right="140" w:firstLine="564"/>
        <w:spacing w:after="0" w:line="279" w:lineRule="auto"/>
        <w:tabs>
          <w:tab w:leader="none" w:pos="1138" w:val="left"/>
        </w:tabs>
        <w:numPr>
          <w:ilvl w:val="1"/>
          <w:numId w:val="164"/>
        </w:numPr>
        <w:rPr>
          <w:rFonts w:ascii="Arial" w:cs="Arial" w:eastAsia="Arial" w:hAnsi="Arial"/>
          <w:sz w:val="14"/>
          <w:szCs w:val="14"/>
          <w:color w:val="auto"/>
        </w:rPr>
      </w:pPr>
      <w:r>
        <w:rPr>
          <w:rFonts w:ascii="Arial" w:cs="Arial" w:eastAsia="Arial" w:hAnsi="Arial"/>
          <w:sz w:val="14"/>
          <w:szCs w:val="14"/>
          <w:color w:val="auto"/>
        </w:rPr>
        <w:t>the Company and the Subsidiaries maintain a system of “internal controls over financial reporting” (as defined in Rule 13a-15(f) of the Exchange Act) that has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w:t>
      </w:r>
    </w:p>
    <w:p>
      <w:pPr>
        <w:spacing w:after="0" w:line="1" w:lineRule="exact"/>
        <w:rPr>
          <w:rFonts w:ascii="Arial" w:cs="Arial" w:eastAsia="Arial" w:hAnsi="Arial"/>
          <w:sz w:val="14"/>
          <w:szCs w:val="14"/>
          <w:color w:val="auto"/>
        </w:rPr>
      </w:pPr>
    </w:p>
    <w:p>
      <w:pPr>
        <w:ind w:firstLine="9"/>
        <w:spacing w:after="0" w:line="260" w:lineRule="auto"/>
        <w:tabs>
          <w:tab w:leader="none" w:pos="27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access to assets is permitted only in accordance with management’s general or specific authorization and any unauthorized access that could have a material effect on the Company’s financial statements is timely detected; and (iv) the recorded accountability for assets is compared with existing assets at reasonable intervals and appropriate action is taken with respect to any differences. Except as disclosed in the Registration Statement, the Disclosure Package and the Prospectus, there are no material weaknesses in the Company’s internal controls. The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64" w:lineRule="exact"/>
        <w:rPr>
          <w:rFonts w:ascii="Arial" w:cs="Arial" w:eastAsia="Arial" w:hAnsi="Arial"/>
          <w:sz w:val="15"/>
          <w:szCs w:val="15"/>
          <w:color w:val="auto"/>
        </w:rPr>
      </w:pPr>
    </w:p>
    <w:p>
      <w:pPr>
        <w:ind w:right="60" w:firstLine="564"/>
        <w:spacing w:after="0" w:line="289" w:lineRule="auto"/>
        <w:tabs>
          <w:tab w:leader="none" w:pos="1115" w:val="left"/>
        </w:tabs>
        <w:numPr>
          <w:ilvl w:val="1"/>
          <w:numId w:val="165"/>
        </w:numPr>
        <w:rPr>
          <w:rFonts w:ascii="Arial" w:cs="Arial" w:eastAsia="Arial" w:hAnsi="Arial"/>
          <w:sz w:val="15"/>
          <w:szCs w:val="15"/>
          <w:color w:val="auto"/>
        </w:rPr>
      </w:pPr>
      <w:r>
        <w:rPr>
          <w:rFonts w:ascii="Arial" w:cs="Arial" w:eastAsia="Arial" w:hAnsi="Arial"/>
          <w:sz w:val="15"/>
          <w:szCs w:val="15"/>
          <w:color w:val="auto"/>
        </w:rPr>
        <w:t>the Company and its Subsidiaries have established and, as of the Effective Time, maintain and evaluate “disclosure controls and procedures” (as such term is defined in Rule 13a-15 under the Exchange Act); such disclosure controls and procedures</w:t>
      </w:r>
    </w:p>
    <w:p>
      <w:pPr>
        <w:spacing w:after="0" w:line="141"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312" w:lineRule="auto"/>
        <w:rPr>
          <w:sz w:val="20"/>
          <w:szCs w:val="20"/>
          <w:color w:val="auto"/>
        </w:rPr>
      </w:pPr>
      <w:r>
        <w:rPr>
          <w:rFonts w:ascii="Arial" w:cs="Arial" w:eastAsia="Arial" w:hAnsi="Arial"/>
          <w:sz w:val="13"/>
          <w:szCs w:val="13"/>
          <w:color w:val="auto"/>
        </w:rPr>
        <w:t>have been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no “significant deficiencies” or “material weaknesses” (as such terms are defined in Rule 1-02(a)(4) of Regulation S-X under the Act) of the Company were identified in connection with the audit by the Company’s independent registered public accountants of the Company’s financial statements for the fiscal year ended December 31, 2015;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and the Company has</w:t>
      </w:r>
    </w:p>
    <w:p>
      <w:pPr>
        <w:sectPr>
          <w:pgSz w:w="11900" w:h="16865" w:orient="portrait"/>
          <w:cols w:equalWidth="0" w:num="1">
            <w:col w:w="10880"/>
          </w:cols>
          <w:pgMar w:left="780" w:top="129" w:right="239" w:bottom="0" w:gutter="0" w:footer="0" w:header="0"/>
        </w:sectPr>
      </w:pPr>
    </w:p>
    <w:bookmarkStart w:id="297" w:name="page298"/>
    <w:bookmarkEnd w:id="297"/>
    <w:p>
      <w:pPr>
        <w:spacing w:after="0" w:line="40" w:lineRule="exact"/>
        <w:rPr>
          <w:sz w:val="20"/>
          <w:szCs w:val="20"/>
          <w:color w:val="auto"/>
        </w:rPr>
      </w:pPr>
    </w:p>
    <w:p>
      <w:pPr>
        <w:ind w:right="240"/>
        <w:spacing w:after="0" w:line="273" w:lineRule="auto"/>
        <w:rPr>
          <w:sz w:val="20"/>
          <w:szCs w:val="20"/>
          <w:color w:val="auto"/>
        </w:rPr>
      </w:pPr>
      <w:r>
        <w:rPr>
          <w:rFonts w:ascii="Arial" w:cs="Arial" w:eastAsia="Arial" w:hAnsi="Arial"/>
          <w:sz w:val="15"/>
          <w:szCs w:val="15"/>
          <w:color w:val="auto"/>
        </w:rPr>
        <w:t>taken all necessary actions to ensure that, upon and at all times after the filing of the Registration Statement, the Disclosure Package or the Prospectus, the Company and the Subsidiaries and their respective officers and directors, in their capacities as such, have been in compliance in all material respects with the applicable provisions of the Sarbanes-Oxley Act of 2002 (the “</w:t>
      </w:r>
      <w:r>
        <w:rPr>
          <w:rFonts w:ascii="Arial" w:cs="Arial" w:eastAsia="Arial" w:hAnsi="Arial"/>
          <w:sz w:val="15"/>
          <w:szCs w:val="15"/>
          <w:u w:val="single" w:color="auto"/>
          <w:color w:val="auto"/>
        </w:rPr>
        <w:t>Sarbanes-Oxley Act</w:t>
      </w:r>
      <w:r>
        <w:rPr>
          <w:rFonts w:ascii="Arial" w:cs="Arial" w:eastAsia="Arial" w:hAnsi="Arial"/>
          <w:sz w:val="15"/>
          <w:szCs w:val="15"/>
          <w:color w:val="auto"/>
        </w:rPr>
        <w:t>”) and the rules and regulations promulgated thereunder;</w:t>
      </w:r>
    </w:p>
    <w:p>
      <w:pPr>
        <w:spacing w:after="0" w:line="153" w:lineRule="exact"/>
        <w:rPr>
          <w:sz w:val="20"/>
          <w:szCs w:val="20"/>
          <w:color w:val="auto"/>
        </w:rPr>
      </w:pPr>
    </w:p>
    <w:p>
      <w:pPr>
        <w:ind w:right="20" w:firstLine="564"/>
        <w:spacing w:after="0" w:line="273" w:lineRule="auto"/>
        <w:tabs>
          <w:tab w:leader="none" w:pos="1114"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Company has taken all actions reasonably necessary to ensure that, upon and at all times at and after the filing of the Registration Statement, the Company and the Subsidiaries and their respective officers and directors, in their capacities as such, will be in compliance in all material respects with the applicable provisions of the Sarbanes-Oxley Act and the rules and regulations promulgated in connection therewith;</w:t>
      </w:r>
    </w:p>
    <w:p>
      <w:pPr>
        <w:spacing w:after="0" w:line="152" w:lineRule="exact"/>
        <w:rPr>
          <w:rFonts w:ascii="Arial" w:cs="Arial" w:eastAsia="Arial" w:hAnsi="Arial"/>
          <w:sz w:val="15"/>
          <w:szCs w:val="15"/>
          <w:color w:val="auto"/>
        </w:rPr>
      </w:pPr>
    </w:p>
    <w:p>
      <w:pPr>
        <w:ind w:right="620" w:firstLine="564"/>
        <w:spacing w:after="0" w:line="289" w:lineRule="auto"/>
        <w:tabs>
          <w:tab w:leader="none" w:pos="1138" w:val="left"/>
        </w:tabs>
        <w:numPr>
          <w:ilvl w:val="0"/>
          <w:numId w:val="166"/>
        </w:numPr>
        <w:rPr>
          <w:rFonts w:ascii="Arial" w:cs="Arial" w:eastAsia="Arial" w:hAnsi="Arial"/>
          <w:sz w:val="15"/>
          <w:szCs w:val="15"/>
          <w:color w:val="auto"/>
        </w:rPr>
      </w:pPr>
      <w:r>
        <w:rPr>
          <w:rFonts w:ascii="Arial" w:cs="Arial" w:eastAsia="Arial" w:hAnsi="Arial"/>
          <w:sz w:val="15"/>
          <w:szCs w:val="15"/>
          <w:color w:val="auto"/>
        </w:rPr>
        <w:t>each “forward-looking statement” (within the meaning of Section 27A of the Act or Section 21E of the Exchange Act) contained in the Registration Statement, the Disclosure Package and the Prospectus has been made or reaffirmed with a reasonable basis and in good faith;</w:t>
      </w:r>
    </w:p>
    <w:p>
      <w:pPr>
        <w:spacing w:after="0" w:line="140" w:lineRule="exact"/>
        <w:rPr>
          <w:rFonts w:ascii="Arial" w:cs="Arial" w:eastAsia="Arial" w:hAnsi="Arial"/>
          <w:sz w:val="15"/>
          <w:szCs w:val="15"/>
          <w:color w:val="auto"/>
        </w:rPr>
      </w:pPr>
    </w:p>
    <w:p>
      <w:pPr>
        <w:ind w:right="160" w:firstLine="564"/>
        <w:spacing w:after="0" w:line="289" w:lineRule="auto"/>
        <w:tabs>
          <w:tab w:leader="none" w:pos="1107"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all statistical or market-related data included in the Registration Statement, the Disclosure Package and the Prospectus are based on or derived from sources that the Company reasonably believes to be reliable and accurate;</w:t>
      </w:r>
    </w:p>
    <w:p>
      <w:pPr>
        <w:spacing w:after="0" w:line="140" w:lineRule="exact"/>
        <w:rPr>
          <w:rFonts w:ascii="Arial" w:cs="Arial" w:eastAsia="Arial" w:hAnsi="Arial"/>
          <w:sz w:val="15"/>
          <w:szCs w:val="15"/>
          <w:color w:val="auto"/>
        </w:rPr>
      </w:pPr>
    </w:p>
    <w:p>
      <w:pPr>
        <w:ind w:right="60" w:firstLine="564"/>
        <w:spacing w:after="0" w:line="265" w:lineRule="auto"/>
        <w:tabs>
          <w:tab w:leader="none" w:pos="1114"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none of the Company, any of the Subsidiaries or any of their respective officers or directors or, to the knowledge of the Company, any agent, employee or controlled affiliate of the Company or any of the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5"/>
          <w:szCs w:val="15"/>
          <w:u w:val="single" w:color="auto"/>
          <w:color w:val="auto"/>
        </w:rPr>
        <w:t>Foreign Corrupt Practices Act</w:t>
      </w:r>
      <w:r>
        <w:rPr>
          <w:rFonts w:ascii="Arial" w:cs="Arial" w:eastAsia="Arial" w:hAnsi="Arial"/>
          <w:sz w:val="15"/>
          <w:szCs w:val="15"/>
          <w:color w:val="auto"/>
        </w:rPr>
        <w:t>”), or the OECD Convention on Bribery of Foreign Public Officials in International Business Transactions (the “</w:t>
      </w:r>
      <w:r>
        <w:rPr>
          <w:rFonts w:ascii="Arial" w:cs="Arial" w:eastAsia="Arial" w:hAnsi="Arial"/>
          <w:sz w:val="15"/>
          <w:szCs w:val="15"/>
          <w:u w:val="single" w:color="auto"/>
          <w:color w:val="auto"/>
        </w:rPr>
        <w:t>OECD Convention</w:t>
      </w:r>
      <w:r>
        <w:rPr>
          <w:rFonts w:ascii="Arial" w:cs="Arial" w:eastAsia="Arial" w:hAnsi="Arial"/>
          <w:sz w:val="15"/>
          <w:szCs w:val="15"/>
          <w:color w:val="auto"/>
        </w:rPr>
        <w:t>”); the Company, the Subsidiaries and, to the knowledge of the Company, its controlled affiliates have instituted and maintain policies and procedures designed to ensure continued compliance therewith;</w:t>
      </w:r>
    </w:p>
    <w:p>
      <w:pPr>
        <w:spacing w:after="0" w:line="159" w:lineRule="exact"/>
        <w:rPr>
          <w:rFonts w:ascii="Arial" w:cs="Arial" w:eastAsia="Arial" w:hAnsi="Arial"/>
          <w:sz w:val="15"/>
          <w:szCs w:val="15"/>
          <w:color w:val="auto"/>
        </w:rPr>
      </w:pPr>
    </w:p>
    <w:p>
      <w:pPr>
        <w:ind w:left="1120" w:hanging="556"/>
        <w:spacing w:after="0"/>
        <w:tabs>
          <w:tab w:leader="none" w:pos="11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operations of the Company and the Subsidiaries are and have been</w:t>
      </w:r>
    </w:p>
    <w:p>
      <w:pPr>
        <w:spacing w:after="0" w:line="198"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color w:val="auto"/>
        </w:rPr>
        <w:t>conducted at all times in compliance with applicable financial recordkeeping and reporting requirements of the USA Patriot Act, the Bank Secrecy Act of 1970, as amended, the anti-money laundering statutes of all jurisdictions, the rules and regulations thereunder and any related or similar rules, regulations or guidelines, issued, administered or enforced by any governmental agency having jurisdiction over the Company (collectively, the “</w:t>
      </w:r>
      <w:r>
        <w:rPr>
          <w:rFonts w:ascii="Arial" w:cs="Arial" w:eastAsia="Arial" w:hAnsi="Arial"/>
          <w:sz w:val="15"/>
          <w:szCs w:val="15"/>
          <w:u w:val="single" w:color="auto"/>
          <w:color w:val="auto"/>
        </w:rPr>
        <w:t>Money Laundering Laws</w:t>
      </w:r>
      <w:r>
        <w:rPr>
          <w:rFonts w:ascii="Arial" w:cs="Arial" w:eastAsia="Arial" w:hAnsi="Arial"/>
          <w:sz w:val="15"/>
          <w:szCs w:val="15"/>
          <w:color w:val="auto"/>
        </w:rPr>
        <w:t>”);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pacing w:after="0" w:line="160" w:lineRule="exact"/>
        <w:rPr>
          <w:sz w:val="20"/>
          <w:szCs w:val="20"/>
          <w:color w:val="auto"/>
        </w:rPr>
      </w:pPr>
    </w:p>
    <w:p>
      <w:pPr>
        <w:ind w:right="80" w:firstLine="564"/>
        <w:spacing w:after="0" w:line="264" w:lineRule="auto"/>
        <w:tabs>
          <w:tab w:leader="none" w:pos="1114" w:val="left"/>
        </w:tabs>
        <w:numPr>
          <w:ilvl w:val="0"/>
          <w:numId w:val="167"/>
        </w:numPr>
        <w:rPr>
          <w:rFonts w:ascii="Arial" w:cs="Arial" w:eastAsia="Arial" w:hAnsi="Arial"/>
          <w:sz w:val="15"/>
          <w:szCs w:val="15"/>
          <w:color w:val="auto"/>
        </w:rPr>
      </w:pPr>
      <w:r>
        <w:rPr>
          <w:rFonts w:ascii="Arial" w:cs="Arial" w:eastAsia="Arial" w:hAnsi="Arial"/>
          <w:sz w:val="15"/>
          <w:szCs w:val="15"/>
          <w:color w:val="auto"/>
        </w:rPr>
        <w:t>none of the Company, any of the Subsidiaries or any of their respective officers or directors or, to the knowledge of the Company, any agent, employee or controlled affiliate of the Company or any of the Subsidiaries is currently subject to or has been subject in the last three (3) years to any sanctions administered or enforced by the Office of Foreign Assets Control of the U.S. Treasury Department, the United Nations Security Council, the European Union, Her Majesty’s Treasury or any other relevant sanctions authority; and the Company will not directly or indirectly use the proceeds of the offering of the Shares contemplated hereby, or lend, contribute or otherwise make available such proceeds to any Subsidiary, joint venture partner or other person or entity for the purpose of financing the activities of any person currently subject to any sanctions administered or enforced by such authorities;</w:t>
      </w:r>
    </w:p>
    <w:p>
      <w:pPr>
        <w:spacing w:after="0" w:line="158" w:lineRule="exact"/>
        <w:rPr>
          <w:rFonts w:ascii="Arial" w:cs="Arial" w:eastAsia="Arial" w:hAnsi="Arial"/>
          <w:sz w:val="15"/>
          <w:szCs w:val="15"/>
          <w:color w:val="auto"/>
        </w:rPr>
      </w:pPr>
    </w:p>
    <w:p>
      <w:pPr>
        <w:jc w:val="both"/>
        <w:ind w:right="320" w:firstLine="564"/>
        <w:spacing w:after="0" w:line="273" w:lineRule="auto"/>
        <w:tabs>
          <w:tab w:leader="none" w:pos="1114"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Company acknowledges that, in accordance with the requirements of the USA Patriot Act,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52" w:lineRule="exact"/>
        <w:rPr>
          <w:rFonts w:ascii="Arial" w:cs="Arial" w:eastAsia="Arial" w:hAnsi="Arial"/>
          <w:sz w:val="15"/>
          <w:szCs w:val="15"/>
          <w:color w:val="auto"/>
        </w:rPr>
      </w:pPr>
    </w:p>
    <w:p>
      <w:pPr>
        <w:ind w:firstLine="564"/>
        <w:spacing w:after="0" w:line="302" w:lineRule="auto"/>
        <w:tabs>
          <w:tab w:leader="none" w:pos="1132" w:val="left"/>
        </w:tabs>
        <w:numPr>
          <w:ilvl w:val="0"/>
          <w:numId w:val="167"/>
        </w:numPr>
        <w:rPr>
          <w:rFonts w:ascii="Arial" w:cs="Arial" w:eastAsia="Arial" w:hAnsi="Arial"/>
          <w:sz w:val="14"/>
          <w:szCs w:val="14"/>
          <w:color w:val="auto"/>
        </w:rPr>
      </w:pPr>
      <w:r>
        <w:rPr>
          <w:rFonts w:ascii="Arial" w:cs="Arial" w:eastAsia="Arial" w:hAnsi="Arial"/>
          <w:sz w:val="14"/>
          <w:szCs w:val="14"/>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Registration Statement, the Disclosure Package and the Prospectus;</w:t>
      </w:r>
    </w:p>
    <w:p>
      <w:pPr>
        <w:spacing w:after="0" w:line="133" w:lineRule="exact"/>
        <w:rPr>
          <w:rFonts w:ascii="Arial" w:cs="Arial" w:eastAsia="Arial" w:hAnsi="Arial"/>
          <w:sz w:val="14"/>
          <w:szCs w:val="14"/>
          <w:color w:val="auto"/>
        </w:rPr>
      </w:pPr>
    </w:p>
    <w:p>
      <w:pPr>
        <w:ind w:right="20" w:firstLine="564"/>
        <w:spacing w:after="0" w:line="264" w:lineRule="auto"/>
        <w:tabs>
          <w:tab w:leader="none" w:pos="1126"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preclinical and clinical studies conducted by or, to the Company’s knowledge, on behalf of the Company that are described in, or the results of which are referred to in, the Registration Statement, the Disclosure Package and the Prospectus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Registration Statement, the Disclosure Package and the Prospectus is accurate in all material respects and fairly presents the data derived from such studies, and the Company is not aware of any other studies the results of which the Company believes reasonably call into question the study results described or referred to in the Registration Statement, the Disclosure</w:t>
      </w:r>
    </w:p>
    <w:p>
      <w:pPr>
        <w:spacing w:after="0" w:line="159"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Package and the Prospectus; and except as disclosed in the Registration Statement, the Disclosure Package and the Prospectus,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 jurisdiction over the Company or any of its properties (collectively, the “</w:t>
      </w:r>
      <w:r>
        <w:rPr>
          <w:rFonts w:ascii="Arial" w:cs="Arial" w:eastAsia="Arial" w:hAnsi="Arial"/>
          <w:sz w:val="14"/>
          <w:szCs w:val="14"/>
          <w:u w:val="single" w:color="auto"/>
          <w:color w:val="auto"/>
        </w:rPr>
        <w:t>Regulatory Agencies</w:t>
      </w:r>
      <w:r>
        <w:rPr>
          <w:rFonts w:ascii="Arial" w:cs="Arial" w:eastAsia="Arial" w:hAnsi="Arial"/>
          <w:sz w:val="14"/>
          <w:szCs w:val="14"/>
          <w:color w:val="auto"/>
        </w:rPr>
        <w:t>”) requiring the termination, suspension or material adverse modification of any clinical trials that are described or referred to in the Registration Statement, the Disclosure Package and the Prospectus; and the Company and the Subsidiaries have each operated and currently are in compliance with all applicable rules and regulations of the Regulatory Agencies except where the failure to be in compliance would not be expected reasonably to have a Material Adverse Effect;</w:t>
      </w:r>
    </w:p>
    <w:p>
      <w:pPr>
        <w:spacing w:after="0" w:line="146" w:lineRule="exact"/>
        <w:rPr>
          <w:sz w:val="20"/>
          <w:szCs w:val="20"/>
          <w:color w:val="auto"/>
        </w:rPr>
      </w:pPr>
    </w:p>
    <w:p>
      <w:pPr>
        <w:ind w:right="20" w:firstLine="564"/>
        <w:spacing w:after="0" w:line="279" w:lineRule="auto"/>
        <w:tabs>
          <w:tab w:leader="none" w:pos="1115"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Company and the Subsidiaries are, and since January 1, 2013 have been, in compliance with all applicable Health Care Laws except where failure to be in compliance would not be expected reasonably to have a Material Adverse Effect. For purposes of this Agreement, “</w:t>
      </w:r>
      <w:r>
        <w:rPr>
          <w:rFonts w:ascii="Arial" w:cs="Arial" w:eastAsia="Arial" w:hAnsi="Arial"/>
          <w:sz w:val="14"/>
          <w:szCs w:val="14"/>
          <w:u w:val="single" w:color="auto"/>
          <w:color w:val="auto"/>
        </w:rPr>
        <w:t>Health Care Laws</w:t>
      </w:r>
      <w:r>
        <w:rPr>
          <w:rFonts w:ascii="Arial" w:cs="Arial" w:eastAsia="Arial" w:hAnsi="Arial"/>
          <w:sz w:val="14"/>
          <w:szCs w:val="14"/>
          <w:color w:val="auto"/>
        </w:rPr>
        <w:t>” means: (i) the Federal Food, Drug, and Cosmetic Act (21 U.S.C. §§ 301 et seq.), and the regulations promulgated thereunder; (ii) all applicable federal, state, local and foreign health care related fraud and abuse laws, including, without limitation, the U.S. Anti-Kickback Statute (42 U.S.C. § 1320a-7b(b)), the U.S. Civil False Claims Act (31 U.S.C. §§ 3729 et seq.), the Federal False Statements Law (42 U.S.C. § 1320a-7b(a)), all criminal laws relating to health care fraud and abuse, including but not limited to 18 U.S.C. §§ 286 and 287, and the health care fraud criminal provisions under the U.S. Health Insurance Portability and Accountability Act of 1996 (“</w:t>
      </w:r>
      <w:r>
        <w:rPr>
          <w:rFonts w:ascii="Arial" w:cs="Arial" w:eastAsia="Arial" w:hAnsi="Arial"/>
          <w:sz w:val="14"/>
          <w:szCs w:val="14"/>
          <w:u w:val="single" w:color="auto"/>
          <w:color w:val="auto"/>
        </w:rPr>
        <w:t>HIPAA</w:t>
      </w:r>
      <w:r>
        <w:rPr>
          <w:rFonts w:ascii="Arial" w:cs="Arial" w:eastAsia="Arial" w:hAnsi="Arial"/>
          <w:sz w:val="14"/>
          <w:szCs w:val="14"/>
          <w:color w:val="auto"/>
        </w:rPr>
        <w:t>”) (42 U.S.C. §§ 1320d et seq.), the Civil Monetary Penalties Law (42 U.S.C. § 1320a-7a), the exclusion laws (42 U.S.C. § 1320a-7), the Medicare statute (Title XVIII of the Social Security Act), and the Medicaid statute (Title XIX of the Social Security Act) and the regulations promulgated pursuant to such statutes; (iii) HIPAA, as amended by the Health Information Technology for Economic and Clinical Health Act (42 U.S.C. Section 17921 et seq.), and the regulations promulgated thereunder; (iv) the U.S. Physician Payments Sunshine Act (42 U.S.C. § 1320a-7h), and the regulations promulgated thereunder; and (v) any and all other applicable health care laws and regulation applicable to the ownership, testing, development, manufacture, packaging, processing, use, distribution, marketing, advertising, labeling, promotion, sale, offer for sale, storage, import, export or disposal of any product under development by the Company. Neither the Company nor the Subsidiaries has received written notice of any claim, action, suit, proceeding, hearing, enforcement, investigation, arbitration or other action from any court or arbitrator or governmental or regulatory authority alleging that any product operation or activity is in material violation of any Health Care Laws, and, to the Company’s knowledge, no such claim, action, suit, proceeding, hearing, enforcement, investigation, arbitration or other action is threatened. Neither the Company nor the Subsidiaries is a party to any corporate integrity agreements, monitoring agreements, consent decrees, settlement orders, or similar agreements with or imposed by any governmental or regulatory authority. Additionally, none of the Company or its Subsidiaries or any of their respective officers or directors or, to the Company’s knowledge, any of their respective employees has been excluded, suspended or debarred</w:t>
      </w:r>
    </w:p>
    <w:p>
      <w:pPr>
        <w:spacing w:after="0" w:line="154"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jc w:val="both"/>
        <w:ind w:right="80"/>
        <w:spacing w:after="0" w:line="371" w:lineRule="auto"/>
        <w:rPr>
          <w:sz w:val="20"/>
          <w:szCs w:val="20"/>
          <w:color w:val="auto"/>
        </w:rPr>
      </w:pPr>
      <w:r>
        <w:rPr>
          <w:rFonts w:ascii="Arial" w:cs="Arial" w:eastAsia="Arial" w:hAnsi="Arial"/>
          <w:sz w:val="13"/>
          <w:szCs w:val="13"/>
          <w:color w:val="auto"/>
        </w:rPr>
        <w:t>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The Company and the Subsidiaries have filed, obtained,</w:t>
      </w:r>
    </w:p>
    <w:p>
      <w:pPr>
        <w:sectPr>
          <w:pgSz w:w="11900" w:h="16879" w:orient="portrait"/>
          <w:cols w:equalWidth="0" w:num="1">
            <w:col w:w="10900"/>
          </w:cols>
          <w:pgMar w:left="780" w:top="129" w:right="219" w:bottom="0" w:gutter="0" w:footer="0" w:header="0"/>
        </w:sectPr>
      </w:pPr>
    </w:p>
    <w:bookmarkStart w:id="298" w:name="page299"/>
    <w:bookmarkEnd w:id="298"/>
    <w:p>
      <w:pPr>
        <w:ind w:left="540" w:right="60"/>
        <w:spacing w:after="0" w:line="268" w:lineRule="auto"/>
        <w:rPr>
          <w:sz w:val="20"/>
          <w:szCs w:val="20"/>
          <w:color w:val="auto"/>
        </w:rPr>
      </w:pPr>
      <w:r>
        <w:rPr>
          <w:rFonts w:ascii="Arial" w:cs="Arial" w:eastAsia="Arial" w:hAnsi="Arial"/>
          <w:sz w:val="15"/>
          <w:szCs w:val="15"/>
          <w:color w:val="auto"/>
        </w:rPr>
        <w:t>maintained or submitted all reports, documents, forms, notices, applications, records, claims, submissions and supplements or amendments as required by the Health Care Laws, and all such reports, documents, forms, notices, applications, records, claims, submissions and supplements or amendments were complete and accurate on the date filed in all material respects (or were corrected or supplemented by a subsequent submission), except in each case, as would not reasonably be expected to have a Material Adverse Effect;</w:t>
      </w:r>
    </w:p>
    <w:p>
      <w:pPr>
        <w:spacing w:after="0" w:line="156" w:lineRule="exact"/>
        <w:rPr>
          <w:sz w:val="20"/>
          <w:szCs w:val="20"/>
          <w:color w:val="auto"/>
        </w:rPr>
      </w:pPr>
    </w:p>
    <w:p>
      <w:pPr>
        <w:ind w:left="540" w:firstLine="564"/>
        <w:spacing w:after="0" w:line="273" w:lineRule="auto"/>
        <w:tabs>
          <w:tab w:leader="none" w:pos="1654"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the issuance and sale of the Shares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preferred stock of the Company, except as have been otherwise waived;</w:t>
      </w:r>
    </w:p>
    <w:p>
      <w:pPr>
        <w:spacing w:after="0" w:line="152" w:lineRule="exact"/>
        <w:rPr>
          <w:rFonts w:ascii="Arial" w:cs="Arial" w:eastAsia="Arial" w:hAnsi="Arial"/>
          <w:sz w:val="15"/>
          <w:szCs w:val="15"/>
          <w:color w:val="auto"/>
        </w:rPr>
      </w:pPr>
    </w:p>
    <w:p>
      <w:pPr>
        <w:ind w:left="540" w:right="220" w:firstLine="564"/>
        <w:spacing w:after="0" w:line="327" w:lineRule="auto"/>
        <w:tabs>
          <w:tab w:leader="none" w:pos="1654" w:val="left"/>
        </w:tabs>
        <w:numPr>
          <w:ilvl w:val="0"/>
          <w:numId w:val="169"/>
        </w:numPr>
        <w:rPr>
          <w:rFonts w:ascii="Arial" w:cs="Arial" w:eastAsia="Arial" w:hAnsi="Arial"/>
          <w:sz w:val="14"/>
          <w:szCs w:val="14"/>
          <w:color w:val="auto"/>
        </w:rPr>
      </w:pPr>
      <w:r>
        <w:rPr>
          <w:rFonts w:ascii="Arial" w:cs="Arial" w:eastAsia="Arial" w:hAnsi="Arial"/>
          <w:sz w:val="14"/>
          <w:szCs w:val="14"/>
          <w:color w:val="auto"/>
        </w:rPr>
        <w:t>except pursuant to this Agreement, neither the Company nor any of the Subsidiaries has incurred any liability for any finder’s or broker’s fee or agent’s commission in connection with the execution and delivery of this Agreement or the consummation of the transactions contemplated hereby or by the Registration Statement;</w:t>
      </w:r>
    </w:p>
    <w:p>
      <w:pPr>
        <w:spacing w:after="0" w:line="117" w:lineRule="exact"/>
        <w:rPr>
          <w:rFonts w:ascii="Arial" w:cs="Arial" w:eastAsia="Arial" w:hAnsi="Arial"/>
          <w:sz w:val="14"/>
          <w:szCs w:val="14"/>
          <w:color w:val="auto"/>
        </w:rPr>
      </w:pPr>
    </w:p>
    <w:p>
      <w:pPr>
        <w:jc w:val="both"/>
        <w:ind w:left="540" w:right="40" w:firstLine="564"/>
        <w:spacing w:after="0" w:line="273" w:lineRule="auto"/>
        <w:tabs>
          <w:tab w:leader="none" w:pos="1676" w:val="left"/>
        </w:tabs>
        <w:numPr>
          <w:ilvl w:val="0"/>
          <w:numId w:val="169"/>
        </w:numPr>
        <w:rPr>
          <w:rFonts w:ascii="Arial" w:cs="Arial" w:eastAsia="Arial" w:hAnsi="Arial"/>
          <w:sz w:val="15"/>
          <w:szCs w:val="15"/>
          <w:color w:val="auto"/>
        </w:rPr>
      </w:pPr>
      <w:r>
        <w:rPr>
          <w:rFonts w:ascii="Arial" w:cs="Arial" w:eastAsia="Arial" w:hAnsi="Arial"/>
          <w:sz w:val="15"/>
          <w:szCs w:val="15"/>
          <w:color w:val="auto"/>
        </w:rPr>
        <w:t>none of the Company, any of the Subsidiaries or any of their respective directors, officers or affiliates has taken, directly or indirectly, any action designed, or which has constituted or might reasonably be expected to cause or result in the stabilization or manipulation of the price of any security of the Company to facilitate the sale or resale of the Shares in violation of Regulation M under the Exchange Act;</w:t>
      </w:r>
    </w:p>
    <w:p>
      <w:pPr>
        <w:spacing w:after="0" w:line="152" w:lineRule="exact"/>
        <w:rPr>
          <w:rFonts w:ascii="Arial" w:cs="Arial" w:eastAsia="Arial" w:hAnsi="Arial"/>
          <w:sz w:val="15"/>
          <w:szCs w:val="15"/>
          <w:color w:val="auto"/>
        </w:rPr>
      </w:pPr>
    </w:p>
    <w:p>
      <w:pPr>
        <w:ind w:left="540" w:right="60" w:firstLine="564"/>
        <w:spacing w:after="0" w:line="268" w:lineRule="auto"/>
        <w:tabs>
          <w:tab w:leader="none" w:pos="1654"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to the Company’s knowledge, there are no affiliations or associations between (i) any 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Commission, except as disclosed in the Registration Statement, the Disclosure Package and the Prospectus;</w:t>
      </w:r>
    </w:p>
    <w:p>
      <w:pPr>
        <w:spacing w:after="0" w:line="156" w:lineRule="exact"/>
        <w:rPr>
          <w:rFonts w:ascii="Arial" w:cs="Arial" w:eastAsia="Arial" w:hAnsi="Arial"/>
          <w:sz w:val="15"/>
          <w:szCs w:val="15"/>
          <w:color w:val="auto"/>
        </w:rPr>
      </w:pPr>
    </w:p>
    <w:p>
      <w:pPr>
        <w:ind w:left="540" w:right="20" w:firstLine="564"/>
        <w:spacing w:after="0" w:line="265" w:lineRule="auto"/>
        <w:tabs>
          <w:tab w:leader="none" w:pos="1654" w:val="left"/>
        </w:tabs>
        <w:numPr>
          <w:ilvl w:val="0"/>
          <w:numId w:val="169"/>
        </w:numPr>
        <w:rPr>
          <w:rFonts w:ascii="Arial" w:cs="Arial" w:eastAsia="Arial" w:hAnsi="Arial"/>
          <w:sz w:val="15"/>
          <w:szCs w:val="15"/>
          <w:color w:val="auto"/>
        </w:rPr>
      </w:pPr>
      <w:r>
        <w:rPr>
          <w:rFonts w:ascii="Arial" w:cs="Arial" w:eastAsia="Arial" w:hAnsi="Arial"/>
          <w:sz w:val="15"/>
          <w:szCs w:val="15"/>
          <w:color w:val="auto"/>
        </w:rPr>
        <w:t>except for matters which would not, individually or in the aggregate, reasonably be expected to have a Material Adverse Effect, each “employee benefit plan” (within the meaning of Section 3(3) of the Employee Retirement Income Security Act of 1974, as amended, including the regulations and published interpretations thereunder (“</w:t>
      </w:r>
      <w:r>
        <w:rPr>
          <w:rFonts w:ascii="Arial" w:cs="Arial" w:eastAsia="Arial" w:hAnsi="Arial"/>
          <w:sz w:val="15"/>
          <w:szCs w:val="15"/>
          <w:u w:val="single" w:color="auto"/>
          <w:color w:val="auto"/>
        </w:rPr>
        <w:t>ERISA</w:t>
      </w:r>
      <w:r>
        <w:rPr>
          <w:rFonts w:ascii="Arial" w:cs="Arial" w:eastAsia="Arial" w:hAnsi="Arial"/>
          <w:sz w:val="15"/>
          <w:szCs w:val="15"/>
          <w:color w:val="auto"/>
        </w:rPr>
        <w:t>”)) for which the Company or any member of its “</w:t>
      </w:r>
      <w:r>
        <w:rPr>
          <w:rFonts w:ascii="Arial" w:cs="Arial" w:eastAsia="Arial" w:hAnsi="Arial"/>
          <w:sz w:val="15"/>
          <w:szCs w:val="15"/>
          <w:u w:val="single" w:color="auto"/>
          <w:color w:val="auto"/>
        </w:rPr>
        <w:t>Controlled Group</w:t>
      </w:r>
      <w:r>
        <w:rPr>
          <w:rFonts w:ascii="Arial" w:cs="Arial" w:eastAsia="Arial" w:hAnsi="Arial"/>
          <w:sz w:val="15"/>
          <w:szCs w:val="15"/>
          <w:color w:val="auto"/>
        </w:rPr>
        <w:t>” (defined as any organization that is a member of a controlled group of corporations within the meaning of Section 414 of the Internal Revenue Code, including its subsidiaries, would have liability (each a “</w:t>
      </w:r>
      <w:r>
        <w:rPr>
          <w:rFonts w:ascii="Arial" w:cs="Arial" w:eastAsia="Arial" w:hAnsi="Arial"/>
          <w:sz w:val="15"/>
          <w:szCs w:val="15"/>
          <w:u w:val="single" w:color="auto"/>
          <w:color w:val="auto"/>
        </w:rPr>
        <w:t>Plan</w:t>
      </w:r>
      <w:r>
        <w:rPr>
          <w:rFonts w:ascii="Arial" w:cs="Arial" w:eastAsia="Arial" w:hAnsi="Arial"/>
          <w:sz w:val="15"/>
          <w:szCs w:val="15"/>
          <w:color w:val="auto"/>
        </w:rPr>
        <w:t>”) is in compliance in all material respects with all presently applicable statutes, rules and regulations, including ERISA and the Code; (ii) with respect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right="280"/>
        <w:spacing w:after="0" w:line="281" w:lineRule="auto"/>
        <w:rPr>
          <w:sz w:val="20"/>
          <w:szCs w:val="20"/>
          <w:color w:val="auto"/>
        </w:rPr>
      </w:pPr>
      <w:r>
        <w:rPr>
          <w:rFonts w:ascii="Arial" w:cs="Arial" w:eastAsia="Arial" w:hAnsi="Arial"/>
          <w:sz w:val="14"/>
          <w:szCs w:val="14"/>
          <w:color w:val="auto"/>
        </w:rPr>
        <w:t>to each Plan subject to Title IV of ERISA (a) no “reportable event” (as defined in Section 4043 of ERISA) has occurred for which the Company or any member of its Controlled Group would have any liability; and (b) neither the Company nor any member of its Controlled Group has incurred or expects to incur liability under Title IV of ERISA (other than for contributions to the Plan or premiums payable to the Pension Benefit Guaranty Corporation, in each case in the ordinary course and without default);</w:t>
      </w:r>
    </w:p>
    <w:p>
      <w:pPr>
        <w:spacing w:after="0" w:line="1" w:lineRule="exact"/>
        <w:rPr>
          <w:sz w:val="20"/>
          <w:szCs w:val="20"/>
          <w:color w:val="auto"/>
        </w:rPr>
      </w:pPr>
    </w:p>
    <w:p>
      <w:pPr>
        <w:ind w:left="540" w:right="20" w:firstLine="9"/>
        <w:spacing w:after="0" w:line="266" w:lineRule="auto"/>
        <w:tabs>
          <w:tab w:leader="none" w:pos="81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no Plan which is subject to Section 412 of the Code or Section 302 of ERISA has failed to satisfy the minimum funding standard within the meaning of such sections of the Code or ERISA; and (iv) each Plan that is intended to be qualified under Section 401(a) of the Code is so qualified and nothing has occurred, whether by action or by failure to act, which would reasonably be expected to cause the loss of such qualification;</w:t>
      </w:r>
    </w:p>
    <w:p>
      <w:pPr>
        <w:spacing w:after="0" w:line="157" w:lineRule="exact"/>
        <w:rPr>
          <w:rFonts w:ascii="Arial" w:cs="Arial" w:eastAsia="Arial" w:hAnsi="Arial"/>
          <w:sz w:val="15"/>
          <w:szCs w:val="15"/>
          <w:color w:val="auto"/>
        </w:rPr>
      </w:pPr>
    </w:p>
    <w:p>
      <w:pPr>
        <w:jc w:val="both"/>
        <w:ind w:left="540" w:right="60" w:firstLine="564"/>
        <w:spacing w:after="0" w:line="265" w:lineRule="auto"/>
        <w:tabs>
          <w:tab w:leader="none" w:pos="166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the Registration Statement, each Preliminary Prospectus, the Prospectus and each Permitted Free Writing Prospectus comply, and any further amendments or supplements thereto will comply, with any applicable laws or regulations of any foreign jurisdiction in which any Preliminary Prospectus, the Prospectus or any Permitted Free Writing Prospectus is distributed in connection with the Directed Share Program; and no approval, authorization, consent or order of or filing with any governmental or regulatory commission, board, body, authority or agency, other than those heretofore obtained, is required in connection with the offering of the Reserved Shares in any jurisdiction where the Reserved Shares are being offered; and</w:t>
      </w:r>
    </w:p>
    <w:p>
      <w:pPr>
        <w:spacing w:after="0" w:line="160" w:lineRule="exact"/>
        <w:rPr>
          <w:sz w:val="20"/>
          <w:szCs w:val="20"/>
          <w:color w:val="auto"/>
        </w:rPr>
      </w:pPr>
    </w:p>
    <w:p>
      <w:pPr>
        <w:jc w:val="both"/>
        <w:ind w:left="540" w:right="140" w:firstLine="564"/>
        <w:spacing w:after="0" w:line="268" w:lineRule="auto"/>
        <w:tabs>
          <w:tab w:leader="none" w:pos="1624"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Company has not offered, or caused the Underwriters to offer, Shares to any person pursuant to the Directed Share Program with the intent to influence unlawfully (i) a customer or supplier of the Company or any of the Subsidiaries to alter the customer’s or supplier’s level or type of business with the Company or any of the Subsidiaries, or (ii) a trade journalist or publication to write or publish favorable information about the Company or any of the Subsidiaries or any of their respective products or services.</w:t>
      </w:r>
    </w:p>
    <w:p>
      <w:pPr>
        <w:spacing w:after="0" w:line="156" w:lineRule="exact"/>
        <w:rPr>
          <w:sz w:val="20"/>
          <w:szCs w:val="20"/>
          <w:color w:val="auto"/>
        </w:rPr>
      </w:pPr>
    </w:p>
    <w:p>
      <w:pPr>
        <w:ind w:right="40" w:firstLine="556"/>
        <w:spacing w:after="0" w:line="289" w:lineRule="auto"/>
        <w:rPr>
          <w:sz w:val="20"/>
          <w:szCs w:val="20"/>
          <w:color w:val="auto"/>
        </w:rPr>
      </w:pPr>
      <w:r>
        <w:rPr>
          <w:rFonts w:ascii="Arial" w:cs="Arial" w:eastAsia="Arial" w:hAnsi="Arial"/>
          <w:sz w:val="15"/>
          <w:szCs w:val="15"/>
          <w:color w:val="auto"/>
        </w:rPr>
        <w:t>In addition, any certificate signed by any officer of the Company and delivered to any Underwriter or counsel for the Underwriters in connection with the offering of the Shares shall be deemed to be a representation and warranty by the Company, as to matters covered thereby, to each Underwriter.</w:t>
      </w:r>
    </w:p>
    <w:p>
      <w:pPr>
        <w:spacing w:after="0" w:line="141" w:lineRule="exact"/>
        <w:rPr>
          <w:sz w:val="20"/>
          <w:szCs w:val="20"/>
          <w:color w:val="auto"/>
        </w:rPr>
      </w:pPr>
    </w:p>
    <w:p>
      <w:pPr>
        <w:ind w:left="1100" w:hanging="551"/>
        <w:spacing w:after="0"/>
        <w:tabs>
          <w:tab w:leader="none" w:pos="1100" w:val="left"/>
        </w:tabs>
        <w:numPr>
          <w:ilvl w:val="0"/>
          <w:numId w:val="172"/>
        </w:numPr>
        <w:rPr>
          <w:rFonts w:ascii="Arial" w:cs="Arial" w:eastAsia="Arial" w:hAnsi="Arial"/>
          <w:sz w:val="15"/>
          <w:szCs w:val="15"/>
          <w:color w:val="auto"/>
        </w:rPr>
      </w:pPr>
      <w:r>
        <w:rPr>
          <w:rFonts w:ascii="Arial" w:cs="Arial" w:eastAsia="Arial" w:hAnsi="Arial"/>
          <w:sz w:val="15"/>
          <w:szCs w:val="15"/>
          <w:u w:val="single" w:color="auto"/>
          <w:color w:val="auto"/>
        </w:rPr>
        <w:t>Certain Covenants</w:t>
      </w:r>
      <w:r>
        <w:rPr>
          <w:rFonts w:ascii="Arial" w:cs="Arial" w:eastAsia="Arial" w:hAnsi="Arial"/>
          <w:sz w:val="15"/>
          <w:szCs w:val="15"/>
          <w:color w:val="auto"/>
        </w:rPr>
        <w:t>. The Company hereby agrees:</w:t>
      </w:r>
    </w:p>
    <w:p>
      <w:pPr>
        <w:spacing w:after="0" w:line="198" w:lineRule="exact"/>
        <w:rPr>
          <w:rFonts w:ascii="Arial" w:cs="Arial" w:eastAsia="Arial" w:hAnsi="Arial"/>
          <w:sz w:val="15"/>
          <w:szCs w:val="15"/>
          <w:color w:val="auto"/>
        </w:rPr>
      </w:pPr>
    </w:p>
    <w:p>
      <w:pPr>
        <w:ind w:left="540" w:right="100" w:firstLine="564"/>
        <w:spacing w:after="0" w:line="265" w:lineRule="auto"/>
        <w:tabs>
          <w:tab w:leader="none" w:pos="1649" w:val="left"/>
        </w:tabs>
        <w:numPr>
          <w:ilvl w:val="1"/>
          <w:numId w:val="172"/>
        </w:numPr>
        <w:rPr>
          <w:rFonts w:ascii="Arial" w:cs="Arial" w:eastAsia="Arial" w:hAnsi="Arial"/>
          <w:sz w:val="15"/>
          <w:szCs w:val="15"/>
          <w:color w:val="auto"/>
        </w:rPr>
      </w:pPr>
      <w:r>
        <w:rPr>
          <w:rFonts w:ascii="Arial" w:cs="Arial" w:eastAsia="Arial" w:hAnsi="Arial"/>
          <w:sz w:val="15"/>
          <w:szCs w:val="15"/>
          <w:color w:val="auto"/>
        </w:rPr>
        <w:t xml:space="preserve">to furnish such information as may be required and otherwise to cooperate in qualifying the Shares for offering and sale under the securities or blue sky laws of such states or other jurisdictions as you may designate and to maintain such qualifications in effect so long as you may reasonably request for the distribution of the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required to qualify as a foreign corporation or to consent to the service of process under the laws of any such jurisdiction (except service of process with respect to the offering and sale of the Shares); and to promptly advise you of the receipt by the Company of any notification with respect to the suspension of the qualification of the Shares for offer or sale in any jurisdiction or the initiation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threatening of any proceeding for such purpose;</w:t>
      </w:r>
    </w:p>
    <w:p>
      <w:pPr>
        <w:spacing w:after="0" w:line="198" w:lineRule="exact"/>
        <w:rPr>
          <w:sz w:val="20"/>
          <w:szCs w:val="20"/>
          <w:color w:val="auto"/>
        </w:rPr>
      </w:pPr>
    </w:p>
    <w:p>
      <w:pPr>
        <w:ind w:left="540" w:right="20" w:firstLine="564"/>
        <w:spacing w:after="0" w:line="284" w:lineRule="auto"/>
        <w:tabs>
          <w:tab w:leader="none" w:pos="1658"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to make available to the Underwriters in New York City, as soon as practicable after this Agreement becomes effective, and thereafter from time to time, prior to the expiration of nine months after the time of issue of the Prospectus in connection with the offering or sale of the Shares, to furnish to the Underwriters, as many copies of the Prospectus (or of the Prospectus as amended or supplemented if the Company shall have made any amendments or supplements thereto after the effective date of the Registration Statement) as the Underwriters may reasonably request for the purposes contemplated by the Act; in case any Underwriter is required to deliver (whether physically or through compliance with Rule 172 under the Act or any similar rule), in connection with the sale of the Shares, a prospectus after the nine-month period referred to in Section 10(a)(3) of the Act, the Company will prepare, at its expense, promptly upon request such amendment or amendments to the Registration Statement and the Prospectus as may be necessary to permit compliance with the requirements of Section 10(a)(3) of the Act;</w:t>
      </w:r>
    </w:p>
    <w:p>
      <w:pPr>
        <w:spacing w:after="0" w:line="148" w:lineRule="exact"/>
        <w:rPr>
          <w:rFonts w:ascii="Arial" w:cs="Arial" w:eastAsia="Arial" w:hAnsi="Arial"/>
          <w:sz w:val="14"/>
          <w:szCs w:val="14"/>
          <w:color w:val="auto"/>
        </w:rPr>
      </w:pPr>
    </w:p>
    <w:p>
      <w:pPr>
        <w:ind w:left="540" w:right="60" w:firstLine="564"/>
        <w:spacing w:after="0" w:line="264" w:lineRule="auto"/>
        <w:tabs>
          <w:tab w:leader="none" w:pos="1661" w:val="left"/>
        </w:tabs>
        <w:numPr>
          <w:ilvl w:val="0"/>
          <w:numId w:val="173"/>
        </w:numPr>
        <w:rPr>
          <w:rFonts w:ascii="Arial" w:cs="Arial" w:eastAsia="Arial" w:hAnsi="Arial"/>
          <w:sz w:val="15"/>
          <w:szCs w:val="15"/>
          <w:color w:val="auto"/>
        </w:rPr>
      </w:pPr>
      <w:r>
        <w:rPr>
          <w:rFonts w:ascii="Arial" w:cs="Arial" w:eastAsia="Arial" w:hAnsi="Arial"/>
          <w:sz w:val="15"/>
          <w:szCs w:val="15"/>
          <w:color w:val="auto"/>
        </w:rPr>
        <w:t>if, at the time this Agreement is executed and delivered, it is necessary or appropriate for a post-effective amendment to the Registration Statement, or a Registration Statement under Rule 462(b) under the Act, to be filed with the Commission and become effective before the Shares may be sold, the Company will use its best efforts to cause such post-effective amendment or such Registration Statement to be promptly filed and become effective, and will pay any applicable fees in accordance with the Act; and the Company will advise you promptly and, if requested by you, will confirm such advice in writing, (i) when such post-effective amendment or such Registration Statement has become effective, and (ii) if Rule 430A under the Act is used, when the Prospectus is filed with the Commission pursuant to Rule 424(b) under the Act (which the Company agrees to file in a timely manner in accordance with such Rules);</w:t>
      </w:r>
    </w:p>
    <w:p>
      <w:pPr>
        <w:spacing w:after="0" w:line="158" w:lineRule="exact"/>
        <w:rPr>
          <w:rFonts w:ascii="Arial" w:cs="Arial" w:eastAsia="Arial" w:hAnsi="Arial"/>
          <w:sz w:val="15"/>
          <w:szCs w:val="15"/>
          <w:color w:val="auto"/>
        </w:rPr>
      </w:pPr>
    </w:p>
    <w:p>
      <w:pPr>
        <w:ind w:left="540" w:right="80" w:firstLine="564"/>
        <w:spacing w:after="0" w:line="289" w:lineRule="auto"/>
        <w:tabs>
          <w:tab w:leader="none" w:pos="1658" w:val="left"/>
        </w:tabs>
        <w:numPr>
          <w:ilvl w:val="0"/>
          <w:numId w:val="173"/>
        </w:numPr>
        <w:rPr>
          <w:rFonts w:ascii="Arial" w:cs="Arial" w:eastAsia="Arial" w:hAnsi="Arial"/>
          <w:sz w:val="15"/>
          <w:szCs w:val="15"/>
          <w:color w:val="auto"/>
        </w:rPr>
      </w:pPr>
      <w:r>
        <w:rPr>
          <w:rFonts w:ascii="Arial" w:cs="Arial" w:eastAsia="Arial" w:hAnsi="Arial"/>
          <w:sz w:val="15"/>
          <w:szCs w:val="15"/>
          <w:color w:val="auto"/>
        </w:rPr>
        <w:t>for so long as a prospectus is required by the Act to be delivered (whether physically or through compliance with Rule 172 under the Act or any similar rule) to notify you immediately upon an event that causes the Company to no longer qualify as an EGC;</w:t>
      </w:r>
    </w:p>
    <w:p>
      <w:pPr>
        <w:spacing w:after="0" w:line="140" w:lineRule="exact"/>
        <w:rPr>
          <w:rFonts w:ascii="Arial" w:cs="Arial" w:eastAsia="Arial" w:hAnsi="Arial"/>
          <w:sz w:val="15"/>
          <w:szCs w:val="15"/>
          <w:color w:val="auto"/>
        </w:rPr>
      </w:pPr>
    </w:p>
    <w:p>
      <w:pPr>
        <w:ind w:left="540" w:right="140" w:firstLine="564"/>
        <w:spacing w:after="0" w:line="322" w:lineRule="auto"/>
        <w:tabs>
          <w:tab w:leader="none" w:pos="1661"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to advise you promptly, confirming such advice in writing, of any request by the Commission for amendments or supplements to the Registration Statement or the Exchange Act Registration Statement, any Preliminary Prospectus, the Prospectus or any Permitted Free Writing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w:t>
      </w:r>
    </w:p>
    <w:p>
      <w:pPr>
        <w:sectPr>
          <w:pgSz w:w="11900" w:h="16838" w:orient="portrait"/>
          <w:cols w:equalWidth="0" w:num="1">
            <w:col w:w="11440"/>
          </w:cols>
          <w:pgMar w:left="240" w:top="129" w:right="219" w:bottom="0" w:gutter="0" w:footer="0" w:header="0"/>
        </w:sectPr>
      </w:pPr>
    </w:p>
    <w:bookmarkStart w:id="299" w:name="page300"/>
    <w:bookmarkEnd w:id="299"/>
    <w:p>
      <w:pPr>
        <w:jc w:val="both"/>
        <w:ind w:right="160"/>
        <w:spacing w:after="0" w:line="273" w:lineRule="auto"/>
        <w:rPr>
          <w:sz w:val="20"/>
          <w:szCs w:val="20"/>
          <w:color w:val="auto"/>
        </w:rPr>
      </w:pPr>
      <w:r>
        <w:rPr>
          <w:rFonts w:ascii="Arial" w:cs="Arial" w:eastAsia="Arial" w:hAnsi="Arial"/>
          <w:sz w:val="15"/>
          <w:szCs w:val="15"/>
          <w:color w:val="auto"/>
        </w:rPr>
        <w:t>you promptly of any proposal to amend or supplement the Registration Statement or the Exchange Act Registration Statement, any Preliminary Prospectus or the Prospectus, and to provide you and Underwriters’ counsel copies of any such documents for review and comment a reasonable amount of time prior to any proposed filing and to file no such amendment or</w:t>
      </w:r>
    </w:p>
    <w:p>
      <w:pPr>
        <w:spacing w:after="0" w:line="153"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160"/>
        <w:spacing w:after="0" w:line="289" w:lineRule="auto"/>
        <w:rPr>
          <w:sz w:val="20"/>
          <w:szCs w:val="20"/>
          <w:color w:val="auto"/>
        </w:rPr>
      </w:pPr>
      <w:r>
        <w:rPr>
          <w:rFonts w:ascii="Arial" w:cs="Arial" w:eastAsia="Arial" w:hAnsi="Arial"/>
          <w:sz w:val="15"/>
          <w:szCs w:val="15"/>
          <w:color w:val="auto"/>
        </w:rPr>
        <w:t>supplement to which the Representatives reasonably object, in writing, on a timely basis (unless, in the opinion of the Company’s outside counsel, such action is necessary to comply with applicable law);</w:t>
      </w:r>
    </w:p>
    <w:p>
      <w:pPr>
        <w:spacing w:after="0" w:line="141" w:lineRule="exact"/>
        <w:rPr>
          <w:sz w:val="20"/>
          <w:szCs w:val="20"/>
          <w:color w:val="auto"/>
        </w:rPr>
      </w:pPr>
    </w:p>
    <w:p>
      <w:pPr>
        <w:jc w:val="both"/>
        <w:ind w:right="40" w:firstLine="564"/>
        <w:spacing w:after="0" w:line="273" w:lineRule="auto"/>
        <w:tabs>
          <w:tab w:leader="none" w:pos="1115" w:val="left"/>
        </w:tabs>
        <w:numPr>
          <w:ilvl w:val="0"/>
          <w:numId w:val="174"/>
        </w:numPr>
        <w:rPr>
          <w:rFonts w:ascii="Arial" w:cs="Arial" w:eastAsia="Arial" w:hAnsi="Arial"/>
          <w:sz w:val="15"/>
          <w:szCs w:val="15"/>
          <w:color w:val="auto"/>
        </w:rPr>
      </w:pPr>
      <w:r>
        <w:rPr>
          <w:rFonts w:ascii="Arial" w:cs="Arial" w:eastAsia="Arial" w:hAnsi="Arial"/>
          <w:sz w:val="15"/>
          <w:szCs w:val="15"/>
          <w:color w:val="auto"/>
        </w:rPr>
        <w:t>subject to Section 4(e) hereof, to file promptly all reports and documents required to be filed by the Company with the Commission in order to comply with the Exchange Act for so long as a prospectus is required by the Act to be delivered (whether physically or through compliance with Rule 172 under the Act or any similar rule) in connection with any sale of Shares;</w:t>
      </w:r>
    </w:p>
    <w:p>
      <w:pPr>
        <w:spacing w:after="0" w:line="152" w:lineRule="exact"/>
        <w:rPr>
          <w:rFonts w:ascii="Arial" w:cs="Arial" w:eastAsia="Arial" w:hAnsi="Arial"/>
          <w:sz w:val="15"/>
          <w:szCs w:val="15"/>
          <w:color w:val="auto"/>
        </w:rPr>
      </w:pPr>
    </w:p>
    <w:p>
      <w:pPr>
        <w:ind w:firstLine="564"/>
        <w:spacing w:after="0" w:line="263" w:lineRule="auto"/>
        <w:tabs>
          <w:tab w:leader="none" w:pos="113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to advise the Underwriters promptly of the happening of any event within the period during which a prospectus is required by the Act to be delivered (whether physically or through compliance with Rule 172 under the Act or any similar rule) in connection with any sale of Shares, which event could require the making of any change in the Prospectus then being used so that the Prospectus would not include an untrue statement of a material fact or omit to state a material fact necessary in order to make the statements therein, in the light of the circumstances under which they are made, not misleading, and to advise the Underwriters promptly if, during such period, it shall become necessary to amend or supplement the Prospectus to cause the Prospectus to comply with the requirements of the Act, and, in each case, during such time, subject to Section 4(e) hereof, to prepare and furnish, at the Company’s expense, to the Underwriters promptly such amendments or supplements to such Prospectus as may be necessary to reflect any such change or to effect such compliance;</w:t>
      </w:r>
    </w:p>
    <w:p>
      <w:pPr>
        <w:spacing w:after="0" w:line="159" w:lineRule="exact"/>
        <w:rPr>
          <w:rFonts w:ascii="Arial" w:cs="Arial" w:eastAsia="Arial" w:hAnsi="Arial"/>
          <w:sz w:val="15"/>
          <w:szCs w:val="15"/>
          <w:color w:val="auto"/>
        </w:rPr>
      </w:pPr>
    </w:p>
    <w:p>
      <w:pPr>
        <w:ind w:right="60" w:firstLine="564"/>
        <w:spacing w:after="0" w:line="265" w:lineRule="auto"/>
        <w:tabs>
          <w:tab w:leader="none" w:pos="1118"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to make generally available (within the meaning of Rule 158 under the Act) to its security holders, and, if not available on the Commission’s Electronic Data Gathering, Analysis and Retrieval System (“</w:t>
      </w:r>
      <w:r>
        <w:rPr>
          <w:rFonts w:ascii="Arial" w:cs="Arial" w:eastAsia="Arial" w:hAnsi="Arial"/>
          <w:sz w:val="15"/>
          <w:szCs w:val="15"/>
          <w:u w:val="single" w:color="auto"/>
          <w:color w:val="auto"/>
        </w:rPr>
        <w:t>EDGAR</w:t>
      </w:r>
      <w:r>
        <w:rPr>
          <w:rFonts w:ascii="Arial" w:cs="Arial" w:eastAsia="Arial" w:hAnsi="Arial"/>
          <w:sz w:val="15"/>
          <w:szCs w:val="15"/>
          <w:color w:val="auto"/>
        </w:rPr>
        <w:t>”), to deliver to you, an earnings statement of the Company (which will satisfy the provisions of Section 11(a) of the Act) covering a period of twelve months beginning after the effective date of the Registration Statement (as defined in Rule 158(c) under the Act) as soon as is reasonably practicable after the termination of such twelve-month period but in any case not later than the date determined in accordance with the provisions of the last paragraph of Section 11(a) of the Act and Rule 158(c) thereunder;</w:t>
      </w:r>
    </w:p>
    <w:p>
      <w:pPr>
        <w:spacing w:after="0" w:line="159" w:lineRule="exact"/>
        <w:rPr>
          <w:rFonts w:ascii="Arial" w:cs="Arial" w:eastAsia="Arial" w:hAnsi="Arial"/>
          <w:sz w:val="15"/>
          <w:szCs w:val="15"/>
          <w:color w:val="auto"/>
        </w:rPr>
      </w:pPr>
    </w:p>
    <w:p>
      <w:pPr>
        <w:ind w:right="480" w:firstLine="564"/>
        <w:spacing w:after="0" w:line="327" w:lineRule="auto"/>
        <w:tabs>
          <w:tab w:leader="none" w:pos="113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if requested by you, to furnish to you three copies of the Registration Statement, as initially filed with the Commission, and of all amendments thereto (including all exhibits thereto) and sufficient copies of the foregoing (other than exhibits) for distribution of a copy to each of the other Underwriters;</w:t>
      </w:r>
    </w:p>
    <w:p>
      <w:pPr>
        <w:spacing w:after="0" w:line="117" w:lineRule="exact"/>
        <w:rPr>
          <w:rFonts w:ascii="Arial" w:cs="Arial" w:eastAsia="Arial" w:hAnsi="Arial"/>
          <w:sz w:val="14"/>
          <w:szCs w:val="14"/>
          <w:color w:val="auto"/>
        </w:rPr>
      </w:pPr>
    </w:p>
    <w:p>
      <w:pPr>
        <w:ind w:right="300" w:firstLine="564"/>
        <w:spacing w:after="0" w:line="268" w:lineRule="auto"/>
        <w:tabs>
          <w:tab w:leader="none" w:pos="1119"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if requested by you, to furnish to you as early as practicable prior to the time of purchase and any additional time of purchase, as the case may be, but not later than two business days prior thereto, a copy of the latest available unaudited interim and monthly consolidated financial statements, if any, of the Company and the Subsidiaries which have been read by the Company’s independent registered public accountants, as stated in their letter to be furnished pursuant to Section 6(d) hereof, provided, however, that the Company shall not be required to furnish any materials pursuant to this clause if</w:t>
      </w:r>
    </w:p>
    <w:p>
      <w:pPr>
        <w:spacing w:after="0" w:line="156"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such materials are available via EDGAR;</w:t>
      </w:r>
    </w:p>
    <w:p>
      <w:pPr>
        <w:spacing w:after="0" w:line="198" w:lineRule="exact"/>
        <w:rPr>
          <w:sz w:val="20"/>
          <w:szCs w:val="20"/>
          <w:color w:val="auto"/>
        </w:rPr>
      </w:pPr>
    </w:p>
    <w:p>
      <w:pPr>
        <w:ind w:right="260" w:firstLine="564"/>
        <w:spacing w:after="0" w:line="327" w:lineRule="auto"/>
        <w:tabs>
          <w:tab w:leader="none" w:pos="1118"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to apply the net proceeds from the sale of the Shares in the manner set forth under the caption “Use of proceeds” in the Prospectus and to file such reports with the Commission with respect to the sale of the Shares and the application of the proceeds therefrom as may be required by Rule 463 under the Act;</w:t>
      </w:r>
    </w:p>
    <w:p>
      <w:pPr>
        <w:spacing w:after="0" w:line="117" w:lineRule="exact"/>
        <w:rPr>
          <w:rFonts w:ascii="Arial" w:cs="Arial" w:eastAsia="Arial" w:hAnsi="Arial"/>
          <w:sz w:val="14"/>
          <w:szCs w:val="14"/>
          <w:color w:val="auto"/>
        </w:rPr>
      </w:pPr>
    </w:p>
    <w:p>
      <w:pPr>
        <w:ind w:firstLine="564"/>
        <w:spacing w:after="0" w:line="279" w:lineRule="auto"/>
        <w:tabs>
          <w:tab w:leader="none" w:pos="113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to pay all costs, expenses, fees and taxes in connection with (i) the preparation and filing of the Registration Statement, each Preliminary Prospectus, the Prospectus, each Permitted Free Writing Prospectus and any amendments or supplements thereto, and the printing and furnishing of copies of each thereof to the Underwriters and to dealers (including costs of mailing and shipment), (ii) the registration, issue, sale and delivery of the Shares including any stock or transfer taxes and stamp or similar duties payable upon the sale, issuance or delivery of the Shares to the Underwriters, (iii) the producing, word processing and printing of this Agreement, any dealer agreements and any closing documents (including compilations thereof) and the reproduction and printing and furnishing of copies of each thereof to the Underwriters and (except closing documents) to dealers (including costs of mailing and shipment), (iv) the qualification of the Shares for offering and sale under state or foreign laws and the determination of their eligibility for investment under state or foreign law (including the legal fees and filing fees and other disbursements of counsel for the Underwriters) and the printing and furnishing of copies of any blue sky surveys or legal investment surveys to the Underwriters and to dealers, (v) any listing of the Shares on any securities exchange and any registration thereof under the Exchange Act, (vi) any filing for review of the public offering of the Shares by FINRA, including the legal fees and filing fees and other disbursements of counsel to the Underwriters relating to FINRA matters, (vii) the fees and disbursements of any transfer agent or registrar for the Shares, (viii) the costs and expenses of the Company relating to presentations or meetings undertaken in connection with the marketing of the offering and sale of the Shares to prospective investors and the Underwriters’ sales forces, including, without limitation, expenses associated with the production of road show slides and graphics, fees and expenses of any consultants engaged in connection with the road show presentations, travel, lodging and other expenses incurred by the officers of the Company and any such consultants, and one-half of the cost of any aircraft chartered in connection with the road show (the remaining half of the cost to be paid by the Underwriters), the costs of all Exempt Oral Communications and Covered Exempt Written Communications, (ix) the costs and expenses of qualifying the Shares for inclusion in the book-entry settlement system of the DTC, (x) the preparation and filing of the Exchange Act Registration Statement, including any amendments thereto, (xi) the offer and sale of the Reserved Shares, including all costs and expenses of UBS-FinSvc and the Underwriters, including the fees and disbursement of counsel for the Underwriters, and (xii) the performance of the Company’s other obligations hereunder, provided further, that the legal fees and filing fees and other disbursements of counsel payable by the Company pursuant to clauses (iv) and (vi) above shall not exceed $35,000;</w:t>
      </w:r>
    </w:p>
    <w:p>
      <w:pPr>
        <w:spacing w:after="0" w:line="150" w:lineRule="exact"/>
        <w:rPr>
          <w:rFonts w:ascii="Arial" w:cs="Arial" w:eastAsia="Arial" w:hAnsi="Arial"/>
          <w:sz w:val="14"/>
          <w:szCs w:val="14"/>
          <w:color w:val="auto"/>
        </w:rPr>
      </w:pPr>
    </w:p>
    <w:p>
      <w:pPr>
        <w:ind w:left="1120" w:hanging="556"/>
        <w:spacing w:after="0"/>
        <w:tabs>
          <w:tab w:leader="none" w:pos="112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to comply with Rule 433(d) under the Act (without reliance on Rule</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71120</wp:posOffset>
            </wp:positionV>
            <wp:extent cx="7285990" cy="2730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164(b) under the Act) and with Rule 433(g) under the Act;</w:t>
      </w:r>
    </w:p>
    <w:p>
      <w:pPr>
        <w:spacing w:after="0" w:line="198" w:lineRule="exact"/>
        <w:rPr>
          <w:sz w:val="20"/>
          <w:szCs w:val="20"/>
          <w:color w:val="auto"/>
        </w:rPr>
      </w:pPr>
    </w:p>
    <w:p>
      <w:pPr>
        <w:ind w:right="20" w:firstLine="564"/>
        <w:spacing w:after="0" w:line="303" w:lineRule="auto"/>
        <w:tabs>
          <w:tab w:leader="none" w:pos="1118" w:val="left"/>
        </w:tabs>
        <w:numPr>
          <w:ilvl w:val="0"/>
          <w:numId w:val="176"/>
        </w:numPr>
        <w:rPr>
          <w:rFonts w:ascii="Arial" w:cs="Arial" w:eastAsia="Arial" w:hAnsi="Arial"/>
          <w:sz w:val="13"/>
          <w:szCs w:val="13"/>
          <w:color w:val="auto"/>
        </w:rPr>
      </w:pPr>
      <w:r>
        <w:rPr>
          <w:rFonts w:ascii="Arial" w:cs="Arial" w:eastAsia="Arial" w:hAnsi="Arial"/>
          <w:sz w:val="13"/>
          <w:szCs w:val="13"/>
          <w:color w:val="auto"/>
        </w:rPr>
        <w:t>beginning on the date hereof and ending on, and including, the date that is 180 days after the date of the Prospectus (the “</w:t>
      </w:r>
      <w:r>
        <w:rPr>
          <w:rFonts w:ascii="Arial" w:cs="Arial" w:eastAsia="Arial" w:hAnsi="Arial"/>
          <w:sz w:val="13"/>
          <w:szCs w:val="13"/>
          <w:u w:val="single" w:color="auto"/>
          <w:color w:val="auto"/>
        </w:rPr>
        <w:t>Lock-Up Period</w:t>
      </w:r>
      <w:r>
        <w:rPr>
          <w:rFonts w:ascii="Arial" w:cs="Arial" w:eastAsia="Arial" w:hAnsi="Arial"/>
          <w:sz w:val="13"/>
          <w:szCs w:val="13"/>
          <w:color w:val="auto"/>
        </w:rPr>
        <w:t>”), without the prior written consent of the Representatives, not to (i) sell, offer to sell, announce the intention to sell, contract or agree to sell,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other securities of the Company that are substantially similar to Common Stock, or any securities convertible into or exchangeable or exercisable for, or any warrants or other rights to purchase, the foregoing (collectively, the “</w:t>
      </w:r>
      <w:r>
        <w:rPr>
          <w:rFonts w:ascii="Arial" w:cs="Arial" w:eastAsia="Arial" w:hAnsi="Arial"/>
          <w:sz w:val="13"/>
          <w:szCs w:val="13"/>
          <w:u w:val="single" w:color="auto"/>
          <w:color w:val="auto"/>
        </w:rPr>
        <w:t>Lock-Up Securities</w:t>
      </w:r>
      <w:r>
        <w:rPr>
          <w:rFonts w:ascii="Arial" w:cs="Arial" w:eastAsia="Arial" w:hAnsi="Arial"/>
          <w:sz w:val="13"/>
          <w:szCs w:val="13"/>
          <w:color w:val="auto"/>
        </w:rPr>
        <w:t>”), (ii) file or cause to become effective a registration statement under the Act relating to the offer and sale of any Lock-Up Securities, (iii) enter into any swap or other arrangement that transfers to another, in whole or in part, any of the economic consequences of ownership of Lock-Up Securities, whether any such transaction is to be settled by delivery of Common Stock or such other securities, in cash or otherwise or (iv) publicly announce an intention to effect any transaction specified in clause (i), (ii) or (iii), in each case, except for (A) the registration of the offer and sale of the Shares as contemplated by this Agreement, (B) issuances of Common Stock upon the conversion of convertible securities, including preferred stock, the exercise of options or warrants and the vesting of restricted stock outstanding on the date hereof, in each case, as included or described in the Registration Statement, the Disclosure Package or the Prospectus, (C) the issuance of shares of Common Stock or stock options pursuant to employee benefit or equity incentive plans described in the Registration Statement, the Disclosure Package or the Prospectus, (D) the establishment of a trading plan pursuant to Rule 10b5-1 under the Exchange Act; provided that such plan does not provide for the transfer of shares of Common Stock during the Lock-Up Period and the establishment of such plan does not require or otherwise result in any public filing or other public announcement of such plan during the Lock-Up Period,</w:t>
      </w:r>
    </w:p>
    <w:p>
      <w:pPr>
        <w:sectPr>
          <w:pgSz w:w="11900" w:h="16838" w:orient="portrait"/>
          <w:cols w:equalWidth="0" w:num="1">
            <w:col w:w="10880"/>
          </w:cols>
          <w:pgMar w:left="780" w:top="129" w:right="239" w:bottom="0" w:gutter="0" w:footer="0" w:header="0"/>
        </w:sectPr>
      </w:pPr>
    </w:p>
    <w:bookmarkStart w:id="300" w:name="page301"/>
    <w:bookmarkEnd w:id="300"/>
    <w:p>
      <w:pPr>
        <w:spacing w:after="0" w:line="17" w:lineRule="exact"/>
        <w:rPr>
          <w:sz w:val="20"/>
          <w:szCs w:val="20"/>
          <w:color w:val="auto"/>
        </w:rPr>
      </w:pPr>
    </w:p>
    <w:p>
      <w:pPr>
        <w:ind w:left="540" w:right="20" w:firstLine="9"/>
        <w:spacing w:after="0" w:line="284" w:lineRule="auto"/>
        <w:tabs>
          <w:tab w:leader="none" w:pos="776" w:val="left"/>
        </w:tabs>
        <w:numPr>
          <w:ilvl w:val="0"/>
          <w:numId w:val="177"/>
        </w:numPr>
        <w:rPr>
          <w:rFonts w:ascii="Arial" w:cs="Arial" w:eastAsia="Arial" w:hAnsi="Arial"/>
          <w:sz w:val="14"/>
          <w:szCs w:val="14"/>
          <w:color w:val="auto"/>
        </w:rPr>
      </w:pPr>
      <w:r>
        <w:rPr>
          <w:rFonts w:ascii="Arial" w:cs="Arial" w:eastAsia="Arial" w:hAnsi="Arial"/>
          <w:sz w:val="14"/>
          <w:szCs w:val="14"/>
          <w:color w:val="auto"/>
        </w:rPr>
        <w:t xml:space="preserve">the issuance of up to 5% of the outstanding Common Stock (measured as of the date hereof, after giving effect to the automatic conversion of the Company’s preferred stock in connection with the offering of the Shares as described in the Prospectus) in connection with (1) the acquisition or license of the securities, business, property, technologies or other assets of another person or entity, including pursuant to an employee benefit plan assumed by the Company or its subsidiaries in connection with such acquisition or (2) joint ventures, commercial relationships or other strategic transactions, and in the case of each of clauses (1) and (2), the filing of a registration statement with respect thereto, provided that, in the case of clause (E), any recipient of such Common Stock shall execute and deliver to the Representatives a lock-up letter substantially in the form of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hereto, and (F) the filing of any registration statement on Form S-8 relating to any benefit plans or arrangements disclosed in the Registration Statement, the Disclosure Package or the Prospectus and the issuance of securities registered pursuant thereto;</w:t>
      </w:r>
    </w:p>
    <w:p>
      <w:pPr>
        <w:spacing w:after="0" w:line="148" w:lineRule="exact"/>
        <w:rPr>
          <w:rFonts w:ascii="Arial" w:cs="Arial" w:eastAsia="Arial" w:hAnsi="Arial"/>
          <w:sz w:val="14"/>
          <w:szCs w:val="14"/>
          <w:color w:val="auto"/>
        </w:rPr>
      </w:pPr>
    </w:p>
    <w:p>
      <w:pPr>
        <w:ind w:left="1660" w:hanging="556"/>
        <w:spacing w:after="0"/>
        <w:tabs>
          <w:tab w:leader="none" w:pos="1660" w:val="left"/>
        </w:tabs>
        <w:numPr>
          <w:ilvl w:val="1"/>
          <w:numId w:val="177"/>
        </w:numPr>
        <w:rPr>
          <w:rFonts w:ascii="Arial" w:cs="Arial" w:eastAsia="Arial" w:hAnsi="Arial"/>
          <w:sz w:val="15"/>
          <w:szCs w:val="15"/>
          <w:color w:val="auto"/>
        </w:rPr>
      </w:pPr>
      <w:r>
        <w:rPr>
          <w:rFonts w:ascii="Arial" w:cs="Arial" w:eastAsia="Arial" w:hAnsi="Arial"/>
          <w:sz w:val="15"/>
          <w:szCs w:val="15"/>
          <w:color w:val="auto"/>
        </w:rPr>
        <w:t>except as required by applicable law, prior to the time of purchase or 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right="100"/>
        <w:spacing w:after="0" w:line="268" w:lineRule="auto"/>
        <w:rPr>
          <w:sz w:val="20"/>
          <w:szCs w:val="20"/>
          <w:color w:val="auto"/>
        </w:rPr>
      </w:pPr>
      <w:r>
        <w:rPr>
          <w:rFonts w:ascii="Arial" w:cs="Arial" w:eastAsia="Arial" w:hAnsi="Arial"/>
          <w:sz w:val="15"/>
          <w:szCs w:val="15"/>
          <w:color w:val="auto"/>
        </w:rPr>
        <w:t>additional time of purchase, as the case may be, to provide you with reasonable advance notice of and an opportunity to comment on any press release and provide you with reasonable advance notice of any press conferences with respect the financial condition, results of operations, business, properties, assets, or liabilities of the Company or any Subsidiary, or the offering of the Shares, and to issue no such press release and to hold no such press conference without your prior written consent, which consent shall not be unreasonably withheld or delayed;</w:t>
      </w:r>
    </w:p>
    <w:p>
      <w:pPr>
        <w:spacing w:after="0" w:line="156" w:lineRule="exact"/>
        <w:rPr>
          <w:sz w:val="20"/>
          <w:szCs w:val="20"/>
          <w:color w:val="auto"/>
        </w:rPr>
      </w:pPr>
    </w:p>
    <w:p>
      <w:pPr>
        <w:ind w:left="540" w:right="200" w:firstLine="564"/>
        <w:spacing w:after="0" w:line="268" w:lineRule="auto"/>
        <w:tabs>
          <w:tab w:leader="none" w:pos="1658" w:val="left"/>
        </w:tabs>
        <w:numPr>
          <w:ilvl w:val="0"/>
          <w:numId w:val="178"/>
        </w:numPr>
        <w:rPr>
          <w:rFonts w:ascii="Arial" w:cs="Arial" w:eastAsia="Arial" w:hAnsi="Arial"/>
          <w:sz w:val="15"/>
          <w:szCs w:val="15"/>
          <w:color w:val="auto"/>
        </w:rPr>
      </w:pPr>
      <w:r>
        <w:rPr>
          <w:rFonts w:ascii="Arial" w:cs="Arial" w:eastAsia="Arial" w:hAnsi="Arial"/>
          <w:sz w:val="15"/>
          <w:szCs w:val="15"/>
          <w:color w:val="auto"/>
        </w:rPr>
        <w:t>not, at any time at or after the execution of this Agreement during the period when a prospectus relating to the Shares is required by the Act to be delivered (whether physically or through compliance with Rule 172 under the Act or any similar rule) in connection with sales of the Shares, to, directly or indirectly, offer or sell any Shares by means of any “prospectus” (within the meaning of the Act), or use any “prospectus” (within the meaning of the Act) in connection with the offer or sale of the Shares, in each case other than the Prospectus;</w:t>
      </w:r>
    </w:p>
    <w:p>
      <w:pPr>
        <w:spacing w:after="0" w:line="156" w:lineRule="exact"/>
        <w:rPr>
          <w:rFonts w:ascii="Arial" w:cs="Arial" w:eastAsia="Arial" w:hAnsi="Arial"/>
          <w:sz w:val="15"/>
          <w:szCs w:val="15"/>
          <w:color w:val="auto"/>
        </w:rPr>
      </w:pPr>
    </w:p>
    <w:p>
      <w:pPr>
        <w:ind w:left="540" w:right="180" w:firstLine="564"/>
        <w:spacing w:after="0" w:line="327" w:lineRule="auto"/>
        <w:tabs>
          <w:tab w:leader="none" w:pos="1658" w:val="left"/>
        </w:tabs>
        <w:numPr>
          <w:ilvl w:val="0"/>
          <w:numId w:val="178"/>
        </w:numPr>
        <w:rPr>
          <w:rFonts w:ascii="Arial" w:cs="Arial" w:eastAsia="Arial" w:hAnsi="Arial"/>
          <w:sz w:val="14"/>
          <w:szCs w:val="14"/>
          <w:color w:val="auto"/>
        </w:rPr>
      </w:pPr>
      <w:r>
        <w:rPr>
          <w:rFonts w:ascii="Arial" w:cs="Arial" w:eastAsia="Arial" w:hAnsi="Arial"/>
          <w:sz w:val="14"/>
          <w:szCs w:val="14"/>
          <w:color w:val="auto"/>
        </w:rPr>
        <w:t>not to, and to cause the Subsidiaries not to, take, directly or indirectly, any action designed, or which will constitute, or has constituted, or might reasonably be expected to cause or result in the stabilization or manipulation of the price of any security of the Company to facilitate the sale or resale of the Shares;</w:t>
      </w:r>
    </w:p>
    <w:p>
      <w:pPr>
        <w:spacing w:after="0" w:line="117" w:lineRule="exact"/>
        <w:rPr>
          <w:rFonts w:ascii="Arial" w:cs="Arial" w:eastAsia="Arial" w:hAnsi="Arial"/>
          <w:sz w:val="14"/>
          <w:szCs w:val="14"/>
          <w:color w:val="auto"/>
        </w:rPr>
      </w:pPr>
    </w:p>
    <w:p>
      <w:pPr>
        <w:ind w:left="540" w:right="40" w:firstLine="564"/>
        <w:spacing w:after="0" w:line="289" w:lineRule="auto"/>
        <w:tabs>
          <w:tab w:leader="none" w:pos="1667"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to use its best efforts to cause the Common Stock, including the Shares, to be listed on NASDAQ and to maintain the listing of the Common Stock, including the Shares, on NASDAQ;</w:t>
      </w:r>
    </w:p>
    <w:p>
      <w:pPr>
        <w:spacing w:after="0" w:line="140" w:lineRule="exact"/>
        <w:rPr>
          <w:rFonts w:ascii="Arial" w:cs="Arial" w:eastAsia="Arial" w:hAnsi="Arial"/>
          <w:sz w:val="15"/>
          <w:szCs w:val="15"/>
          <w:color w:val="auto"/>
        </w:rPr>
      </w:pPr>
    </w:p>
    <w:p>
      <w:pPr>
        <w:ind w:left="1680" w:hanging="576"/>
        <w:spacing w:after="0"/>
        <w:tabs>
          <w:tab w:leader="none" w:pos="168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to maintain a transfer agent and, if necessary under the jurisdiction of incorporation of the Company, a registrar for the Common Stock;</w:t>
      </w:r>
    </w:p>
    <w:p>
      <w:pPr>
        <w:spacing w:after="0" w:line="198" w:lineRule="exact"/>
        <w:rPr>
          <w:rFonts w:ascii="Arial" w:cs="Arial" w:eastAsia="Arial" w:hAnsi="Arial"/>
          <w:sz w:val="15"/>
          <w:szCs w:val="15"/>
          <w:color w:val="auto"/>
        </w:rPr>
      </w:pPr>
    </w:p>
    <w:p>
      <w:pPr>
        <w:ind w:left="540" w:right="20" w:firstLine="564"/>
        <w:spacing w:after="0" w:line="265" w:lineRule="auto"/>
        <w:tabs>
          <w:tab w:leader="none" w:pos="1659"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to cause each Directed Share Participant that satisfies the requirements of Section 3(aa) to execute a DSP Lock-Up Agreement and otherwise to cause the Reserved Shares to be restricted from sale, transfer, assignment, pledge or hypothecation to such extent as may be required by FINRA and its rules, and to direct the transfer agent to place stop transfer restrictions upon such Reserved Shares during the lock-up period referred to in the DSP Lock-Up Agreement or any such longer period of time as may be required by FINRA and its rules; and to comply with all applicable securities and other laws, rules and regulations in each jurisdiction in which the Reserved Shares are offered in connection with the Directed Share Program; and</w:t>
      </w:r>
    </w:p>
    <w:p>
      <w:pPr>
        <w:spacing w:after="0" w:line="159" w:lineRule="exact"/>
        <w:rPr>
          <w:rFonts w:ascii="Arial" w:cs="Arial" w:eastAsia="Arial" w:hAnsi="Arial"/>
          <w:sz w:val="15"/>
          <w:szCs w:val="15"/>
          <w:color w:val="auto"/>
        </w:rPr>
      </w:pPr>
    </w:p>
    <w:p>
      <w:pPr>
        <w:ind w:left="540" w:firstLine="564"/>
        <w:spacing w:after="0" w:line="265" w:lineRule="auto"/>
        <w:tabs>
          <w:tab w:leader="none" w:pos="1658" w:val="left"/>
        </w:tabs>
        <w:numPr>
          <w:ilvl w:val="0"/>
          <w:numId w:val="178"/>
        </w:numPr>
        <w:rPr>
          <w:rFonts w:ascii="Arial" w:cs="Arial" w:eastAsia="Arial" w:hAnsi="Arial"/>
          <w:sz w:val="15"/>
          <w:szCs w:val="15"/>
          <w:color w:val="auto"/>
        </w:rPr>
      </w:pPr>
      <w:r>
        <w:rPr>
          <w:rFonts w:ascii="Arial" w:cs="Arial" w:eastAsia="Arial" w:hAnsi="Arial"/>
          <w:sz w:val="15"/>
          <w:szCs w:val="15"/>
          <w:color w:val="auto"/>
        </w:rPr>
        <w:t xml:space="preserve">to announce the Underwriters’ intention to release any director or “officer” (within the meaning of Rule 16a-1(f) under the Exchange Act) of the Company from any of the restrictions imposed by any Lock-Up Agreement, by issuing, through a major news service, a press release, the form of which is attached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that is reasonably satisfactory to the Representatives, promptly following the Company’s receipt of any notification from the Representatives in which the Underwriters indicate such intention, but in any case not later than the close of the second business day prior to the date on which such release or waiver is to become effective;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right="40"/>
        <w:spacing w:after="0" w:line="302" w:lineRule="auto"/>
        <w:rPr>
          <w:sz w:val="20"/>
          <w:szCs w:val="20"/>
          <w:color w:val="auto"/>
        </w:rPr>
      </w:pPr>
      <w:r>
        <w:rPr>
          <w:rFonts w:ascii="Arial" w:cs="Arial" w:eastAsia="Arial" w:hAnsi="Arial"/>
          <w:sz w:val="14"/>
          <w:szCs w:val="14"/>
          <w:color w:val="auto"/>
        </w:rPr>
        <w:t xml:space="preserve">nothing shall prevent the Representatives, on behalf of the Underwriters, from announcing the same through a major news service, irrespective of whether the Company has made the required announcement; and </w:t>
      </w:r>
      <w:r>
        <w:rPr>
          <w:rFonts w:ascii="Arial" w:cs="Arial" w:eastAsia="Arial" w:hAnsi="Arial"/>
          <w:sz w:val="14"/>
          <w:szCs w:val="14"/>
          <w:u w:val="single" w:color="auto"/>
          <w:color w:val="auto"/>
        </w:rPr>
        <w:t>further provided</w:t>
      </w:r>
      <w:r>
        <w:rPr>
          <w:rFonts w:ascii="Arial" w:cs="Arial" w:eastAsia="Arial" w:hAnsi="Arial"/>
          <w:sz w:val="14"/>
          <w:szCs w:val="14"/>
          <w:color w:val="auto"/>
        </w:rPr>
        <w:t xml:space="preserve"> that no such announcement shall be made of any release or waiver granted solely to permit a transfer of securities that is not for consideration and where the transferee has agreed in writing to be bound by the terms of a Lock-Up Agreement in the form set forth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hereto.</w:t>
      </w:r>
    </w:p>
    <w:p>
      <w:pPr>
        <w:spacing w:after="0" w:line="133"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Each Underwriter represents and agrees that any oral or written communication with potential investors undertaken in reliance on Section 5(d) of the Act were with entities that are qualified institutional buyers as defined in Rule 144A under the Act or institutions that are accredited investors as defined in Rule 501(a) under the Act.</w:t>
      </w:r>
    </w:p>
    <w:p>
      <w:pPr>
        <w:spacing w:after="0" w:line="141" w:lineRule="exact"/>
        <w:rPr>
          <w:sz w:val="20"/>
          <w:szCs w:val="20"/>
          <w:color w:val="auto"/>
        </w:rPr>
      </w:pPr>
    </w:p>
    <w:p>
      <w:pPr>
        <w:ind w:right="160" w:firstLine="549"/>
        <w:spacing w:after="0" w:line="302" w:lineRule="auto"/>
        <w:tabs>
          <w:tab w:leader="none" w:pos="1112" w:val="left"/>
        </w:tabs>
        <w:numPr>
          <w:ilvl w:val="0"/>
          <w:numId w:val="179"/>
        </w:numPr>
        <w:rPr>
          <w:rFonts w:ascii="Arial" w:cs="Arial" w:eastAsia="Arial" w:hAnsi="Arial"/>
          <w:sz w:val="14"/>
          <w:szCs w:val="14"/>
          <w:color w:val="auto"/>
        </w:rPr>
      </w:pPr>
      <w:r>
        <w:rPr>
          <w:rFonts w:ascii="Arial" w:cs="Arial" w:eastAsia="Arial" w:hAnsi="Arial"/>
          <w:sz w:val="14"/>
          <w:szCs w:val="14"/>
          <w:u w:val="single" w:color="auto"/>
          <w:color w:val="auto"/>
        </w:rPr>
        <w:t>Reimbursement of the Underwriters’ Expenses</w:t>
      </w:r>
      <w:r>
        <w:rPr>
          <w:rFonts w:ascii="Arial" w:cs="Arial" w:eastAsia="Arial" w:hAnsi="Arial"/>
          <w:sz w:val="14"/>
          <w:szCs w:val="14"/>
          <w:color w:val="auto"/>
        </w:rPr>
        <w:t>. If, after the execution and delivery of this Agreement, the Shares are not delivered for any reason other than the default by one or more of the Underwriters in its or their respective obligations hereunder, including pursuant to the fifth paragraph of Section 8 hereof, the Company shall, in addition to paying the amounts described in Section 4(l) hereof, reimburse the Underwriters for all of their out-of-pocket expenses, including the fees and disbursements of their counsel.</w:t>
      </w:r>
    </w:p>
    <w:p>
      <w:pPr>
        <w:spacing w:after="0" w:line="133" w:lineRule="exact"/>
        <w:rPr>
          <w:rFonts w:ascii="Arial" w:cs="Arial" w:eastAsia="Arial" w:hAnsi="Arial"/>
          <w:sz w:val="14"/>
          <w:szCs w:val="14"/>
          <w:color w:val="auto"/>
        </w:rPr>
      </w:pPr>
    </w:p>
    <w:p>
      <w:pPr>
        <w:jc w:val="both"/>
        <w:ind w:right="160" w:firstLine="549"/>
        <w:spacing w:after="0" w:line="273" w:lineRule="auto"/>
        <w:tabs>
          <w:tab w:leader="none" w:pos="1112" w:val="left"/>
        </w:tabs>
        <w:numPr>
          <w:ilvl w:val="0"/>
          <w:numId w:val="179"/>
        </w:numPr>
        <w:rPr>
          <w:rFonts w:ascii="Arial" w:cs="Arial" w:eastAsia="Arial" w:hAnsi="Arial"/>
          <w:sz w:val="15"/>
          <w:szCs w:val="15"/>
          <w:color w:val="auto"/>
        </w:rPr>
      </w:pPr>
      <w:r>
        <w:rPr>
          <w:rFonts w:ascii="Arial" w:cs="Arial" w:eastAsia="Arial" w:hAnsi="Arial"/>
          <w:sz w:val="15"/>
          <w:szCs w:val="15"/>
          <w:u w:val="single" w:color="auto"/>
          <w:color w:val="auto"/>
        </w:rPr>
        <w:t>Conditions of the Underwriters’ Obligations</w:t>
      </w:r>
      <w:r>
        <w:rPr>
          <w:rFonts w:ascii="Arial" w:cs="Arial" w:eastAsia="Arial" w:hAnsi="Arial"/>
          <w:sz w:val="15"/>
          <w:szCs w:val="15"/>
          <w:color w:val="auto"/>
        </w:rPr>
        <w:t>. The several obligations of the Underwriters hereunder are subject to the accuracy of the representations and warranties on the part of the Company on the date hereof, and on the date of the closing of the purchase of the Firm Shares or the Additional Shares, as the case may be (each, a “</w:t>
      </w:r>
      <w:r>
        <w:rPr>
          <w:rFonts w:ascii="Arial" w:cs="Arial" w:eastAsia="Arial" w:hAnsi="Arial"/>
          <w:sz w:val="15"/>
          <w:szCs w:val="15"/>
          <w:u w:val="single" w:color="auto"/>
          <w:color w:val="auto"/>
        </w:rPr>
        <w:t>Closing Date</w:t>
      </w:r>
      <w:r>
        <w:rPr>
          <w:rFonts w:ascii="Arial" w:cs="Arial" w:eastAsia="Arial" w:hAnsi="Arial"/>
          <w:sz w:val="15"/>
          <w:szCs w:val="15"/>
          <w:color w:val="auto"/>
        </w:rPr>
        <w:t>”), the performance by the Company of its obligations hereunder and to the following additional conditions precedent:</w:t>
      </w:r>
    </w:p>
    <w:p>
      <w:pPr>
        <w:spacing w:after="0" w:line="152" w:lineRule="exact"/>
        <w:rPr>
          <w:rFonts w:ascii="Arial" w:cs="Arial" w:eastAsia="Arial" w:hAnsi="Arial"/>
          <w:sz w:val="15"/>
          <w:szCs w:val="15"/>
          <w:color w:val="auto"/>
        </w:rPr>
      </w:pPr>
    </w:p>
    <w:p>
      <w:pPr>
        <w:ind w:left="540" w:right="220" w:firstLine="564"/>
        <w:spacing w:after="0" w:line="289" w:lineRule="auto"/>
        <w:tabs>
          <w:tab w:leader="none" w:pos="1649" w:val="left"/>
        </w:tabs>
        <w:numPr>
          <w:ilvl w:val="1"/>
          <w:numId w:val="179"/>
        </w:numPr>
        <w:rPr>
          <w:rFonts w:ascii="Arial" w:cs="Arial" w:eastAsia="Arial" w:hAnsi="Arial"/>
          <w:sz w:val="15"/>
          <w:szCs w:val="15"/>
          <w:color w:val="auto"/>
        </w:rPr>
      </w:pPr>
      <w:r>
        <w:rPr>
          <w:rFonts w:ascii="Arial" w:cs="Arial" w:eastAsia="Arial" w:hAnsi="Arial"/>
          <w:sz w:val="15"/>
          <w:szCs w:val="15"/>
          <w:color w:val="auto"/>
        </w:rPr>
        <w:t>The Company shall furnish to you on each Closing Date opinions of Latham &amp; Watkins LLP, counsel for the Company, addressed to the Underwriters, and dated the time of purchase or the additional time of purchase, as the case may be, in forms reasonably acceptable to the Representatives.</w:t>
      </w:r>
    </w:p>
    <w:p>
      <w:pPr>
        <w:spacing w:after="0" w:line="140" w:lineRule="exact"/>
        <w:rPr>
          <w:rFonts w:ascii="Arial" w:cs="Arial" w:eastAsia="Arial" w:hAnsi="Arial"/>
          <w:sz w:val="15"/>
          <w:szCs w:val="15"/>
          <w:color w:val="auto"/>
        </w:rPr>
      </w:pPr>
    </w:p>
    <w:p>
      <w:pPr>
        <w:ind w:left="540" w:right="480" w:firstLine="564"/>
        <w:spacing w:after="0" w:line="273" w:lineRule="auto"/>
        <w:tabs>
          <w:tab w:leader="none" w:pos="1658" w:val="left"/>
        </w:tabs>
        <w:numPr>
          <w:ilvl w:val="1"/>
          <w:numId w:val="179"/>
        </w:numPr>
        <w:rPr>
          <w:rFonts w:ascii="Arial" w:cs="Arial" w:eastAsia="Arial" w:hAnsi="Arial"/>
          <w:sz w:val="15"/>
          <w:szCs w:val="15"/>
          <w:color w:val="auto"/>
        </w:rPr>
      </w:pPr>
      <w:r>
        <w:rPr>
          <w:rFonts w:ascii="Arial" w:cs="Arial" w:eastAsia="Arial" w:hAnsi="Arial"/>
          <w:sz w:val="15"/>
          <w:szCs w:val="15"/>
          <w:color w:val="auto"/>
        </w:rPr>
        <w:t xml:space="preserve">The Company shall furnish to you on each Closing Date an opinion of The Pepeliaev Group, special local counsel for Selecta (RUS) Limited Liability Company, addressed to the Underwriters, and dated the time of purchase or the additional time of purchase, as the case may be, in a form reasonably acceptable to the Representatives </w:t>
      </w:r>
      <w:r>
        <w:rPr>
          <w:rFonts w:ascii="Arial" w:cs="Arial" w:eastAsia="Arial" w:hAnsi="Arial"/>
          <w:sz w:val="15"/>
          <w:szCs w:val="15"/>
          <w:u w:val="single" w:color="auto"/>
          <w:color w:val="auto"/>
        </w:rPr>
        <w:t>Exhibit D</w:t>
      </w:r>
      <w:r>
        <w:rPr>
          <w:rFonts w:ascii="Arial" w:cs="Arial" w:eastAsia="Arial" w:hAnsi="Arial"/>
          <w:sz w:val="15"/>
          <w:szCs w:val="15"/>
          <w:color w:val="auto"/>
        </w:rPr>
        <w:t>.</w:t>
      </w:r>
    </w:p>
    <w:p>
      <w:pPr>
        <w:spacing w:after="0" w:line="152" w:lineRule="exact"/>
        <w:rPr>
          <w:rFonts w:ascii="Arial" w:cs="Arial" w:eastAsia="Arial" w:hAnsi="Arial"/>
          <w:sz w:val="15"/>
          <w:szCs w:val="15"/>
          <w:color w:val="auto"/>
        </w:rPr>
      </w:pPr>
    </w:p>
    <w:p>
      <w:pPr>
        <w:ind w:left="540" w:right="40" w:firstLine="564"/>
        <w:spacing w:after="0" w:line="273" w:lineRule="auto"/>
        <w:tabs>
          <w:tab w:leader="none" w:pos="1661" w:val="left"/>
        </w:tabs>
        <w:numPr>
          <w:ilvl w:val="1"/>
          <w:numId w:val="179"/>
        </w:numPr>
        <w:rPr>
          <w:rFonts w:ascii="Arial" w:cs="Arial" w:eastAsia="Arial" w:hAnsi="Arial"/>
          <w:sz w:val="15"/>
          <w:szCs w:val="15"/>
          <w:color w:val="auto"/>
        </w:rPr>
      </w:pPr>
      <w:r>
        <w:rPr>
          <w:rFonts w:ascii="Arial" w:cs="Arial" w:eastAsia="Arial" w:hAnsi="Arial"/>
          <w:sz w:val="15"/>
          <w:szCs w:val="15"/>
          <w:color w:val="auto"/>
        </w:rPr>
        <w:t>The Company shall furnish to you on each Closing Date an opinion of Wolf, Greenfield &amp; Sacks, P.C., special counsel for the Company with respect to certain patents and proprietary rights, addressed to the Underwriters, and dated the time of purchase or the additional time of purchase, as the case may be, in a form reasonably acceptable to the Representatives.</w:t>
      </w:r>
    </w:p>
    <w:p>
      <w:pPr>
        <w:spacing w:after="0" w:line="152" w:lineRule="exact"/>
        <w:rPr>
          <w:rFonts w:ascii="Arial" w:cs="Arial" w:eastAsia="Arial" w:hAnsi="Arial"/>
          <w:sz w:val="15"/>
          <w:szCs w:val="15"/>
          <w:color w:val="auto"/>
        </w:rPr>
      </w:pPr>
    </w:p>
    <w:p>
      <w:pPr>
        <w:ind w:left="540" w:right="300" w:firstLine="564"/>
        <w:spacing w:after="0" w:line="273" w:lineRule="auto"/>
        <w:tabs>
          <w:tab w:leader="none" w:pos="1658" w:val="left"/>
        </w:tabs>
        <w:numPr>
          <w:ilvl w:val="1"/>
          <w:numId w:val="179"/>
        </w:numPr>
        <w:rPr>
          <w:rFonts w:ascii="Arial" w:cs="Arial" w:eastAsia="Arial" w:hAnsi="Arial"/>
          <w:sz w:val="15"/>
          <w:szCs w:val="15"/>
          <w:color w:val="auto"/>
        </w:rPr>
      </w:pPr>
      <w:r>
        <w:rPr>
          <w:rFonts w:ascii="Arial" w:cs="Arial" w:eastAsia="Arial" w:hAnsi="Arial"/>
          <w:sz w:val="15"/>
          <w:szCs w:val="15"/>
          <w:color w:val="auto"/>
        </w:rPr>
        <w:t>The Company shall furnish to you on each Closing Date an opinion of the general counsel of the Company with respect to certain patents and proprietary rights, addressed to the Underwriters, and dated the time of purchase or the additional time of purchase, as the case may be, in a form reasonably acceptable to the Representatives.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right="500" w:firstLine="564"/>
        <w:spacing w:after="0" w:line="273" w:lineRule="auto"/>
        <w:tabs>
          <w:tab w:leader="none" w:pos="1661" w:val="left"/>
        </w:tabs>
        <w:numPr>
          <w:ilvl w:val="0"/>
          <w:numId w:val="180"/>
        </w:numPr>
        <w:rPr>
          <w:rFonts w:ascii="Arial" w:cs="Arial" w:eastAsia="Arial" w:hAnsi="Arial"/>
          <w:sz w:val="15"/>
          <w:szCs w:val="15"/>
          <w:color w:val="auto"/>
        </w:rPr>
      </w:pPr>
      <w:r>
        <w:rPr>
          <w:rFonts w:ascii="Arial" w:cs="Arial" w:eastAsia="Arial" w:hAnsi="Arial"/>
          <w:sz w:val="15"/>
          <w:szCs w:val="15"/>
          <w:color w:val="auto"/>
        </w:rPr>
        <w:t>You shall have received from Ernst &amp; Young LLP letters dated, respectively, the date of this Agreement and each Closing Date, and addressed to the Underwriters in the forms satisfactory to the Representatives, which letters shall cover, without limitation, the various financial disclosures contained in the Registration Statement, the Disclosure Package and the Prospectus.</w:t>
      </w:r>
    </w:p>
    <w:p>
      <w:pPr>
        <w:spacing w:after="0" w:line="152" w:lineRule="exact"/>
        <w:rPr>
          <w:rFonts w:ascii="Arial" w:cs="Arial" w:eastAsia="Arial" w:hAnsi="Arial"/>
          <w:sz w:val="15"/>
          <w:szCs w:val="15"/>
          <w:color w:val="auto"/>
        </w:rPr>
      </w:pPr>
    </w:p>
    <w:p>
      <w:pPr>
        <w:ind w:left="540" w:right="40" w:firstLine="564"/>
        <w:spacing w:after="0" w:line="289" w:lineRule="auto"/>
        <w:tabs>
          <w:tab w:leader="none" w:pos="1655" w:val="left"/>
        </w:tabs>
        <w:numPr>
          <w:ilvl w:val="0"/>
          <w:numId w:val="180"/>
        </w:numPr>
        <w:rPr>
          <w:rFonts w:ascii="Arial" w:cs="Arial" w:eastAsia="Arial" w:hAnsi="Arial"/>
          <w:sz w:val="15"/>
          <w:szCs w:val="15"/>
          <w:color w:val="auto"/>
        </w:rPr>
      </w:pPr>
      <w:r>
        <w:rPr>
          <w:rFonts w:ascii="Arial" w:cs="Arial" w:eastAsia="Arial" w:hAnsi="Arial"/>
          <w:sz w:val="15"/>
          <w:szCs w:val="15"/>
          <w:color w:val="auto"/>
        </w:rPr>
        <w:t>You shall have received on each Closing Date the favorable opinion of Cooley LLP, counsel for the Underwriters, dated the time of purchase or the additional time of purchase, as the case may be, in form and substance reasonably satisfactory to the Representatives.</w:t>
      </w:r>
    </w:p>
    <w:p>
      <w:pPr>
        <w:sectPr>
          <w:pgSz w:w="11900" w:h="16855" w:orient="portrait"/>
          <w:cols w:equalWidth="0" w:num="1">
            <w:col w:w="11440"/>
          </w:cols>
          <w:pgMar w:left="240" w:top="129" w:right="219" w:bottom="0" w:gutter="0" w:footer="0" w:header="0"/>
        </w:sectPr>
      </w:pPr>
    </w:p>
    <w:bookmarkStart w:id="301" w:name="page302"/>
    <w:bookmarkEnd w:id="301"/>
    <w:p>
      <w:pPr>
        <w:ind w:left="540" w:right="540" w:firstLine="564"/>
        <w:spacing w:after="0" w:line="289" w:lineRule="auto"/>
        <w:tabs>
          <w:tab w:leader="none" w:pos="1670" w:val="left"/>
        </w:tabs>
        <w:numPr>
          <w:ilvl w:val="1"/>
          <w:numId w:val="181"/>
        </w:numPr>
        <w:rPr>
          <w:rFonts w:ascii="Arial" w:cs="Arial" w:eastAsia="Arial" w:hAnsi="Arial"/>
          <w:sz w:val="15"/>
          <w:szCs w:val="15"/>
          <w:color w:val="auto"/>
        </w:rPr>
      </w:pPr>
      <w:r>
        <w:rPr>
          <w:rFonts w:ascii="Arial" w:cs="Arial" w:eastAsia="Arial" w:hAnsi="Arial"/>
          <w:sz w:val="15"/>
          <w:szCs w:val="15"/>
          <w:color w:val="auto"/>
        </w:rPr>
        <w:t>No Prospectus or amendment or supplement to the Registration Statement or the Prospectus shall have been filed to which you shall have reasonably objected (as soon as practicable) in writing.</w:t>
      </w:r>
    </w:p>
    <w:p>
      <w:pPr>
        <w:spacing w:after="0" w:line="140" w:lineRule="exact"/>
        <w:rPr>
          <w:rFonts w:ascii="Arial" w:cs="Arial" w:eastAsia="Arial" w:hAnsi="Arial"/>
          <w:sz w:val="15"/>
          <w:szCs w:val="15"/>
          <w:color w:val="auto"/>
        </w:rPr>
      </w:pPr>
    </w:p>
    <w:p>
      <w:pPr>
        <w:ind w:left="540" w:right="20" w:firstLine="564"/>
        <w:spacing w:after="0" w:line="268" w:lineRule="auto"/>
        <w:tabs>
          <w:tab w:leader="none" w:pos="1658" w:val="left"/>
        </w:tabs>
        <w:numPr>
          <w:ilvl w:val="1"/>
          <w:numId w:val="181"/>
        </w:numPr>
        <w:rPr>
          <w:rFonts w:ascii="Arial" w:cs="Arial" w:eastAsia="Arial" w:hAnsi="Arial"/>
          <w:sz w:val="15"/>
          <w:szCs w:val="15"/>
          <w:color w:val="auto"/>
        </w:rPr>
      </w:pPr>
      <w:r>
        <w:rPr>
          <w:rFonts w:ascii="Arial" w:cs="Arial" w:eastAsia="Arial" w:hAnsi="Arial"/>
          <w:sz w:val="15"/>
          <w:szCs w:val="15"/>
          <w:color w:val="auto"/>
        </w:rPr>
        <w:t>The Registration Statement, the Exchange Act Registration Statement and any registration statement required to be filed, prior to the sale of the Shares, under the Act pursuant to Rule 462(b) shall have been filed and shall have become effective under the Act or the Exchange Act, as the case may be. If Rule 430A under the Act is used, the Prospectus shall have been filed with the Commission pursuant to Rule 424(b) under the Act at or before 5:30 P.M., New York City time, on the second full business day after the date of this Agreement (or such earlier time as may be required under the Act).</w:t>
      </w:r>
    </w:p>
    <w:p>
      <w:pPr>
        <w:spacing w:after="0" w:line="156" w:lineRule="exact"/>
        <w:rPr>
          <w:rFonts w:ascii="Arial" w:cs="Arial" w:eastAsia="Arial" w:hAnsi="Arial"/>
          <w:sz w:val="15"/>
          <w:szCs w:val="15"/>
          <w:color w:val="auto"/>
        </w:rPr>
      </w:pPr>
    </w:p>
    <w:p>
      <w:pPr>
        <w:ind w:left="540" w:right="100" w:firstLine="564"/>
        <w:spacing w:after="0" w:line="281" w:lineRule="auto"/>
        <w:tabs>
          <w:tab w:leader="none" w:pos="1670" w:val="left"/>
        </w:tabs>
        <w:numPr>
          <w:ilvl w:val="1"/>
          <w:numId w:val="181"/>
        </w:numPr>
        <w:rPr>
          <w:rFonts w:ascii="Arial" w:cs="Arial" w:eastAsia="Arial" w:hAnsi="Arial"/>
          <w:sz w:val="14"/>
          <w:szCs w:val="14"/>
          <w:color w:val="auto"/>
        </w:rPr>
      </w:pPr>
      <w:r>
        <w:rPr>
          <w:rFonts w:ascii="Arial" w:cs="Arial" w:eastAsia="Arial" w:hAnsi="Arial"/>
          <w:sz w:val="14"/>
          <w:szCs w:val="14"/>
          <w:color w:val="auto"/>
        </w:rPr>
        <w:t>At each Closing Date, (i) no stop order with respect to the effectiveness of the Registration Statement shall have been issued under the Act or proceedings initiated under Section 8(d) or 8(e) of the Act; (ii) the Registration Statement (as of the Applicable Time), when taken together with any amendments thereto, shall not contain an untrue statement of a material fact or omit to state a material fact which is required to be stated therein or necessary to make the statements therein not misleading; or</w:t>
      </w:r>
    </w:p>
    <w:p>
      <w:pPr>
        <w:ind w:left="540" w:firstLine="9"/>
        <w:spacing w:after="0" w:line="294" w:lineRule="auto"/>
        <w:tabs>
          <w:tab w:leader="none" w:pos="81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Disclosure Package, the Preliminary Prospectus or the Prospectus, taken together with any amendment or supplement thereto, or any Permitted Free Writing Prospectus or Permitted Exempt Written Communications (in each case, when taken together with the Disclosure Package), if any, shall not contain an untrue statement of a material fact or omit to state a material fact necessary in order to make the statements therein, in light of the circumstances under which they are made, not misleading.</w:t>
      </w:r>
    </w:p>
    <w:p>
      <w:pPr>
        <w:spacing w:after="0" w:line="139" w:lineRule="exact"/>
        <w:rPr>
          <w:rFonts w:ascii="Arial" w:cs="Arial" w:eastAsia="Arial" w:hAnsi="Arial"/>
          <w:sz w:val="14"/>
          <w:szCs w:val="14"/>
          <w:color w:val="auto"/>
        </w:rPr>
      </w:pPr>
    </w:p>
    <w:p>
      <w:pPr>
        <w:ind w:left="540" w:right="80" w:firstLine="564"/>
        <w:spacing w:after="0" w:line="289" w:lineRule="auto"/>
        <w:tabs>
          <w:tab w:leader="none" w:pos="1659" w:val="left"/>
        </w:tabs>
        <w:numPr>
          <w:ilvl w:val="1"/>
          <w:numId w:val="182"/>
        </w:numPr>
        <w:rPr>
          <w:rFonts w:ascii="Arial" w:cs="Arial" w:eastAsia="Arial" w:hAnsi="Arial"/>
          <w:sz w:val="15"/>
          <w:szCs w:val="15"/>
          <w:color w:val="auto"/>
        </w:rPr>
      </w:pPr>
      <w:r>
        <w:rPr>
          <w:rFonts w:ascii="Arial" w:cs="Arial" w:eastAsia="Arial" w:hAnsi="Arial"/>
          <w:sz w:val="15"/>
          <w:szCs w:val="15"/>
          <w:color w:val="auto"/>
        </w:rPr>
        <w:t>The Company will, on each Closing Date, deliver to you a certificate of its Chief Executive Officer and its Chief Financial Officer, dated such Closing Date, as the case may be, to the effect that:</w:t>
      </w:r>
    </w:p>
    <w:p>
      <w:pPr>
        <w:spacing w:after="0" w:line="140" w:lineRule="exact"/>
        <w:rPr>
          <w:rFonts w:ascii="Arial" w:cs="Arial" w:eastAsia="Arial" w:hAnsi="Arial"/>
          <w:sz w:val="15"/>
          <w:szCs w:val="15"/>
          <w:color w:val="auto"/>
        </w:rPr>
      </w:pPr>
    </w:p>
    <w:p>
      <w:pPr>
        <w:ind w:left="2240" w:hanging="580"/>
        <w:spacing w:after="0"/>
        <w:tabs>
          <w:tab w:leader="none" w:pos="2240" w:val="left"/>
        </w:tabs>
        <w:numPr>
          <w:ilvl w:val="2"/>
          <w:numId w:val="182"/>
        </w:numPr>
        <w:rPr>
          <w:rFonts w:ascii="Arial" w:cs="Arial" w:eastAsia="Arial" w:hAnsi="Arial"/>
          <w:sz w:val="15"/>
          <w:szCs w:val="15"/>
          <w:color w:val="auto"/>
        </w:rPr>
      </w:pPr>
      <w:r>
        <w:rPr>
          <w:rFonts w:ascii="Arial" w:cs="Arial" w:eastAsia="Arial" w:hAnsi="Arial"/>
          <w:sz w:val="15"/>
          <w:szCs w:val="15"/>
          <w:color w:val="auto"/>
        </w:rPr>
        <w:t>He has reviewed the Registration Statement, the Disclosure Package and the Prospectus.</w:t>
      </w:r>
    </w:p>
    <w:p>
      <w:pPr>
        <w:spacing w:after="0" w:line="198" w:lineRule="exact"/>
        <w:rPr>
          <w:rFonts w:ascii="Arial" w:cs="Arial" w:eastAsia="Arial" w:hAnsi="Arial"/>
          <w:sz w:val="15"/>
          <w:szCs w:val="15"/>
          <w:color w:val="auto"/>
        </w:rPr>
      </w:pPr>
    </w:p>
    <w:p>
      <w:pPr>
        <w:ind w:left="2220" w:hanging="560"/>
        <w:spacing w:after="0"/>
        <w:tabs>
          <w:tab w:leader="none" w:pos="2220" w:val="left"/>
        </w:tabs>
        <w:numPr>
          <w:ilvl w:val="2"/>
          <w:numId w:val="182"/>
        </w:numPr>
        <w:rPr>
          <w:rFonts w:ascii="Arial" w:cs="Arial" w:eastAsia="Arial" w:hAnsi="Arial"/>
          <w:sz w:val="14"/>
          <w:szCs w:val="14"/>
          <w:color w:val="auto"/>
        </w:rPr>
      </w:pPr>
      <w:r>
        <w:rPr>
          <w:rFonts w:ascii="Arial" w:cs="Arial" w:eastAsia="Arial" w:hAnsi="Arial"/>
          <w:sz w:val="14"/>
          <w:szCs w:val="14"/>
          <w:color w:val="auto"/>
        </w:rPr>
        <w:t>The representations and warranties of the Company in this Agreement are true and correct as if made at and as of such Closing Date, and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Company has complied with all the agreements and satisfied all the conditions on its part to be performed or satisfied at or prior to such Closing Date; and</w:t>
      </w:r>
    </w:p>
    <w:p>
      <w:pPr>
        <w:spacing w:after="0" w:line="198" w:lineRule="exact"/>
        <w:rPr>
          <w:sz w:val="20"/>
          <w:szCs w:val="20"/>
          <w:color w:val="auto"/>
        </w:rPr>
      </w:pPr>
    </w:p>
    <w:p>
      <w:pPr>
        <w:ind w:left="1100" w:firstLine="560"/>
        <w:spacing w:after="0" w:line="268" w:lineRule="auto"/>
        <w:tabs>
          <w:tab w:leader="none" w:pos="2221" w:val="left"/>
        </w:tabs>
        <w:numPr>
          <w:ilvl w:val="2"/>
          <w:numId w:val="183"/>
        </w:numPr>
        <w:rPr>
          <w:rFonts w:ascii="Arial" w:cs="Arial" w:eastAsia="Arial" w:hAnsi="Arial"/>
          <w:sz w:val="15"/>
          <w:szCs w:val="15"/>
          <w:color w:val="auto"/>
        </w:rPr>
      </w:pPr>
      <w:r>
        <w:rPr>
          <w:rFonts w:ascii="Arial" w:cs="Arial" w:eastAsia="Arial" w:hAnsi="Arial"/>
          <w:sz w:val="15"/>
          <w:szCs w:val="15"/>
          <w:color w:val="auto"/>
        </w:rPr>
        <w:t>No stop order or other order suspending the effectiveness of the Registration Statement or any part thereof or any amendment thereof or the qualification of the Securities for offering or sale, nor suspending or preventing the use of the Disclosure Package, the Prospectus or any issuer free writing prospectus, has been issued, and no proceeding for that purpose has been instituted or, to the best of their knowledge, is contemplated by the Commission or any state or regulatory body.</w:t>
      </w:r>
    </w:p>
    <w:p>
      <w:pPr>
        <w:spacing w:after="0" w:line="156" w:lineRule="exact"/>
        <w:rPr>
          <w:rFonts w:ascii="Arial" w:cs="Arial" w:eastAsia="Arial" w:hAnsi="Arial"/>
          <w:sz w:val="15"/>
          <w:szCs w:val="15"/>
          <w:color w:val="auto"/>
        </w:rPr>
      </w:pPr>
    </w:p>
    <w:p>
      <w:pPr>
        <w:jc w:val="both"/>
        <w:ind w:left="540" w:right="220" w:firstLine="564"/>
        <w:spacing w:after="0" w:line="273" w:lineRule="auto"/>
        <w:tabs>
          <w:tab w:leader="none" w:pos="1658" w:val="left"/>
        </w:tabs>
        <w:numPr>
          <w:ilvl w:val="1"/>
          <w:numId w:val="184"/>
        </w:numPr>
        <w:rPr>
          <w:rFonts w:ascii="Arial" w:cs="Arial" w:eastAsia="Arial" w:hAnsi="Arial"/>
          <w:sz w:val="15"/>
          <w:szCs w:val="15"/>
          <w:color w:val="auto"/>
        </w:rPr>
      </w:pPr>
      <w:r>
        <w:rPr>
          <w:rFonts w:ascii="Arial" w:cs="Arial" w:eastAsia="Arial" w:hAnsi="Arial"/>
          <w:sz w:val="15"/>
          <w:szCs w:val="15"/>
          <w:color w:val="auto"/>
        </w:rPr>
        <w:t>The Company will, on the date hereof and on each Closing Date, deliver to you a certificate of its Chief Financial Officer, with respect to certain financial data in the Registration Statement, dated the time of purchase or the additional time of purchase, as the case may be, in the form and substance reasonably satisfactory to the Representatives.</w:t>
      </w:r>
    </w:p>
    <w:p>
      <w:pPr>
        <w:spacing w:after="0" w:line="152" w:lineRule="exact"/>
        <w:rPr>
          <w:rFonts w:ascii="Arial" w:cs="Arial" w:eastAsia="Arial" w:hAnsi="Arial"/>
          <w:sz w:val="15"/>
          <w:szCs w:val="15"/>
          <w:color w:val="auto"/>
        </w:rPr>
      </w:pPr>
    </w:p>
    <w:p>
      <w:pPr>
        <w:ind w:left="1680" w:hanging="576"/>
        <w:spacing w:after="0"/>
        <w:tabs>
          <w:tab w:leader="none" w:pos="1680" w:val="left"/>
        </w:tabs>
        <w:numPr>
          <w:ilvl w:val="1"/>
          <w:numId w:val="184"/>
        </w:numPr>
        <w:rPr>
          <w:rFonts w:ascii="Arial" w:cs="Arial" w:eastAsia="Arial" w:hAnsi="Arial"/>
          <w:sz w:val="14"/>
          <w:szCs w:val="14"/>
          <w:color w:val="auto"/>
        </w:rPr>
      </w:pPr>
      <w:r>
        <w:rPr>
          <w:rFonts w:ascii="Arial" w:cs="Arial" w:eastAsia="Arial" w:hAnsi="Arial"/>
          <w:sz w:val="14"/>
          <w:szCs w:val="14"/>
          <w:color w:val="auto"/>
        </w:rPr>
        <w:t>You shall have received each of the signed Lock-Up Agreements referred to in Section 3(z) hereof, and each such Lock-Up Agreement shall be in full force</w:t>
      </w:r>
    </w:p>
    <w:p>
      <w:pPr>
        <w:spacing w:after="0" w:line="34"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5"/>
          <w:szCs w:val="15"/>
          <w:color w:val="auto"/>
        </w:rPr>
        <w:t>and effect.</w:t>
      </w:r>
    </w:p>
    <w:p>
      <w:pPr>
        <w:spacing w:after="0" w:line="187" w:lineRule="exact"/>
        <w:rPr>
          <w:rFonts w:ascii="Arial" w:cs="Arial" w:eastAsia="Arial" w:hAnsi="Arial"/>
          <w:sz w:val="14"/>
          <w:szCs w:val="14"/>
          <w:color w:val="auto"/>
        </w:rPr>
      </w:pPr>
    </w:p>
    <w:p>
      <w:pPr>
        <w:ind w:left="1660" w:hanging="556"/>
        <w:spacing w:after="0"/>
        <w:tabs>
          <w:tab w:leader="none" w:pos="1660" w:val="left"/>
        </w:tabs>
        <w:numPr>
          <w:ilvl w:val="1"/>
          <w:numId w:val="184"/>
        </w:numPr>
        <w:rPr>
          <w:rFonts w:ascii="Arial" w:cs="Arial" w:eastAsia="Arial" w:hAnsi="Arial"/>
          <w:sz w:val="15"/>
          <w:szCs w:val="15"/>
          <w:color w:val="auto"/>
        </w:rPr>
      </w:pPr>
      <w:r>
        <w:rPr>
          <w:rFonts w:ascii="Arial" w:cs="Arial" w:eastAsia="Arial" w:hAnsi="Arial"/>
          <w:sz w:val="15"/>
          <w:szCs w:val="15"/>
          <w:color w:val="auto"/>
        </w:rPr>
        <w:t>On or prior to such Closing Date, the Company shall have furnished to you such other documents and certificates as you may reasonably request.</w:t>
      </w:r>
    </w:p>
    <w:p>
      <w:pPr>
        <w:spacing w:after="0" w:line="198" w:lineRule="exact"/>
        <w:rPr>
          <w:rFonts w:ascii="Arial" w:cs="Arial" w:eastAsia="Arial" w:hAnsi="Arial"/>
          <w:sz w:val="15"/>
          <w:szCs w:val="15"/>
          <w:color w:val="auto"/>
        </w:rPr>
      </w:pPr>
    </w:p>
    <w:p>
      <w:pPr>
        <w:ind w:left="1660" w:hanging="556"/>
        <w:spacing w:after="0"/>
        <w:tabs>
          <w:tab w:leader="none" w:pos="1660" w:val="left"/>
        </w:tabs>
        <w:numPr>
          <w:ilvl w:val="1"/>
          <w:numId w:val="184"/>
        </w:numPr>
        <w:rPr>
          <w:rFonts w:ascii="Arial" w:cs="Arial" w:eastAsia="Arial" w:hAnsi="Arial"/>
          <w:sz w:val="14"/>
          <w:szCs w:val="14"/>
          <w:color w:val="auto"/>
        </w:rPr>
      </w:pPr>
      <w:r>
        <w:rPr>
          <w:rFonts w:ascii="Arial" w:cs="Arial" w:eastAsia="Arial" w:hAnsi="Arial"/>
          <w:sz w:val="14"/>
          <w:szCs w:val="14"/>
          <w:color w:val="auto"/>
        </w:rPr>
        <w:t>The Shares shall have been approved for listing on NASDAQ, subject only to notice of issuance and evidence of satisfactory distribution at or prior to such</w:t>
      </w:r>
    </w:p>
    <w:p>
      <w:pPr>
        <w:spacing w:after="0" w:line="34"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5"/>
          <w:szCs w:val="15"/>
          <w:color w:val="auto"/>
        </w:rPr>
        <w:t>Closing Date.</w:t>
      </w:r>
    </w:p>
    <w:p>
      <w:pPr>
        <w:spacing w:after="0" w:line="187" w:lineRule="exact"/>
        <w:rPr>
          <w:rFonts w:ascii="Arial" w:cs="Arial" w:eastAsia="Arial" w:hAnsi="Arial"/>
          <w:sz w:val="14"/>
          <w:szCs w:val="14"/>
          <w:color w:val="auto"/>
        </w:rPr>
      </w:pPr>
    </w:p>
    <w:p>
      <w:pPr>
        <w:ind w:left="540" w:right="420" w:firstLine="564"/>
        <w:spacing w:after="0" w:line="289" w:lineRule="auto"/>
        <w:tabs>
          <w:tab w:leader="none" w:pos="1658" w:val="left"/>
        </w:tabs>
        <w:numPr>
          <w:ilvl w:val="1"/>
          <w:numId w:val="184"/>
        </w:numPr>
        <w:rPr>
          <w:rFonts w:ascii="Arial" w:cs="Arial" w:eastAsia="Arial" w:hAnsi="Arial"/>
          <w:sz w:val="15"/>
          <w:szCs w:val="15"/>
          <w:color w:val="auto"/>
        </w:rPr>
      </w:pPr>
      <w:r>
        <w:rPr>
          <w:rFonts w:ascii="Arial" w:cs="Arial" w:eastAsia="Arial" w:hAnsi="Arial"/>
          <w:sz w:val="15"/>
          <w:szCs w:val="15"/>
          <w:color w:val="auto"/>
        </w:rPr>
        <w:t>FINRA shall not have raised any objection with respect to the fairness or reasonableness of the underwriting, or other arrangements of the transactions, contemplated hereby.</w:t>
      </w:r>
    </w:p>
    <w:p>
      <w:pPr>
        <w:spacing w:after="0" w:line="140" w:lineRule="exact"/>
        <w:rPr>
          <w:rFonts w:ascii="Arial" w:cs="Arial" w:eastAsia="Arial" w:hAnsi="Arial"/>
          <w:sz w:val="15"/>
          <w:szCs w:val="15"/>
          <w:color w:val="auto"/>
        </w:rPr>
      </w:pPr>
    </w:p>
    <w:p>
      <w:pPr>
        <w:ind w:left="1100" w:hanging="551"/>
        <w:spacing w:after="0"/>
        <w:tabs>
          <w:tab w:leader="none" w:pos="1100" w:val="left"/>
        </w:tabs>
        <w:numPr>
          <w:ilvl w:val="0"/>
          <w:numId w:val="185"/>
        </w:numPr>
        <w:rPr>
          <w:rFonts w:ascii="Arial" w:cs="Arial" w:eastAsia="Arial" w:hAnsi="Arial"/>
          <w:sz w:val="15"/>
          <w:szCs w:val="15"/>
          <w:color w:val="auto"/>
        </w:rPr>
      </w:pPr>
      <w:r>
        <w:rPr>
          <w:rFonts w:ascii="Arial" w:cs="Arial" w:eastAsia="Arial" w:hAnsi="Arial"/>
          <w:sz w:val="15"/>
          <w:szCs w:val="15"/>
          <w:u w:val="single" w:color="auto"/>
          <w:color w:val="auto"/>
        </w:rPr>
        <w:t>Effective Date of Agreement; Termination</w:t>
      </w:r>
      <w:r>
        <w:rPr>
          <w:rFonts w:ascii="Arial" w:cs="Arial" w:eastAsia="Arial" w:hAnsi="Arial"/>
          <w:sz w:val="15"/>
          <w:szCs w:val="15"/>
          <w:color w:val="auto"/>
        </w:rPr>
        <w:t>. This Agreement shall become effective when the parties hereto have executed and delivered this Agreement.</w:t>
      </w:r>
    </w:p>
    <w:p>
      <w:pPr>
        <w:spacing w:after="0" w:line="198"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4"/>
          <w:szCs w:val="14"/>
          <w:color w:val="auto"/>
        </w:rPr>
        <w:t>The obligations of the several Underwriters hereunder shall be subject to termination in the sole discretion of the Representatives, if (1) subsequent to the respective</w:t>
      </w:r>
    </w:p>
    <w:p>
      <w:pPr>
        <w:spacing w:after="0" w:line="35" w:lineRule="exact"/>
        <w:rPr>
          <w:sz w:val="20"/>
          <w:szCs w:val="20"/>
          <w:color w:val="auto"/>
        </w:rPr>
      </w:pPr>
    </w:p>
    <w:p>
      <w:pPr>
        <w:ind w:right="200"/>
        <w:spacing w:after="0" w:line="285" w:lineRule="auto"/>
        <w:rPr>
          <w:sz w:val="20"/>
          <w:szCs w:val="20"/>
          <w:color w:val="auto"/>
        </w:rPr>
      </w:pPr>
      <w:r>
        <w:rPr>
          <w:rFonts w:ascii="Arial" w:cs="Arial" w:eastAsia="Arial" w:hAnsi="Arial"/>
          <w:sz w:val="14"/>
          <w:szCs w:val="14"/>
          <w:color w:val="auto"/>
        </w:rPr>
        <w:t>dates as of which information is given in the Disclosure Package and the Prospectus, there has been any change or any development involving a prospective change in the business, properties, management, financial condition or results of operations of the Company and the Subsidiaries taken as a whole, the effect of which change or development is, in the reasonable judgment of the Representatives, so material and adverse as to make it impracticable or inadvisable to proceed with the public offering or the delivery of the Shares on the terms and in the manner contemplated in the Registration Statement, the Disclosure Package and the Prospectus or (2) since the time of execution of this Agreement, there shall have occurred: (A) the suspension or material limitation in trading in securities generally on the NYSE or NASDAQ; (B) a suspension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or material limitation in trading in the Company’s securities on NASDAQ; (C) a general moratorium on commercial banking activities declared by either federal or New York State authorities or a material disruption in commercial banking or securities settlement or clearance services in the United States or Russia; (D) an outbreak or escalation of hostilities or significant acts of terrorism involving the United States or Russia or a declaration by the United States or Russia of a national emergency or war; or (E) any other calamity or crisis or any change in financial, political or economic conditions in the United States, Russia or elsewhere, if the effect of any such event specified in clause (D) or (E), in your judgment, makes it impracticable or inadvisable to proceed with the sale of and payment for the Shares, or (3) since the time of execution of this Agreement, there shall have occurred any downgrading, or any notice or announcement shall have been given or made of: (A) any intended or potential downgrading or (B) any publicly announced watch, surveillance or review in the rating accorded any debt securities of or guaranteed by the Company or any Subsidiary by any “nationally recognized statistical rating organization,” as that term is defined in Rule 436(g)</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(2) under the Act.</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If the Representatives elect to terminate this Agreement as provided in this Section 7, the Company and each other Underwriter shall be notified promptly in writing.</w:t>
      </w:r>
    </w:p>
    <w:p>
      <w:pPr>
        <w:spacing w:after="0" w:line="210" w:lineRule="exact"/>
        <w:rPr>
          <w:sz w:val="20"/>
          <w:szCs w:val="20"/>
          <w:color w:val="auto"/>
        </w:rPr>
      </w:pPr>
    </w:p>
    <w:p>
      <w:pPr>
        <w:ind w:right="20" w:firstLine="1112"/>
        <w:spacing w:after="0" w:line="268" w:lineRule="auto"/>
        <w:rPr>
          <w:sz w:val="20"/>
          <w:szCs w:val="20"/>
          <w:color w:val="auto"/>
        </w:rPr>
      </w:pPr>
      <w:r>
        <w:rPr>
          <w:rFonts w:ascii="Arial" w:cs="Arial" w:eastAsia="Arial" w:hAnsi="Arial"/>
          <w:sz w:val="15"/>
          <w:szCs w:val="15"/>
          <w:color w:val="auto"/>
        </w:rPr>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Sections 4(l), 5 and 9 hereof), and the Underwriters shall be under no obligation or liability to the Company under this Agreement (except to the extent provided in Section 9 hereof) or to one another hereunder.</w:t>
      </w:r>
    </w:p>
    <w:p>
      <w:pPr>
        <w:spacing w:after="0" w:line="156" w:lineRule="exact"/>
        <w:rPr>
          <w:sz w:val="20"/>
          <w:szCs w:val="20"/>
          <w:color w:val="auto"/>
        </w:rPr>
      </w:pPr>
    </w:p>
    <w:p>
      <w:pPr>
        <w:ind w:firstLine="549"/>
        <w:spacing w:after="0" w:line="283" w:lineRule="auto"/>
        <w:tabs>
          <w:tab w:leader="none" w:pos="1112" w:val="left"/>
        </w:tabs>
        <w:numPr>
          <w:ilvl w:val="0"/>
          <w:numId w:val="186"/>
        </w:numPr>
        <w:rPr>
          <w:rFonts w:ascii="Arial" w:cs="Arial" w:eastAsia="Arial" w:hAnsi="Arial"/>
          <w:sz w:val="14"/>
          <w:szCs w:val="14"/>
          <w:color w:val="auto"/>
        </w:rPr>
      </w:pPr>
      <w:r>
        <w:rPr>
          <w:rFonts w:ascii="Arial" w:cs="Arial" w:eastAsia="Arial" w:hAnsi="Arial"/>
          <w:sz w:val="14"/>
          <w:szCs w:val="14"/>
          <w:u w:val="single" w:color="auto"/>
          <w:color w:val="auto"/>
        </w:rPr>
        <w:t>Increase in Underwriters’ Commitments</w:t>
      </w:r>
      <w:r>
        <w:rPr>
          <w:rFonts w:ascii="Arial" w:cs="Arial" w:eastAsia="Arial" w:hAnsi="Arial"/>
          <w:sz w:val="14"/>
          <w:szCs w:val="14"/>
          <w:color w:val="auto"/>
        </w:rPr>
        <w:t xml:space="preserve">. Subject to Sections 6 and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(including the Underwriters, if any, substituted in the manner set forth below)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forth opposite the names of such non-defaulting Underwriters in </w:t>
      </w:r>
      <w:r>
        <w:rPr>
          <w:rFonts w:ascii="Arial" w:cs="Arial" w:eastAsia="Arial" w:hAnsi="Arial"/>
          <w:sz w:val="14"/>
          <w:szCs w:val="14"/>
          <w:u w:val="single" w:color="auto"/>
          <w:color w:val="auto"/>
        </w:rPr>
        <w:t>Schedule A</w:t>
      </w:r>
      <w:r>
        <w:rPr>
          <w:rFonts w:ascii="Arial" w:cs="Arial" w:eastAsia="Arial" w:hAnsi="Arial"/>
          <w:sz w:val="14"/>
          <w:szCs w:val="14"/>
          <w:color w:val="auto"/>
        </w:rPr>
        <w:t>.</w:t>
      </w:r>
    </w:p>
    <w:p>
      <w:pPr>
        <w:spacing w:after="0" w:line="149" w:lineRule="exact"/>
        <w:rPr>
          <w:sz w:val="20"/>
          <w:szCs w:val="20"/>
          <w:color w:val="auto"/>
        </w:rPr>
      </w:pPr>
    </w:p>
    <w:p>
      <w:pPr>
        <w:ind w:right="140" w:firstLine="1112"/>
        <w:spacing w:after="0" w:line="371" w:lineRule="auto"/>
        <w:rPr>
          <w:sz w:val="20"/>
          <w:szCs w:val="20"/>
          <w:color w:val="auto"/>
        </w:rPr>
      </w:pPr>
      <w:r>
        <w:rPr>
          <w:rFonts w:ascii="Arial" w:cs="Arial" w:eastAsia="Arial" w:hAnsi="Arial"/>
          <w:sz w:val="13"/>
          <w:szCs w:val="13"/>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w:t>
      </w:r>
    </w:p>
    <w:p>
      <w:pPr>
        <w:sectPr>
          <w:pgSz w:w="11900" w:h="16838" w:orient="portrait"/>
          <w:cols w:equalWidth="0" w:num="1">
            <w:col w:w="11420"/>
          </w:cols>
          <w:pgMar w:left="240" w:top="314" w:right="239" w:bottom="0" w:gutter="0" w:footer="0" w:header="0"/>
        </w:sectPr>
      </w:pPr>
    </w:p>
    <w:bookmarkStart w:id="302" w:name="page303"/>
    <w:bookmarkEnd w:id="302"/>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with your approval).</w:t>
      </w:r>
    </w:p>
    <w:p>
      <w:pPr>
        <w:spacing w:after="0" w:line="198" w:lineRule="exact"/>
        <w:rPr>
          <w:sz w:val="20"/>
          <w:szCs w:val="20"/>
          <w:color w:val="auto"/>
        </w:rPr>
      </w:pPr>
    </w:p>
    <w:p>
      <w:pPr>
        <w:ind w:right="160" w:firstLine="1112"/>
        <w:spacing w:after="0" w:line="273" w:lineRule="auto"/>
        <w:rPr>
          <w:sz w:val="20"/>
          <w:szCs w:val="20"/>
          <w:color w:val="auto"/>
        </w:rPr>
      </w:pPr>
      <w:r>
        <w:rPr>
          <w:rFonts w:ascii="Arial" w:cs="Arial" w:eastAsia="Arial" w:hAnsi="Arial"/>
          <w:sz w:val="15"/>
          <w:szCs w:val="15"/>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53" w:lineRule="exact"/>
        <w:rPr>
          <w:sz w:val="20"/>
          <w:szCs w:val="20"/>
          <w:color w:val="auto"/>
        </w:rPr>
      </w:pPr>
    </w:p>
    <w:p>
      <w:pPr>
        <w:ind w:right="280" w:firstLine="1112"/>
        <w:spacing w:after="0" w:line="289" w:lineRule="auto"/>
        <w:rPr>
          <w:sz w:val="20"/>
          <w:szCs w:val="20"/>
          <w:color w:val="auto"/>
        </w:rPr>
      </w:pPr>
      <w:r>
        <w:rPr>
          <w:rFonts w:ascii="Arial" w:cs="Arial" w:eastAsia="Arial" w:hAnsi="Arial"/>
          <w:sz w:val="15"/>
          <w:szCs w:val="15"/>
          <w:color w:val="auto"/>
        </w:rPr>
        <w:t xml:space="preserve">The term “Underwriter” as used in this Agreement shall refer to and include any Underwriter substituted under this Section 8 with like effect as if such substituted Underwriter had originally been named in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hereto.</w:t>
      </w:r>
    </w:p>
    <w:p>
      <w:pPr>
        <w:spacing w:after="0" w:line="141" w:lineRule="exact"/>
        <w:rPr>
          <w:sz w:val="20"/>
          <w:szCs w:val="20"/>
          <w:color w:val="auto"/>
        </w:rPr>
      </w:pPr>
    </w:p>
    <w:p>
      <w:pPr>
        <w:ind w:right="20" w:firstLine="1112"/>
        <w:spacing w:after="0" w:line="289" w:lineRule="auto"/>
        <w:rPr>
          <w:sz w:val="20"/>
          <w:szCs w:val="20"/>
          <w:color w:val="auto"/>
        </w:rPr>
      </w:pPr>
      <w:r>
        <w:rPr>
          <w:rFonts w:ascii="Arial" w:cs="Arial" w:eastAsia="Arial" w:hAnsi="Arial"/>
          <w:sz w:val="14"/>
          <w:szCs w:val="14"/>
          <w:color w:val="auto"/>
        </w:rPr>
        <w:t>If the aggregate number of Firm Shares which the defaulting Underwriter or Underwriters agreed to purchase exceeds 5% of the total number of Firm Shares which all Underwriters agreed to purchase hereunder, and if neither the non-defaulting Underwriters nor the Company shall make arrangements within the five business day period stated above for the purchase of all the Firm Shares which the defaulting Underwriter or Underwriters agreed to purchase hereunder, this Agreement shall terminate without further act or deed and without any liability on the part of the Company to any Underwriter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43" w:lineRule="exact"/>
        <w:rPr>
          <w:sz w:val="20"/>
          <w:szCs w:val="20"/>
          <w:color w:val="auto"/>
        </w:rPr>
      </w:pPr>
    </w:p>
    <w:p>
      <w:pPr>
        <w:ind w:left="1100" w:hanging="551"/>
        <w:spacing w:after="0"/>
        <w:tabs>
          <w:tab w:leader="none" w:pos="1100"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Indemnity and Contribution</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40" w:right="20" w:firstLine="564"/>
        <w:spacing w:after="0" w:line="281" w:lineRule="auto"/>
        <w:tabs>
          <w:tab w:leader="none" w:pos="1649" w:val="left"/>
        </w:tabs>
        <w:numPr>
          <w:ilvl w:val="1"/>
          <w:numId w:val="187"/>
        </w:numPr>
        <w:rPr>
          <w:rFonts w:ascii="Arial" w:cs="Arial" w:eastAsia="Arial" w:hAnsi="Arial"/>
          <w:sz w:val="14"/>
          <w:szCs w:val="14"/>
          <w:color w:val="auto"/>
        </w:rPr>
      </w:pPr>
      <w:r>
        <w:rPr>
          <w:rFonts w:ascii="Arial" w:cs="Arial" w:eastAsia="Arial" w:hAnsi="Arial"/>
          <w:sz w:val="14"/>
          <w:szCs w:val="14"/>
          <w:color w:val="auto"/>
        </w:rPr>
        <w:t>The Company agrees to indemnify, defend and hold harmless each Underwriter, its partners, directors, officers and members, any person who controls any Underwriter within the meaning of Section 15 of the Act or Section 20 of the Exchange Act, and any “affiliate” (within the meaning of Rule 405 under the Act) of such Underwriter, and the successors and assigns of all of the foregoing persons, from and against any loss, damage, expense, liability or claim (including the reasonable cost of investigation) which, jointly or severally, any such Underwriter or any such person may incur under the Act, the Exchange Act,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or arises out of or is based upon any omission or alleged omission to state a material fact required to be stated therein or necessary to make the statements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arises out of or is based upon any omission or alleged omission to state a material fact in the Registration Statement in connection with such information, which material fact was not contained in such information and which material fact was required to be stated in such Registration Statement or was necessary to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right="20"/>
        <w:spacing w:after="0" w:line="279" w:lineRule="auto"/>
        <w:rPr>
          <w:sz w:val="20"/>
          <w:szCs w:val="20"/>
          <w:color w:val="auto"/>
        </w:rPr>
      </w:pPr>
      <w:r>
        <w:rPr>
          <w:rFonts w:ascii="Arial" w:cs="Arial" w:eastAsia="Arial" w:hAnsi="Arial"/>
          <w:sz w:val="14"/>
          <w:szCs w:val="14"/>
          <w:color w:val="auto"/>
        </w:rPr>
        <w:t>make such information not misleading, (ii) any untrue statement or alleged untrue statement of a material fact included in any Prospectus (the term Prospectus for the purpose of this Section 9 being deemed to include any Preliminary Prospectus, the Prospectus and any amendments or supplements to the foregoing), in any Covered Free Writing Prospectus, in any Covered Exempt Written Communication, in any “issuer information” (as defined in Rule 433 under the Act) of the Company or in any Prospectus together with any combination of one or more of the Covered Free Writing Prospectuses, if any, and one or more Covered Exempt Written Communications, if any, or arises out of or is based upon any omission or alleged omission to state a material fact necessary in order to make the statements therein, in the light of the circumstances under which they were made, not misleading, except, with respect to such Prospectus, Permitted Free Writing Prospectus, Permitted Exempt Written Communication or one or more of the foregoing in combination,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such Prospectus, Permitted Free Writing Prospectus, Permitted Exempt Written Communication or one or more of the foregoing in combination or arises out of or is based upon any omission or alleged omission to state a material fact in such Prospectus, Permitted Free Writing Prospectus, Permitted Exempt Written Communication or one or more of the foregoing in combination in connection with such information, which material fact was not contained in such information and which material fact was necessary in order to make the statements in such information, in the light of the circumstances under which they were made, not misleading, or (iii) the Directed Share Program, except, with respect to this clause (iii), insofar as such loss, damage, expense, liability or claim is finally judicially determined to have resulted from the gross negligence or willful misconduct of the Underwriters in conducting the Directed Share Program, and will reimburse each “indemnified party” (defined below) for any legal or other fees or expenses reasonably incurred by such indemnified party in connection with investigating or defending against any loss, damage, expense, liability, claim, action, litigation, investigation or proceeding whatsoever (whether or not such indemnified party is a party thereto), whether threatened or commenced, and in connection with the enforcement of this provision with respect to the above as such fees and expenses are incurred.</w:t>
      </w:r>
    </w:p>
    <w:p>
      <w:pPr>
        <w:spacing w:after="0" w:line="154" w:lineRule="exact"/>
        <w:rPr>
          <w:sz w:val="20"/>
          <w:szCs w:val="20"/>
          <w:color w:val="auto"/>
        </w:rPr>
      </w:pPr>
    </w:p>
    <w:p>
      <w:pPr>
        <w:ind w:left="540" w:right="40" w:firstLine="556"/>
        <w:spacing w:after="0" w:line="279" w:lineRule="auto"/>
        <w:rPr>
          <w:sz w:val="20"/>
          <w:szCs w:val="20"/>
          <w:color w:val="auto"/>
        </w:rPr>
      </w:pPr>
      <w:r>
        <w:rPr>
          <w:rFonts w:ascii="Arial" w:cs="Arial" w:eastAsia="Arial" w:hAnsi="Arial"/>
          <w:sz w:val="14"/>
          <w:szCs w:val="14"/>
          <w:color w:val="auto"/>
        </w:rPr>
        <w:t>Without limitation of and in addition to its obligations under the other paragraphs of this Section 9, the Company agrees to indemnify, defend and hold harmless UBS-FinSvc and its partners, directors, officers and members, and any person who controls UBS-FinSvc within the meaning of Section 15 of the Act or Section 20 of the Exchange Act, and the successors and assigns of all of the foregoing persons, from and against any loss, damage, expense, liability or claim (including the reasonable cost of investigation) which, jointly or severally, UBS-FinSvc or any such person may incur under the Act, the Exchange Act, the common law or otherwise, insofar as such loss, damage, expense, liability or claim (1) arises out of or is based upon (a) any of the matters referred to in clauses (i) through (iii) of the first paragraph of this Section 9(a), or</w:t>
      </w:r>
    </w:p>
    <w:p>
      <w:pPr>
        <w:spacing w:after="0" w:line="1" w:lineRule="exact"/>
        <w:rPr>
          <w:sz w:val="20"/>
          <w:szCs w:val="20"/>
          <w:color w:val="auto"/>
        </w:rPr>
      </w:pPr>
    </w:p>
    <w:p>
      <w:pPr>
        <w:ind w:left="5640" w:right="4800" w:hanging="5091"/>
        <w:spacing w:after="0" w:line="533" w:lineRule="auto"/>
        <w:tabs>
          <w:tab w:leader="none" w:pos="77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any untrue statement or alleged untrue statement of a material fact contained in any prospectus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85990" cy="2730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73" w:lineRule="exact"/>
        <w:rPr>
          <w:sz w:val="20"/>
          <w:szCs w:val="20"/>
          <w:color w:val="auto"/>
        </w:rPr>
      </w:pPr>
    </w:p>
    <w:p>
      <w:pPr>
        <w:ind w:left="540"/>
        <w:spacing w:after="0" w:line="261" w:lineRule="auto"/>
        <w:rPr>
          <w:sz w:val="20"/>
          <w:szCs w:val="20"/>
          <w:color w:val="auto"/>
        </w:rPr>
      </w:pPr>
      <w:r>
        <w:rPr>
          <w:rFonts w:ascii="Arial" w:cs="Arial" w:eastAsia="Arial" w:hAnsi="Arial"/>
          <w:sz w:val="15"/>
          <w:szCs w:val="15"/>
          <w:color w:val="auto"/>
        </w:rPr>
        <w:t xml:space="preserve">wrapper prepared by or on behalf or with the consent of the Company for distribution to Directed Share Participants in connection with the Directed Share Program or caused by any omission or alleged omission to state therein a material fact required to be stated therein or necessary to make the statements therein not misleading; (2) is or was caused by the failure of any Directed Share Participant to pay for and accept delivery of Reserved Shares that the Directed Share Participant has agreed to purchase; or (3) otherwise arises out of or is based upon the Directed Share Program,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responsible under this clause (3) for any loss, damage, expense, liability or claim that is finally judicially determined to have resulted from the gross negligence or willful misconduct of UBS-FinSvc in conducting the Directed Share Program. Section 9(c) shall apply equally to any Proceeding (as defined below) brought against UBS-FinSvc or any such person in respect of which indemnity may be sought against the Company pursuant to the immediately preceding sentence, except that the Company shall be liable for the expenses of one separate counsel (in addition to any local counsel) for UBS-FinSvc and any such person, separate and in addition to counsel for the persons who may seek indemnification pursuant to the first paragraph of this Section 9(a), in any such Proceeding.</w:t>
      </w:r>
    </w:p>
    <w:p>
      <w:pPr>
        <w:spacing w:after="0" w:line="165" w:lineRule="exact"/>
        <w:rPr>
          <w:sz w:val="20"/>
          <w:szCs w:val="20"/>
          <w:color w:val="auto"/>
        </w:rPr>
      </w:pPr>
    </w:p>
    <w:p>
      <w:pPr>
        <w:ind w:left="540" w:firstLine="564"/>
        <w:spacing w:after="0" w:line="281" w:lineRule="auto"/>
        <w:tabs>
          <w:tab w:leader="none" w:pos="1658" w:val="left"/>
        </w:tabs>
        <w:numPr>
          <w:ilvl w:val="0"/>
          <w:numId w:val="189"/>
        </w:numPr>
        <w:rPr>
          <w:rFonts w:ascii="Arial" w:cs="Arial" w:eastAsia="Arial" w:hAnsi="Arial"/>
          <w:sz w:val="14"/>
          <w:szCs w:val="14"/>
          <w:color w:val="auto"/>
        </w:rPr>
      </w:pPr>
      <w:r>
        <w:rPr>
          <w:rFonts w:ascii="Arial" w:cs="Arial" w:eastAsia="Arial" w:hAnsi="Arial"/>
          <w:sz w:val="14"/>
          <w:szCs w:val="14"/>
          <w:color w:val="auto"/>
        </w:rPr>
        <w:t>Each Underwriter severally agrees to indemnify, defend and hold harmless the Company, its directors and officers, and any person who controls the Company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or any such person may incur under the Act, the Exchange Act, the common law or otherwise, insofar as such loss, damage, expense, liability or claim arises out of or is based upon (i)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or arises out of or is based upon any omission or alleged omission to state a material fact in such Registration Statement in connection with such information, which material fact was not contained in such information and which material fact was required to be stated in such Registration Statement or was necessary to make such information not misleading or (ii) any untrue statement or alleged untrue statement of a material fact contained in, and in conformity with information concerning such Underwriter furnished in writing by or on behalf of such Underwriter through you to the Company expressly for use in, a Prospectus, Permitted Free Writing Prospectus, Permitted Exempt Written</w:t>
      </w:r>
    </w:p>
    <w:p>
      <w:pPr>
        <w:sectPr>
          <w:pgSz w:w="11900" w:h="16842" w:orient="portrait"/>
          <w:cols w:equalWidth="0" w:num="1">
            <w:col w:w="11420"/>
          </w:cols>
          <w:pgMar w:left="240" w:top="129" w:right="239" w:bottom="0" w:gutter="0" w:footer="0" w:header="0"/>
        </w:sectPr>
      </w:pPr>
    </w:p>
    <w:bookmarkStart w:id="303" w:name="page304"/>
    <w:bookmarkEnd w:id="303"/>
    <w:p>
      <w:pPr>
        <w:ind w:left="540" w:right="40"/>
        <w:spacing w:after="0" w:line="268" w:lineRule="auto"/>
        <w:rPr>
          <w:sz w:val="20"/>
          <w:szCs w:val="20"/>
          <w:color w:val="auto"/>
        </w:rPr>
      </w:pPr>
      <w:r>
        <w:rPr>
          <w:rFonts w:ascii="Arial" w:cs="Arial" w:eastAsia="Arial" w:hAnsi="Arial"/>
          <w:sz w:val="15"/>
          <w:szCs w:val="15"/>
          <w:color w:val="auto"/>
        </w:rPr>
        <w:t>Communication or one or more of the foregoing in combination, or arises out of or is based upon any omission or alleged omission to state a material fact in such Prospectus, Permitted Free Writing Prospectus, Permitted Exempt Written Communication or one or more of the foregoing in combination in connection with such information, which material fact was not contained in such information and which material fact was necessary in order to make the statements in such information, in the light of the circumstances under which they were made, not misleading.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firstLine="564"/>
        <w:spacing w:after="0" w:line="277" w:lineRule="auto"/>
        <w:tabs>
          <w:tab w:leader="none" w:pos="1661" w:val="left"/>
        </w:tabs>
        <w:numPr>
          <w:ilvl w:val="1"/>
          <w:numId w:val="190"/>
        </w:numPr>
        <w:rPr>
          <w:rFonts w:ascii="Arial" w:cs="Arial" w:eastAsia="Arial" w:hAnsi="Arial"/>
          <w:sz w:val="14"/>
          <w:szCs w:val="14"/>
          <w:color w:val="auto"/>
        </w:rPr>
      </w:pPr>
      <w:r>
        <w:rPr>
          <w:rFonts w:ascii="Arial" w:cs="Arial" w:eastAsia="Arial" w:hAnsi="Arial"/>
          <w:sz w:val="14"/>
          <w:szCs w:val="14"/>
          <w:color w:val="auto"/>
        </w:rPr>
        <w:t>If any action, suit or proceeding (each, a “</w:t>
      </w:r>
      <w:r>
        <w:rPr>
          <w:rFonts w:ascii="Arial" w:cs="Arial" w:eastAsia="Arial" w:hAnsi="Arial"/>
          <w:sz w:val="14"/>
          <w:szCs w:val="14"/>
          <w:u w:val="single" w:color="auto"/>
          <w:color w:val="auto"/>
        </w:rPr>
        <w:t>Proceeding</w:t>
      </w:r>
      <w:r>
        <w:rPr>
          <w:rFonts w:ascii="Arial" w:cs="Arial" w:eastAsia="Arial" w:hAnsi="Arial"/>
          <w:sz w:val="14"/>
          <w:szCs w:val="14"/>
          <w:color w:val="auto"/>
        </w:rPr>
        <w:t>”) is brought against a person (an “</w:t>
      </w:r>
      <w:r>
        <w:rPr>
          <w:rFonts w:ascii="Arial" w:cs="Arial" w:eastAsia="Arial" w:hAnsi="Arial"/>
          <w:sz w:val="14"/>
          <w:szCs w:val="14"/>
          <w:u w:val="single" w:color="auto"/>
          <w:color w:val="auto"/>
        </w:rPr>
        <w:t>indemnified party</w:t>
      </w:r>
      <w:r>
        <w:rPr>
          <w:rFonts w:ascii="Arial" w:cs="Arial" w:eastAsia="Arial" w:hAnsi="Arial"/>
          <w:sz w:val="14"/>
          <w:szCs w:val="14"/>
          <w:color w:val="auto"/>
        </w:rPr>
        <w:t>”) in respect of which indemnity may be sought against the Company or an Underwriter (as applicable, the “</w:t>
      </w:r>
      <w:r>
        <w:rPr>
          <w:rFonts w:ascii="Arial" w:cs="Arial" w:eastAsia="Arial" w:hAnsi="Arial"/>
          <w:sz w:val="14"/>
          <w:szCs w:val="14"/>
          <w:u w:val="single" w:color="auto"/>
          <w:color w:val="auto"/>
        </w:rPr>
        <w:t>indemnifying party</w:t>
      </w:r>
      <w:r>
        <w:rPr>
          <w:rFonts w:ascii="Arial" w:cs="Arial" w:eastAsia="Arial" w:hAnsi="Arial"/>
          <w:sz w:val="14"/>
          <w:szCs w:val="14"/>
          <w:color w:val="auto"/>
        </w:rPr>
        <w:t xml:space="preserve">”) pursuant to subsection (a) or (b), respectively, of this Section 9, such indemnified party shall promptly notify such indemnifying party in writing of the institution of such Proceeding and such indemnifying party shall assume the defense of such Proceeding, including the retention of counsel reasonably satisfactory to such indemnified party, and pay all reasonable legal or other fees and expenses related to such Proceeding or incurred in connection with such indemnified party’s enforcement of subsection (a) or (b) of this Section 9;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omission to so notify such indemnifying party shall not relieve such indemnifying party from any liability that such indemnifying party may have to any indemnified party or otherwise except to the extent of any prejudice caused to the indemnifying party by any omission or delay to notify. The indemnified party or parties shall have the right to retain its or their own counsel in any such case, but the fees and expenses of such counsel shall be at the expense of such indemnified party or parties unless (i) the retention of such counsel shall have been authorized in writing by the indemnifying party in connection with the defense of such Proceeding, (ii) the indemnifying party shall not have, within a reasonable period of time in light of the circumstances, retained counsel to defend such Proceeding or (iii) such indemnified party or parties shall have reasonably concluded that there may be defenses available to it or them that are different from, additional to or in conflict with those available to such indemnifying party (in which case such indemnifying party shall not have the right to direct the defense of such Proceeding on behalf of the indemnified party or parties), in any of which events such fees and expenses shall be borne by such indemnifying party and paid as incurred (it being understood, however, that, except as provided in the second paragraph of Section 9(a), such indemnifying party shall not be liable for the fees or expenses of more than one separate counsel (in addition to any local counsel) in any one Proceeding or series of related Proceedings in the same jurisdiction representing the indemnified parties who are parties to such Proceeding). The indemnifying party shall not be liable for any settlement of any Proceeding effected without its written consent but, if settled with its written consent, such indemnifying party agrees to indemnify and hold harmless the indemnified party or parties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Section 9(c),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w:t>
      </w:r>
    </w:p>
    <w:p>
      <w:pPr>
        <w:ind w:left="540" w:right="40" w:firstLine="9"/>
        <w:spacing w:after="0" w:line="294" w:lineRule="auto"/>
        <w:tabs>
          <w:tab w:leader="none" w:pos="81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such indemnified party shall have given the indemnifying party at least 45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right="320"/>
        <w:spacing w:after="0" w:line="289" w:lineRule="auto"/>
        <w:rPr>
          <w:sz w:val="20"/>
          <w:szCs w:val="20"/>
          <w:color w:val="auto"/>
        </w:rPr>
      </w:pPr>
      <w:r>
        <w:rPr>
          <w:rFonts w:ascii="Arial" w:cs="Arial" w:eastAsia="Arial" w:hAnsi="Arial"/>
          <w:sz w:val="15"/>
          <w:szCs w:val="15"/>
          <w:color w:val="auto"/>
        </w:rPr>
        <w:t>from all liability on claims that are the subject matter of such Proceeding and does not include an admission of fault or culpability or a failure to act by or on behalf of such indemnified party.</w:t>
      </w:r>
    </w:p>
    <w:p>
      <w:pPr>
        <w:spacing w:after="0" w:line="141" w:lineRule="exact"/>
        <w:rPr>
          <w:sz w:val="20"/>
          <w:szCs w:val="20"/>
          <w:color w:val="auto"/>
        </w:rPr>
      </w:pPr>
    </w:p>
    <w:p>
      <w:pPr>
        <w:ind w:left="540" w:right="20" w:firstLine="564"/>
        <w:spacing w:after="0" w:line="280" w:lineRule="auto"/>
        <w:tabs>
          <w:tab w:leader="none" w:pos="1658" w:val="left"/>
        </w:tabs>
        <w:numPr>
          <w:ilvl w:val="1"/>
          <w:numId w:val="192"/>
        </w:numPr>
        <w:rPr>
          <w:rFonts w:ascii="Arial" w:cs="Arial" w:eastAsia="Arial" w:hAnsi="Arial"/>
          <w:sz w:val="14"/>
          <w:szCs w:val="14"/>
          <w:color w:val="auto"/>
        </w:rPr>
      </w:pPr>
      <w:r>
        <w:rPr>
          <w:rFonts w:ascii="Arial" w:cs="Arial" w:eastAsia="Arial" w:hAnsi="Arial"/>
          <w:sz w:val="14"/>
          <w:szCs w:val="14"/>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on the one hand and the Underwriters on the other hand from the offering of the Shares or (ii) if the allocation provided by clause</w:t>
      </w:r>
    </w:p>
    <w:p>
      <w:pPr>
        <w:ind w:left="540" w:right="40" w:firstLine="9"/>
        <w:spacing w:after="0" w:line="280" w:lineRule="auto"/>
        <w:tabs>
          <w:tab w:leader="none" w:pos="724" w:val="left"/>
        </w:tabs>
        <w:numPr>
          <w:ilvl w:val="0"/>
          <w:numId w:val="193"/>
        </w:numPr>
        <w:rPr>
          <w:rFonts w:ascii="Arial" w:cs="Arial" w:eastAsia="Arial" w:hAnsi="Arial"/>
          <w:sz w:val="14"/>
          <w:szCs w:val="14"/>
          <w:color w:val="auto"/>
        </w:rPr>
      </w:pPr>
      <w:r>
        <w:rPr>
          <w:rFonts w:ascii="Arial" w:cs="Arial" w:eastAsia="Arial" w:hAnsi="Arial"/>
          <w:sz w:val="14"/>
          <w:szCs w:val="14"/>
          <w:color w:val="auto"/>
        </w:rPr>
        <w:t>above is not permitted by applicable law, in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damages, expenses, liabilities or claims, as well as any other relevant equitable considerations. The relative benefits received by the Company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Shares. The relative fault of the Company on the one hand and of the Underwriters on the other shall be determined by reference to, among other things, whether the untrue statement or alleged untrue statement of a material fact or omission or alleged omission relates to information supplied by the Company or by the Underwriters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49" w:lineRule="exact"/>
        <w:rPr>
          <w:rFonts w:ascii="Arial" w:cs="Arial" w:eastAsia="Arial" w:hAnsi="Arial"/>
          <w:sz w:val="14"/>
          <w:szCs w:val="14"/>
          <w:color w:val="auto"/>
        </w:rPr>
      </w:pPr>
    </w:p>
    <w:p>
      <w:pPr>
        <w:ind w:left="540" w:right="80" w:firstLine="564"/>
        <w:spacing w:after="0" w:line="284" w:lineRule="auto"/>
        <w:tabs>
          <w:tab w:leader="none" w:pos="1661" w:val="left"/>
        </w:tabs>
        <w:numPr>
          <w:ilvl w:val="1"/>
          <w:numId w:val="193"/>
        </w:numPr>
        <w:rPr>
          <w:rFonts w:ascii="Arial" w:cs="Arial" w:eastAsia="Arial" w:hAnsi="Arial"/>
          <w:sz w:val="14"/>
          <w:szCs w:val="14"/>
          <w:color w:val="auto"/>
        </w:rPr>
      </w:pPr>
      <w:r>
        <w:rPr>
          <w:rFonts w:ascii="Arial" w:cs="Arial" w:eastAsia="Arial" w:hAnsi="Arial"/>
          <w:sz w:val="14"/>
          <w:szCs w:val="14"/>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(d) above. Notwithstanding the provisions of this Section 9, 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right="20" w:firstLine="564"/>
        <w:spacing w:after="0" w:line="262" w:lineRule="auto"/>
        <w:tabs>
          <w:tab w:leader="none" w:pos="1655" w:val="left"/>
        </w:tabs>
        <w:numPr>
          <w:ilvl w:val="1"/>
          <w:numId w:val="194"/>
        </w:numPr>
        <w:rPr>
          <w:rFonts w:ascii="Arial" w:cs="Arial" w:eastAsia="Arial" w:hAnsi="Arial"/>
          <w:sz w:val="15"/>
          <w:szCs w:val="15"/>
          <w:color w:val="auto"/>
        </w:rPr>
      </w:pPr>
      <w:r>
        <w:rPr>
          <w:rFonts w:ascii="Arial" w:cs="Arial" w:eastAsia="Arial" w:hAnsi="Arial"/>
          <w:sz w:val="15"/>
          <w:szCs w:val="15"/>
          <w:color w:val="auto"/>
        </w:rPr>
        <w:t>The indemnity and contribution agreements contained in this Section 9 and the covenants, warranties and representations of the Company contained in this Agreement shall remain in full force and effect regardless of any investigation made by or on behalf of any Underwriter, or any of their respective partners, directors, officers or members or any person (including each partner, officer, director or member of such person) who controls any Underwriter within the meaning of Section 15 of the Act or Section 20 of the Exchange Act, or by or on behalf of the Company, its directors or officers or any person who controls the Company within the meaning of Section 15 of the Act or Section 20 of the Exchange Act, and shall survive any termination of this Agreement or the issuance and delivery of the Shares pursuant hereto. The Company and each Underwriter agree promptly to notify each other of the commencement of any Proceeding against it and, in the case of the Company, against any of the Company’s officers or directors in connection with the issuance and sale of the Shares, or in connection with the Registration Statement, any Preliminary Prospectus, the Prospectus or any Permitted Free Writing Prospectus.</w:t>
      </w:r>
    </w:p>
    <w:p>
      <w:pPr>
        <w:spacing w:after="0" w:line="161" w:lineRule="exact"/>
        <w:rPr>
          <w:rFonts w:ascii="Arial" w:cs="Arial" w:eastAsia="Arial" w:hAnsi="Arial"/>
          <w:sz w:val="15"/>
          <w:szCs w:val="15"/>
          <w:color w:val="auto"/>
        </w:rPr>
      </w:pPr>
    </w:p>
    <w:p>
      <w:pPr>
        <w:ind w:right="80" w:firstLine="549"/>
        <w:spacing w:after="0" w:line="265" w:lineRule="auto"/>
        <w:tabs>
          <w:tab w:leader="none" w:pos="1108" w:val="left"/>
        </w:tabs>
        <w:numPr>
          <w:ilvl w:val="0"/>
          <w:numId w:val="195"/>
        </w:numPr>
        <w:rPr>
          <w:rFonts w:ascii="Arial" w:cs="Arial" w:eastAsia="Arial" w:hAnsi="Arial"/>
          <w:sz w:val="15"/>
          <w:szCs w:val="15"/>
          <w:color w:val="auto"/>
        </w:rPr>
      </w:pPr>
      <w:r>
        <w:rPr>
          <w:rFonts w:ascii="Arial" w:cs="Arial" w:eastAsia="Arial" w:hAnsi="Arial"/>
          <w:sz w:val="15"/>
          <w:szCs w:val="15"/>
          <w:u w:val="single" w:color="auto"/>
          <w:color w:val="auto"/>
        </w:rPr>
        <w:t>Information Furnished by the Underwriters</w:t>
      </w:r>
      <w:r>
        <w:rPr>
          <w:rFonts w:ascii="Arial" w:cs="Arial" w:eastAsia="Arial" w:hAnsi="Arial"/>
          <w:sz w:val="15"/>
          <w:szCs w:val="15"/>
          <w:color w:val="auto"/>
        </w:rPr>
        <w:t>. The statements set forth in the last paragraph on the cover page of the Prospectus, the statements set forth in the second, third and fourth sentences under the caption “Underwriting—Underwriting Discount” in the Prospectus and the first five paragraphs under the caption “Underwriting—Price Stabilization, Short Positions” in the Prospectus, only insofar as such statements relate to the amount of selling concession and reallowance or to over-allotment and stabilization activities that may be undertaken by the Underwriters, constitute the only information furnished by or on behalf of the Underwriters, as such information is referred to in Sections 3 and 9 hereof.</w:t>
      </w:r>
    </w:p>
    <w:p>
      <w:pPr>
        <w:spacing w:after="0" w:line="159" w:lineRule="exact"/>
        <w:rPr>
          <w:rFonts w:ascii="Arial" w:cs="Arial" w:eastAsia="Arial" w:hAnsi="Arial"/>
          <w:sz w:val="15"/>
          <w:szCs w:val="15"/>
          <w:color w:val="auto"/>
        </w:rPr>
      </w:pPr>
    </w:p>
    <w:p>
      <w:pPr>
        <w:ind w:right="20" w:firstLine="549"/>
        <w:spacing w:after="0" w:line="269" w:lineRule="auto"/>
        <w:tabs>
          <w:tab w:leader="none" w:pos="1102" w:val="left"/>
        </w:tabs>
        <w:numPr>
          <w:ilvl w:val="0"/>
          <w:numId w:val="195"/>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Except as otherwise herein provided, all statements, requests, notices and agreements shall be in writing or by telegram or facsimile and, if to the Underwriters, shall be sufficient in all respects if delivered or sent to UBS Securities LLC, 1285 Avenue of the Americas, New York, New York 10019, Attention: Syndicate (fax: (212) 713-3371); and Stifel, Nicolaus &amp; Company, Incorporated, 787 7</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Avenue, 11</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Floor, New York, New York 10019, Attention: Syndicate (fax: (212) 271-3678), with a copy, which shall not constitute notice, to Cooley LLP, 1114 Avenue of the Americas, New York, New York 10036, Attention: Div Gupta, Marc Recht and Josh Kaufman; and if to the Company, shall be sufficient in all respects if delivered or sent to the Company at the offices of the Company at 480 Arsenal Street, Building One, Watertown, Massachusetts, Attention: Werner Cautreels,</w:t>
      </w:r>
    </w:p>
    <w:p>
      <w:pPr>
        <w:sectPr>
          <w:pgSz w:w="11900" w:h="16838" w:orient="portrait"/>
          <w:cols w:equalWidth="0" w:num="1">
            <w:col w:w="11440"/>
          </w:cols>
          <w:pgMar w:left="240" w:top="129" w:right="219" w:bottom="0" w:gutter="0" w:footer="0" w:header="0"/>
        </w:sectPr>
      </w:pPr>
    </w:p>
    <w:bookmarkStart w:id="304" w:name="page305"/>
    <w:bookmarkEnd w:id="304"/>
    <w:p>
      <w:pPr>
        <w:ind w:right="260"/>
        <w:spacing w:after="0" w:line="289" w:lineRule="auto"/>
        <w:rPr>
          <w:sz w:val="20"/>
          <w:szCs w:val="20"/>
          <w:color w:val="auto"/>
        </w:rPr>
      </w:pPr>
      <w:r>
        <w:rPr>
          <w:rFonts w:ascii="Arial" w:cs="Arial" w:eastAsia="Arial" w:hAnsi="Arial"/>
          <w:sz w:val="15"/>
          <w:szCs w:val="15"/>
          <w:color w:val="auto"/>
        </w:rPr>
        <w:t>President and Chief Executive Officer, with a copy, which shall not constitute notice, to Latham &amp; Watkins LLP, John Hancock Tower, 200 Clarendon Street, Boston, Massachusetts 02116, Attention: Peter Handrinos.</w:t>
      </w:r>
    </w:p>
    <w:p>
      <w:pPr>
        <w:spacing w:after="0" w:line="141" w:lineRule="exact"/>
        <w:rPr>
          <w:sz w:val="20"/>
          <w:szCs w:val="20"/>
          <w:color w:val="auto"/>
        </w:rPr>
      </w:pPr>
    </w:p>
    <w:p>
      <w:pPr>
        <w:jc w:val="both"/>
        <w:ind w:right="120" w:firstLine="549"/>
        <w:spacing w:after="0" w:line="302" w:lineRule="auto"/>
        <w:tabs>
          <w:tab w:leader="none" w:pos="1108" w:val="left"/>
        </w:tabs>
        <w:numPr>
          <w:ilvl w:val="0"/>
          <w:numId w:val="196"/>
        </w:numPr>
        <w:rPr>
          <w:rFonts w:ascii="Arial" w:cs="Arial" w:eastAsia="Arial" w:hAnsi="Arial"/>
          <w:sz w:val="14"/>
          <w:szCs w:val="14"/>
          <w:color w:val="auto"/>
        </w:rPr>
      </w:pPr>
      <w:r>
        <w:rPr>
          <w:rFonts w:ascii="Arial" w:cs="Arial" w:eastAsia="Arial" w:hAnsi="Arial"/>
          <w:sz w:val="14"/>
          <w:szCs w:val="14"/>
          <w:u w:val="single" w:color="auto"/>
          <w:color w:val="auto"/>
        </w:rPr>
        <w:t>Governing Law; Construction</w:t>
      </w:r>
      <w:r>
        <w:rPr>
          <w:rFonts w:ascii="Arial" w:cs="Arial" w:eastAsia="Arial" w:hAnsi="Arial"/>
          <w:sz w:val="14"/>
          <w:szCs w:val="14"/>
          <w:color w:val="auto"/>
        </w:rPr>
        <w:t>. This Agreement and any claim, counterclaim or dispute of any kind or nature whatsoever arising out of or in any way relating to this Agreement (“</w:t>
      </w:r>
      <w:r>
        <w:rPr>
          <w:rFonts w:ascii="Arial" w:cs="Arial" w:eastAsia="Arial" w:hAnsi="Arial"/>
          <w:sz w:val="14"/>
          <w:szCs w:val="14"/>
          <w:u w:val="single" w:color="auto"/>
          <w:color w:val="auto"/>
        </w:rPr>
        <w:t>Claim</w:t>
      </w:r>
      <w:r>
        <w:rPr>
          <w:rFonts w:ascii="Arial" w:cs="Arial" w:eastAsia="Arial" w:hAnsi="Arial"/>
          <w:sz w:val="14"/>
          <w:szCs w:val="14"/>
          <w:color w:val="auto"/>
        </w:rPr>
        <w:t>”), directly or indirectly, shall be governed by, and construed in accordance with, the laws of the State of New York without regard to the conflicts of law principles thereof. The section headings in this Agreement have been inserted as a matter of convenience of reference and are not a part of this Agreement.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firstLine="549"/>
        <w:spacing w:after="0" w:line="262" w:lineRule="auto"/>
        <w:tabs>
          <w:tab w:leader="none" w:pos="1108" w:val="left"/>
        </w:tabs>
        <w:numPr>
          <w:ilvl w:val="0"/>
          <w:numId w:val="197"/>
        </w:numPr>
        <w:rPr>
          <w:rFonts w:ascii="Arial" w:cs="Arial" w:eastAsia="Arial" w:hAnsi="Arial"/>
          <w:sz w:val="15"/>
          <w:szCs w:val="15"/>
          <w:color w:val="auto"/>
        </w:rPr>
      </w:pPr>
      <w:r>
        <w:rPr>
          <w:rFonts w:ascii="Arial" w:cs="Arial" w:eastAsia="Arial" w:hAnsi="Arial"/>
          <w:sz w:val="15"/>
          <w:szCs w:val="15"/>
          <w:u w:val="single" w:color="auto"/>
          <w:color w:val="auto"/>
        </w:rPr>
        <w:t>Submission to Jurisdiction</w:t>
      </w:r>
      <w:r>
        <w:rPr>
          <w:rFonts w:ascii="Arial" w:cs="Arial" w:eastAsia="Arial" w:hAnsi="Arial"/>
          <w:sz w:val="15"/>
          <w:szCs w:val="15"/>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the Company consents” to the jurisdiction of such courts and personal service with respect thereto. The Company hereby consents to personal jurisdiction, service and venue in any court in which any Claim arising out of or in any way relating to this Agreement is brought by any third party against any Underwriter or any indemnified party. Each Underwriter and the Company (on its behalf and, to the extent permitted by applicable law, on behalf of its stockholders and affiliates) waive all right to trial by jury in any action, proceeding or counterclaim (whether based upon contract, tort or otherwise) in any way arising out of or relating to this Agreement. The Company agrees that a final judgment in any such action, proceeding or counterclaim brought in any such court shall be conclusive and binding upon the Company and may be enforced in any other courts to the jurisdiction of which the Company is or may be subject, by suit upon such judgment.</w:t>
      </w:r>
    </w:p>
    <w:p>
      <w:pPr>
        <w:spacing w:after="0" w:line="161" w:lineRule="exact"/>
        <w:rPr>
          <w:rFonts w:ascii="Arial" w:cs="Arial" w:eastAsia="Arial" w:hAnsi="Arial"/>
          <w:sz w:val="15"/>
          <w:szCs w:val="15"/>
          <w:color w:val="auto"/>
        </w:rPr>
      </w:pPr>
    </w:p>
    <w:p>
      <w:pPr>
        <w:ind w:right="20" w:firstLine="549"/>
        <w:spacing w:after="0" w:line="268" w:lineRule="auto"/>
        <w:tabs>
          <w:tab w:leader="none" w:pos="1108" w:val="left"/>
        </w:tabs>
        <w:numPr>
          <w:ilvl w:val="0"/>
          <w:numId w:val="197"/>
        </w:numPr>
        <w:rPr>
          <w:rFonts w:ascii="Arial" w:cs="Arial" w:eastAsia="Arial" w:hAnsi="Arial"/>
          <w:sz w:val="15"/>
          <w:szCs w:val="15"/>
          <w:color w:val="auto"/>
        </w:rPr>
      </w:pPr>
      <w:r>
        <w:rPr>
          <w:rFonts w:ascii="Arial" w:cs="Arial" w:eastAsia="Arial" w:hAnsi="Arial"/>
          <w:sz w:val="15"/>
          <w:szCs w:val="15"/>
          <w:u w:val="single" w:color="auto"/>
          <w:color w:val="auto"/>
        </w:rPr>
        <w:t>Parties at Interest</w:t>
      </w:r>
      <w:r>
        <w:rPr>
          <w:rFonts w:ascii="Arial" w:cs="Arial" w:eastAsia="Arial" w:hAnsi="Arial"/>
          <w:sz w:val="15"/>
          <w:szCs w:val="15"/>
          <w:color w:val="auto"/>
        </w:rPr>
        <w:t>. The Agreement herein set forth has been and is made solely for the benefit of the Underwriters and the Company and to the extent provided in Section 9 hereof the controlling persons, partners, directors, officers, members and affiliates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56" w:lineRule="exact"/>
        <w:rPr>
          <w:rFonts w:ascii="Arial" w:cs="Arial" w:eastAsia="Arial" w:hAnsi="Arial"/>
          <w:sz w:val="15"/>
          <w:szCs w:val="15"/>
          <w:color w:val="auto"/>
        </w:rPr>
      </w:pPr>
    </w:p>
    <w:p>
      <w:pPr>
        <w:ind w:firstLine="549"/>
        <w:spacing w:after="0" w:line="280" w:lineRule="auto"/>
        <w:tabs>
          <w:tab w:leader="none" w:pos="1108" w:val="left"/>
        </w:tabs>
        <w:numPr>
          <w:ilvl w:val="0"/>
          <w:numId w:val="197"/>
        </w:numPr>
        <w:rPr>
          <w:rFonts w:ascii="Arial" w:cs="Arial" w:eastAsia="Arial" w:hAnsi="Arial"/>
          <w:sz w:val="14"/>
          <w:szCs w:val="14"/>
          <w:color w:val="auto"/>
        </w:rPr>
      </w:pPr>
      <w:r>
        <w:rPr>
          <w:rFonts w:ascii="Arial" w:cs="Arial" w:eastAsia="Arial" w:hAnsi="Arial"/>
          <w:sz w:val="14"/>
          <w:szCs w:val="14"/>
          <w:u w:val="single" w:color="auto"/>
          <w:color w:val="auto"/>
        </w:rPr>
        <w:t>No Fiduciary Relationship</w:t>
      </w:r>
      <w:r>
        <w:rPr>
          <w:rFonts w:ascii="Arial" w:cs="Arial" w:eastAsia="Arial" w:hAnsi="Arial"/>
          <w:sz w:val="14"/>
          <w:szCs w:val="14"/>
          <w:color w:val="auto"/>
        </w:rPr>
        <w:t>. The Company hereby acknowledges that the Underwriters are acting solely as underwriters in connection with the purchase and sale of the Company’s securities. The Company further acknowledges that the Underwriters are acting pursuant to a contractual relationship created solely by this Agreement entered into on an arm’s length basis, and in no event do the parties intend that the Underwriters act or be responsible as a fiduciary to the Company, its management, stockholders or creditors or any other person in connection with any activity that the Underwriters may undertake or have undertaken in furtherance of the purchase and sale of the Company’s securities, either before or after the date hereof.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Underwriters agree that they are each responsible for making their own independent judgments with respect to any such transactions and that any opinions or views expressed by the Underwriters to the Company regarding such transactions, including, but not limited to, any opinions or views with respect to the price or market for the Company’s securities, do not constitute advice or recommendations to the Company. The Company and the Underwriters agree that the Underwriters are acting as principal and not the agent or fiduciary of the Company and no Underwriter has assumed, and none of them will assume, any advisory responsibility in favor of the Company with respect to the transactions contemplated hereby or the process leading thereto (irrespective of whether any Underwriter has advised or is currently advising the Company on other matters). The Company hereby waives and releases, to the fullest extent permitted by law, any claims that the Company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720"/>
        <w:spacing w:after="0" w:line="289" w:lineRule="auto"/>
        <w:rPr>
          <w:sz w:val="20"/>
          <w:szCs w:val="20"/>
          <w:color w:val="auto"/>
        </w:rPr>
      </w:pPr>
      <w:r>
        <w:rPr>
          <w:rFonts w:ascii="Arial" w:cs="Arial" w:eastAsia="Arial" w:hAnsi="Arial"/>
          <w:sz w:val="15"/>
          <w:szCs w:val="15"/>
          <w:color w:val="auto"/>
        </w:rPr>
        <w:t>may have against the Underwriters with respect to any breach or alleged breach of any fiduciary, advisory or similar duty to the Company in connection with the transactions contemplated by this Agreement or any matters leading up to such transactions.</w:t>
      </w:r>
    </w:p>
    <w:p>
      <w:pPr>
        <w:spacing w:after="0" w:line="141" w:lineRule="exact"/>
        <w:rPr>
          <w:sz w:val="20"/>
          <w:szCs w:val="20"/>
          <w:color w:val="auto"/>
        </w:rPr>
      </w:pPr>
    </w:p>
    <w:p>
      <w:pPr>
        <w:ind w:left="1100" w:hanging="551"/>
        <w:spacing w:after="0"/>
        <w:tabs>
          <w:tab w:leader="none" w:pos="1100" w:val="left"/>
        </w:tabs>
        <w:numPr>
          <w:ilvl w:val="0"/>
          <w:numId w:val="198"/>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signed by the parties in one or more counterparts which together shall constitute one and the same agreement among the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parties.</w:t>
      </w:r>
    </w:p>
    <w:p>
      <w:pPr>
        <w:spacing w:after="0" w:line="188" w:lineRule="exact"/>
        <w:rPr>
          <w:sz w:val="20"/>
          <w:szCs w:val="20"/>
          <w:color w:val="auto"/>
        </w:rPr>
      </w:pPr>
    </w:p>
    <w:p>
      <w:pPr>
        <w:ind w:right="220" w:firstLine="549"/>
        <w:spacing w:after="0" w:line="289" w:lineRule="auto"/>
        <w:tabs>
          <w:tab w:leader="none" w:pos="1108" w:val="left"/>
        </w:tabs>
        <w:numPr>
          <w:ilvl w:val="0"/>
          <w:numId w:val="199"/>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This Agreement shall be binding upon the Underwriters and the Company and their successors and assigns and any successor or assign of any substantial portion of the Company’s and any of the Underwriters’ respective businesses and/or assets.</w:t>
      </w:r>
    </w:p>
    <w:p>
      <w:pPr>
        <w:spacing w:after="0" w:line="140" w:lineRule="exact"/>
        <w:rPr>
          <w:rFonts w:ascii="Arial" w:cs="Arial" w:eastAsia="Arial" w:hAnsi="Arial"/>
          <w:sz w:val="15"/>
          <w:szCs w:val="15"/>
          <w:color w:val="auto"/>
        </w:rPr>
      </w:pPr>
    </w:p>
    <w:p>
      <w:pPr>
        <w:ind w:right="40" w:firstLine="549"/>
        <w:spacing w:after="0" w:line="268" w:lineRule="auto"/>
        <w:tabs>
          <w:tab w:leader="none" w:pos="1108" w:val="left"/>
        </w:tabs>
        <w:numPr>
          <w:ilvl w:val="0"/>
          <w:numId w:val="199"/>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UBS, an indirect, wholly owned subsidiary of UBS AG, is not a bank and is separate from any affiliated bank, including any U.S. branch or agency of UBS AG. Because UBS is a separately incorporated entity, it is solely responsible for its own contractual obligations and commitments, including obligations with respect to sales and purchases of securities. Securities sold, offered or recommended by UBS are not deposits, are not insured by the Federal Deposit Insurance Corporation, are not guaranteed by a branch or agency, and are not otherwise an obligation or responsibility of a branch or agency.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The Remainder of This Page Intentionally Left Blank; Signature Page Follows</w:t>
      </w:r>
      <w:r>
        <w:rPr>
          <w:rFonts w:ascii="Arial" w:cs="Arial" w:eastAsia="Arial" w:hAnsi="Arial"/>
          <w:sz w:val="15"/>
          <w:szCs w:val="15"/>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40" w:firstLine="1112"/>
        <w:spacing w:after="0" w:line="289" w:lineRule="auto"/>
        <w:rPr>
          <w:sz w:val="20"/>
          <w:szCs w:val="20"/>
          <w:color w:val="auto"/>
        </w:rPr>
      </w:pPr>
      <w:r>
        <w:rPr>
          <w:rFonts w:ascii="Arial" w:cs="Arial" w:eastAsia="Arial" w:hAnsi="Arial"/>
          <w:sz w:val="15"/>
          <w:szCs w:val="15"/>
          <w:color w:val="auto"/>
        </w:rPr>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4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Very truly yours,</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14605</wp:posOffset>
            </wp:positionV>
            <wp:extent cx="3324225" cy="762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Accepted and agreed to as of the date first above written, on behalf of themselves and the other several Underwriters named in Schedule A</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STIFEL, NICOLAUS &amp; COMPANY, INCORPORATED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By: UBS SECURITIES LLC</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3324225" cy="76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spacing w:after="0" w:line="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1420"/>
          </w:cols>
          <w:pgMar w:left="240" w:top="129" w:right="239" w:bottom="0" w:gutter="0" w:footer="0" w:header="0"/>
        </w:sectPr>
      </w:pPr>
    </w:p>
    <w:bookmarkStart w:id="305" w:name="page306"/>
    <w:bookmarkEnd w:id="305"/>
    <w:p>
      <w:pPr>
        <w:ind w:left="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14605</wp:posOffset>
            </wp:positionV>
            <wp:extent cx="3324225" cy="762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spacing w:after="0" w:line="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Title:</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 STIFEL, NICOLAUS &amp; COMPANY, INCORPORATED</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14605</wp:posOffset>
            </wp:positionV>
            <wp:extent cx="3324225" cy="762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spacing w:after="0" w:line="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85990" cy="2730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220" w:type="dxa"/>
            <w:vAlign w:val="bottom"/>
            <w:gridSpan w:val="6"/>
          </w:tcPr>
          <w:p>
            <w:pPr>
              <w:spacing w:after="0"/>
              <w:rPr>
                <w:sz w:val="20"/>
                <w:szCs w:val="20"/>
                <w:color w:val="auto"/>
              </w:rPr>
            </w:pPr>
            <w:r>
              <w:rPr>
                <w:rFonts w:ascii="Arial" w:cs="Arial" w:eastAsia="Arial" w:hAnsi="Arial"/>
                <w:sz w:val="15"/>
                <w:szCs w:val="15"/>
                <w:b w:val="1"/>
                <w:bCs w:val="1"/>
                <w:color w:val="auto"/>
              </w:rPr>
              <w:t>SCHEDULE 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5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Underwriter</w:t>
            </w:r>
          </w:p>
        </w:tc>
        <w:tc>
          <w:tcPr>
            <w:tcW w:w="100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3"/>
              </w:rPr>
              <w:t>Number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2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2"/>
              </w:rPr>
              <w:t>Firm Shares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UBS SECURITIES LLC</w:t>
            </w:r>
          </w:p>
        </w:tc>
        <w:tc>
          <w:tcPr>
            <w:tcW w:w="1000" w:type="dxa"/>
            <w:vAlign w:val="bottom"/>
            <w:tcBorders>
              <w:top w:val="single" w:sz="8" w:color="auto"/>
            </w:tcBorders>
            <w:shd w:val="clear" w:color="auto" w:fill="CCEEFF"/>
          </w:tcPr>
          <w:p>
            <w:pPr>
              <w:spacing w:after="0"/>
              <w:rPr>
                <w:sz w:val="15"/>
                <w:szCs w:val="15"/>
                <w:color w:val="auto"/>
              </w:rPr>
            </w:pPr>
          </w:p>
        </w:tc>
        <w:tc>
          <w:tcPr>
            <w:tcW w:w="34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Arial" w:cs="Arial" w:eastAsia="Arial" w:hAnsi="Arial"/>
                <w:sz w:val="15"/>
                <w:szCs w:val="15"/>
                <w:color w:val="auto"/>
              </w:rPr>
              <w:t>STIFEL, NICOLAUS &amp; COMPANY, INCORPORATED</w:t>
            </w:r>
          </w:p>
        </w:tc>
        <w:tc>
          <w:tcPr>
            <w:tcW w:w="6140" w:type="dxa"/>
            <w:vAlign w:val="bottom"/>
            <w:gridSpan w:val="5"/>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CANNACORD GENUITY INC.</w:t>
            </w:r>
          </w:p>
        </w:tc>
        <w:tc>
          <w:tcPr>
            <w:tcW w:w="6140" w:type="dxa"/>
            <w:vAlign w:val="bottom"/>
            <w:gridSpan w:val="5"/>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Arial" w:cs="Arial" w:eastAsia="Arial" w:hAnsi="Arial"/>
                <w:sz w:val="15"/>
                <w:szCs w:val="15"/>
                <w:color w:val="auto"/>
              </w:rPr>
              <w:t>NEEDHAM &amp; COMPANY, LLC</w:t>
            </w:r>
          </w:p>
        </w:tc>
        <w:tc>
          <w:tcPr>
            <w:tcW w:w="6140" w:type="dxa"/>
            <w:vAlign w:val="bottom"/>
            <w:gridSpan w:val="5"/>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34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20" w:type="dxa"/>
            <w:vAlign w:val="bottom"/>
          </w:tcPr>
          <w:p>
            <w:pPr>
              <w:ind w:left="140"/>
              <w:spacing w:after="0"/>
              <w:rPr>
                <w:sz w:val="20"/>
                <w:szCs w:val="20"/>
                <w:color w:val="auto"/>
              </w:rPr>
            </w:pPr>
            <w:r>
              <w:rPr>
                <w:rFonts w:ascii="Arial" w:cs="Arial" w:eastAsia="Arial" w:hAnsi="Arial"/>
                <w:sz w:val="15"/>
                <w:szCs w:val="15"/>
                <w:color w:val="auto"/>
              </w:rPr>
              <w:t>Total</w:t>
            </w:r>
          </w:p>
        </w:tc>
        <w:tc>
          <w:tcPr>
            <w:tcW w:w="6140" w:type="dxa"/>
            <w:vAlign w:val="bottom"/>
            <w:gridSpan w:val="5"/>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Borders>
              <w:bottom w:val="single" w:sz="8" w:color="808080"/>
            </w:tcBorders>
          </w:tcPr>
          <w:p>
            <w:pPr>
              <w:spacing w:after="0"/>
              <w:rPr>
                <w:sz w:val="23"/>
                <w:szCs w:val="23"/>
                <w:color w:val="auto"/>
              </w:rPr>
            </w:pPr>
          </w:p>
        </w:tc>
        <w:tc>
          <w:tcPr>
            <w:tcW w:w="5220" w:type="dxa"/>
            <w:vAlign w:val="bottom"/>
            <w:tcBorders>
              <w:bottom w:val="single" w:sz="8" w:color="808080"/>
            </w:tcBorders>
          </w:tcPr>
          <w:p>
            <w:pPr>
              <w:spacing w:after="0"/>
              <w:rPr>
                <w:sz w:val="23"/>
                <w:szCs w:val="23"/>
                <w:color w:val="auto"/>
              </w:rPr>
            </w:pPr>
          </w:p>
        </w:tc>
        <w:tc>
          <w:tcPr>
            <w:tcW w:w="1000" w:type="dxa"/>
            <w:vAlign w:val="bottom"/>
            <w:tcBorders>
              <w:bottom w:val="single" w:sz="8" w:color="808080"/>
            </w:tcBorders>
          </w:tcPr>
          <w:p>
            <w:pPr>
              <w:spacing w:after="0"/>
              <w:rPr>
                <w:sz w:val="23"/>
                <w:szCs w:val="23"/>
                <w:color w:val="auto"/>
              </w:rPr>
            </w:pPr>
          </w:p>
        </w:tc>
        <w:tc>
          <w:tcPr>
            <w:tcW w:w="344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138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SCHEDULE B</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5"/>
          <w:szCs w:val="15"/>
          <w:u w:val="single" w:color="auto"/>
          <w:color w:val="auto"/>
        </w:rPr>
        <w:t>Permitted Free Writing Prospectuses</w:t>
      </w:r>
      <w:r>
        <w:rPr>
          <w:rFonts w:ascii="Arial" w:cs="Arial" w:eastAsia="Arial" w:hAnsi="Arial"/>
          <w:sz w:val="15"/>
          <w:szCs w:val="15"/>
          <w:color w:val="auto"/>
        </w:rPr>
        <w:t>:</w:t>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5"/>
          <w:szCs w:val="15"/>
          <w:u w:val="single" w:color="auto"/>
          <w:color w:val="auto"/>
        </w:rPr>
        <w:t>Permitted Exempt Written Communications</w:t>
      </w:r>
      <w:r>
        <w:rPr>
          <w:rFonts w:ascii="Arial" w:cs="Arial" w:eastAsia="Arial" w:hAnsi="Arial"/>
          <w:sz w:val="15"/>
          <w:szCs w:val="15"/>
          <w:color w:val="auto"/>
        </w:rPr>
        <w:t>:</w:t>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Price per share to the public: $</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Number of Shares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SCHEDULE C</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u w:val="single" w:color="auto"/>
          <w:color w:val="auto"/>
        </w:rPr>
        <w:t>Persons Signing Lock-Up Agreemts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EXHIBIT A</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u w:val="single" w:color="auto"/>
          <w:color w:val="auto"/>
        </w:rPr>
        <w:t>Form of Lock-Up Agreement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UBS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1285 Avenue of the Americas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New York, New York 10019</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Stifel, Nicolaus &amp; Company, Incorporated</w:t>
      </w:r>
    </w:p>
    <w:p>
      <w:pPr>
        <w:ind w:left="20"/>
        <w:spacing w:after="0" w:line="219" w:lineRule="auto"/>
        <w:rPr>
          <w:sz w:val="20"/>
          <w:szCs w:val="20"/>
          <w:color w:val="auto"/>
        </w:rPr>
      </w:pPr>
      <w:r>
        <w:rPr>
          <w:rFonts w:ascii="Arial" w:cs="Arial" w:eastAsia="Arial" w:hAnsi="Arial"/>
          <w:sz w:val="15"/>
          <w:szCs w:val="15"/>
          <w:color w:val="auto"/>
        </w:rPr>
        <w:t>787 7</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Avenue, 11</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Floor</w:t>
      </w:r>
    </w:p>
    <w:p>
      <w:pPr>
        <w:ind w:left="20"/>
        <w:spacing w:after="0"/>
        <w:rPr>
          <w:sz w:val="20"/>
          <w:szCs w:val="20"/>
          <w:color w:val="auto"/>
        </w:rPr>
      </w:pPr>
      <w:r>
        <w:rPr>
          <w:rFonts w:ascii="Arial" w:cs="Arial" w:eastAsia="Arial" w:hAnsi="Arial"/>
          <w:sz w:val="15"/>
          <w:szCs w:val="15"/>
          <w:color w:val="auto"/>
        </w:rPr>
        <w:t>New York, New York 10019</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Together with the other Underwriters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named in Schedule A to the Underwriting Agreement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referred to herein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Ladies and Gentlemen:</w:t>
      </w:r>
    </w:p>
    <w:p>
      <w:pPr>
        <w:spacing w:after="0" w:line="198" w:lineRule="exact"/>
        <w:rPr>
          <w:sz w:val="20"/>
          <w:szCs w:val="20"/>
          <w:color w:val="auto"/>
        </w:rPr>
      </w:pPr>
    </w:p>
    <w:p>
      <w:pPr>
        <w:ind w:left="20" w:right="60" w:firstLine="1112"/>
        <w:spacing w:after="0" w:line="273" w:lineRule="auto"/>
        <w:rPr>
          <w:sz w:val="20"/>
          <w:szCs w:val="20"/>
          <w:color w:val="auto"/>
        </w:rPr>
      </w:pPr>
      <w:r>
        <w:rPr>
          <w:rFonts w:ascii="Arial" w:cs="Arial" w:eastAsia="Arial" w:hAnsi="Arial"/>
          <w:sz w:val="15"/>
          <w:szCs w:val="15"/>
          <w:color w:val="auto"/>
        </w:rPr>
        <w:t>This Lock-Up Agreement is being delivered to you in connection with the underwriting agreement (the “</w:t>
      </w:r>
      <w:r>
        <w:rPr>
          <w:rFonts w:ascii="Arial" w:cs="Arial" w:eastAsia="Arial" w:hAnsi="Arial"/>
          <w:sz w:val="15"/>
          <w:szCs w:val="15"/>
          <w:u w:val="single" w:color="auto"/>
          <w:color w:val="auto"/>
        </w:rPr>
        <w:t>Underwriting Agreement</w:t>
      </w:r>
      <w:r>
        <w:rPr>
          <w:rFonts w:ascii="Arial" w:cs="Arial" w:eastAsia="Arial" w:hAnsi="Arial"/>
          <w:sz w:val="15"/>
          <w:szCs w:val="15"/>
          <w:color w:val="auto"/>
        </w:rPr>
        <w:t>”) to be entered into by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you and the other underwriters named in Schedule A to the Underwriting Agreement (the “</w:t>
      </w:r>
      <w:r>
        <w:rPr>
          <w:rFonts w:ascii="Arial" w:cs="Arial" w:eastAsia="Arial" w:hAnsi="Arial"/>
          <w:sz w:val="15"/>
          <w:szCs w:val="15"/>
          <w:u w:val="single" w:color="auto"/>
          <w:color w:val="auto"/>
        </w:rPr>
        <w:t>Underwriters</w:t>
      </w:r>
      <w:r>
        <w:rPr>
          <w:rFonts w:ascii="Arial" w:cs="Arial" w:eastAsia="Arial" w:hAnsi="Arial"/>
          <w:sz w:val="15"/>
          <w:szCs w:val="15"/>
          <w:color w:val="auto"/>
        </w:rPr>
        <w:t>”), with respect to the proposed public offering (the “</w:t>
      </w:r>
      <w:r>
        <w:rPr>
          <w:rFonts w:ascii="Arial" w:cs="Arial" w:eastAsia="Arial" w:hAnsi="Arial"/>
          <w:sz w:val="15"/>
          <w:szCs w:val="15"/>
          <w:u w:val="single" w:color="auto"/>
          <w:color w:val="auto"/>
        </w:rPr>
        <w:t>Offering</w:t>
      </w:r>
      <w:r>
        <w:rPr>
          <w:rFonts w:ascii="Arial" w:cs="Arial" w:eastAsia="Arial" w:hAnsi="Arial"/>
          <w:sz w:val="15"/>
          <w:szCs w:val="15"/>
          <w:color w:val="auto"/>
        </w:rPr>
        <w:t>”) of common stock, par value $0.0001 per share, of the Company (the “</w:t>
      </w:r>
      <w:r>
        <w:rPr>
          <w:rFonts w:ascii="Arial" w:cs="Arial" w:eastAsia="Arial" w:hAnsi="Arial"/>
          <w:sz w:val="15"/>
          <w:szCs w:val="15"/>
          <w:u w:val="single" w:color="auto"/>
          <w:color w:val="auto"/>
        </w:rPr>
        <w:t>Common Stock</w:t>
      </w:r>
      <w:r>
        <w:rPr>
          <w:rFonts w:ascii="Arial" w:cs="Arial" w:eastAsia="Arial" w:hAnsi="Arial"/>
          <w:sz w:val="15"/>
          <w:szCs w:val="15"/>
          <w:color w:val="auto"/>
        </w:rPr>
        <w:t>”).</w:t>
      </w:r>
    </w:p>
    <w:p>
      <w:pPr>
        <w:spacing w:after="0" w:line="153" w:lineRule="exact"/>
        <w:rPr>
          <w:sz w:val="20"/>
          <w:szCs w:val="20"/>
          <w:color w:val="auto"/>
        </w:rPr>
      </w:pPr>
    </w:p>
    <w:p>
      <w:pPr>
        <w:ind w:left="20" w:right="40" w:firstLine="1112"/>
        <w:spacing w:after="0" w:line="283" w:lineRule="auto"/>
        <w:rPr>
          <w:sz w:val="20"/>
          <w:szCs w:val="20"/>
          <w:color w:val="auto"/>
        </w:rPr>
      </w:pPr>
      <w:r>
        <w:rPr>
          <w:rFonts w:ascii="Arial" w:cs="Arial" w:eastAsia="Arial" w:hAnsi="Arial"/>
          <w:sz w:val="14"/>
          <w:szCs w:val="14"/>
          <w:color w:val="auto"/>
        </w:rPr>
        <w:t>In order to induce you to enter into the Underwriting Agreement, the undersigned agrees that, for a period (the “</w:t>
      </w:r>
      <w:r>
        <w:rPr>
          <w:rFonts w:ascii="Arial" w:cs="Arial" w:eastAsia="Arial" w:hAnsi="Arial"/>
          <w:sz w:val="14"/>
          <w:szCs w:val="14"/>
          <w:u w:val="single" w:color="auto"/>
          <w:color w:val="auto"/>
        </w:rPr>
        <w:t>Lock-Up Period</w:t>
      </w:r>
      <w:r>
        <w:rPr>
          <w:rFonts w:ascii="Arial" w:cs="Arial" w:eastAsia="Arial" w:hAnsi="Arial"/>
          <w:sz w:val="14"/>
          <w:szCs w:val="14"/>
          <w:color w:val="auto"/>
        </w:rPr>
        <w:t>”) beginning on the date hereof and ending on, and including, the date that is 180 days after the date of the final prospectus relating to the Offering (the “</w:t>
      </w:r>
      <w:r>
        <w:rPr>
          <w:rFonts w:ascii="Arial" w:cs="Arial" w:eastAsia="Arial" w:hAnsi="Arial"/>
          <w:sz w:val="14"/>
          <w:szCs w:val="14"/>
          <w:u w:val="single" w:color="auto"/>
          <w:color w:val="auto"/>
        </w:rPr>
        <w:t>Prospectus</w:t>
      </w:r>
      <w:r>
        <w:rPr>
          <w:rFonts w:ascii="Arial" w:cs="Arial" w:eastAsia="Arial" w:hAnsi="Arial"/>
          <w:sz w:val="14"/>
          <w:szCs w:val="14"/>
          <w:color w:val="auto"/>
        </w:rPr>
        <w:t>”), the undersigned will not, without the prior written consent of UBS Securities LLC and Stifel, Nicolaus &amp; Company, Incorporated (collectively, the “</w:t>
      </w:r>
      <w:r>
        <w:rPr>
          <w:rFonts w:ascii="Arial" w:cs="Arial" w:eastAsia="Arial" w:hAnsi="Arial"/>
          <w:sz w:val="14"/>
          <w:szCs w:val="14"/>
          <w:u w:val="single" w:color="auto"/>
          <w:color w:val="auto"/>
        </w:rPr>
        <w:t>Representatives</w:t>
      </w:r>
      <w:r>
        <w:rPr>
          <w:rFonts w:ascii="Arial" w:cs="Arial" w:eastAsia="Arial" w:hAnsi="Arial"/>
          <w:sz w:val="14"/>
          <w:szCs w:val="14"/>
          <w:color w:val="auto"/>
        </w:rPr>
        <w: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and the rules and regulations of the U.S. Securities and Exchange Commission (the “</w:t>
      </w:r>
      <w:r>
        <w:rPr>
          <w:rFonts w:ascii="Arial" w:cs="Arial" w:eastAsia="Arial" w:hAnsi="Arial"/>
          <w:sz w:val="14"/>
          <w:szCs w:val="14"/>
          <w:u w:val="single" w:color="auto"/>
          <w:color w:val="auto"/>
        </w:rPr>
        <w:t>Commission</w:t>
      </w:r>
      <w:r>
        <w:rPr>
          <w:rFonts w:ascii="Arial" w:cs="Arial" w:eastAsia="Arial" w:hAnsi="Arial"/>
          <w:sz w:val="14"/>
          <w:szCs w:val="14"/>
          <w:color w:val="auto"/>
        </w:rPr>
        <w:t>”) promulgated thereunder (the “</w:t>
      </w:r>
      <w:r>
        <w:rPr>
          <w:rFonts w:ascii="Arial" w:cs="Arial" w:eastAsia="Arial" w:hAnsi="Arial"/>
          <w:sz w:val="14"/>
          <w:szCs w:val="14"/>
          <w:u w:val="single" w:color="auto"/>
          <w:color w:val="auto"/>
        </w:rPr>
        <w:t>Exchange Act</w:t>
      </w:r>
      <w:r>
        <w:rPr>
          <w:rFonts w:ascii="Arial" w:cs="Arial" w:eastAsia="Arial" w:hAnsi="Arial"/>
          <w:sz w:val="14"/>
          <w:szCs w:val="14"/>
          <w:color w:val="auto"/>
        </w:rPr>
        <w:t>”) with respect to, any Common Stock or any other securities of the Company that are substantially similar to Common Stock, or any securities convertible into or exchangeable or exercisable for, or any warrants or other rights to purchase, the foregoing (collectively, “</w:t>
      </w:r>
      <w:r>
        <w:rPr>
          <w:rFonts w:ascii="Arial" w:cs="Arial" w:eastAsia="Arial" w:hAnsi="Arial"/>
          <w:sz w:val="14"/>
          <w:szCs w:val="14"/>
          <w:u w:val="single" w:color="auto"/>
          <w:color w:val="auto"/>
        </w:rPr>
        <w:t>Locked-Up Securities</w:t>
      </w:r>
      <w:r>
        <w:rPr>
          <w:rFonts w:ascii="Arial" w:cs="Arial" w:eastAsia="Arial" w:hAnsi="Arial"/>
          <w:sz w:val="14"/>
          <w:szCs w:val="14"/>
          <w:color w:val="auto"/>
        </w:rPr>
        <w:t>”), (ii) enter into any swap or other arrangement that transfers to another, in whole or in part, any of the economic consequences of ownership of Common Stock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85990" cy="2730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80"/>
          </w:cols>
          <w:pgMar w:left="220" w:top="314" w:right="199" w:bottom="346" w:gutter="0" w:footer="0" w:header="0"/>
        </w:sectPr>
      </w:pPr>
    </w:p>
    <w:bookmarkStart w:id="306" w:name="page307"/>
    <w:bookmarkEnd w:id="306"/>
    <w:p>
      <w:pPr>
        <w:ind w:right="120"/>
        <w:spacing w:after="0" w:line="273" w:lineRule="auto"/>
        <w:rPr>
          <w:sz w:val="20"/>
          <w:szCs w:val="20"/>
          <w:color w:val="auto"/>
        </w:rPr>
      </w:pPr>
      <w:r>
        <w:rPr>
          <w:rFonts w:ascii="Arial" w:cs="Arial" w:eastAsia="Arial" w:hAnsi="Arial"/>
          <w:sz w:val="15"/>
          <w:szCs w:val="15"/>
          <w:color w:val="auto"/>
        </w:rPr>
        <w:t>securities of the Company that are substantially similar to Common Stock, or any securities convertible into or exchangeable or exercisable for, or any warrants or other rights to purchase, the foregoing, whether any such transaction is to be settled by delivery of Common Stock or such other securities, in cash or otherwise or (iii) publicly announce an intention to effect any transaction specified in clause (i) or (ii).</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Notwithstanding the foregoing, the foregoing restrictions shall not apply to the undersigned’s transfer of Locked-Up Securities:</w:t>
      </w:r>
    </w:p>
    <w:p>
      <w:pPr>
        <w:spacing w:after="0" w:line="198" w:lineRule="exact"/>
        <w:rPr>
          <w:sz w:val="20"/>
          <w:szCs w:val="20"/>
          <w:color w:val="auto"/>
        </w:rPr>
      </w:pPr>
    </w:p>
    <w:p>
      <w:pPr>
        <w:ind w:left="960" w:right="140" w:hanging="411"/>
        <w:spacing w:after="0" w:line="273" w:lineRule="auto"/>
        <w:tabs>
          <w:tab w:leader="none" w:pos="957" w:val="left"/>
        </w:tabs>
        <w:numPr>
          <w:ilvl w:val="0"/>
          <w:numId w:val="200"/>
        </w:numPr>
        <w:rPr>
          <w:rFonts w:ascii="Arial" w:cs="Arial" w:eastAsia="Arial" w:hAnsi="Arial"/>
          <w:sz w:val="15"/>
          <w:szCs w:val="15"/>
          <w:color w:val="auto"/>
        </w:rPr>
      </w:pPr>
      <w:r>
        <w:rPr>
          <w:rFonts w:ascii="Arial" w:cs="Arial" w:eastAsia="Arial" w:hAnsi="Arial"/>
          <w:sz w:val="15"/>
          <w:szCs w:val="15"/>
          <w:color w:val="auto"/>
        </w:rPr>
        <w:t xml:space="preserve">acquired in the Offering (other than any issuer directed shares of Common Stock purchased in the Offering by an officer or director of the Company) or in open market transactions after the completion of the Offering,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filing under Section 16(a) of the Exchange Act shall be required or shall be voluntarily made in connection with subsequent sales of Locked-Up Securities acquired in the Offering or such open market transactions,</w:t>
      </w:r>
    </w:p>
    <w:p>
      <w:pPr>
        <w:spacing w:after="0" w:line="152" w:lineRule="exact"/>
        <w:rPr>
          <w:rFonts w:ascii="Arial" w:cs="Arial" w:eastAsia="Arial" w:hAnsi="Arial"/>
          <w:sz w:val="15"/>
          <w:szCs w:val="15"/>
          <w:color w:val="auto"/>
        </w:rPr>
      </w:pPr>
    </w:p>
    <w:p>
      <w:pPr>
        <w:ind w:left="980" w:hanging="431"/>
        <w:spacing w:after="0"/>
        <w:tabs>
          <w:tab w:leader="none" w:pos="98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 xml:space="preserve">as a bona fide gift or gifts or for bona fide estate planning purposes,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transferee agrees to be bound in writing by the restrictions set forth herein,</w:t>
      </w:r>
    </w:p>
    <w:p>
      <w:pPr>
        <w:spacing w:after="0" w:line="209" w:lineRule="exact"/>
        <w:rPr>
          <w:rFonts w:ascii="Arial" w:cs="Arial" w:eastAsia="Arial" w:hAnsi="Arial"/>
          <w:sz w:val="14"/>
          <w:szCs w:val="14"/>
          <w:color w:val="auto"/>
        </w:rPr>
      </w:pPr>
    </w:p>
    <w:p>
      <w:pPr>
        <w:ind w:left="960" w:hanging="411"/>
        <w:spacing w:after="0" w:line="327" w:lineRule="auto"/>
        <w:tabs>
          <w:tab w:leader="none" w:pos="969" w:val="left"/>
        </w:tabs>
        <w:numPr>
          <w:ilvl w:val="0"/>
          <w:numId w:val="200"/>
        </w:numPr>
        <w:rPr>
          <w:rFonts w:ascii="Arial" w:cs="Arial" w:eastAsia="Arial" w:hAnsi="Arial"/>
          <w:sz w:val="14"/>
          <w:szCs w:val="14"/>
          <w:color w:val="auto"/>
        </w:rPr>
      </w:pPr>
      <w:r>
        <w:rPr>
          <w:rFonts w:ascii="Arial" w:cs="Arial" w:eastAsia="Arial" w:hAnsi="Arial"/>
          <w:sz w:val="14"/>
          <w:szCs w:val="14"/>
          <w:color w:val="auto"/>
        </w:rPr>
        <w:t xml:space="preserve">to any member of the immediate family of the undersigned or any trust for the direct or indirect benefit of the undersigned or the immediate family of the undersigned, in a transaction not involving a disposition for value,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transferee agrees to be bound in writing by the restrictions set forth herein,</w:t>
      </w:r>
    </w:p>
    <w:p>
      <w:pPr>
        <w:spacing w:after="0" w:line="117" w:lineRule="exact"/>
        <w:rPr>
          <w:rFonts w:ascii="Arial" w:cs="Arial" w:eastAsia="Arial" w:hAnsi="Arial"/>
          <w:sz w:val="14"/>
          <w:szCs w:val="14"/>
          <w:color w:val="auto"/>
        </w:rPr>
      </w:pPr>
    </w:p>
    <w:p>
      <w:pPr>
        <w:ind w:left="960" w:right="120" w:hanging="411"/>
        <w:spacing w:after="0" w:line="302" w:lineRule="auto"/>
        <w:tabs>
          <w:tab w:leader="none" w:pos="966" w:val="left"/>
        </w:tabs>
        <w:numPr>
          <w:ilvl w:val="0"/>
          <w:numId w:val="200"/>
        </w:numPr>
        <w:rPr>
          <w:rFonts w:ascii="Arial" w:cs="Arial" w:eastAsia="Arial" w:hAnsi="Arial"/>
          <w:sz w:val="14"/>
          <w:szCs w:val="14"/>
          <w:color w:val="auto"/>
        </w:rPr>
      </w:pPr>
      <w:r>
        <w:rPr>
          <w:rFonts w:ascii="Arial" w:cs="Arial" w:eastAsia="Arial" w:hAnsi="Arial"/>
          <w:sz w:val="14"/>
          <w:szCs w:val="14"/>
          <w:color w:val="auto"/>
        </w:rPr>
        <w:t xml:space="preserve">if the undersigned is an entity, (1) to another corporation, member, partner, trust or other business entity that is a direct or indirect affiliate (as defined under Rule 12b-2 of the Exchange Act) or (2) as part of a distribution, transfer or distribution by the undersigned to its stockholders, members, partners, beneficiaries (or the estates thereof) or other equity holders,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(1) or (2) above, that the transferee agrees to be bound in writing by the restrictions set forth herein,</w:t>
      </w:r>
    </w:p>
    <w:p>
      <w:pPr>
        <w:spacing w:after="0" w:line="133" w:lineRule="exact"/>
        <w:rPr>
          <w:rFonts w:ascii="Arial" w:cs="Arial" w:eastAsia="Arial" w:hAnsi="Arial"/>
          <w:sz w:val="14"/>
          <w:szCs w:val="14"/>
          <w:color w:val="auto"/>
        </w:rPr>
      </w:pPr>
    </w:p>
    <w:p>
      <w:pPr>
        <w:ind w:left="960" w:right="160" w:hanging="411"/>
        <w:spacing w:after="0" w:line="289" w:lineRule="auto"/>
        <w:tabs>
          <w:tab w:leader="none" w:pos="969" w:val="left"/>
        </w:tabs>
        <w:numPr>
          <w:ilvl w:val="0"/>
          <w:numId w:val="200"/>
        </w:numPr>
        <w:rPr>
          <w:rFonts w:ascii="Arial" w:cs="Arial" w:eastAsia="Arial" w:hAnsi="Arial"/>
          <w:sz w:val="15"/>
          <w:szCs w:val="15"/>
          <w:color w:val="auto"/>
        </w:rPr>
      </w:pPr>
      <w:r>
        <w:rPr>
          <w:rFonts w:ascii="Arial" w:cs="Arial" w:eastAsia="Arial" w:hAnsi="Arial"/>
          <w:sz w:val="15"/>
          <w:szCs w:val="15"/>
          <w:color w:val="auto"/>
        </w:rPr>
        <w:t xml:space="preserve">by will, other testamentary document or intestate succession to the legal representative, heir, beneficiary or a member of the immediate family of the undersigned upon the death of the undersigned,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transferee agrees to be bound in writing by the restrictions set forth herein,</w:t>
      </w:r>
    </w:p>
    <w:p>
      <w:pPr>
        <w:spacing w:after="0" w:line="140" w:lineRule="exact"/>
        <w:rPr>
          <w:rFonts w:ascii="Arial" w:cs="Arial" w:eastAsia="Arial" w:hAnsi="Arial"/>
          <w:sz w:val="15"/>
          <w:szCs w:val="15"/>
          <w:color w:val="auto"/>
        </w:rPr>
      </w:pPr>
    </w:p>
    <w:p>
      <w:pPr>
        <w:ind w:left="960" w:right="160" w:hanging="411"/>
        <w:spacing w:after="0" w:line="264" w:lineRule="auto"/>
        <w:tabs>
          <w:tab w:leader="none" w:pos="964" w:val="left"/>
        </w:tabs>
        <w:numPr>
          <w:ilvl w:val="0"/>
          <w:numId w:val="200"/>
        </w:numPr>
        <w:rPr>
          <w:rFonts w:ascii="Arial" w:cs="Arial" w:eastAsia="Arial" w:hAnsi="Arial"/>
          <w:sz w:val="15"/>
          <w:szCs w:val="15"/>
          <w:color w:val="auto"/>
        </w:rPr>
      </w:pPr>
      <w:r>
        <w:rPr>
          <w:rFonts w:ascii="Arial" w:cs="Arial" w:eastAsia="Arial" w:hAnsi="Arial"/>
          <w:sz w:val="15"/>
          <w:szCs w:val="15"/>
          <w:color w:val="auto"/>
        </w:rPr>
        <w:t xml:space="preserve">to the Company, or the withholding of shares of Common Stock by the Company, upon the vesting or exercise of an option or other award granted under an equity incentive plan or stock purchase plan of the Company described in the Prospectus or the conversion or exercise of a convertible security or warrant of the Company described in the Prospectus (in each case, by way of “net” exercise in accordance with their terms, and/or to cover withholding tax obligations in connection with such exercise),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Common Stock received upon such vesting, exercise or conversion shall be subject to the terms of this agreement and if the undersigned is required to make a filing under the Exchange Act reporting a reduction in beneficial ownership of shares of Common Stock during the Lock-Up Period, the undersigned shall include a statement in such report to the effect that the</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72"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5"/>
          <w:szCs w:val="15"/>
          <w:color w:val="auto"/>
        </w:rPr>
        <w:t>purpose of such transfer was in connection with a “net exercise” or to cover tax obligations of the undersigned, as applicable, in connection with such transfer,</w:t>
      </w:r>
    </w:p>
    <w:p>
      <w:pPr>
        <w:spacing w:after="0" w:line="198" w:lineRule="exact"/>
        <w:rPr>
          <w:rFonts w:ascii="Arial" w:cs="Arial" w:eastAsia="Arial" w:hAnsi="Arial"/>
          <w:sz w:val="15"/>
          <w:szCs w:val="15"/>
          <w:color w:val="auto"/>
        </w:rPr>
      </w:pPr>
    </w:p>
    <w:p>
      <w:pPr>
        <w:ind w:left="960" w:right="100" w:hanging="411"/>
        <w:spacing w:after="0" w:line="265" w:lineRule="auto"/>
        <w:tabs>
          <w:tab w:leader="none" w:pos="978" w:val="left"/>
        </w:tabs>
        <w:numPr>
          <w:ilvl w:val="0"/>
          <w:numId w:val="200"/>
        </w:numPr>
        <w:rPr>
          <w:rFonts w:ascii="Arial" w:cs="Arial" w:eastAsia="Arial" w:hAnsi="Arial"/>
          <w:sz w:val="15"/>
          <w:szCs w:val="15"/>
          <w:color w:val="auto"/>
        </w:rPr>
      </w:pPr>
      <w:r>
        <w:rPr>
          <w:rFonts w:ascii="Arial" w:cs="Arial" w:eastAsia="Arial" w:hAnsi="Arial"/>
          <w:sz w:val="15"/>
          <w:szCs w:val="15"/>
          <w:color w:val="auto"/>
        </w:rPr>
        <w:t xml:space="preserve">to the Company pursuant to any contractual arrangement in effect on the date of the Prospectus that provides for the repurchase of the undersigned’s Common Stock or such other securities by the Company or in connection with the termination of the undersigned’s employment with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filing under Section 16(a) of the Exchange Act shall be required or shall be voluntarily made during the Lock-Up Period in connection with any such transfers or dispositions (other than any Form 4 or Form 5 required to be filed under the Exchange Act if the undersigned is subject to Section 16 reporting with respect to the Company under the Exchange Act, and indicating by footnote disclosure or otherwise the nature of the transfer or disposition),</w:t>
      </w:r>
    </w:p>
    <w:p>
      <w:pPr>
        <w:spacing w:after="0" w:line="159" w:lineRule="exact"/>
        <w:rPr>
          <w:rFonts w:ascii="Arial" w:cs="Arial" w:eastAsia="Arial" w:hAnsi="Arial"/>
          <w:sz w:val="15"/>
          <w:szCs w:val="15"/>
          <w:color w:val="auto"/>
        </w:rPr>
      </w:pPr>
    </w:p>
    <w:p>
      <w:pPr>
        <w:ind w:left="960" w:right="80" w:hanging="411"/>
        <w:spacing w:after="0" w:line="327" w:lineRule="auto"/>
        <w:tabs>
          <w:tab w:leader="none" w:pos="966" w:val="left"/>
        </w:tabs>
        <w:numPr>
          <w:ilvl w:val="0"/>
          <w:numId w:val="200"/>
        </w:numPr>
        <w:rPr>
          <w:rFonts w:ascii="Arial" w:cs="Arial" w:eastAsia="Arial" w:hAnsi="Arial"/>
          <w:sz w:val="14"/>
          <w:szCs w:val="14"/>
          <w:color w:val="auto"/>
        </w:rPr>
      </w:pPr>
      <w:r>
        <w:rPr>
          <w:rFonts w:ascii="Arial" w:cs="Arial" w:eastAsia="Arial" w:hAnsi="Arial"/>
          <w:sz w:val="14"/>
          <w:szCs w:val="14"/>
          <w:color w:val="auto"/>
        </w:rPr>
        <w:t xml:space="preserve">in connection with the conversion of any convertible security into, or the exercise of any option or warrant for, shares of Common Stock in a manner consistent with the description of such securities contained in the Prospectus,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such shares of Common Stock received shall be subject to the terms of this agreement,</w:t>
      </w:r>
    </w:p>
    <w:p>
      <w:pPr>
        <w:spacing w:after="0" w:line="117" w:lineRule="exact"/>
        <w:rPr>
          <w:rFonts w:ascii="Arial" w:cs="Arial" w:eastAsia="Arial" w:hAnsi="Arial"/>
          <w:sz w:val="14"/>
          <w:szCs w:val="14"/>
          <w:color w:val="auto"/>
        </w:rPr>
      </w:pPr>
    </w:p>
    <w:p>
      <w:pPr>
        <w:ind w:left="960" w:right="40" w:hanging="411"/>
        <w:spacing w:after="0" w:line="302" w:lineRule="auto"/>
        <w:tabs>
          <w:tab w:leader="none" w:pos="978" w:val="left"/>
        </w:tabs>
        <w:numPr>
          <w:ilvl w:val="0"/>
          <w:numId w:val="200"/>
        </w:numPr>
        <w:rPr>
          <w:rFonts w:ascii="Arial" w:cs="Arial" w:eastAsia="Arial" w:hAnsi="Arial"/>
          <w:sz w:val="14"/>
          <w:szCs w:val="14"/>
          <w:color w:val="auto"/>
        </w:rPr>
      </w:pPr>
      <w:r>
        <w:rPr>
          <w:rFonts w:ascii="Arial" w:cs="Arial" w:eastAsia="Arial" w:hAnsi="Arial"/>
          <w:sz w:val="14"/>
          <w:szCs w:val="14"/>
          <w:color w:val="auto"/>
        </w:rPr>
        <w:t xml:space="preserve">to a charitable organization or educational institution,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transferee agrees to be bound in writing by the restrictions set forth herein, such transfer shall not involve a disposition for value and no filing under Section 16(a) of the Exchange Act reporting a reduction in beneficial ownership of shares of Common Stock shall be required or shall be voluntarily made during the Lock-Up Period (other than a Form 5 within the 45-day period following the end of the Company’s fiscal year),</w:t>
      </w:r>
    </w:p>
    <w:p>
      <w:pPr>
        <w:spacing w:after="0" w:line="133" w:lineRule="exact"/>
        <w:rPr>
          <w:rFonts w:ascii="Arial" w:cs="Arial" w:eastAsia="Arial" w:hAnsi="Arial"/>
          <w:sz w:val="14"/>
          <w:szCs w:val="14"/>
          <w:color w:val="auto"/>
        </w:rPr>
      </w:pPr>
    </w:p>
    <w:p>
      <w:pPr>
        <w:ind w:left="980" w:hanging="431"/>
        <w:spacing w:after="0"/>
        <w:tabs>
          <w:tab w:leader="none" w:pos="98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to a nominee or custodian of a person or entity to whom a disposition or transfer would be permissible under clauses (a) through (i) above,</w:t>
      </w:r>
    </w:p>
    <w:p>
      <w:pPr>
        <w:spacing w:after="0" w:line="198" w:lineRule="exact"/>
        <w:rPr>
          <w:rFonts w:ascii="Arial" w:cs="Arial" w:eastAsia="Arial" w:hAnsi="Arial"/>
          <w:sz w:val="15"/>
          <w:szCs w:val="15"/>
          <w:color w:val="auto"/>
        </w:rPr>
      </w:pPr>
    </w:p>
    <w:p>
      <w:pPr>
        <w:ind w:left="980" w:hanging="431"/>
        <w:spacing w:after="0"/>
        <w:tabs>
          <w:tab w:leader="none" w:pos="98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by operation of law, including pursuant to orders of a court or regulatory agency, a domestic order or negotiated divorce settlement, or</w:t>
      </w:r>
    </w:p>
    <w:p>
      <w:pPr>
        <w:spacing w:after="0" w:line="198" w:lineRule="exact"/>
        <w:rPr>
          <w:rFonts w:ascii="Arial" w:cs="Arial" w:eastAsia="Arial" w:hAnsi="Arial"/>
          <w:sz w:val="15"/>
          <w:szCs w:val="15"/>
          <w:color w:val="auto"/>
        </w:rPr>
      </w:pPr>
    </w:p>
    <w:p>
      <w:pPr>
        <w:ind w:left="960" w:right="20" w:hanging="411"/>
        <w:spacing w:after="0" w:line="289" w:lineRule="auto"/>
        <w:tabs>
          <w:tab w:leader="none" w:pos="978" w:val="left"/>
        </w:tabs>
        <w:numPr>
          <w:ilvl w:val="0"/>
          <w:numId w:val="200"/>
        </w:numPr>
        <w:rPr>
          <w:rFonts w:ascii="Arial" w:cs="Arial" w:eastAsia="Arial" w:hAnsi="Arial"/>
          <w:sz w:val="14"/>
          <w:szCs w:val="14"/>
          <w:color w:val="auto"/>
        </w:rPr>
      </w:pPr>
      <w:r>
        <w:rPr>
          <w:rFonts w:ascii="Arial" w:cs="Arial" w:eastAsia="Arial" w:hAnsi="Arial"/>
          <w:sz w:val="14"/>
          <w:szCs w:val="14"/>
          <w:color w:val="auto"/>
        </w:rPr>
        <w:t xml:space="preserve">pursuant to a bona fide third-party tender offer for all outstanding shares of the Company,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shares of Common Stock or other such securities in connection with such transaction, or vote any shares of Common Stock or other securities in favor of any such transaction),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event that such tender offer, merger, consolidation or other such transaction is not completed, such securities held by the undersigned shall remain subject to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-3177540</wp:posOffset>
            </wp:positionV>
            <wp:extent cx="7285990" cy="2730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For purposes of this agreement, “immediate family” shall mean any relationship by blood, marriage, domestic partnership or adoption, not more remote than first cousin.</w:t>
      </w:r>
    </w:p>
    <w:p>
      <w:pPr>
        <w:spacing w:after="0" w:line="2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Furthermore, nothing in this agreement shall be deemed to prevent the undersigned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20"/>
        <w:spacing w:after="0" w:line="273" w:lineRule="auto"/>
        <w:rPr>
          <w:sz w:val="20"/>
          <w:szCs w:val="20"/>
          <w:color w:val="auto"/>
        </w:rPr>
      </w:pPr>
      <w:r>
        <w:rPr>
          <w:rFonts w:ascii="Arial" w:cs="Arial" w:eastAsia="Arial" w:hAnsi="Arial"/>
          <w:sz w:val="15"/>
          <w:szCs w:val="15"/>
          <w:color w:val="auto"/>
        </w:rPr>
        <w:t>establishing any contract, instruction or plan (a “</w:t>
      </w:r>
      <w:r>
        <w:rPr>
          <w:rFonts w:ascii="Arial" w:cs="Arial" w:eastAsia="Arial" w:hAnsi="Arial"/>
          <w:sz w:val="15"/>
          <w:szCs w:val="15"/>
          <w:u w:val="single" w:color="auto"/>
          <w:color w:val="auto"/>
        </w:rPr>
        <w:t>Plan</w:t>
      </w:r>
      <w:r>
        <w:rPr>
          <w:rFonts w:ascii="Arial" w:cs="Arial" w:eastAsia="Arial" w:hAnsi="Arial"/>
          <w:sz w:val="15"/>
          <w:szCs w:val="15"/>
          <w:color w:val="auto"/>
        </w:rPr>
        <w:t>”) pursuant to Rule 10b5-1 under the Exchange Act for the transfer of shares of Common Stock, provided that (i) such plan does not provide for the transfer of Common Stock during the Lock-Up Period and (ii) no public disclosure of any such action shall be required or shall be voluntarily made by any person until expiration of the Lock-Up Period.</w:t>
      </w:r>
    </w:p>
    <w:p>
      <w:pPr>
        <w:spacing w:after="0" w:line="153" w:lineRule="exact"/>
        <w:rPr>
          <w:sz w:val="20"/>
          <w:szCs w:val="20"/>
          <w:color w:val="auto"/>
        </w:rPr>
      </w:pPr>
    </w:p>
    <w:p>
      <w:pPr>
        <w:ind w:right="20" w:firstLine="1112"/>
        <w:spacing w:after="0" w:line="264" w:lineRule="auto"/>
        <w:rPr>
          <w:sz w:val="20"/>
          <w:szCs w:val="20"/>
          <w:color w:val="auto"/>
        </w:rPr>
      </w:pPr>
      <w:r>
        <w:rPr>
          <w:rFonts w:ascii="Arial" w:cs="Arial" w:eastAsia="Arial" w:hAnsi="Arial"/>
          <w:sz w:val="15"/>
          <w:szCs w:val="15"/>
          <w:color w:val="auto"/>
        </w:rPr>
        <w:t>In addition, the undersigned hereby waives any rights the undersigned may have to require registration of Common Stock in connection with the filing of a registration statement relating to the Offering. The undersigned further agrees that, for the Lock-Up Period, the undersigned will not, without the prior written consent of the Representatives, make any demand for, or exercise any right with respect to, the registration of Common Stock or any securities convertible into or exercisable or exchangeable for Common Stock, or warrants or other rights to purchase Common Stock or any such securities. In addition, the undersigned hereby waives any and all preemptive rights, participation rights, resale rights, rights of first refusal and similar rights that the undersigned may have in connection with the Offering or with any issuance or sale by the Company of any equity or other securities before the Offering, except for any such rights as have been heretofore duly exercised.</w:t>
      </w:r>
    </w:p>
    <w:p>
      <w:pPr>
        <w:spacing w:after="0" w:line="159" w:lineRule="exact"/>
        <w:rPr>
          <w:sz w:val="20"/>
          <w:szCs w:val="20"/>
          <w:color w:val="auto"/>
        </w:rPr>
      </w:pPr>
    </w:p>
    <w:p>
      <w:pPr>
        <w:ind w:right="100" w:firstLine="1112"/>
        <w:spacing w:after="0" w:line="263" w:lineRule="auto"/>
        <w:rPr>
          <w:sz w:val="20"/>
          <w:szCs w:val="20"/>
          <w:color w:val="auto"/>
        </w:rPr>
      </w:pPr>
      <w:r>
        <w:rPr>
          <w:rFonts w:ascii="Arial" w:cs="Arial" w:eastAsia="Arial" w:hAnsi="Arial"/>
          <w:sz w:val="15"/>
          <w:szCs w:val="15"/>
          <w:color w:val="auto"/>
        </w:rPr>
        <w:t xml:space="preserve">If the undersigned is an officer or director of the Company, (i) each of the Representatives agree that, at least three business days prior to the release or waiver of any of the foregoing restrictions with respect to the Lock-Up Securities of the undersigned, including, for the avoidance of doubt, any security of the Company acquired by the undersigned from the Company in the Offering, the Representatives will notify the Company of the impending release or waiver and (ii) the Company has agreed in the Underwriting Agreement to announce such impending release or waiver through a major news service at least two business days before the publication date of such press release;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notification or announcement shall be required, given or made where the release or waiver is effected solely to permit a transfer of securities that is not for consideration and where the transferee has agreed in writing to be bound by the same terms described in this Lock-Up Agreement. Any such release or waiver granted herein shall only be effective three business days after such announcement is made by the Company or the Representatives.</w:t>
      </w:r>
    </w:p>
    <w:p>
      <w:pPr>
        <w:spacing w:after="0" w:line="159" w:lineRule="exact"/>
        <w:rPr>
          <w:sz w:val="20"/>
          <w:szCs w:val="20"/>
          <w:color w:val="auto"/>
        </w:rPr>
      </w:pPr>
    </w:p>
    <w:p>
      <w:pPr>
        <w:ind w:right="120" w:firstLine="1112"/>
        <w:spacing w:after="0" w:line="289" w:lineRule="auto"/>
        <w:rPr>
          <w:sz w:val="20"/>
          <w:szCs w:val="20"/>
          <w:color w:val="auto"/>
        </w:rPr>
      </w:pPr>
      <w:r>
        <w:rPr>
          <w:rFonts w:ascii="Arial" w:cs="Arial" w:eastAsia="Arial" w:hAnsi="Arial"/>
          <w:sz w:val="14"/>
          <w:szCs w:val="14"/>
          <w:color w:val="auto"/>
        </w:rPr>
        <w:t>The undersigned hereby authorizes the Company and its transfer agent, during the Lock-Up Period, to decline the transfer of or to impose stop transfer restrictions on the stock register and other records relating to shares of Common Stock or other securities subject to this Lock-Up Agreement if which the undersigned is the record holder, and, with respect to shares of Common Stock or other securities subject to this Lock-Up Agreement of which the undersigned is the beneficial owner but not the record holder, the undersigned hereby agrees to cause such record holder to authorize the Company and its transfer agent, during the Lock-Up Period, to decline the transfer of or to note stop transfer restrictions on the stock register and other records relating to such shares or other securities, except in the case of a transfer incompliance with this Lock-Up Agreement.</w:t>
      </w:r>
    </w:p>
    <w:p>
      <w:pPr>
        <w:sectPr>
          <w:pgSz w:w="11900" w:h="16838" w:orient="portrait"/>
          <w:cols w:equalWidth="0" w:num="1">
            <w:col w:w="11440"/>
          </w:cols>
          <w:pgMar w:left="240" w:top="129" w:right="219" w:bottom="0" w:gutter="0" w:footer="0" w:header="0"/>
        </w:sectPr>
      </w:pPr>
    </w:p>
    <w:bookmarkStart w:id="307" w:name="page308"/>
    <w:bookmarkEnd w:id="307"/>
    <w:p>
      <w:pPr>
        <w:jc w:val="center"/>
        <w:spacing w:after="0"/>
        <w:rPr>
          <w:sz w:val="20"/>
          <w:szCs w:val="20"/>
          <w:color w:val="auto"/>
        </w:rPr>
      </w:pPr>
      <w:r>
        <w:rPr>
          <w:rFonts w:ascii="Arial" w:cs="Arial" w:eastAsia="Arial" w:hAnsi="Arial"/>
          <w:sz w:val="15"/>
          <w:szCs w:val="15"/>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firstLine="1112"/>
        <w:spacing w:after="0" w:line="265" w:lineRule="auto"/>
        <w:rPr>
          <w:sz w:val="20"/>
          <w:szCs w:val="20"/>
          <w:color w:val="auto"/>
        </w:rPr>
      </w:pPr>
      <w:r>
        <w:rPr>
          <w:rFonts w:ascii="Arial" w:cs="Arial" w:eastAsia="Arial" w:hAnsi="Arial"/>
          <w:sz w:val="15"/>
          <w:szCs w:val="15"/>
          <w:color w:val="auto"/>
        </w:rPr>
        <w:t>If (i) either the Representatives, on the one hand, or the Company, on the other hand, informs the other in writing, prior to the execution of the Underwriting Agreement, that it has determined not to proceed with the Offering, (ii) for any reason the Underwriting Agreement shall be terminated prior to the “time of purchase” (as defined in the Underwriting Agreement”), (iii) the Company files an application to withdraw the registration statement related to the Offering or (iv) the Underwriting Agreement is not executed on or before August 12, 2016, then, in each case, this Lock-Up Agreement shall automatically, and without any action on the part of any other party, terminate and be of no further force and effect, and the undersigned shall be automatically released from all obligations hereunder.</w:t>
      </w:r>
    </w:p>
    <w:p>
      <w:pPr>
        <w:spacing w:after="0" w:line="16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250190</wp:posOffset>
            </wp:positionV>
            <wp:extent cx="3632835" cy="762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5"/>
          <w:szCs w:val="15"/>
          <w:b w:val="1"/>
          <w:bCs w:val="1"/>
          <w:color w:val="auto"/>
        </w:rPr>
        <w:t>Exhibit 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FOURTH AMENDED AND RESTATED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CERTIFICATE OF INCORPORATION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SELECTA BIOSCIENCES,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General Corporation Law of the State of Delaware)</w:t>
      </w:r>
    </w:p>
    <w:p>
      <w:pPr>
        <w:spacing w:after="0" w:line="188" w:lineRule="exact"/>
        <w:rPr>
          <w:sz w:val="20"/>
          <w:szCs w:val="20"/>
          <w:color w:val="auto"/>
        </w:rPr>
      </w:pPr>
    </w:p>
    <w:p>
      <w:pPr>
        <w:ind w:right="680" w:firstLine="162"/>
        <w:spacing w:after="0" w:line="289" w:lineRule="auto"/>
        <w:rPr>
          <w:sz w:val="20"/>
          <w:szCs w:val="20"/>
          <w:color w:val="auto"/>
        </w:rPr>
      </w:pPr>
      <w:r>
        <w:rPr>
          <w:rFonts w:ascii="Arial" w:cs="Arial" w:eastAsia="Arial" w:hAnsi="Arial"/>
          <w:sz w:val="15"/>
          <w:szCs w:val="15"/>
          <w:color w:val="auto"/>
        </w:rPr>
        <w:t>Selecta Biosciences, Inc., a corporation organized and existing under and by virtue of the provisions of the General Corporation Law of the State of Delaware (the “</w:t>
      </w:r>
      <w:r>
        <w:rPr>
          <w:rFonts w:ascii="Arial" w:cs="Arial" w:eastAsia="Arial" w:hAnsi="Arial"/>
          <w:sz w:val="15"/>
          <w:szCs w:val="15"/>
          <w:u w:val="single" w:color="auto"/>
          <w:color w:val="auto"/>
        </w:rPr>
        <w:t>General</w:t>
      </w:r>
      <w:r>
        <w:rPr>
          <w:rFonts w:ascii="Arial" w:cs="Arial" w:eastAsia="Arial" w:hAnsi="Arial"/>
          <w:sz w:val="15"/>
          <w:szCs w:val="15"/>
          <w:color w:val="auto"/>
        </w:rPr>
        <w:t xml:space="preserve"> </w:t>
      </w:r>
      <w:r>
        <w:rPr>
          <w:rFonts w:ascii="Arial" w:cs="Arial" w:eastAsia="Arial" w:hAnsi="Arial"/>
          <w:sz w:val="15"/>
          <w:szCs w:val="15"/>
          <w:u w:val="single" w:color="auto"/>
          <w:color w:val="auto"/>
        </w:rPr>
        <w:t>Corporation Law</w:t>
      </w:r>
      <w:r>
        <w:rPr>
          <w:rFonts w:ascii="Arial" w:cs="Arial" w:eastAsia="Arial" w:hAnsi="Arial"/>
          <w:sz w:val="15"/>
          <w:szCs w:val="15"/>
          <w:color w:val="auto"/>
        </w:rPr>
        <w:t>”),</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DOES HEREBY CERTIFY:</w:t>
      </w:r>
    </w:p>
    <w:p>
      <w:pPr>
        <w:spacing w:after="0" w:line="204" w:lineRule="exact"/>
        <w:rPr>
          <w:sz w:val="20"/>
          <w:szCs w:val="20"/>
          <w:color w:val="auto"/>
        </w:rPr>
      </w:pPr>
    </w:p>
    <w:p>
      <w:pPr>
        <w:ind w:left="1660" w:hanging="556"/>
        <w:spacing w:after="0"/>
        <w:tabs>
          <w:tab w:leader="none" w:pos="1660" w:val="left"/>
        </w:tabs>
        <w:numPr>
          <w:ilvl w:val="0"/>
          <w:numId w:val="201"/>
        </w:numPr>
        <w:rPr>
          <w:rFonts w:ascii="Arial" w:cs="Arial" w:eastAsia="Arial" w:hAnsi="Arial"/>
          <w:sz w:val="14"/>
          <w:szCs w:val="14"/>
          <w:b w:val="1"/>
          <w:bCs w:val="1"/>
          <w:color w:val="auto"/>
        </w:rPr>
      </w:pPr>
      <w:r>
        <w:rPr>
          <w:rFonts w:ascii="Arial" w:cs="Arial" w:eastAsia="Arial" w:hAnsi="Arial"/>
          <w:sz w:val="14"/>
          <w:szCs w:val="14"/>
          <w:color w:val="auto"/>
        </w:rPr>
        <w:t>That the name of this corporation is Selecta Biosciences, Inc., and that this corporation was originally incorporated pursuant to the General Corporation Law</w:t>
      </w:r>
    </w:p>
    <w:p>
      <w:pPr>
        <w:spacing w:after="0" w:line="34"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5"/>
          <w:szCs w:val="15"/>
          <w:color w:val="auto"/>
        </w:rPr>
        <w:t>on December 10, 2007.</w:t>
      </w:r>
    </w:p>
    <w:p>
      <w:pPr>
        <w:spacing w:after="0" w:line="187" w:lineRule="exact"/>
        <w:rPr>
          <w:rFonts w:ascii="Arial" w:cs="Arial" w:eastAsia="Arial" w:hAnsi="Arial"/>
          <w:sz w:val="14"/>
          <w:szCs w:val="14"/>
          <w:b w:val="1"/>
          <w:bCs w:val="1"/>
          <w:color w:val="auto"/>
        </w:rPr>
      </w:pPr>
    </w:p>
    <w:p>
      <w:pPr>
        <w:ind w:right="240" w:firstLine="1104"/>
        <w:spacing w:after="0" w:line="268" w:lineRule="auto"/>
        <w:tabs>
          <w:tab w:leader="none" w:pos="1668" w:val="left"/>
        </w:tabs>
        <w:numPr>
          <w:ilvl w:val="0"/>
          <w:numId w:val="201"/>
        </w:numPr>
        <w:rPr>
          <w:rFonts w:ascii="Arial" w:cs="Arial" w:eastAsia="Arial" w:hAnsi="Arial"/>
          <w:sz w:val="15"/>
          <w:szCs w:val="15"/>
          <w:b w:val="1"/>
          <w:bCs w:val="1"/>
          <w:color w:val="auto"/>
        </w:rPr>
      </w:pPr>
      <w:r>
        <w:rPr>
          <w:rFonts w:ascii="Arial" w:cs="Arial" w:eastAsia="Arial" w:hAnsi="Arial"/>
          <w:sz w:val="15"/>
          <w:szCs w:val="15"/>
          <w:color w:val="auto"/>
        </w:rPr>
        <w:t>That the board of directors of the Corporation duly adopted resolutions proposing to amend and restate the Third Amended and Restated Certificate of Incorporation of this corporation, as amended,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RESOLVED</w:t>
      </w:r>
      <w:r>
        <w:rPr>
          <w:rFonts w:ascii="Arial" w:cs="Arial" w:eastAsia="Arial" w:hAnsi="Arial"/>
          <w:sz w:val="14"/>
          <w:szCs w:val="14"/>
          <w:color w:val="auto"/>
        </w:rPr>
        <w:t>, that the Third Amended and Restated Certificate of Incorporation of this corporation, as amended, be amended and restated in its entirety to read as follows:</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FIRST: The name of this corporation is Selecta Biosciences, Inc. (the “</w:t>
      </w:r>
      <w:r>
        <w:rPr>
          <w:rFonts w:ascii="Arial" w:cs="Arial" w:eastAsia="Arial" w:hAnsi="Arial"/>
          <w:sz w:val="15"/>
          <w:szCs w:val="15"/>
          <w:u w:val="single" w:color="auto"/>
          <w:color w:val="auto"/>
        </w:rPr>
        <w:t>Corporation</w:t>
      </w:r>
      <w:r>
        <w:rPr>
          <w:rFonts w:ascii="Arial" w:cs="Arial" w:eastAsia="Arial" w:hAnsi="Arial"/>
          <w:sz w:val="15"/>
          <w:szCs w:val="15"/>
          <w:color w:val="auto"/>
        </w:rPr>
        <w:t>”).</w:t>
      </w:r>
    </w:p>
    <w:p>
      <w:pPr>
        <w:spacing w:after="0" w:line="198" w:lineRule="exact"/>
        <w:rPr>
          <w:sz w:val="20"/>
          <w:szCs w:val="20"/>
          <w:color w:val="auto"/>
        </w:rPr>
      </w:pPr>
    </w:p>
    <w:p>
      <w:pPr>
        <w:ind w:right="60" w:firstLine="556"/>
        <w:spacing w:after="0" w:line="289" w:lineRule="auto"/>
        <w:rPr>
          <w:sz w:val="20"/>
          <w:szCs w:val="20"/>
          <w:color w:val="auto"/>
        </w:rPr>
      </w:pPr>
      <w:r>
        <w:rPr>
          <w:rFonts w:ascii="Arial" w:cs="Arial" w:eastAsia="Arial" w:hAnsi="Arial"/>
          <w:sz w:val="15"/>
          <w:szCs w:val="15"/>
          <w:color w:val="auto"/>
        </w:rPr>
        <w:t>SECOND: The registered office of the Corporation is to be located at 1209 Orange Street in the City of Wilmington, 19801, County of New Castle. The name of its registered agent at such address is The Corporation Trust Company.</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THIRD: The purpose of the Corporation is to engage in any lawful act or activity for which corporations may be organized under the General Corporation Law.</w:t>
      </w:r>
    </w:p>
    <w:p>
      <w:pPr>
        <w:spacing w:after="0" w:line="198" w:lineRule="exact"/>
        <w:rPr>
          <w:sz w:val="20"/>
          <w:szCs w:val="20"/>
          <w:color w:val="auto"/>
        </w:rPr>
      </w:pPr>
    </w:p>
    <w:p>
      <w:pPr>
        <w:ind w:right="280" w:firstLine="547"/>
        <w:spacing w:after="0" w:line="289" w:lineRule="auto"/>
        <w:rPr>
          <w:sz w:val="20"/>
          <w:szCs w:val="20"/>
          <w:color w:val="auto"/>
        </w:rPr>
      </w:pPr>
      <w:r>
        <w:rPr>
          <w:rFonts w:ascii="Arial" w:cs="Arial" w:eastAsia="Arial" w:hAnsi="Arial"/>
          <w:sz w:val="15"/>
          <w:szCs w:val="15"/>
          <w:color w:val="auto"/>
        </w:rPr>
        <w:t>FOURTH: The number of authorized shares of each class or series of stock of the Corporation, and the powers, preferences and rights, and the qualifications, limitations or restrictions thereof, shall be as follows:</w:t>
      </w:r>
    </w:p>
    <w:p>
      <w:pPr>
        <w:spacing w:after="0" w:line="141"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4"/>
          <w:szCs w:val="14"/>
          <w:color w:val="auto"/>
        </w:rPr>
        <w:t>CAPITAL STOCK</w:t>
      </w:r>
    </w:p>
    <w:p>
      <w:pPr>
        <w:spacing w:after="0" w:line="198"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The total number of shares of all classes of stock which the Corporation shall have authority to issue is 100,000,000, consisting of 62,164,377 shares of common stock, $0.0001 par value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and 37,835,623 shares of preferred stock, $0.0001 par value per share (the “</w:t>
      </w:r>
      <w:r>
        <w:rPr>
          <w:rFonts w:ascii="Arial" w:cs="Arial" w:eastAsia="Arial" w:hAnsi="Arial"/>
          <w:sz w:val="15"/>
          <w:szCs w:val="15"/>
          <w:u w:val="single" w:color="auto"/>
          <w:color w:val="auto"/>
        </w:rPr>
        <w:t>Preferred Stock</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285990" cy="2730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5"/>
          <w:szCs w:val="15"/>
          <w:color w:val="auto"/>
        </w:rPr>
        <w:t>Section 2.</w:t>
      </w:r>
      <w:r>
        <w:rPr>
          <w:sz w:val="20"/>
          <w:szCs w:val="20"/>
          <w:color w:val="auto"/>
        </w:rPr>
        <w:tab/>
      </w:r>
      <w:r>
        <w:rPr>
          <w:rFonts w:ascii="Arial" w:cs="Arial" w:eastAsia="Arial" w:hAnsi="Arial"/>
          <w:sz w:val="15"/>
          <w:szCs w:val="15"/>
          <w:color w:val="auto"/>
        </w:rPr>
        <w:t>COMMON STOCK</w:t>
      </w:r>
    </w:p>
    <w:p>
      <w:pPr>
        <w:spacing w:after="0" w:line="198" w:lineRule="exact"/>
        <w:rPr>
          <w:sz w:val="20"/>
          <w:szCs w:val="20"/>
          <w:color w:val="auto"/>
        </w:rPr>
      </w:pPr>
    </w:p>
    <w:p>
      <w:pPr>
        <w:ind w:right="40" w:firstLine="556"/>
        <w:spacing w:after="0" w:line="293"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Voting Rights</w:t>
      </w:r>
      <w:r>
        <w:rPr>
          <w:rFonts w:ascii="Arial" w:cs="Arial" w:eastAsia="Arial" w:hAnsi="Arial"/>
          <w:sz w:val="14"/>
          <w:szCs w:val="14"/>
          <w:color w:val="auto"/>
        </w:rPr>
        <w:t xml:space="preserve">. The holders of shares of Common Stock shall be entitled to one vote for each share so held with respect to all matters voted on by the stockholders of the Corporation, subject in all cases to </w:t>
      </w:r>
      <w:r>
        <w:rPr>
          <w:rFonts w:ascii="Arial" w:cs="Arial" w:eastAsia="Arial" w:hAnsi="Arial"/>
          <w:sz w:val="14"/>
          <w:szCs w:val="14"/>
          <w:u w:val="single" w:color="auto"/>
          <w:color w:val="auto"/>
        </w:rPr>
        <w:t>Sections 3.6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3.8</w:t>
      </w:r>
      <w:r>
        <w:rPr>
          <w:rFonts w:ascii="Arial" w:cs="Arial" w:eastAsia="Arial" w:hAnsi="Arial"/>
          <w:sz w:val="14"/>
          <w:szCs w:val="14"/>
          <w:color w:val="auto"/>
        </w:rPr>
        <w:t xml:space="preserve"> of this Article Fourth. The number of authorized shares of Common Stock may be increased or decreased (but not below the number of shares thereof then outstanding) by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40" w:lineRule="exact"/>
        <w:rPr>
          <w:sz w:val="20"/>
          <w:szCs w:val="20"/>
          <w:color w:val="auto"/>
        </w:rPr>
      </w:pPr>
    </w:p>
    <w:p>
      <w:pPr>
        <w:ind w:right="20" w:firstLine="556"/>
        <w:spacing w:after="0" w:line="302"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Liquidation Right</w:t>
      </w:r>
      <w:r>
        <w:rPr>
          <w:rFonts w:ascii="Arial" w:cs="Arial" w:eastAsia="Arial" w:hAnsi="Arial"/>
          <w:sz w:val="14"/>
          <w:szCs w:val="14"/>
          <w:color w:val="auto"/>
        </w:rPr>
        <w:t xml:space="preserve">. Subject to the prior and superior rights of the Senior Preferred Stock (as defined below) and the Series SRN Preferred as described in </w:t>
      </w:r>
      <w:r>
        <w:rPr>
          <w:rFonts w:ascii="Arial" w:cs="Arial" w:eastAsia="Arial" w:hAnsi="Arial"/>
          <w:sz w:val="14"/>
          <w:szCs w:val="14"/>
          <w:u w:val="single" w:color="auto"/>
          <w:color w:val="auto"/>
        </w:rPr>
        <w:t>Sections</w:t>
      </w:r>
      <w:r>
        <w:rPr>
          <w:rFonts w:ascii="Arial" w:cs="Arial" w:eastAsia="Arial" w:hAnsi="Arial"/>
          <w:sz w:val="14"/>
          <w:szCs w:val="14"/>
          <w:color w:val="auto"/>
        </w:rPr>
        <w:t xml:space="preserve"> </w:t>
      </w:r>
      <w:r>
        <w:rPr>
          <w:rFonts w:ascii="Arial" w:cs="Arial" w:eastAsia="Arial" w:hAnsi="Arial"/>
          <w:sz w:val="14"/>
          <w:szCs w:val="14"/>
          <w:u w:val="single" w:color="auto"/>
          <w:color w:val="auto"/>
        </w:rPr>
        <w:t>3.2(a)</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w:t>
      </w:r>
      <w:r>
        <w:rPr>
          <w:rFonts w:ascii="Arial" w:cs="Arial" w:eastAsia="Arial" w:hAnsi="Arial"/>
          <w:sz w:val="14"/>
          <w:szCs w:val="14"/>
          <w:u w:val="single" w:color="auto"/>
          <w:color w:val="auto"/>
        </w:rPr>
        <w:t>(c)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(d)</w:t>
      </w:r>
      <w:r>
        <w:rPr>
          <w:rFonts w:ascii="Arial" w:cs="Arial" w:eastAsia="Arial" w:hAnsi="Arial"/>
          <w:sz w:val="14"/>
          <w:szCs w:val="14"/>
          <w:color w:val="auto"/>
        </w:rPr>
        <w:t xml:space="preserve"> of this Article Fourth, upon any voluntary or involuntary liquidation, dissolution or winding up of the affairs of the Corporation, the holders of Common Stock shall be entitled to receive that portion of the remaining funds to be distributed to holders of capital stock ratably in proportion to the number of shares of Common Stock they then hold.</w:t>
      </w:r>
    </w:p>
    <w:p>
      <w:pPr>
        <w:spacing w:after="0" w:line="133" w:lineRule="exact"/>
        <w:rPr>
          <w:sz w:val="20"/>
          <w:szCs w:val="20"/>
          <w:color w:val="auto"/>
        </w:rPr>
      </w:pPr>
    </w:p>
    <w:p>
      <w:pPr>
        <w:ind w:right="240" w:firstLine="556"/>
        <w:spacing w:after="0" w:line="273"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Dividends</w:t>
      </w:r>
      <w:r>
        <w:rPr>
          <w:rFonts w:ascii="Arial" w:cs="Arial" w:eastAsia="Arial" w:hAnsi="Arial"/>
          <w:sz w:val="15"/>
          <w:szCs w:val="15"/>
          <w:color w:val="auto"/>
        </w:rPr>
        <w:t>. Dividends may be paid on the Common Stock as and when declared by the board of directors of the Corporation (the “</w:t>
      </w:r>
      <w:r>
        <w:rPr>
          <w:rFonts w:ascii="Arial" w:cs="Arial" w:eastAsia="Arial" w:hAnsi="Arial"/>
          <w:sz w:val="15"/>
          <w:szCs w:val="15"/>
          <w:u w:val="single" w:color="auto"/>
          <w:color w:val="auto"/>
        </w:rPr>
        <w:t>Board of Directors</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cash dividends may be declared or paid on the Common Stock unless dividends shall first have been declared and paid with respect to the Senior Preferred Stock, as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provided in </w:t>
      </w:r>
      <w:r>
        <w:rPr>
          <w:rFonts w:ascii="Arial" w:cs="Arial" w:eastAsia="Arial" w:hAnsi="Arial"/>
          <w:sz w:val="15"/>
          <w:szCs w:val="15"/>
          <w:u w:val="single" w:color="auto"/>
          <w:color w:val="auto"/>
        </w:rPr>
        <w:t>Section 3.7</w:t>
      </w:r>
      <w:r>
        <w:rPr>
          <w:rFonts w:ascii="Arial" w:cs="Arial" w:eastAsia="Arial" w:hAnsi="Arial"/>
          <w:sz w:val="15"/>
          <w:szCs w:val="15"/>
          <w:color w:val="auto"/>
        </w:rPr>
        <w:t xml:space="preserve"> of this Article Fourth.</w:t>
      </w:r>
    </w:p>
    <w:p>
      <w:pPr>
        <w:spacing w:after="0" w:line="153"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4"/>
          <w:szCs w:val="14"/>
          <w:color w:val="auto"/>
        </w:rPr>
        <w:t>PREFERRED STOCK</w:t>
      </w:r>
    </w:p>
    <w:p>
      <w:pPr>
        <w:spacing w:after="0" w:line="198" w:lineRule="exact"/>
        <w:rPr>
          <w:sz w:val="20"/>
          <w:szCs w:val="20"/>
          <w:color w:val="auto"/>
        </w:rPr>
      </w:pPr>
    </w:p>
    <w:p>
      <w:pPr>
        <w:ind w:right="40" w:firstLine="556"/>
        <w:spacing w:after="0" w:line="261"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Designation</w:t>
      </w:r>
      <w:r>
        <w:rPr>
          <w:rFonts w:ascii="Arial" w:cs="Arial" w:eastAsia="Arial" w:hAnsi="Arial"/>
          <w:sz w:val="15"/>
          <w:szCs w:val="15"/>
          <w:color w:val="auto"/>
        </w:rPr>
        <w:t>. Two Million Five Hundred Eighty-Nine Thousand Eight Hundred Sixty-Eight (2,589,868) shares of Preferred Stock which the Corporation has the authority to issue are hereby designated and shall be known as the “Series A Convertible Preferred Stock” (the “</w:t>
      </w:r>
      <w:r>
        <w:rPr>
          <w:rFonts w:ascii="Arial" w:cs="Arial" w:eastAsia="Arial" w:hAnsi="Arial"/>
          <w:sz w:val="15"/>
          <w:szCs w:val="15"/>
          <w:u w:val="single" w:color="auto"/>
          <w:color w:val="auto"/>
        </w:rPr>
        <w:t>Series A Preferred</w:t>
      </w:r>
      <w:r>
        <w:rPr>
          <w:rFonts w:ascii="Arial" w:cs="Arial" w:eastAsia="Arial" w:hAnsi="Arial"/>
          <w:sz w:val="15"/>
          <w:szCs w:val="15"/>
          <w:color w:val="auto"/>
        </w:rPr>
        <w:t>”), Seven Million Four Hundred Thirty-Seven Thousand Three Hundred Twenty-Five (7,437,325) shares of Preferred Stock which the Corporation has the authority to issue are hereby designated and shall be known as the “Series B Convertible Preferred Stock” (the “</w:t>
      </w:r>
      <w:r>
        <w:rPr>
          <w:rFonts w:ascii="Arial" w:cs="Arial" w:eastAsia="Arial" w:hAnsi="Arial"/>
          <w:sz w:val="15"/>
          <w:szCs w:val="15"/>
          <w:u w:val="single" w:color="auto"/>
          <w:color w:val="auto"/>
        </w:rPr>
        <w:t>Series B Preferred</w:t>
      </w:r>
      <w:r>
        <w:rPr>
          <w:rFonts w:ascii="Arial" w:cs="Arial" w:eastAsia="Arial" w:hAnsi="Arial"/>
          <w:sz w:val="15"/>
          <w:szCs w:val="15"/>
          <w:color w:val="auto"/>
        </w:rPr>
        <w:t>”), Five Million Two (5,000,002) shares of Preferred Stock which the Corporation has the authority to issue are hereby designated and shall be known as the “Series C Convertible Preferred Stock” (the “</w:t>
      </w:r>
      <w:r>
        <w:rPr>
          <w:rFonts w:ascii="Arial" w:cs="Arial" w:eastAsia="Arial" w:hAnsi="Arial"/>
          <w:sz w:val="15"/>
          <w:szCs w:val="15"/>
          <w:u w:val="single" w:color="auto"/>
          <w:color w:val="auto"/>
        </w:rPr>
        <w:t>Series C Preferred</w:t>
      </w:r>
      <w:r>
        <w:rPr>
          <w:rFonts w:ascii="Arial" w:cs="Arial" w:eastAsia="Arial" w:hAnsi="Arial"/>
          <w:sz w:val="15"/>
          <w:szCs w:val="15"/>
          <w:color w:val="auto"/>
        </w:rPr>
        <w:t>”), Eight Million One Hundred Sixty-Six Thousand Six Hundred Sixty-Two (8,166,662) shares of Preferred Stock which the Corporation has the authority to issue are hereby designated and shall be known as the “Series D Convertible Preferred Stock” (the “</w:t>
      </w:r>
      <w:r>
        <w:rPr>
          <w:rFonts w:ascii="Arial" w:cs="Arial" w:eastAsia="Arial" w:hAnsi="Arial"/>
          <w:sz w:val="15"/>
          <w:szCs w:val="15"/>
          <w:u w:val="single" w:color="auto"/>
          <w:color w:val="auto"/>
        </w:rPr>
        <w:t>Series 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Preferred</w:t>
      </w:r>
      <w:r>
        <w:rPr>
          <w:rFonts w:ascii="Arial" w:cs="Arial" w:eastAsia="Arial" w:hAnsi="Arial"/>
          <w:sz w:val="15"/>
          <w:szCs w:val="15"/>
          <w:color w:val="auto"/>
        </w:rPr>
        <w:t>”), Nine Million Thirty Thousand Six Hundred Fifty-Four (9,030,654) shares of Preferred Stock which the Corporation has the authority to issue are hereby designated and shall be known as the “Series E Convertible Preferred Stock” (the “</w:t>
      </w:r>
      <w:r>
        <w:rPr>
          <w:rFonts w:ascii="Arial" w:cs="Arial" w:eastAsia="Arial" w:hAnsi="Arial"/>
          <w:sz w:val="15"/>
          <w:szCs w:val="15"/>
          <w:u w:val="single" w:color="auto"/>
          <w:color w:val="auto"/>
        </w:rPr>
        <w:t>Series E Preferred</w:t>
      </w:r>
      <w:r>
        <w:rPr>
          <w:rFonts w:ascii="Arial" w:cs="Arial" w:eastAsia="Arial" w:hAnsi="Arial"/>
          <w:sz w:val="15"/>
          <w:szCs w:val="15"/>
          <w:color w:val="auto"/>
        </w:rPr>
        <w:t>”), and Five Million Six Hundred Eleven Thousand One Hundred Twelve (5,611,112) shares of Preferred Stock which the Corporation has the authority to issue are hereby designated and shall be known as the “Series SRN Convertible Preferred Stock” (the “</w:t>
      </w:r>
      <w:r>
        <w:rPr>
          <w:rFonts w:ascii="Arial" w:cs="Arial" w:eastAsia="Arial" w:hAnsi="Arial"/>
          <w:sz w:val="15"/>
          <w:szCs w:val="15"/>
          <w:u w:val="single" w:color="auto"/>
          <w:color w:val="auto"/>
        </w:rPr>
        <w:t>Series SRN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Preferred</w:t>
      </w:r>
      <w:r>
        <w:rPr>
          <w:rFonts w:ascii="Arial" w:cs="Arial" w:eastAsia="Arial" w:hAnsi="Arial"/>
          <w:sz w:val="15"/>
          <w:szCs w:val="15"/>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4"/>
          <w:szCs w:val="14"/>
          <w:u w:val="single" w:color="auto"/>
          <w:color w:val="auto"/>
        </w:rPr>
        <w:t>Liquidation Rights</w:t>
      </w:r>
      <w:r>
        <w:rPr>
          <w:rFonts w:ascii="Arial" w:cs="Arial" w:eastAsia="Arial" w:hAnsi="Arial"/>
          <w:sz w:val="14"/>
          <w:szCs w:val="14"/>
          <w:color w:val="auto"/>
        </w:rPr>
        <w:t>.</w:t>
      </w:r>
    </w:p>
    <w:p>
      <w:pPr>
        <w:spacing w:after="0" w:line="198" w:lineRule="exact"/>
        <w:rPr>
          <w:sz w:val="20"/>
          <w:szCs w:val="20"/>
          <w:color w:val="auto"/>
        </w:rPr>
      </w:pPr>
    </w:p>
    <w:p>
      <w:pPr>
        <w:ind w:right="40" w:firstLine="1104"/>
        <w:spacing w:after="0" w:line="283" w:lineRule="auto"/>
        <w:tabs>
          <w:tab w:leader="none" w:pos="1665" w:val="left"/>
        </w:tabs>
        <w:numPr>
          <w:ilvl w:val="0"/>
          <w:numId w:val="202"/>
        </w:numPr>
        <w:rPr>
          <w:rFonts w:ascii="Arial" w:cs="Arial" w:eastAsia="Arial" w:hAnsi="Arial"/>
          <w:sz w:val="14"/>
          <w:szCs w:val="14"/>
          <w:color w:val="auto"/>
        </w:rPr>
      </w:pPr>
      <w:r>
        <w:rPr>
          <w:rFonts w:ascii="Arial" w:cs="Arial" w:eastAsia="Arial" w:hAnsi="Arial"/>
          <w:sz w:val="14"/>
          <w:szCs w:val="14"/>
          <w:color w:val="auto"/>
        </w:rPr>
        <w:t xml:space="preserve">In the event of any voluntary or involuntary liquidation, dissolution or winding up of the affairs of the Corporation, each holder of a share of Series E Preferred shall be entitled to receive, prior and in preference to any distribution of any of the assets or surplus funds of the Corporation to the holders of Series A Preferred, Series B Preferred, Series C Preferred, Series D Preferred, Series SRN Preferred or Common Stock by reason of their ownership thereof, an amount per share equal to (i) 1.15 times the Original Issue Price (as defined in </w:t>
      </w:r>
      <w:r>
        <w:rPr>
          <w:rFonts w:ascii="Arial" w:cs="Arial" w:eastAsia="Arial" w:hAnsi="Arial"/>
          <w:sz w:val="14"/>
          <w:szCs w:val="14"/>
          <w:u w:val="single" w:color="auto"/>
          <w:color w:val="auto"/>
        </w:rPr>
        <w:t>Section 3.2(e)</w:t>
      </w:r>
      <w:r>
        <w:rPr>
          <w:rFonts w:ascii="Arial" w:cs="Arial" w:eastAsia="Arial" w:hAnsi="Arial"/>
          <w:sz w:val="14"/>
          <w:szCs w:val="14"/>
          <w:color w:val="auto"/>
        </w:rPr>
        <w:t xml:space="preserve">) for the Series E Preferred, plus (ii) all Accruing Dividends (as defined in </w:t>
      </w:r>
      <w:r>
        <w:rPr>
          <w:rFonts w:ascii="Arial" w:cs="Arial" w:eastAsia="Arial" w:hAnsi="Arial"/>
          <w:sz w:val="14"/>
          <w:szCs w:val="14"/>
          <w:u w:val="single" w:color="auto"/>
          <w:color w:val="auto"/>
        </w:rPr>
        <w:t>Section 3.7(a)</w:t>
      </w:r>
      <w:r>
        <w:rPr>
          <w:rFonts w:ascii="Arial" w:cs="Arial" w:eastAsia="Arial" w:hAnsi="Arial"/>
          <w:sz w:val="14"/>
          <w:szCs w:val="14"/>
          <w:color w:val="auto"/>
        </w:rPr>
        <w:t>) on such share, to and including the date full payment shall be tendered to the holders of such series of Series E Preferred with respect to such liquidation, dissolution or winding up (the amount payable pursuant to this sentence is hereinafter referred to as the “</w:t>
      </w:r>
      <w:r>
        <w:rPr>
          <w:rFonts w:ascii="Arial" w:cs="Arial" w:eastAsia="Arial" w:hAnsi="Arial"/>
          <w:sz w:val="14"/>
          <w:szCs w:val="14"/>
          <w:u w:val="single" w:color="auto"/>
          <w:color w:val="auto"/>
        </w:rPr>
        <w:t>Series E Liquidation Amount</w:t>
      </w:r>
      <w:r>
        <w:rPr>
          <w:rFonts w:ascii="Arial" w:cs="Arial" w:eastAsia="Arial" w:hAnsi="Arial"/>
          <w:sz w:val="14"/>
          <w:szCs w:val="14"/>
          <w:color w:val="auto"/>
        </w:rPr>
        <w:t xml:space="preserve">”). If the assets or surplus funds to be distributed to the holders of the Series E Preferred are insufficient to permit the payment to such holders of their full preferential amount under this </w:t>
      </w:r>
      <w:r>
        <w:rPr>
          <w:rFonts w:ascii="Arial" w:cs="Arial" w:eastAsia="Arial" w:hAnsi="Arial"/>
          <w:sz w:val="14"/>
          <w:szCs w:val="14"/>
          <w:u w:val="single" w:color="auto"/>
          <w:color w:val="auto"/>
        </w:rPr>
        <w:t>Section 3.2(a)</w:t>
      </w:r>
      <w:r>
        <w:rPr>
          <w:rFonts w:ascii="Arial" w:cs="Arial" w:eastAsia="Arial" w:hAnsi="Arial"/>
          <w:sz w:val="14"/>
          <w:szCs w:val="14"/>
          <w:color w:val="auto"/>
        </w:rPr>
        <w:t xml:space="preserve">, then such assets and surplus funds legally available for distribution shall be distributed ratably among the holders of the Series E Preferred on a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basis, in proportion to the full preferential amount each such holder is otherwise entitled to receive under this </w:t>
      </w:r>
      <w:r>
        <w:rPr>
          <w:rFonts w:ascii="Arial" w:cs="Arial" w:eastAsia="Arial" w:hAnsi="Arial"/>
          <w:sz w:val="14"/>
          <w:szCs w:val="14"/>
          <w:u w:val="single" w:color="auto"/>
          <w:color w:val="auto"/>
        </w:rPr>
        <w:t>Section 3.2(a)</w:t>
      </w:r>
      <w:r>
        <w:rPr>
          <w:rFonts w:ascii="Arial" w:cs="Arial" w:eastAsia="Arial" w:hAnsi="Arial"/>
          <w:sz w:val="14"/>
          <w:szCs w:val="14"/>
          <w:color w:val="auto"/>
        </w:rPr>
        <w:t>.</w:t>
      </w:r>
    </w:p>
    <w:p>
      <w:pPr>
        <w:sectPr>
          <w:pgSz w:w="11900" w:h="16838" w:orient="portrait"/>
          <w:cols w:equalWidth="0" w:num="1">
            <w:col w:w="11440"/>
          </w:cols>
          <w:pgMar w:left="240" w:top="331" w:right="219" w:bottom="33" w:gutter="0" w:footer="0" w:header="0"/>
        </w:sectPr>
      </w:pPr>
    </w:p>
    <w:bookmarkStart w:id="309" w:name="page310"/>
    <w:bookmarkEnd w:id="309"/>
    <w:p>
      <w:pPr>
        <w:ind w:left="7" w:right="120" w:firstLine="1104"/>
        <w:spacing w:after="0" w:line="283" w:lineRule="auto"/>
        <w:tabs>
          <w:tab w:leader="none" w:pos="1681" w:val="left"/>
        </w:tabs>
        <w:numPr>
          <w:ilvl w:val="1"/>
          <w:numId w:val="203"/>
        </w:numPr>
        <w:rPr>
          <w:rFonts w:ascii="Arial" w:cs="Arial" w:eastAsia="Arial" w:hAnsi="Arial"/>
          <w:sz w:val="14"/>
          <w:szCs w:val="14"/>
          <w:color w:val="auto"/>
        </w:rPr>
      </w:pPr>
      <w:r>
        <w:rPr>
          <w:rFonts w:ascii="Arial" w:cs="Arial" w:eastAsia="Arial" w:hAnsi="Arial"/>
          <w:sz w:val="14"/>
          <w:szCs w:val="14"/>
          <w:color w:val="auto"/>
        </w:rPr>
        <w:t>In the event of any voluntary or involuntary liquidation, dissolution or winding up of the affairs of the Corporation, each holder of a share of Series A Preferred, Series B Preferred, Series C Preferred or Series D Preferred (collectively, the “</w:t>
      </w:r>
      <w:r>
        <w:rPr>
          <w:rFonts w:ascii="Arial" w:cs="Arial" w:eastAsia="Arial" w:hAnsi="Arial"/>
          <w:sz w:val="14"/>
          <w:szCs w:val="14"/>
          <w:u w:val="single" w:color="auto"/>
          <w:color w:val="auto"/>
        </w:rPr>
        <w:t>Tier II Preferred Stock</w:t>
      </w:r>
      <w:r>
        <w:rPr>
          <w:rFonts w:ascii="Arial" w:cs="Arial" w:eastAsia="Arial" w:hAnsi="Arial"/>
          <w:sz w:val="14"/>
          <w:szCs w:val="14"/>
          <w:color w:val="auto"/>
        </w:rPr>
        <w:t xml:space="preserve">”) shall be entitled to receive, after payment of the Series E Liquidation Amount in full to all holders of Series E Preferred but prior and in preference to any distribution of any of the assets or surplus funds of the Corporation to the holders of Series SRN Preferred or Common Stock by reason of their ownership thereof, an amount per share equal to the Original Issue Price for such series of Tier II Preferred Stock, plus, all Accruing Dividends on such share, to and including the date full payment shall be tendered to the holders of such series of Tier II Preferred Stock with respect to such liquidation, dissolution or winding up. If the assets or surplus funds to be distributed to the holders of the Tier II Preferred Stock are insufficient to permit the payment to such holders of their full preferential amount under this </w:t>
      </w:r>
      <w:r>
        <w:rPr>
          <w:rFonts w:ascii="Arial" w:cs="Arial" w:eastAsia="Arial" w:hAnsi="Arial"/>
          <w:sz w:val="14"/>
          <w:szCs w:val="14"/>
          <w:u w:val="single" w:color="auto"/>
          <w:color w:val="auto"/>
        </w:rPr>
        <w:t>Section 3.2(b)</w:t>
      </w:r>
      <w:r>
        <w:rPr>
          <w:rFonts w:ascii="Arial" w:cs="Arial" w:eastAsia="Arial" w:hAnsi="Arial"/>
          <w:sz w:val="14"/>
          <w:szCs w:val="14"/>
          <w:color w:val="auto"/>
        </w:rPr>
        <w:t xml:space="preserve">, then such assets and surplus funds legally available for distribution shall be distributed ratably among the holders of the Tier II Preferred Stock on a </w:t>
      </w:r>
      <w:r>
        <w:rPr>
          <w:rFonts w:ascii="Arial" w:cs="Arial" w:eastAsia="Arial" w:hAnsi="Arial"/>
          <w:sz w:val="14"/>
          <w:szCs w:val="14"/>
          <w:i w:val="1"/>
          <w:iCs w:val="1"/>
          <w:color w:val="auto"/>
        </w:rPr>
        <w:t xml:space="preserve">pari passu </w:t>
      </w:r>
      <w:r>
        <w:rPr>
          <w:rFonts w:ascii="Arial" w:cs="Arial" w:eastAsia="Arial" w:hAnsi="Arial"/>
          <w:sz w:val="14"/>
          <w:szCs w:val="14"/>
          <w:color w:val="auto"/>
        </w:rPr>
        <w:t>basis, in proportion to the full preferential amount each such holder is otherwise entitled to receive under this</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3.2(b)</w:t>
      </w:r>
      <w:r>
        <w:rPr>
          <w:rFonts w:ascii="Arial" w:cs="Arial" w:eastAsia="Arial" w:hAnsi="Arial"/>
          <w:sz w:val="14"/>
          <w:szCs w:val="14"/>
          <w:color w:val="auto"/>
        </w:rPr>
        <w:t>.</w:t>
      </w:r>
    </w:p>
    <w:p>
      <w:pPr>
        <w:spacing w:after="0" w:line="149" w:lineRule="exact"/>
        <w:rPr>
          <w:rFonts w:ascii="Arial" w:cs="Arial" w:eastAsia="Arial" w:hAnsi="Arial"/>
          <w:sz w:val="14"/>
          <w:szCs w:val="14"/>
          <w:color w:val="auto"/>
        </w:rPr>
      </w:pPr>
    </w:p>
    <w:p>
      <w:pPr>
        <w:ind w:left="1667" w:hanging="556"/>
        <w:spacing w:after="0"/>
        <w:tabs>
          <w:tab w:leader="none" w:pos="1667" w:val="left"/>
        </w:tabs>
        <w:numPr>
          <w:ilvl w:val="1"/>
          <w:numId w:val="203"/>
        </w:numPr>
        <w:rPr>
          <w:rFonts w:ascii="Arial" w:cs="Arial" w:eastAsia="Arial" w:hAnsi="Arial"/>
          <w:sz w:val="14"/>
          <w:szCs w:val="14"/>
          <w:color w:val="auto"/>
        </w:rPr>
      </w:pPr>
      <w:r>
        <w:rPr>
          <w:rFonts w:ascii="Arial" w:cs="Arial" w:eastAsia="Arial" w:hAnsi="Arial"/>
          <w:sz w:val="14"/>
          <w:szCs w:val="14"/>
          <w:color w:val="auto"/>
        </w:rPr>
        <w:t>In the event of any voluntary or involuntary liquidation, dissolution or winding up of the affairs of the Corporation, after the payments set forth in subsections</w:t>
      </w:r>
    </w:p>
    <w:p>
      <w:pPr>
        <w:spacing w:after="0" w:line="34" w:lineRule="exact"/>
        <w:rPr>
          <w:rFonts w:ascii="Arial" w:cs="Arial" w:eastAsia="Arial" w:hAnsi="Arial"/>
          <w:sz w:val="14"/>
          <w:szCs w:val="14"/>
          <w:color w:val="auto"/>
        </w:rPr>
      </w:pPr>
    </w:p>
    <w:p>
      <w:pPr>
        <w:ind w:left="7" w:right="40" w:hanging="7"/>
        <w:spacing w:after="0" w:line="261" w:lineRule="auto"/>
        <w:tabs>
          <w:tab w:leader="none" w:pos="217" w:val="left"/>
        </w:tabs>
        <w:numPr>
          <w:ilvl w:val="0"/>
          <w:numId w:val="204"/>
        </w:numPr>
        <w:rPr>
          <w:rFonts w:ascii="Arial" w:cs="Arial" w:eastAsia="Arial" w:hAnsi="Arial"/>
          <w:sz w:val="15"/>
          <w:szCs w:val="15"/>
          <w:color w:val="auto"/>
        </w:rPr>
      </w:pPr>
      <w:r>
        <w:rPr>
          <w:rFonts w:ascii="Arial" w:cs="Arial" w:eastAsia="Arial" w:hAnsi="Arial"/>
          <w:sz w:val="15"/>
          <w:szCs w:val="15"/>
          <w:color w:val="auto"/>
        </w:rPr>
        <w:t xml:space="preserve">and (b) of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shall have been made in full to the holders of the Series E Preferred and the Tier II Preferred Stock (collectively, the “</w:t>
      </w:r>
      <w:r>
        <w:rPr>
          <w:rFonts w:ascii="Arial" w:cs="Arial" w:eastAsia="Arial" w:hAnsi="Arial"/>
          <w:sz w:val="15"/>
          <w:szCs w:val="15"/>
          <w:u w:val="single" w:color="auto"/>
          <w:color w:val="auto"/>
        </w:rPr>
        <w:t>Senior Preferred Stock</w:t>
      </w:r>
      <w:r>
        <w:rPr>
          <w:rFonts w:ascii="Arial" w:cs="Arial" w:eastAsia="Arial" w:hAnsi="Arial"/>
          <w:sz w:val="15"/>
          <w:szCs w:val="15"/>
          <w:color w:val="auto"/>
        </w:rPr>
        <w:t xml:space="preserve">”), then each holder of a share of Series SRN Preferred shall be entitled to receive, prior and in preference to any distribution of any of the assets or surplus funds of the Corporation to the holders of Common Stock by reason of their ownership thereof, an amount per share equal to the Original Issue Price for such Series SRN Preferred Stock, plus any dividends declared but unpaid thereon. If the assets or surplus funds to be distributed to the holders of the Series SRN Preferred are insufficient to permit the payment to such holders of their full preferential amount under this </w:t>
      </w:r>
      <w:r>
        <w:rPr>
          <w:rFonts w:ascii="Arial" w:cs="Arial" w:eastAsia="Arial" w:hAnsi="Arial"/>
          <w:sz w:val="15"/>
          <w:szCs w:val="15"/>
          <w:u w:val="single" w:color="auto"/>
          <w:color w:val="auto"/>
        </w:rPr>
        <w:t>Section 3.2(c)</w:t>
      </w:r>
      <w:r>
        <w:rPr>
          <w:rFonts w:ascii="Arial" w:cs="Arial" w:eastAsia="Arial" w:hAnsi="Arial"/>
          <w:sz w:val="15"/>
          <w:szCs w:val="15"/>
          <w:color w:val="auto"/>
        </w:rPr>
        <w:t xml:space="preserve">, then such assets and surplus funds legally available for distribution shall be distributed ratably among the holders of the Series SRN Preferred Stock on a </w:t>
      </w:r>
      <w:r>
        <w:rPr>
          <w:rFonts w:ascii="Arial" w:cs="Arial" w:eastAsia="Arial" w:hAnsi="Arial"/>
          <w:sz w:val="15"/>
          <w:szCs w:val="15"/>
          <w:i w:val="1"/>
          <w:iCs w:val="1"/>
          <w:color w:val="auto"/>
        </w:rPr>
        <w:t>pari</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passu </w:t>
      </w:r>
      <w:r>
        <w:rPr>
          <w:rFonts w:ascii="Arial" w:cs="Arial" w:eastAsia="Arial" w:hAnsi="Arial"/>
          <w:sz w:val="15"/>
          <w:szCs w:val="15"/>
          <w:color w:val="auto"/>
        </w:rPr>
        <w:t>basis, in</w:t>
      </w:r>
    </w:p>
    <w:p>
      <w:pPr>
        <w:spacing w:after="0" w:line="16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rPr>
          <w:sz w:val="20"/>
          <w:szCs w:val="20"/>
          <w:color w:val="auto"/>
        </w:rPr>
      </w:pPr>
      <w:r>
        <w:rPr>
          <w:rFonts w:ascii="Arial" w:cs="Arial" w:eastAsia="Arial" w:hAnsi="Arial"/>
          <w:sz w:val="15"/>
          <w:szCs w:val="15"/>
          <w:color w:val="auto"/>
        </w:rPr>
        <w:t xml:space="preserve">proportion to the full preferential amount each such holder is otherwise entitled to receive under this </w:t>
      </w:r>
      <w:r>
        <w:rPr>
          <w:rFonts w:ascii="Arial" w:cs="Arial" w:eastAsia="Arial" w:hAnsi="Arial"/>
          <w:sz w:val="15"/>
          <w:szCs w:val="15"/>
          <w:u w:val="single" w:color="auto"/>
          <w:color w:val="auto"/>
        </w:rPr>
        <w:t>Section 3.2(c)</w:t>
      </w:r>
      <w:r>
        <w:rPr>
          <w:rFonts w:ascii="Arial" w:cs="Arial" w:eastAsia="Arial" w:hAnsi="Arial"/>
          <w:sz w:val="15"/>
          <w:szCs w:val="15"/>
          <w:color w:val="auto"/>
        </w:rPr>
        <w:t>.</w:t>
      </w:r>
    </w:p>
    <w:p>
      <w:pPr>
        <w:spacing w:after="0" w:line="198" w:lineRule="exact"/>
        <w:rPr>
          <w:sz w:val="20"/>
          <w:szCs w:val="20"/>
          <w:color w:val="auto"/>
        </w:rPr>
      </w:pPr>
    </w:p>
    <w:p>
      <w:pPr>
        <w:ind w:left="7" w:right="80" w:firstLine="1104"/>
        <w:spacing w:after="0" w:line="263" w:lineRule="auto"/>
        <w:tabs>
          <w:tab w:leader="none" w:pos="1681" w:val="left"/>
        </w:tabs>
        <w:numPr>
          <w:ilvl w:val="1"/>
          <w:numId w:val="205"/>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for purposes of determining the amount to be distributed in respect of shares of any given series of Preferred Stock in the event of any voluntary or involuntary liquidation, dissolution or winding up of the Corporation or Deemed Liquidation Event (as defined in </w:t>
      </w:r>
      <w:r>
        <w:rPr>
          <w:rFonts w:ascii="Arial" w:cs="Arial" w:eastAsia="Arial" w:hAnsi="Arial"/>
          <w:sz w:val="15"/>
          <w:szCs w:val="15"/>
          <w:u w:val="single" w:color="auto"/>
          <w:color w:val="auto"/>
        </w:rPr>
        <w:t>Section 3.2(g)</w:t>
      </w:r>
      <w:r>
        <w:rPr>
          <w:rFonts w:ascii="Arial" w:cs="Arial" w:eastAsia="Arial" w:hAnsi="Arial"/>
          <w:sz w:val="15"/>
          <w:szCs w:val="15"/>
          <w:color w:val="auto"/>
        </w:rPr>
        <w:t xml:space="preserve">), all shares of such series of Preferred Stock shall be deemed to have been converted (regardless of whether the holder(s) thereof actually elects to convert such shares) into shares of Common Stock in accordance with </w:t>
      </w:r>
      <w:r>
        <w:rPr>
          <w:rFonts w:ascii="Arial" w:cs="Arial" w:eastAsia="Arial" w:hAnsi="Arial"/>
          <w:sz w:val="15"/>
          <w:szCs w:val="15"/>
          <w:u w:val="single" w:color="auto"/>
          <w:color w:val="auto"/>
        </w:rPr>
        <w:t>Section 3.3(a)</w:t>
      </w:r>
      <w:r>
        <w:rPr>
          <w:rFonts w:ascii="Arial" w:cs="Arial" w:eastAsia="Arial" w:hAnsi="Arial"/>
          <w:sz w:val="15"/>
          <w:szCs w:val="15"/>
          <w:color w:val="auto"/>
        </w:rPr>
        <w:t xml:space="preserve"> immediately prior to such event (“</w:t>
      </w:r>
      <w:r>
        <w:rPr>
          <w:rFonts w:ascii="Arial" w:cs="Arial" w:eastAsia="Arial" w:hAnsi="Arial"/>
          <w:sz w:val="15"/>
          <w:szCs w:val="15"/>
          <w:u w:val="single" w:color="auto"/>
          <w:color w:val="auto"/>
        </w:rPr>
        <w:t>Retroactive Deemed Conversion</w:t>
      </w:r>
      <w:r>
        <w:rPr>
          <w:rFonts w:ascii="Arial" w:cs="Arial" w:eastAsia="Arial" w:hAnsi="Arial"/>
          <w:sz w:val="15"/>
          <w:szCs w:val="15"/>
          <w:color w:val="auto"/>
        </w:rPr>
        <w:t xml:space="preserve">”) if the amount that would have been distributable in respect of such shares of Common Stock had such conversion actually occurred (and assuming the like conversion of all shares of each other series of Preferred Stock deemed converted pursuant to this </w:t>
      </w:r>
      <w:r>
        <w:rPr>
          <w:rFonts w:ascii="Arial" w:cs="Arial" w:eastAsia="Arial" w:hAnsi="Arial"/>
          <w:sz w:val="15"/>
          <w:szCs w:val="15"/>
          <w:u w:val="single" w:color="auto"/>
          <w:color w:val="auto"/>
        </w:rPr>
        <w:t>Subsection 3.2(d)</w:t>
      </w:r>
      <w:r>
        <w:rPr>
          <w:rFonts w:ascii="Arial" w:cs="Arial" w:eastAsia="Arial" w:hAnsi="Arial"/>
          <w:sz w:val="15"/>
          <w:szCs w:val="15"/>
          <w:color w:val="auto"/>
        </w:rPr>
        <w:t xml:space="preserve">) is greater than the amount that would have been distributable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in such event in respect of the shares of such series of Preferred Stock had such conversion not been deemed to have occurred pursuant to this </w:t>
      </w:r>
      <w:r>
        <w:rPr>
          <w:rFonts w:ascii="Arial" w:cs="Arial" w:eastAsia="Arial" w:hAnsi="Arial"/>
          <w:sz w:val="15"/>
          <w:szCs w:val="15"/>
          <w:u w:val="single" w:color="auto"/>
          <w:color w:val="auto"/>
        </w:rPr>
        <w:t>Subsection 3.2(d)</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ind w:left="1667" w:hanging="556"/>
        <w:spacing w:after="0"/>
        <w:tabs>
          <w:tab w:leader="none" w:pos="1667" w:val="left"/>
        </w:tabs>
        <w:numPr>
          <w:ilvl w:val="1"/>
          <w:numId w:val="205"/>
        </w:numPr>
        <w:rPr>
          <w:rFonts w:ascii="Arial" w:cs="Arial" w:eastAsia="Arial" w:hAnsi="Arial"/>
          <w:sz w:val="15"/>
          <w:szCs w:val="15"/>
          <w:color w:val="auto"/>
        </w:rPr>
      </w:pPr>
      <w:r>
        <w:rPr>
          <w:rFonts w:ascii="Arial" w:cs="Arial" w:eastAsia="Arial" w:hAnsi="Arial"/>
          <w:sz w:val="15"/>
          <w:szCs w:val="15"/>
          <w:color w:val="auto"/>
        </w:rPr>
        <w:t>For purposes of this Article FOURTH, “</w:t>
      </w:r>
      <w:r>
        <w:rPr>
          <w:rFonts w:ascii="Arial" w:cs="Arial" w:eastAsia="Arial" w:hAnsi="Arial"/>
          <w:sz w:val="15"/>
          <w:szCs w:val="15"/>
          <w:u w:val="single" w:color="auto"/>
          <w:color w:val="auto"/>
        </w:rPr>
        <w:t>Original Issue Price</w:t>
      </w:r>
      <w:r>
        <w:rPr>
          <w:rFonts w:ascii="Arial" w:cs="Arial" w:eastAsia="Arial" w:hAnsi="Arial"/>
          <w:sz w:val="15"/>
          <w:szCs w:val="15"/>
          <w:color w:val="auto"/>
        </w:rPr>
        <w:t>” shall mean, as applicable, (i) $0.9653 per share for each share of Series A Preferred,</w:t>
      </w:r>
    </w:p>
    <w:p>
      <w:pPr>
        <w:spacing w:after="0" w:line="23" w:lineRule="exact"/>
        <w:rPr>
          <w:rFonts w:ascii="Arial" w:cs="Arial" w:eastAsia="Arial" w:hAnsi="Arial"/>
          <w:sz w:val="15"/>
          <w:szCs w:val="15"/>
          <w:color w:val="auto"/>
        </w:rPr>
      </w:pPr>
    </w:p>
    <w:p>
      <w:pPr>
        <w:ind w:left="7" w:hanging="7"/>
        <w:spacing w:after="0" w:line="262" w:lineRule="auto"/>
        <w:tabs>
          <w:tab w:leader="none" w:pos="235" w:val="left"/>
        </w:tabs>
        <w:numPr>
          <w:ilvl w:val="0"/>
          <w:numId w:val="206"/>
        </w:numPr>
        <w:rPr>
          <w:rFonts w:ascii="Arial" w:cs="Arial" w:eastAsia="Arial" w:hAnsi="Arial"/>
          <w:sz w:val="15"/>
          <w:szCs w:val="15"/>
          <w:color w:val="auto"/>
        </w:rPr>
      </w:pPr>
      <w:r>
        <w:rPr>
          <w:rFonts w:ascii="Arial" w:cs="Arial" w:eastAsia="Arial" w:hAnsi="Arial"/>
          <w:sz w:val="15"/>
          <w:szCs w:val="15"/>
          <w:color w:val="auto"/>
        </w:rPr>
        <w:t>$2.0303 per share for each share of Series B Preferred, (iii) $3.00 per share for each share of Series C Preferred, (iv) $4.50 per share for each share of Series D Preferred, (v) $4.50 per share for each share of Series E Preferred, and (vi) $4.50 per share for each share of Series SRN Preferred (in each case as adjusted for any stock splits, stock dividends, combinations, subdivision, recapitalizations or the like with respect to the Series A Preferred, the Series B Preferred, the Series C Preferred, the Series D Preferred, the Series E Preferred or the Series SRN Preferred, as the case may be, occurring after the filing date of this Fourth Amended and Restated Certificate of Incorporation (as the same may be amended from time to time, the “</w:t>
      </w:r>
      <w:r>
        <w:rPr>
          <w:rFonts w:ascii="Arial" w:cs="Arial" w:eastAsia="Arial" w:hAnsi="Arial"/>
          <w:sz w:val="15"/>
          <w:szCs w:val="15"/>
          <w:u w:val="single" w:color="auto"/>
          <w:color w:val="auto"/>
        </w:rPr>
        <w:t>Certificate</w:t>
      </w:r>
      <w:r>
        <w:rPr>
          <w:rFonts w:ascii="Arial" w:cs="Arial" w:eastAsia="Arial" w:hAnsi="Arial"/>
          <w:sz w:val="15"/>
          <w:szCs w:val="15"/>
          <w:color w:val="auto"/>
        </w:rPr>
        <w:t>”).</w:t>
      </w:r>
    </w:p>
    <w:p>
      <w:pPr>
        <w:spacing w:after="0" w:line="160" w:lineRule="exact"/>
        <w:rPr>
          <w:rFonts w:ascii="Arial" w:cs="Arial" w:eastAsia="Arial" w:hAnsi="Arial"/>
          <w:sz w:val="15"/>
          <w:szCs w:val="15"/>
          <w:color w:val="auto"/>
        </w:rPr>
      </w:pPr>
    </w:p>
    <w:p>
      <w:pPr>
        <w:ind w:left="7" w:right="120" w:firstLine="1104"/>
        <w:spacing w:after="0" w:line="371" w:lineRule="auto"/>
        <w:tabs>
          <w:tab w:leader="none" w:pos="1679" w:val="left"/>
        </w:tabs>
        <w:numPr>
          <w:ilvl w:val="1"/>
          <w:numId w:val="206"/>
        </w:numPr>
        <w:rPr>
          <w:rFonts w:ascii="Arial" w:cs="Arial" w:eastAsia="Arial" w:hAnsi="Arial"/>
          <w:sz w:val="13"/>
          <w:szCs w:val="13"/>
          <w:color w:val="auto"/>
        </w:rPr>
      </w:pPr>
      <w:r>
        <w:rPr>
          <w:rFonts w:ascii="Arial" w:cs="Arial" w:eastAsia="Arial" w:hAnsi="Arial"/>
          <w:sz w:val="13"/>
          <w:szCs w:val="13"/>
          <w:color w:val="auto"/>
        </w:rPr>
        <w:t xml:space="preserve">Upon payment or the setting apart of the distributions required by subsections (a), (b) and (c) of this </w:t>
      </w:r>
      <w:r>
        <w:rPr>
          <w:rFonts w:ascii="Arial" w:cs="Arial" w:eastAsia="Arial" w:hAnsi="Arial"/>
          <w:sz w:val="13"/>
          <w:szCs w:val="13"/>
          <w:u w:val="single" w:color="auto"/>
          <w:color w:val="auto"/>
        </w:rPr>
        <w:t>Section 3.2</w:t>
      </w:r>
      <w:r>
        <w:rPr>
          <w:rFonts w:ascii="Arial" w:cs="Arial" w:eastAsia="Arial" w:hAnsi="Arial"/>
          <w:sz w:val="13"/>
          <w:szCs w:val="13"/>
          <w:color w:val="auto"/>
        </w:rPr>
        <w:t>, all remaining proceeds and assets available for distribution to stockholders shall be distributed to the holders of the Common Stock ratably in proportion to the number of shares of Common Stock each of them then holds.</w:t>
      </w:r>
    </w:p>
    <w:p>
      <w:pPr>
        <w:spacing w:after="0" w:line="93" w:lineRule="exact"/>
        <w:rPr>
          <w:rFonts w:ascii="Arial" w:cs="Arial" w:eastAsia="Arial" w:hAnsi="Arial"/>
          <w:sz w:val="13"/>
          <w:szCs w:val="13"/>
          <w:color w:val="auto"/>
        </w:rPr>
      </w:pPr>
    </w:p>
    <w:p>
      <w:pPr>
        <w:ind w:left="7" w:right="60" w:firstLine="1104"/>
        <w:spacing w:after="0" w:line="262" w:lineRule="auto"/>
        <w:tabs>
          <w:tab w:leader="none" w:pos="1693" w:val="left"/>
        </w:tabs>
        <w:numPr>
          <w:ilvl w:val="1"/>
          <w:numId w:val="206"/>
        </w:numPr>
        <w:rPr>
          <w:rFonts w:ascii="Arial" w:cs="Arial" w:eastAsia="Arial" w:hAnsi="Arial"/>
          <w:sz w:val="15"/>
          <w:szCs w:val="15"/>
          <w:color w:val="auto"/>
        </w:rPr>
      </w:pPr>
      <w:r>
        <w:rPr>
          <w:rFonts w:ascii="Arial" w:cs="Arial" w:eastAsia="Arial" w:hAnsi="Arial"/>
          <w:sz w:val="15"/>
          <w:szCs w:val="15"/>
          <w:color w:val="auto"/>
        </w:rPr>
        <w:t xml:space="preserve">For purposes of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a liquidation, dissolution or winding up of the Corporation shall include: (i) the closing of a sale (in a single transaction or a series of related transactions) of, or the grant of an exclusive, perpetual, global, fully paid, royalty free, irrevocable, transferable and sublicensable license granting complete control rights over, all or substantially all of the assets of the Corporation, or (ii) the consummation of a consolidation or merger of the Corporation with or into another entity, but only if the holders of the outstanding stock of the Corporation immediately prior to the closing of such merger or consolidation hold, immediately after such closing, less than a majority of the voting power of the capital stock of the surviving or acquiring entity;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treatment of any particular transaction or series of related transactions as a liquidation, dissolution or winding up of the Corporation may be waived by the vote or written consent of (A) the holders of shares of Series E Preferred representing a majority of the votes represented by all outstanding shares of Series E Preferred and (B) the holders of shares of Tier II Preferred Stock representing at least sixty-six and two-thirds percent (66 2/3%) of the votes represented by all outstanding shares of Tier II</w:t>
      </w:r>
    </w:p>
    <w:p>
      <w:pPr>
        <w:spacing w:after="0" w:line="16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rPr>
          <w:sz w:val="20"/>
          <w:szCs w:val="20"/>
          <w:color w:val="auto"/>
        </w:rPr>
      </w:pPr>
      <w:r>
        <w:rPr>
          <w:rFonts w:ascii="Arial" w:cs="Arial" w:eastAsia="Arial" w:hAnsi="Arial"/>
          <w:sz w:val="13"/>
          <w:szCs w:val="13"/>
          <w:color w:val="auto"/>
        </w:rPr>
        <w:t>Preferred Stock voting together as a single class, by notice to the Corporation no later than fifteen (15) days before the effective date of such event. Any transaction described in clauses</w:t>
      </w:r>
    </w:p>
    <w:p>
      <w:pPr>
        <w:spacing w:after="0" w:line="46" w:lineRule="exact"/>
        <w:rPr>
          <w:sz w:val="20"/>
          <w:szCs w:val="20"/>
          <w:color w:val="auto"/>
        </w:rPr>
      </w:pPr>
    </w:p>
    <w:p>
      <w:pPr>
        <w:ind w:left="7" w:right="80" w:hanging="7"/>
        <w:spacing w:after="0" w:line="275" w:lineRule="auto"/>
        <w:tabs>
          <w:tab w:leader="none" w:pos="192" w:val="left"/>
        </w:tabs>
        <w:numPr>
          <w:ilvl w:val="0"/>
          <w:numId w:val="207"/>
        </w:numPr>
        <w:rPr>
          <w:rFonts w:ascii="Arial" w:cs="Arial" w:eastAsia="Arial" w:hAnsi="Arial"/>
          <w:sz w:val="15"/>
          <w:szCs w:val="15"/>
          <w:color w:val="auto"/>
        </w:rPr>
      </w:pPr>
      <w:r>
        <w:rPr>
          <w:rFonts w:ascii="Arial" w:cs="Arial" w:eastAsia="Arial" w:hAnsi="Arial"/>
          <w:sz w:val="15"/>
          <w:szCs w:val="15"/>
          <w:color w:val="auto"/>
        </w:rPr>
        <w:t>and (ii) of the preceding sentence, subject to the waiver by the holders of shares of Senior Preferred Stock as set forth in the proviso thereto, shall be referred to herein as a “</w:t>
      </w:r>
      <w:r>
        <w:rPr>
          <w:rFonts w:ascii="Arial" w:cs="Arial" w:eastAsia="Arial" w:hAnsi="Arial"/>
          <w:sz w:val="15"/>
          <w:szCs w:val="15"/>
          <w:u w:val="single" w:color="auto"/>
          <w:color w:val="auto"/>
        </w:rPr>
        <w:t>Deemed</w:t>
      </w:r>
      <w:r>
        <w:rPr>
          <w:rFonts w:ascii="Arial" w:cs="Arial" w:eastAsia="Arial" w:hAnsi="Arial"/>
          <w:sz w:val="15"/>
          <w:szCs w:val="15"/>
          <w:color w:val="auto"/>
        </w:rPr>
        <w:t xml:space="preserve"> </w:t>
      </w:r>
      <w:r>
        <w:rPr>
          <w:rFonts w:ascii="Arial" w:cs="Arial" w:eastAsia="Arial" w:hAnsi="Arial"/>
          <w:sz w:val="15"/>
          <w:szCs w:val="15"/>
          <w:u w:val="single" w:color="auto"/>
          <w:color w:val="auto"/>
        </w:rPr>
        <w:t>Liquidation Event</w:t>
      </w:r>
      <w:r>
        <w:rPr>
          <w:rFonts w:ascii="Arial" w:cs="Arial" w:eastAsia="Arial" w:hAnsi="Arial"/>
          <w:sz w:val="15"/>
          <w:szCs w:val="15"/>
          <w:color w:val="auto"/>
        </w:rPr>
        <w:t xml:space="preserve">”. The proceeds of any Deemed Liquidation Event shall be distributed pursuant to </w:t>
      </w:r>
      <w:r>
        <w:rPr>
          <w:rFonts w:ascii="Arial" w:cs="Arial" w:eastAsia="Arial" w:hAnsi="Arial"/>
          <w:sz w:val="15"/>
          <w:szCs w:val="15"/>
          <w:u w:val="single" w:color="auto"/>
          <w:color w:val="auto"/>
        </w:rPr>
        <w:t>Sections 3.2(a)</w:t>
      </w:r>
      <w:r>
        <w:rPr>
          <w:rFonts w:ascii="Arial" w:cs="Arial" w:eastAsia="Arial" w:hAnsi="Arial"/>
          <w:sz w:val="15"/>
          <w:szCs w:val="15"/>
          <w:color w:val="auto"/>
        </w:rPr>
        <w:t>-</w:t>
      </w:r>
      <w:r>
        <w:rPr>
          <w:rFonts w:ascii="Arial" w:cs="Arial" w:eastAsia="Arial" w:hAnsi="Arial"/>
          <w:sz w:val="15"/>
          <w:szCs w:val="15"/>
          <w:u w:val="single" w:color="auto"/>
          <w:color w:val="auto"/>
        </w:rPr>
        <w:t>(d)</w:t>
      </w:r>
      <w:r>
        <w:rPr>
          <w:rFonts w:ascii="Arial" w:cs="Arial" w:eastAsia="Arial" w:hAnsi="Arial"/>
          <w:sz w:val="15"/>
          <w:szCs w:val="15"/>
          <w:color w:val="auto"/>
        </w:rPr>
        <w:t xml:space="preserve"> and (f), above.</w:t>
      </w:r>
    </w:p>
    <w:p>
      <w:pPr>
        <w:spacing w:after="0" w:line="150" w:lineRule="exact"/>
        <w:rPr>
          <w:rFonts w:ascii="Arial" w:cs="Arial" w:eastAsia="Arial" w:hAnsi="Arial"/>
          <w:sz w:val="15"/>
          <w:szCs w:val="15"/>
          <w:color w:val="auto"/>
        </w:rPr>
      </w:pPr>
    </w:p>
    <w:p>
      <w:pPr>
        <w:ind w:left="7" w:right="60" w:firstLine="1104"/>
        <w:spacing w:after="0" w:line="273" w:lineRule="auto"/>
        <w:tabs>
          <w:tab w:leader="none" w:pos="1681" w:val="left"/>
        </w:tabs>
        <w:numPr>
          <w:ilvl w:val="1"/>
          <w:numId w:val="207"/>
        </w:numPr>
        <w:rPr>
          <w:rFonts w:ascii="Arial" w:cs="Arial" w:eastAsia="Arial" w:hAnsi="Arial"/>
          <w:sz w:val="15"/>
          <w:szCs w:val="15"/>
          <w:color w:val="auto"/>
        </w:rPr>
      </w:pPr>
      <w:r>
        <w:rPr>
          <w:rFonts w:ascii="Arial" w:cs="Arial" w:eastAsia="Arial" w:hAnsi="Arial"/>
          <w:sz w:val="15"/>
          <w:szCs w:val="15"/>
          <w:color w:val="auto"/>
        </w:rPr>
        <w:t>The amount deemed paid or distributed to the holders of capital stock of the Corporation upon any such Deemed Liquidation Event shall be the cash or the value of the property, rights or securities paid or distributed to such holders by the Corporation or the surviving or acquiring person, firm or other entity. If the consideration received is other than cash, its value will be deemed to be its fair market value as reasonably determined in good faith by the Board of Directors.</w:t>
      </w:r>
    </w:p>
    <w:p>
      <w:pPr>
        <w:spacing w:after="0" w:line="152" w:lineRule="exact"/>
        <w:rPr>
          <w:rFonts w:ascii="Arial" w:cs="Arial" w:eastAsia="Arial" w:hAnsi="Arial"/>
          <w:sz w:val="15"/>
          <w:szCs w:val="15"/>
          <w:color w:val="auto"/>
        </w:rPr>
      </w:pPr>
    </w:p>
    <w:p>
      <w:pPr>
        <w:jc w:val="both"/>
        <w:ind w:left="7" w:right="120" w:firstLine="1104"/>
        <w:spacing w:after="0" w:line="273" w:lineRule="auto"/>
        <w:tabs>
          <w:tab w:leader="none" w:pos="1693" w:val="left"/>
        </w:tabs>
        <w:numPr>
          <w:ilvl w:val="1"/>
          <w:numId w:val="207"/>
        </w:numPr>
        <w:rPr>
          <w:rFonts w:ascii="Arial" w:cs="Arial" w:eastAsia="Arial" w:hAnsi="Arial"/>
          <w:sz w:val="15"/>
          <w:szCs w:val="15"/>
          <w:color w:val="auto"/>
        </w:rPr>
      </w:pPr>
      <w:r>
        <w:rPr>
          <w:rFonts w:ascii="Arial" w:cs="Arial" w:eastAsia="Arial" w:hAnsi="Arial"/>
          <w:sz w:val="15"/>
          <w:szCs w:val="15"/>
          <w:color w:val="auto"/>
        </w:rPr>
        <w:t xml:space="preserve">Notwithstanding the other provisions of this Certificate, any notice period in this Certificate (other than any notice period set forth in </w:t>
      </w:r>
      <w:r>
        <w:rPr>
          <w:rFonts w:ascii="Arial" w:cs="Arial" w:eastAsia="Arial" w:hAnsi="Arial"/>
          <w:sz w:val="15"/>
          <w:szCs w:val="15"/>
          <w:u w:val="single" w:color="auto"/>
          <w:color w:val="auto"/>
        </w:rPr>
        <w:t>Section 3.3(c)</w:t>
      </w:r>
      <w:r>
        <w:rPr>
          <w:rFonts w:ascii="Arial" w:cs="Arial" w:eastAsia="Arial" w:hAnsi="Arial"/>
          <w:sz w:val="15"/>
          <w:szCs w:val="15"/>
          <w:color w:val="auto"/>
        </w:rPr>
        <w:t xml:space="preserve"> below) may be shortened or waived, either before or after the action for which notice is required, with the written consent of the Company and the holders of a majority of the voting power of the outstanding shares of Senior Preferred Stock that are entitled to such notice rights (voting together as a single class).</w:t>
      </w:r>
    </w:p>
    <w:p>
      <w:pPr>
        <w:spacing w:after="0" w:line="153"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4"/>
          <w:szCs w:val="14"/>
          <w:u w:val="single" w:color="auto"/>
          <w:color w:val="auto"/>
        </w:rPr>
        <w:t>Conversion</w:t>
      </w:r>
      <w:r>
        <w:rPr>
          <w:rFonts w:ascii="Arial" w:cs="Arial" w:eastAsia="Arial" w:hAnsi="Arial"/>
          <w:sz w:val="14"/>
          <w:szCs w:val="14"/>
          <w:color w:val="auto"/>
        </w:rPr>
        <w:t>. The holders of Preferred Stock shall have conversion rights as follows (the “</w:t>
      </w:r>
      <w:r>
        <w:rPr>
          <w:rFonts w:ascii="Arial" w:cs="Arial" w:eastAsia="Arial" w:hAnsi="Arial"/>
          <w:sz w:val="14"/>
          <w:szCs w:val="14"/>
          <w:u w:val="single" w:color="auto"/>
          <w:color w:val="auto"/>
        </w:rPr>
        <w:t>Conversion Rights</w:t>
      </w:r>
      <w:r>
        <w:rPr>
          <w:rFonts w:ascii="Arial" w:cs="Arial" w:eastAsia="Arial" w:hAnsi="Arial"/>
          <w:sz w:val="14"/>
          <w:szCs w:val="14"/>
          <w:color w:val="auto"/>
        </w:rPr>
        <w:t>”):</w:t>
      </w:r>
    </w:p>
    <w:p>
      <w:pPr>
        <w:spacing w:after="0" w:line="198" w:lineRule="exact"/>
        <w:rPr>
          <w:sz w:val="20"/>
          <w:szCs w:val="20"/>
          <w:color w:val="auto"/>
        </w:rPr>
      </w:pPr>
    </w:p>
    <w:p>
      <w:pPr>
        <w:ind w:left="1667" w:hanging="556"/>
        <w:spacing w:after="0"/>
        <w:tabs>
          <w:tab w:leader="none" w:pos="1667" w:val="left"/>
        </w:tabs>
        <w:numPr>
          <w:ilvl w:val="0"/>
          <w:numId w:val="208"/>
        </w:numPr>
        <w:rPr>
          <w:rFonts w:ascii="Arial" w:cs="Arial" w:eastAsia="Arial" w:hAnsi="Arial"/>
          <w:sz w:val="15"/>
          <w:szCs w:val="15"/>
          <w:color w:val="auto"/>
        </w:rPr>
      </w:pPr>
      <w:r>
        <w:rPr>
          <w:rFonts w:ascii="Arial" w:cs="Arial" w:eastAsia="Arial" w:hAnsi="Arial"/>
          <w:sz w:val="15"/>
          <w:szCs w:val="15"/>
          <w:u w:val="single" w:color="auto"/>
          <w:color w:val="auto"/>
        </w:rPr>
        <w:t>Optional Conversion of the Preferred Stock</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2247" w:hanging="580"/>
        <w:spacing w:after="0"/>
        <w:tabs>
          <w:tab w:leader="none" w:pos="2247" w:val="left"/>
        </w:tabs>
        <w:numPr>
          <w:ilvl w:val="1"/>
          <w:numId w:val="208"/>
        </w:numPr>
        <w:rPr>
          <w:rFonts w:ascii="Arial" w:cs="Arial" w:eastAsia="Arial" w:hAnsi="Arial"/>
          <w:sz w:val="15"/>
          <w:szCs w:val="15"/>
          <w:color w:val="auto"/>
        </w:rPr>
      </w:pPr>
      <w:r>
        <w:rPr>
          <w:rFonts w:ascii="Arial" w:cs="Arial" w:eastAsia="Arial" w:hAnsi="Arial"/>
          <w:sz w:val="15"/>
          <w:szCs w:val="15"/>
          <w:u w:val="single" w:color="auto"/>
          <w:color w:val="auto"/>
        </w:rPr>
        <w:t>Series E Preferred Stock</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7" w:firstLine="2216"/>
        <w:spacing w:after="0" w:line="280" w:lineRule="auto"/>
        <w:tabs>
          <w:tab w:leader="none" w:pos="2793" w:val="left"/>
        </w:tabs>
        <w:numPr>
          <w:ilvl w:val="2"/>
          <w:numId w:val="208"/>
        </w:numPr>
        <w:rPr>
          <w:rFonts w:ascii="Arial" w:cs="Arial" w:eastAsia="Arial" w:hAnsi="Arial"/>
          <w:sz w:val="14"/>
          <w:szCs w:val="14"/>
          <w:color w:val="auto"/>
        </w:rPr>
      </w:pPr>
      <w:r>
        <w:rPr>
          <w:rFonts w:ascii="Arial" w:cs="Arial" w:eastAsia="Arial" w:hAnsi="Arial"/>
          <w:sz w:val="14"/>
          <w:szCs w:val="14"/>
          <w:color w:val="auto"/>
        </w:rPr>
        <w:t xml:space="preserve">In the event that (i) a holder of shares of Series E Preferred elects to convert such shares into Common Stock on or after the date that is 30 days prior to a Deemed Liquidation Event or (ii) shares of Series E Preferred are converted into Common Stock pursuant to </w:t>
      </w:r>
      <w:r>
        <w:rPr>
          <w:rFonts w:ascii="Arial" w:cs="Arial" w:eastAsia="Arial" w:hAnsi="Arial"/>
          <w:sz w:val="14"/>
          <w:szCs w:val="14"/>
          <w:u w:val="single" w:color="auto"/>
          <w:color w:val="auto"/>
        </w:rPr>
        <w:t>Section 3.3(b)(v)</w:t>
      </w:r>
      <w:r>
        <w:rPr>
          <w:rFonts w:ascii="Arial" w:cs="Arial" w:eastAsia="Arial" w:hAnsi="Arial"/>
          <w:sz w:val="14"/>
          <w:szCs w:val="14"/>
          <w:color w:val="auto"/>
        </w:rPr>
        <w:t xml:space="preserve"> (or are deemed to convert into Common Stock pursuant to </w:t>
      </w:r>
      <w:r>
        <w:rPr>
          <w:rFonts w:ascii="Arial" w:cs="Arial" w:eastAsia="Arial" w:hAnsi="Arial"/>
          <w:sz w:val="14"/>
          <w:szCs w:val="14"/>
          <w:u w:val="single" w:color="auto"/>
          <w:color w:val="auto"/>
        </w:rPr>
        <w:t>Section 3.2(d)</w:t>
      </w:r>
      <w:r>
        <w:rPr>
          <w:rFonts w:ascii="Arial" w:cs="Arial" w:eastAsia="Arial" w:hAnsi="Arial"/>
          <w:sz w:val="14"/>
          <w:szCs w:val="14"/>
          <w:color w:val="auto"/>
        </w:rPr>
        <w:t xml:space="preserve">), then the number of shares of Common Stock issuable upon conversion of each such share of Series E Preferred shall be equal to (A) the Original Issue Price of the Series E Preferred,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the applicable Conversion Price (as defined in Section 3.3(a)(v)) in effect at the time of conversion, determined as provided in</w:t>
      </w:r>
    </w:p>
    <w:p>
      <w:pPr>
        <w:ind w:left="7" w:right="400"/>
        <w:spacing w:after="0" w:line="266" w:lineRule="auto"/>
        <w:rPr>
          <w:rFonts w:ascii="Arial" w:cs="Arial" w:eastAsia="Arial" w:hAnsi="Arial"/>
          <w:sz w:val="14"/>
          <w:szCs w:val="14"/>
          <w:color w:val="auto"/>
        </w:rPr>
      </w:pP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(B) 1.15. For the avoidance of doubt, in the event that a holder of shares of Series E Preferred elects to convert such shares in accordance with clause (i) of this </w:t>
      </w:r>
      <w:r>
        <w:rPr>
          <w:rFonts w:ascii="Arial" w:cs="Arial" w:eastAsia="Arial" w:hAnsi="Arial"/>
          <w:sz w:val="15"/>
          <w:szCs w:val="15"/>
          <w:u w:val="single" w:color="auto"/>
          <w:color w:val="auto"/>
        </w:rPr>
        <w:t>Subsection 3.3(a)(i)(1)</w:t>
      </w:r>
      <w:r>
        <w:rPr>
          <w:rFonts w:ascii="Arial" w:cs="Arial" w:eastAsia="Arial" w:hAnsi="Arial"/>
          <w:sz w:val="15"/>
          <w:szCs w:val="15"/>
          <w:color w:val="auto"/>
        </w:rPr>
        <w:t>, such holder shall not be entitled to receive any portion of the Series E Liquidation Amount in any subsequent voluntary or involuntary liquidation, dissolution or winding up of the affairs of the Corporation, including any Deemed Liquidation Event.</w:t>
      </w:r>
    </w:p>
    <w:p>
      <w:pPr>
        <w:spacing w:after="0" w:line="157" w:lineRule="exact"/>
        <w:rPr>
          <w:rFonts w:ascii="Arial" w:cs="Arial" w:eastAsia="Arial" w:hAnsi="Arial"/>
          <w:sz w:val="14"/>
          <w:szCs w:val="14"/>
          <w:color w:val="auto"/>
        </w:rPr>
      </w:pPr>
    </w:p>
    <w:p>
      <w:pPr>
        <w:ind w:left="7" w:right="160" w:firstLine="2216"/>
        <w:spacing w:after="0" w:line="273" w:lineRule="auto"/>
        <w:tabs>
          <w:tab w:leader="none" w:pos="2793" w:val="left"/>
        </w:tabs>
        <w:numPr>
          <w:ilvl w:val="2"/>
          <w:numId w:val="208"/>
        </w:numPr>
        <w:rPr>
          <w:rFonts w:ascii="Arial" w:cs="Arial" w:eastAsia="Arial" w:hAnsi="Arial"/>
          <w:sz w:val="15"/>
          <w:szCs w:val="15"/>
          <w:color w:val="auto"/>
        </w:rPr>
      </w:pPr>
      <w:r>
        <w:rPr>
          <w:rFonts w:ascii="Arial" w:cs="Arial" w:eastAsia="Arial" w:hAnsi="Arial"/>
          <w:sz w:val="15"/>
          <w:szCs w:val="15"/>
          <w:color w:val="auto"/>
        </w:rPr>
        <w:t xml:space="preserve">Each share of Series E Preferred shall be convertible at the option of the holder thereof at any time and from time to time after the date of issuance of such share and without the payment of any additional consideration therefor, into, except as set forth in </w:t>
      </w:r>
      <w:r>
        <w:rPr>
          <w:rFonts w:ascii="Arial" w:cs="Arial" w:eastAsia="Arial" w:hAnsi="Arial"/>
          <w:sz w:val="15"/>
          <w:szCs w:val="15"/>
          <w:u w:val="single" w:color="auto"/>
          <w:color w:val="auto"/>
        </w:rPr>
        <w:t>Subsection 3.3(a)(i)(1)</w:t>
      </w:r>
      <w:r>
        <w:rPr>
          <w:rFonts w:ascii="Arial" w:cs="Arial" w:eastAsia="Arial" w:hAnsi="Arial"/>
          <w:sz w:val="15"/>
          <w:szCs w:val="15"/>
          <w:color w:val="auto"/>
        </w:rPr>
        <w:t xml:space="preserve"> above, that number of fully paid and nonassessable shares of Common Stock as is determined by </w:t>
      </w:r>
      <w:r>
        <w:rPr>
          <w:rFonts w:ascii="Arial" w:cs="Arial" w:eastAsia="Arial" w:hAnsi="Arial"/>
          <w:sz w:val="15"/>
          <w:szCs w:val="15"/>
          <w:i w:val="1"/>
          <w:iCs w:val="1"/>
          <w:color w:val="auto"/>
        </w:rPr>
        <w:t>dividing</w:t>
      </w:r>
      <w:r>
        <w:rPr>
          <w:rFonts w:ascii="Arial" w:cs="Arial" w:eastAsia="Arial" w:hAnsi="Arial"/>
          <w:sz w:val="15"/>
          <w:szCs w:val="15"/>
          <w:color w:val="auto"/>
        </w:rPr>
        <w:t xml:space="preserve"> the Original Issue Price of the Series E Preferred, </w:t>
      </w:r>
      <w:r>
        <w:rPr>
          <w:rFonts w:ascii="Arial" w:cs="Arial" w:eastAsia="Arial" w:hAnsi="Arial"/>
          <w:sz w:val="15"/>
          <w:szCs w:val="15"/>
          <w:i w:val="1"/>
          <w:iCs w:val="1"/>
          <w:color w:val="auto"/>
        </w:rPr>
        <w:t>by</w:t>
      </w:r>
      <w:r>
        <w:rPr>
          <w:rFonts w:ascii="Arial" w:cs="Arial" w:eastAsia="Arial" w:hAnsi="Arial"/>
          <w:sz w:val="15"/>
          <w:szCs w:val="15"/>
          <w:color w:val="auto"/>
        </w:rPr>
        <w:t xml:space="preserve"> the</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27"/>
          </w:cols>
          <w:pgMar w:left="233" w:top="129" w:right="239" w:bottom="290" w:gutter="0" w:footer="0" w:header="0"/>
        </w:sectPr>
      </w:pPr>
    </w:p>
    <w:bookmarkStart w:id="310" w:name="page311"/>
    <w:bookmarkEnd w:id="310"/>
    <w:p>
      <w:pPr>
        <w:ind w:left="7"/>
        <w:spacing w:after="0"/>
        <w:rPr>
          <w:sz w:val="20"/>
          <w:szCs w:val="20"/>
          <w:color w:val="auto"/>
        </w:rPr>
      </w:pPr>
      <w:r>
        <w:rPr>
          <w:rFonts w:ascii="Arial" w:cs="Arial" w:eastAsia="Arial" w:hAnsi="Arial"/>
          <w:sz w:val="15"/>
          <w:szCs w:val="15"/>
          <w:color w:val="auto"/>
        </w:rPr>
        <w:t xml:space="preserve">applicable Conversion Price in effect at the time of conversion, determined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w:t>
      </w:r>
    </w:p>
    <w:p>
      <w:pPr>
        <w:spacing w:after="0" w:line="198" w:lineRule="exact"/>
        <w:rPr>
          <w:sz w:val="20"/>
          <w:szCs w:val="20"/>
          <w:color w:val="auto"/>
        </w:rPr>
      </w:pPr>
    </w:p>
    <w:p>
      <w:pPr>
        <w:jc w:val="both"/>
        <w:ind w:left="7" w:right="220" w:firstLine="1660"/>
        <w:spacing w:after="0" w:line="268" w:lineRule="auto"/>
        <w:tabs>
          <w:tab w:leader="none" w:pos="2258" w:val="left"/>
        </w:tabs>
        <w:numPr>
          <w:ilvl w:val="1"/>
          <w:numId w:val="209"/>
        </w:numPr>
        <w:rPr>
          <w:rFonts w:ascii="Arial" w:cs="Arial" w:eastAsia="Arial" w:hAnsi="Arial"/>
          <w:sz w:val="15"/>
          <w:szCs w:val="15"/>
          <w:color w:val="auto"/>
        </w:rPr>
      </w:pPr>
      <w:r>
        <w:rPr>
          <w:rFonts w:ascii="Arial" w:cs="Arial" w:eastAsia="Arial" w:hAnsi="Arial"/>
          <w:sz w:val="15"/>
          <w:szCs w:val="15"/>
          <w:u w:val="single" w:color="auto"/>
          <w:color w:val="auto"/>
        </w:rPr>
        <w:t>Tier II Preferred Stock</w:t>
      </w:r>
      <w:r>
        <w:rPr>
          <w:rFonts w:ascii="Arial" w:cs="Arial" w:eastAsia="Arial" w:hAnsi="Arial"/>
          <w:sz w:val="15"/>
          <w:szCs w:val="15"/>
          <w:color w:val="auto"/>
        </w:rPr>
        <w:t xml:space="preserve">. Each share of any series of Tier II Preferred Stock shall be convertible at the option of the holder thereof at any time and from time to time after the date of issuance of such share and without the payment of any additional consideration therefor, into that number of fully paid and nonassessable shares of Common Stock as is determined by </w:t>
      </w:r>
      <w:r>
        <w:rPr>
          <w:rFonts w:ascii="Arial" w:cs="Arial" w:eastAsia="Arial" w:hAnsi="Arial"/>
          <w:sz w:val="15"/>
          <w:szCs w:val="15"/>
          <w:i w:val="1"/>
          <w:iCs w:val="1"/>
          <w:color w:val="auto"/>
        </w:rPr>
        <w:t>dividing</w:t>
      </w:r>
      <w:r>
        <w:rPr>
          <w:rFonts w:ascii="Arial" w:cs="Arial" w:eastAsia="Arial" w:hAnsi="Arial"/>
          <w:sz w:val="15"/>
          <w:szCs w:val="15"/>
          <w:color w:val="auto"/>
        </w:rPr>
        <w:t xml:space="preserve"> the Original Issue Price for such series of Tier II Preferred Stock, </w:t>
      </w:r>
      <w:r>
        <w:rPr>
          <w:rFonts w:ascii="Arial" w:cs="Arial" w:eastAsia="Arial" w:hAnsi="Arial"/>
          <w:sz w:val="15"/>
          <w:szCs w:val="15"/>
          <w:i w:val="1"/>
          <w:iCs w:val="1"/>
          <w:color w:val="auto"/>
        </w:rPr>
        <w:t>by</w:t>
      </w:r>
      <w:r>
        <w:rPr>
          <w:rFonts w:ascii="Arial" w:cs="Arial" w:eastAsia="Arial" w:hAnsi="Arial"/>
          <w:sz w:val="15"/>
          <w:szCs w:val="15"/>
          <w:color w:val="auto"/>
        </w:rPr>
        <w:t xml:space="preserve"> the applicable Conversion Price for such series of Tier II Preferred Stock in effect at the time of conversion, determined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w:t>
      </w:r>
    </w:p>
    <w:p>
      <w:pPr>
        <w:spacing w:after="0" w:line="156" w:lineRule="exact"/>
        <w:rPr>
          <w:rFonts w:ascii="Arial" w:cs="Arial" w:eastAsia="Arial" w:hAnsi="Arial"/>
          <w:sz w:val="15"/>
          <w:szCs w:val="15"/>
          <w:color w:val="auto"/>
        </w:rPr>
      </w:pPr>
    </w:p>
    <w:p>
      <w:pPr>
        <w:ind w:left="7" w:right="40" w:firstLine="1660"/>
        <w:spacing w:after="0" w:line="280" w:lineRule="auto"/>
        <w:tabs>
          <w:tab w:leader="none" w:pos="2266" w:val="left"/>
        </w:tabs>
        <w:numPr>
          <w:ilvl w:val="1"/>
          <w:numId w:val="209"/>
        </w:numPr>
        <w:rPr>
          <w:rFonts w:ascii="Arial" w:cs="Arial" w:eastAsia="Arial" w:hAnsi="Arial"/>
          <w:sz w:val="14"/>
          <w:szCs w:val="14"/>
          <w:color w:val="auto"/>
        </w:rPr>
      </w:pPr>
      <w:r>
        <w:rPr>
          <w:rFonts w:ascii="Arial" w:cs="Arial" w:eastAsia="Arial" w:hAnsi="Arial"/>
          <w:sz w:val="14"/>
          <w:szCs w:val="14"/>
          <w:u w:val="single" w:color="auto"/>
          <w:color w:val="auto"/>
        </w:rPr>
        <w:t>Series SRN Preferred</w:t>
      </w:r>
      <w:r>
        <w:rPr>
          <w:rFonts w:ascii="Arial" w:cs="Arial" w:eastAsia="Arial" w:hAnsi="Arial"/>
          <w:sz w:val="14"/>
          <w:szCs w:val="14"/>
          <w:color w:val="auto"/>
        </w:rPr>
        <w:t xml:space="preserve">. Other than as provided in Section 3.3(a)(iv) below, upon the occurrence of an SRN Optional Conversion Event (as defined below), each share of Series SRN Preferred shall be convertible at the option of the holder thereof and without the payment of any additional consideration therefor, into that number of fully paid and nonassessable shares of Common Stock as is determined by </w:t>
      </w:r>
      <w:r>
        <w:rPr>
          <w:rFonts w:ascii="Arial" w:cs="Arial" w:eastAsia="Arial" w:hAnsi="Arial"/>
          <w:sz w:val="14"/>
          <w:szCs w:val="14"/>
          <w:i w:val="1"/>
          <w:iCs w:val="1"/>
          <w:color w:val="auto"/>
        </w:rPr>
        <w:t>dividing</w:t>
      </w:r>
      <w:r>
        <w:rPr>
          <w:rFonts w:ascii="Arial" w:cs="Arial" w:eastAsia="Arial" w:hAnsi="Arial"/>
          <w:sz w:val="14"/>
          <w:szCs w:val="14"/>
          <w:color w:val="auto"/>
        </w:rPr>
        <w:t xml:space="preserve"> the Original Issue Price for the Series SRN Preferred </w:t>
      </w:r>
      <w:r>
        <w:rPr>
          <w:rFonts w:ascii="Arial" w:cs="Arial" w:eastAsia="Arial" w:hAnsi="Arial"/>
          <w:sz w:val="14"/>
          <w:szCs w:val="14"/>
          <w:i w:val="1"/>
          <w:iCs w:val="1"/>
          <w:color w:val="auto"/>
        </w:rPr>
        <w:t>by</w:t>
      </w:r>
      <w:r>
        <w:rPr>
          <w:rFonts w:ascii="Arial" w:cs="Arial" w:eastAsia="Arial" w:hAnsi="Arial"/>
          <w:sz w:val="14"/>
          <w:szCs w:val="14"/>
          <w:color w:val="auto"/>
        </w:rPr>
        <w:t xml:space="preserve"> the Conversion Price for the Series SRN Preferred in effect at the time of conversion, determined as provided in </w:t>
      </w:r>
      <w:r>
        <w:rPr>
          <w:rFonts w:ascii="Arial" w:cs="Arial" w:eastAsia="Arial" w:hAnsi="Arial"/>
          <w:sz w:val="14"/>
          <w:szCs w:val="14"/>
          <w:u w:val="single" w:color="auto"/>
          <w:color w:val="auto"/>
        </w:rPr>
        <w:t>Section 3.3(d)</w:t>
      </w:r>
      <w:r>
        <w:rPr>
          <w:rFonts w:ascii="Arial" w:cs="Arial" w:eastAsia="Arial" w:hAnsi="Arial"/>
          <w:sz w:val="14"/>
          <w:szCs w:val="14"/>
          <w:color w:val="auto"/>
        </w:rPr>
        <w:t xml:space="preserve"> below,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any election to convert shall be delivered to the Corporation no later than ten</w:t>
      </w:r>
    </w:p>
    <w:p>
      <w:pPr>
        <w:ind w:left="7" w:right="20" w:hanging="7"/>
        <w:spacing w:after="0" w:line="280" w:lineRule="auto"/>
        <w:tabs>
          <w:tab w:leader="none" w:pos="303" w:val="left"/>
        </w:tabs>
        <w:numPr>
          <w:ilvl w:val="0"/>
          <w:numId w:val="210"/>
        </w:numPr>
        <w:rPr>
          <w:rFonts w:ascii="Arial" w:cs="Arial" w:eastAsia="Arial" w:hAnsi="Arial"/>
          <w:sz w:val="14"/>
          <w:szCs w:val="14"/>
          <w:color w:val="auto"/>
        </w:rPr>
      </w:pPr>
      <w:r>
        <w:rPr>
          <w:rFonts w:ascii="Arial" w:cs="Arial" w:eastAsia="Arial" w:hAnsi="Arial"/>
          <w:sz w:val="14"/>
          <w:szCs w:val="14"/>
          <w:color w:val="auto"/>
        </w:rPr>
        <w:t xml:space="preserve">days prior to such event (provided that the notice from the Corporation to the holders of record of the Series SRN Preferred Stock pursuant to </w:t>
      </w:r>
      <w:r>
        <w:rPr>
          <w:rFonts w:ascii="Arial" w:cs="Arial" w:eastAsia="Arial" w:hAnsi="Arial"/>
          <w:sz w:val="14"/>
          <w:szCs w:val="14"/>
          <w:u w:val="single" w:color="auto"/>
          <w:color w:val="auto"/>
        </w:rPr>
        <w:t>Section 3.3(c)(i)</w:t>
      </w:r>
      <w:r>
        <w:rPr>
          <w:rFonts w:ascii="Arial" w:cs="Arial" w:eastAsia="Arial" w:hAnsi="Arial"/>
          <w:sz w:val="14"/>
          <w:szCs w:val="14"/>
          <w:color w:val="auto"/>
        </w:rPr>
        <w:t xml:space="preserve"> below was timely delivered). If any holder of Series SRN Preferred does not exercise such option to convert shares of Series SRN Preferred within the period set forth in the immediately preceding sentence, </w:t>
      </w:r>
      <w:r>
        <w:rPr>
          <w:rFonts w:ascii="Arial" w:cs="Arial" w:eastAsia="Arial" w:hAnsi="Arial"/>
          <w:sz w:val="14"/>
          <w:szCs w:val="14"/>
          <w:u w:val="single" w:color="auto"/>
          <w:color w:val="auto"/>
        </w:rPr>
        <w:t>Sections 3.2(c)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3.2(d)</w:t>
      </w:r>
      <w:r>
        <w:rPr>
          <w:rFonts w:ascii="Arial" w:cs="Arial" w:eastAsia="Arial" w:hAnsi="Arial"/>
          <w:sz w:val="14"/>
          <w:szCs w:val="14"/>
          <w:color w:val="auto"/>
        </w:rPr>
        <w:t xml:space="preserve"> shall govern distributions to such holder on account of such shares in connection with the distribution of proceeds from such voluntary or involuntary liquidation, dissolution or winding up of the affairs of the Corporation (including without limitation any Deemed Liquidation Event). For the avoidance of doubt, other than pursuant to this </w:t>
      </w:r>
      <w:r>
        <w:rPr>
          <w:rFonts w:ascii="Arial" w:cs="Arial" w:eastAsia="Arial" w:hAnsi="Arial"/>
          <w:sz w:val="14"/>
          <w:szCs w:val="14"/>
          <w:u w:val="single" w:color="auto"/>
          <w:color w:val="auto"/>
        </w:rPr>
        <w:t>Section 3.3(a)(iii)</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3.3(a)(iv)</w:t>
      </w:r>
      <w:r>
        <w:rPr>
          <w:rFonts w:ascii="Arial" w:cs="Arial" w:eastAsia="Arial" w:hAnsi="Arial"/>
          <w:sz w:val="14"/>
          <w:szCs w:val="14"/>
          <w:color w:val="auto"/>
        </w:rPr>
        <w:t xml:space="preserve"> below or </w:t>
      </w:r>
      <w:r>
        <w:rPr>
          <w:rFonts w:ascii="Arial" w:cs="Arial" w:eastAsia="Arial" w:hAnsi="Arial"/>
          <w:sz w:val="14"/>
          <w:szCs w:val="14"/>
          <w:u w:val="single" w:color="auto"/>
          <w:color w:val="auto"/>
        </w:rPr>
        <w:t>Section 3.3(b)(iv)(E)</w:t>
      </w:r>
      <w:r>
        <w:rPr>
          <w:rFonts w:ascii="Arial" w:cs="Arial" w:eastAsia="Arial" w:hAnsi="Arial"/>
          <w:sz w:val="14"/>
          <w:szCs w:val="14"/>
          <w:color w:val="auto"/>
        </w:rPr>
        <w:t>, the Series SRN Preferred shall not otherwise be convertible at the election of any holder thereof. For the purposes of this Certificate, “</w:t>
      </w:r>
      <w:r>
        <w:rPr>
          <w:rFonts w:ascii="Arial" w:cs="Arial" w:eastAsia="Arial" w:hAnsi="Arial"/>
          <w:sz w:val="14"/>
          <w:szCs w:val="14"/>
          <w:u w:val="single" w:color="auto"/>
          <w:color w:val="auto"/>
        </w:rPr>
        <w:t>SRN Optional Conversion Event</w:t>
      </w:r>
      <w:r>
        <w:rPr>
          <w:rFonts w:ascii="Arial" w:cs="Arial" w:eastAsia="Arial" w:hAnsi="Arial"/>
          <w:sz w:val="14"/>
          <w:szCs w:val="14"/>
          <w:color w:val="auto"/>
        </w:rPr>
        <w:t xml:space="preserve">” shall mean (A) any voluntary or involuntary liquidation, dissolution or winding up of the affairs of the Corporation which, for purposes of this </w:t>
      </w:r>
      <w:r>
        <w:rPr>
          <w:rFonts w:ascii="Arial" w:cs="Arial" w:eastAsia="Arial" w:hAnsi="Arial"/>
          <w:sz w:val="14"/>
          <w:szCs w:val="14"/>
          <w:u w:val="single" w:color="auto"/>
          <w:color w:val="auto"/>
        </w:rPr>
        <w:t>Section 3.3(a)</w:t>
      </w:r>
      <w:r>
        <w:rPr>
          <w:rFonts w:ascii="Arial" w:cs="Arial" w:eastAsia="Arial" w:hAnsi="Arial"/>
          <w:sz w:val="14"/>
          <w:szCs w:val="14"/>
          <w:color w:val="auto"/>
        </w:rPr>
        <w:t xml:space="preserve"> shall include without limitation a Deemed Liquidation Event or (B) the filing by the Corporation of a registration statement on Form S-1 (or equivalent document or a prospectus in any other jurisdiction) with the U.S. Securities and Exchange Commission (or with the relevant regulatory authority in such other jurisdiction) in respect of a public offering of shares of the Corporation’s capital stock,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for the avoidance of doubt, any Qualified Public Offering (as defined below), shall cause the automatic conversion of the Series SRN Preferred pursuant to and in accordance with </w:t>
      </w:r>
      <w:r>
        <w:rPr>
          <w:rFonts w:ascii="Arial" w:cs="Arial" w:eastAsia="Arial" w:hAnsi="Arial"/>
          <w:sz w:val="14"/>
          <w:szCs w:val="14"/>
          <w:u w:val="single" w:color="auto"/>
          <w:color w:val="auto"/>
        </w:rPr>
        <w:t>Section 3.3(b)</w:t>
      </w:r>
      <w:r>
        <w:rPr>
          <w:rFonts w:ascii="Arial" w:cs="Arial" w:eastAsia="Arial" w:hAnsi="Arial"/>
          <w:sz w:val="14"/>
          <w:szCs w:val="14"/>
          <w:color w:val="auto"/>
        </w:rPr>
        <w:t>.</w:t>
      </w:r>
    </w:p>
    <w:p>
      <w:pPr>
        <w:spacing w:after="0" w:line="149" w:lineRule="exact"/>
        <w:rPr>
          <w:rFonts w:ascii="Arial" w:cs="Arial" w:eastAsia="Arial" w:hAnsi="Arial"/>
          <w:sz w:val="14"/>
          <w:szCs w:val="14"/>
          <w:color w:val="auto"/>
        </w:rPr>
      </w:pPr>
    </w:p>
    <w:p>
      <w:pPr>
        <w:ind w:left="7" w:right="20" w:firstLine="1660"/>
        <w:spacing w:after="0" w:line="265" w:lineRule="auto"/>
        <w:tabs>
          <w:tab w:leader="none" w:pos="2245" w:val="left"/>
        </w:tabs>
        <w:numPr>
          <w:ilvl w:val="1"/>
          <w:numId w:val="210"/>
        </w:numPr>
        <w:rPr>
          <w:rFonts w:ascii="Arial" w:cs="Arial" w:eastAsia="Arial" w:hAnsi="Arial"/>
          <w:sz w:val="15"/>
          <w:szCs w:val="15"/>
          <w:color w:val="auto"/>
        </w:rPr>
      </w:pPr>
      <w:r>
        <w:rPr>
          <w:rFonts w:ascii="Arial" w:cs="Arial" w:eastAsia="Arial" w:hAnsi="Arial"/>
          <w:sz w:val="15"/>
          <w:szCs w:val="15"/>
          <w:u w:val="single" w:color="auto"/>
          <w:color w:val="auto"/>
        </w:rPr>
        <w:t>Series SRN Preferred Special Optional Conversion</w:t>
      </w:r>
      <w:r>
        <w:rPr>
          <w:rFonts w:ascii="Arial" w:cs="Arial" w:eastAsia="Arial" w:hAnsi="Arial"/>
          <w:sz w:val="15"/>
          <w:szCs w:val="15"/>
          <w:color w:val="auto"/>
        </w:rPr>
        <w:t xml:space="preserve">. Upon the occurrence of an SRN Special Optional Conversion Event (as defined below), and for a period of sixty (60) days after the notice of such SRN Special Optional Conversion Event from the Corporation to the holders of record of the Series SRN Preferred Stock pursuant to </w:t>
      </w:r>
      <w:r>
        <w:rPr>
          <w:rFonts w:ascii="Arial" w:cs="Arial" w:eastAsia="Arial" w:hAnsi="Arial"/>
          <w:sz w:val="15"/>
          <w:szCs w:val="15"/>
          <w:u w:val="single" w:color="auto"/>
          <w:color w:val="auto"/>
        </w:rPr>
        <w:t>Section 3.3(c)(i)</w:t>
      </w:r>
      <w:r>
        <w:rPr>
          <w:rFonts w:ascii="Arial" w:cs="Arial" w:eastAsia="Arial" w:hAnsi="Arial"/>
          <w:sz w:val="15"/>
          <w:szCs w:val="15"/>
          <w:color w:val="auto"/>
        </w:rPr>
        <w:t xml:space="preserve"> below), each share of Series SRN Preferred shall be convertible at the option of the holder thereof and without the payment of any additional consideration therefor, into that number of fully paid and nonassessable shares of Common Stock as is determined by </w:t>
      </w:r>
      <w:r>
        <w:rPr>
          <w:rFonts w:ascii="Arial" w:cs="Arial" w:eastAsia="Arial" w:hAnsi="Arial"/>
          <w:sz w:val="15"/>
          <w:szCs w:val="15"/>
          <w:i w:val="1"/>
          <w:iCs w:val="1"/>
          <w:color w:val="auto"/>
        </w:rPr>
        <w:t>dividing</w:t>
      </w:r>
      <w:r>
        <w:rPr>
          <w:rFonts w:ascii="Arial" w:cs="Arial" w:eastAsia="Arial" w:hAnsi="Arial"/>
          <w:sz w:val="15"/>
          <w:szCs w:val="15"/>
          <w:color w:val="auto"/>
        </w:rPr>
        <w:t xml:space="preserve"> the Original Issue Price for the Series SRN Preferred </w:t>
      </w:r>
      <w:r>
        <w:rPr>
          <w:rFonts w:ascii="Arial" w:cs="Arial" w:eastAsia="Arial" w:hAnsi="Arial"/>
          <w:sz w:val="15"/>
          <w:szCs w:val="15"/>
          <w:i w:val="1"/>
          <w:iCs w:val="1"/>
          <w:color w:val="auto"/>
        </w:rPr>
        <w:t>by</w:t>
      </w:r>
      <w:r>
        <w:rPr>
          <w:rFonts w:ascii="Arial" w:cs="Arial" w:eastAsia="Arial" w:hAnsi="Arial"/>
          <w:sz w:val="15"/>
          <w:szCs w:val="15"/>
          <w:color w:val="auto"/>
        </w:rPr>
        <w:t xml:space="preserve"> the Conversion Price for the Series SRN</w:t>
      </w:r>
    </w:p>
    <w:p>
      <w:pPr>
        <w:spacing w:after="0" w:line="16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 xml:space="preserve">Preferred in effect at the time of conversion, determined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 For the avoidance of doubt, other than pursuant to </w:t>
      </w:r>
      <w:r>
        <w:rPr>
          <w:rFonts w:ascii="Arial" w:cs="Arial" w:eastAsia="Arial" w:hAnsi="Arial"/>
          <w:sz w:val="15"/>
          <w:szCs w:val="15"/>
          <w:u w:val="single" w:color="auto"/>
          <w:color w:val="auto"/>
        </w:rPr>
        <w:t>Section 3.3(a)(ii)</w:t>
      </w:r>
      <w:r>
        <w:rPr>
          <w:rFonts w:ascii="Arial" w:cs="Arial" w:eastAsia="Arial" w:hAnsi="Arial"/>
          <w:sz w:val="15"/>
          <w:szCs w:val="15"/>
          <w:color w:val="auto"/>
        </w:rPr>
        <w:t xml:space="preserve"> and this </w:t>
      </w:r>
      <w:r>
        <w:rPr>
          <w:rFonts w:ascii="Arial" w:cs="Arial" w:eastAsia="Arial" w:hAnsi="Arial"/>
          <w:sz w:val="15"/>
          <w:szCs w:val="15"/>
          <w:u w:val="single" w:color="auto"/>
          <w:color w:val="auto"/>
        </w:rPr>
        <w:t>Section 3.3(a)</w:t>
      </w:r>
      <w:r>
        <w:rPr>
          <w:rFonts w:ascii="Arial" w:cs="Arial" w:eastAsia="Arial" w:hAnsi="Arial"/>
          <w:sz w:val="15"/>
          <w:szCs w:val="15"/>
          <w:color w:val="auto"/>
        </w:rPr>
        <w:t xml:space="preserve"> </w:t>
      </w:r>
      <w:r>
        <w:rPr>
          <w:rFonts w:ascii="Arial" w:cs="Arial" w:eastAsia="Arial" w:hAnsi="Arial"/>
          <w:sz w:val="15"/>
          <w:szCs w:val="15"/>
          <w:u w:val="single" w:color="auto"/>
          <w:color w:val="auto"/>
        </w:rPr>
        <w:t>(iii)</w:t>
      </w:r>
      <w:r>
        <w:rPr>
          <w:rFonts w:ascii="Arial" w:cs="Arial" w:eastAsia="Arial" w:hAnsi="Arial"/>
          <w:sz w:val="15"/>
          <w:szCs w:val="15"/>
          <w:color w:val="auto"/>
        </w:rPr>
        <w:t>, the Series SRN Preferred shall not otherwise be convertible at the election of any holder thereof. For the purposes of this Certificate, “</w:t>
      </w:r>
      <w:r>
        <w:rPr>
          <w:rFonts w:ascii="Arial" w:cs="Arial" w:eastAsia="Arial" w:hAnsi="Arial"/>
          <w:sz w:val="15"/>
          <w:szCs w:val="15"/>
          <w:u w:val="single" w:color="auto"/>
          <w:color w:val="auto"/>
        </w:rPr>
        <w:t>SRN Special Optional Conversion Event</w:t>
      </w:r>
      <w:r>
        <w:rPr>
          <w:rFonts w:ascii="Arial" w:cs="Arial" w:eastAsia="Arial" w:hAnsi="Arial"/>
          <w:sz w:val="15"/>
          <w:szCs w:val="15"/>
          <w:color w:val="auto"/>
        </w:rPr>
        <w:t>” shall mean the occurrence of any of the following: (A) a court of competent jurisdiction ordering the institution of supervision (</w:t>
      </w:r>
      <w:r>
        <w:rPr>
          <w:rFonts w:ascii="Arial" w:cs="Arial" w:eastAsia="Arial" w:hAnsi="Arial"/>
          <w:sz w:val="15"/>
          <w:szCs w:val="15"/>
          <w:i w:val="1"/>
          <w:iCs w:val="1"/>
          <w:color w:val="auto"/>
        </w:rPr>
        <w:t>nablyudenie</w:t>
      </w:r>
      <w:r>
        <w:rPr>
          <w:rFonts w:ascii="Arial" w:cs="Arial" w:eastAsia="Arial" w:hAnsi="Arial"/>
          <w:sz w:val="15"/>
          <w:szCs w:val="15"/>
          <w:color w:val="auto"/>
        </w:rPr>
        <w:t>) or the appointment of a temporary manager (</w:t>
      </w:r>
      <w:r>
        <w:rPr>
          <w:rFonts w:ascii="Arial" w:cs="Arial" w:eastAsia="Arial" w:hAnsi="Arial"/>
          <w:sz w:val="15"/>
          <w:szCs w:val="15"/>
          <w:i w:val="1"/>
          <w:iCs w:val="1"/>
          <w:color w:val="auto"/>
        </w:rPr>
        <w:t>vremennyi upravlayushiy</w:t>
      </w:r>
      <w:r>
        <w:rPr>
          <w:rFonts w:ascii="Arial" w:cs="Arial" w:eastAsia="Arial" w:hAnsi="Arial"/>
          <w:sz w:val="15"/>
          <w:szCs w:val="15"/>
          <w:color w:val="auto"/>
        </w:rPr>
        <w:t>) in respect to SELECTA (RUS) LLC, a subsidiary of the Corporation or (B) a KPI Failure (as defined in that certain Amended and Restated Series D Preferred Stock Investment Agreement and Series SRN Preferred Stock Investment Agreement, by and among the Corporation and the parties named therein, dated July 15, 2014 (as the same may be amended from time to time, the “</w:t>
      </w:r>
      <w:r>
        <w:rPr>
          <w:rFonts w:ascii="Arial" w:cs="Arial" w:eastAsia="Arial" w:hAnsi="Arial"/>
          <w:sz w:val="15"/>
          <w:szCs w:val="15"/>
          <w:u w:val="single" w:color="auto"/>
          <w:color w:val="auto"/>
        </w:rPr>
        <w:t>Initial SRN Purchase Agreement</w:t>
      </w:r>
      <w:r>
        <w:rPr>
          <w:rFonts w:ascii="Arial" w:cs="Arial" w:eastAsia="Arial" w:hAnsi="Arial"/>
          <w:sz w:val="15"/>
          <w:szCs w:val="15"/>
          <w:color w:val="auto"/>
        </w:rPr>
        <w:t>”)).</w:t>
      </w:r>
    </w:p>
    <w:p>
      <w:pPr>
        <w:spacing w:after="0" w:line="159" w:lineRule="exact"/>
        <w:rPr>
          <w:sz w:val="20"/>
          <w:szCs w:val="20"/>
          <w:color w:val="auto"/>
        </w:rPr>
      </w:pPr>
    </w:p>
    <w:p>
      <w:pPr>
        <w:ind w:left="7" w:firstLine="1660"/>
        <w:spacing w:after="0" w:line="264" w:lineRule="auto"/>
        <w:tabs>
          <w:tab w:leader="none" w:pos="2237" w:val="left"/>
        </w:tabs>
        <w:numPr>
          <w:ilvl w:val="1"/>
          <w:numId w:val="211"/>
        </w:numPr>
        <w:rPr>
          <w:rFonts w:ascii="Arial" w:cs="Arial" w:eastAsia="Arial" w:hAnsi="Arial"/>
          <w:sz w:val="15"/>
          <w:szCs w:val="15"/>
          <w:color w:val="auto"/>
        </w:rPr>
      </w:pPr>
      <w:r>
        <w:rPr>
          <w:rFonts w:ascii="Arial" w:cs="Arial" w:eastAsia="Arial" w:hAnsi="Arial"/>
          <w:sz w:val="15"/>
          <w:szCs w:val="15"/>
          <w:u w:val="single" w:color="auto"/>
          <w:color w:val="auto"/>
        </w:rPr>
        <w:t>Conversion Price</w:t>
      </w:r>
      <w:r>
        <w:rPr>
          <w:rFonts w:ascii="Arial" w:cs="Arial" w:eastAsia="Arial" w:hAnsi="Arial"/>
          <w:sz w:val="15"/>
          <w:szCs w:val="15"/>
          <w:color w:val="auto"/>
        </w:rPr>
        <w:t xml:space="preserve">. The price at which a share of Preferred Stock is convertible into Common Stock pursuant to </w:t>
      </w:r>
      <w:r>
        <w:rPr>
          <w:rFonts w:ascii="Arial" w:cs="Arial" w:eastAsia="Arial" w:hAnsi="Arial"/>
          <w:sz w:val="15"/>
          <w:szCs w:val="15"/>
          <w:u w:val="single" w:color="auto"/>
          <w:color w:val="auto"/>
        </w:rPr>
        <w:t>Section 3.3(a)(i)</w:t>
      </w:r>
      <w:r>
        <w:rPr>
          <w:rFonts w:ascii="Arial" w:cs="Arial" w:eastAsia="Arial" w:hAnsi="Arial"/>
          <w:sz w:val="15"/>
          <w:szCs w:val="15"/>
          <w:color w:val="auto"/>
        </w:rPr>
        <w:t>-</w:t>
      </w:r>
      <w:r>
        <w:rPr>
          <w:rFonts w:ascii="Arial" w:cs="Arial" w:eastAsia="Arial" w:hAnsi="Arial"/>
          <w:sz w:val="15"/>
          <w:szCs w:val="15"/>
          <w:u w:val="single" w:color="auto"/>
          <w:color w:val="auto"/>
        </w:rPr>
        <w:t>(iv)</w:t>
      </w:r>
      <w:r>
        <w:rPr>
          <w:rFonts w:ascii="Arial" w:cs="Arial" w:eastAsia="Arial" w:hAnsi="Arial"/>
          <w:sz w:val="15"/>
          <w:szCs w:val="15"/>
          <w:color w:val="auto"/>
        </w:rPr>
        <w:t xml:space="preserve"> shall be referred to as the “</w:t>
      </w:r>
      <w:r>
        <w:rPr>
          <w:rFonts w:ascii="Arial" w:cs="Arial" w:eastAsia="Arial" w:hAnsi="Arial"/>
          <w:sz w:val="15"/>
          <w:szCs w:val="15"/>
          <w:u w:val="single" w:color="auto"/>
          <w:color w:val="auto"/>
        </w:rPr>
        <w:t>Conversion Price</w:t>
      </w:r>
      <w:r>
        <w:rPr>
          <w:rFonts w:ascii="Arial" w:cs="Arial" w:eastAsia="Arial" w:hAnsi="Arial"/>
          <w:sz w:val="15"/>
          <w:szCs w:val="15"/>
          <w:color w:val="auto"/>
        </w:rPr>
        <w:t>”. The initial “</w:t>
      </w:r>
      <w:r>
        <w:rPr>
          <w:rFonts w:ascii="Arial" w:cs="Arial" w:eastAsia="Arial" w:hAnsi="Arial"/>
          <w:sz w:val="15"/>
          <w:szCs w:val="15"/>
          <w:u w:val="single" w:color="auto"/>
          <w:color w:val="auto"/>
        </w:rPr>
        <w:t>Conversion Price</w:t>
      </w:r>
      <w:r>
        <w:rPr>
          <w:rFonts w:ascii="Arial" w:cs="Arial" w:eastAsia="Arial" w:hAnsi="Arial"/>
          <w:sz w:val="15"/>
          <w:szCs w:val="15"/>
          <w:color w:val="auto"/>
        </w:rPr>
        <w:t xml:space="preserve">” of (i) the Series A Preferred shall be $0.9653, (ii) the Series B Preferred shall be $2.0303, (iii) the Series C Preferred shall be $3.00, (iv) the Series D Preferred shall be $4.30, (v) the Series E Preferred shall be $4.50, (vi) the Series SRN Preferred in connection with an SRN Special Optional Conversion Event shall be $3.60 and in all other cases shall be $4.30; (in each case as adjusted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 Each person converting shares of Preferred Stock pursuant to this </w:t>
      </w:r>
      <w:r>
        <w:rPr>
          <w:rFonts w:ascii="Arial" w:cs="Arial" w:eastAsia="Arial" w:hAnsi="Arial"/>
          <w:sz w:val="15"/>
          <w:szCs w:val="15"/>
          <w:u w:val="single" w:color="auto"/>
          <w:color w:val="auto"/>
        </w:rPr>
        <w:t>Section 3.3(a)</w:t>
      </w:r>
      <w:r>
        <w:rPr>
          <w:rFonts w:ascii="Arial" w:cs="Arial" w:eastAsia="Arial" w:hAnsi="Arial"/>
          <w:sz w:val="15"/>
          <w:szCs w:val="15"/>
          <w:color w:val="auto"/>
        </w:rPr>
        <w:t xml:space="preserve"> shall be entitled to all declared but unpaid dividends (other than the Accruing Dividends) up to the time of the conversion. Such dividends shall be paid to each such person within thirty (30) days of the date of conversion.</w:t>
      </w:r>
    </w:p>
    <w:p>
      <w:pPr>
        <w:spacing w:after="0" w:line="158" w:lineRule="exact"/>
        <w:rPr>
          <w:rFonts w:ascii="Arial" w:cs="Arial" w:eastAsia="Arial" w:hAnsi="Arial"/>
          <w:sz w:val="15"/>
          <w:szCs w:val="15"/>
          <w:color w:val="auto"/>
        </w:rPr>
      </w:pPr>
    </w:p>
    <w:p>
      <w:pPr>
        <w:ind w:left="1667" w:hanging="556"/>
        <w:spacing w:after="0"/>
        <w:tabs>
          <w:tab w:leader="none" w:pos="1667" w:val="left"/>
        </w:tabs>
        <w:numPr>
          <w:ilvl w:val="0"/>
          <w:numId w:val="212"/>
        </w:numPr>
        <w:rPr>
          <w:rFonts w:ascii="Arial" w:cs="Arial" w:eastAsia="Arial" w:hAnsi="Arial"/>
          <w:sz w:val="15"/>
          <w:szCs w:val="15"/>
          <w:color w:val="auto"/>
        </w:rPr>
      </w:pPr>
      <w:r>
        <w:rPr>
          <w:rFonts w:ascii="Arial" w:cs="Arial" w:eastAsia="Arial" w:hAnsi="Arial"/>
          <w:sz w:val="15"/>
          <w:szCs w:val="15"/>
          <w:u w:val="single" w:color="auto"/>
          <w:color w:val="auto"/>
        </w:rPr>
        <w:t>Automatic Conversion of the Preferred Stock</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2247" w:hanging="580"/>
        <w:spacing w:after="0"/>
        <w:tabs>
          <w:tab w:leader="none" w:pos="2247" w:val="left"/>
        </w:tabs>
        <w:numPr>
          <w:ilvl w:val="1"/>
          <w:numId w:val="212"/>
        </w:numPr>
        <w:rPr>
          <w:rFonts w:ascii="Arial" w:cs="Arial" w:eastAsia="Arial" w:hAnsi="Arial"/>
          <w:sz w:val="15"/>
          <w:szCs w:val="15"/>
          <w:color w:val="auto"/>
        </w:rPr>
      </w:pPr>
      <w:r>
        <w:rPr>
          <w:rFonts w:ascii="Arial" w:cs="Arial" w:eastAsia="Arial" w:hAnsi="Arial"/>
          <w:sz w:val="15"/>
          <w:szCs w:val="15"/>
          <w:u w:val="single" w:color="auto"/>
          <w:color w:val="auto"/>
        </w:rPr>
        <w:t>Upon a Qualified Public Offering</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7" w:right="220" w:firstLine="2216"/>
        <w:spacing w:after="0" w:line="283" w:lineRule="auto"/>
        <w:tabs>
          <w:tab w:leader="none" w:pos="2793" w:val="left"/>
        </w:tabs>
        <w:numPr>
          <w:ilvl w:val="2"/>
          <w:numId w:val="212"/>
        </w:numPr>
        <w:rPr>
          <w:rFonts w:ascii="Arial" w:cs="Arial" w:eastAsia="Arial" w:hAnsi="Arial"/>
          <w:sz w:val="14"/>
          <w:szCs w:val="14"/>
          <w:color w:val="auto"/>
        </w:rPr>
      </w:pPr>
      <w:r>
        <w:rPr>
          <w:rFonts w:ascii="Arial" w:cs="Arial" w:eastAsia="Arial" w:hAnsi="Arial"/>
          <w:sz w:val="14"/>
          <w:szCs w:val="14"/>
          <w:color w:val="auto"/>
        </w:rPr>
        <w:t>Subject to the terms and conditions of Subsection 3.3(b)(i)(2) below, each share of Preferred Stock shall automatically be converted into that number of fully paid and nonassessable shares of Common Stock at the then effective Conversion Price in effect at the time of conversion, determined as provided in</w:t>
      </w:r>
    </w:p>
    <w:p>
      <w:pPr>
        <w:spacing w:after="0" w:line="1" w:lineRule="exact"/>
        <w:rPr>
          <w:rFonts w:ascii="Arial" w:cs="Arial" w:eastAsia="Arial" w:hAnsi="Arial"/>
          <w:sz w:val="14"/>
          <w:szCs w:val="14"/>
          <w:color w:val="auto"/>
        </w:rPr>
      </w:pPr>
    </w:p>
    <w:p>
      <w:pPr>
        <w:ind w:left="7" w:right="120"/>
        <w:spacing w:after="0" w:line="266" w:lineRule="auto"/>
        <w:rPr>
          <w:rFonts w:ascii="Arial" w:cs="Arial" w:eastAsia="Arial" w:hAnsi="Arial"/>
          <w:sz w:val="14"/>
          <w:szCs w:val="14"/>
          <w:color w:val="auto"/>
        </w:rPr>
      </w:pP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 upon the closing of a firm commitment underwritten public offering pursuant to an effective registration statement under the Securities Act of 1933, as amended, covering the offer and sale of shares of the Corporation’s Common Stock to the public, for the account of the Corporation, and having an aggregate offering price to the public of not less than $30,000,000 (a “</w:t>
      </w:r>
      <w:r>
        <w:rPr>
          <w:rFonts w:ascii="Arial" w:cs="Arial" w:eastAsia="Arial" w:hAnsi="Arial"/>
          <w:sz w:val="15"/>
          <w:szCs w:val="15"/>
          <w:u w:val="single" w:color="auto"/>
          <w:color w:val="auto"/>
        </w:rPr>
        <w:t>Qualified Public Offering</w:t>
      </w:r>
      <w:r>
        <w:rPr>
          <w:rFonts w:ascii="Arial" w:cs="Arial" w:eastAsia="Arial" w:hAnsi="Arial"/>
          <w:sz w:val="15"/>
          <w:szCs w:val="15"/>
          <w:color w:val="auto"/>
        </w:rPr>
        <w:t>”).</w:t>
      </w:r>
    </w:p>
    <w:p>
      <w:pPr>
        <w:spacing w:after="0" w:line="157" w:lineRule="exact"/>
        <w:rPr>
          <w:rFonts w:ascii="Arial" w:cs="Arial" w:eastAsia="Arial" w:hAnsi="Arial"/>
          <w:sz w:val="14"/>
          <w:szCs w:val="14"/>
          <w:color w:val="auto"/>
        </w:rPr>
      </w:pPr>
    </w:p>
    <w:p>
      <w:pPr>
        <w:ind w:left="7" w:right="120" w:firstLine="2216"/>
        <w:spacing w:after="0" w:line="265" w:lineRule="auto"/>
        <w:tabs>
          <w:tab w:leader="none" w:pos="2793" w:val="left"/>
        </w:tabs>
        <w:numPr>
          <w:ilvl w:val="2"/>
          <w:numId w:val="212"/>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Certificate, in the event of a Qualified Public Offering, each share of Series E Preferred shall automatically be converted into a number of fully paid and nonassessable shares of Common Stock equal to the greatest of (A) $5.175 (as appropriately adjusted for any stock combinations, stock dividends, stock splits and the like)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the price per share of Common Stock paid by the underwriters in such Qualified Public Offering, (B) 1.15 (as appropriately adjusted for any stock combinations, stock dividends, stock splits and the like) or (C) $4.50 (as appropriately adjusted for any stock combinations, stock dividends, stock splits and the like)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the then</w:t>
      </w:r>
    </w:p>
    <w:p>
      <w:pPr>
        <w:spacing w:after="0" w:line="16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rPr>
          <w:sz w:val="20"/>
          <w:szCs w:val="20"/>
          <w:color w:val="auto"/>
        </w:rPr>
      </w:pPr>
      <w:r>
        <w:rPr>
          <w:rFonts w:ascii="Arial" w:cs="Arial" w:eastAsia="Arial" w:hAnsi="Arial"/>
          <w:sz w:val="15"/>
          <w:szCs w:val="15"/>
          <w:color w:val="auto"/>
        </w:rPr>
        <w:t xml:space="preserve">effective Conversion Price applicable to each share of Series E Preferred in effect at the time of conversion, determined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w:t>
      </w:r>
    </w:p>
    <w:p>
      <w:pPr>
        <w:spacing w:after="0" w:line="198" w:lineRule="exact"/>
        <w:rPr>
          <w:sz w:val="20"/>
          <w:szCs w:val="20"/>
          <w:color w:val="auto"/>
        </w:rPr>
      </w:pPr>
    </w:p>
    <w:p>
      <w:pPr>
        <w:ind w:left="7" w:right="40" w:firstLine="1660"/>
        <w:spacing w:after="0" w:line="263" w:lineRule="auto"/>
        <w:tabs>
          <w:tab w:leader="none" w:pos="2258" w:val="left"/>
        </w:tabs>
        <w:numPr>
          <w:ilvl w:val="0"/>
          <w:numId w:val="213"/>
        </w:numPr>
        <w:rPr>
          <w:rFonts w:ascii="Arial" w:cs="Arial" w:eastAsia="Arial" w:hAnsi="Arial"/>
          <w:sz w:val="15"/>
          <w:szCs w:val="15"/>
          <w:color w:val="auto"/>
        </w:rPr>
      </w:pPr>
      <w:r>
        <w:rPr>
          <w:rFonts w:ascii="Arial" w:cs="Arial" w:eastAsia="Arial" w:hAnsi="Arial"/>
          <w:sz w:val="15"/>
          <w:szCs w:val="15"/>
          <w:u w:val="single" w:color="auto"/>
          <w:color w:val="auto"/>
        </w:rPr>
        <w:t>Series E Preferred</w:t>
      </w:r>
      <w:r>
        <w:rPr>
          <w:rFonts w:ascii="Arial" w:cs="Arial" w:eastAsia="Arial" w:hAnsi="Arial"/>
          <w:sz w:val="15"/>
          <w:szCs w:val="15"/>
          <w:color w:val="auto"/>
        </w:rPr>
        <w:t xml:space="preserve">. Each share of Series E Preferred shall automatically be converted into that number of fully paid and nonassessable shares of Common Stock at the then effective Conversion Price applicable to such share in effect at the time of conversion, determined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 upon the written consent or agreement of the holders of shares of Series E Preferred representing a majority of the votes represented by all outstanding shares of Series E Preferred voting together as a separate class. Notwithstanding the foregoing, in the event of automatic conversion pursuant to this </w:t>
      </w:r>
      <w:r>
        <w:rPr>
          <w:rFonts w:ascii="Arial" w:cs="Arial" w:eastAsia="Arial" w:hAnsi="Arial"/>
          <w:sz w:val="15"/>
          <w:szCs w:val="15"/>
          <w:u w:val="single" w:color="auto"/>
          <w:color w:val="auto"/>
        </w:rPr>
        <w:t>Subsection 3.3(b)(ii)</w:t>
      </w:r>
      <w:r>
        <w:rPr>
          <w:rFonts w:ascii="Arial" w:cs="Arial" w:eastAsia="Arial" w:hAnsi="Arial"/>
          <w:sz w:val="15"/>
          <w:szCs w:val="15"/>
          <w:color w:val="auto"/>
        </w:rPr>
        <w:t xml:space="preserve"> in connection with (A) the offer and sale of the Corporation’s Common Stock to the public pursuant to an effective registration statement under the Securities Act of 1933, as amended, other than in connection with a Qualified IPO or (B) a reverse merger of the Corporation into a public shell company, then the conversion rate with respect to the Series E Preferred shall be determined as if such conversion were taking place in accordance with </w:t>
      </w:r>
      <w:r>
        <w:rPr>
          <w:rFonts w:ascii="Arial" w:cs="Arial" w:eastAsia="Arial" w:hAnsi="Arial"/>
          <w:sz w:val="15"/>
          <w:szCs w:val="15"/>
          <w:u w:val="single" w:color="auto"/>
          <w:color w:val="auto"/>
        </w:rPr>
        <w:t>Subsection 3.3(a)(i)(1)</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jc w:val="both"/>
        <w:ind w:left="7" w:right="280" w:firstLine="1660"/>
        <w:spacing w:after="0" w:line="268" w:lineRule="auto"/>
        <w:tabs>
          <w:tab w:leader="none" w:pos="2266" w:val="left"/>
        </w:tabs>
        <w:numPr>
          <w:ilvl w:val="0"/>
          <w:numId w:val="213"/>
        </w:numPr>
        <w:rPr>
          <w:rFonts w:ascii="Arial" w:cs="Arial" w:eastAsia="Arial" w:hAnsi="Arial"/>
          <w:sz w:val="15"/>
          <w:szCs w:val="15"/>
          <w:color w:val="auto"/>
        </w:rPr>
      </w:pPr>
      <w:r>
        <w:rPr>
          <w:rFonts w:ascii="Arial" w:cs="Arial" w:eastAsia="Arial" w:hAnsi="Arial"/>
          <w:sz w:val="15"/>
          <w:szCs w:val="15"/>
          <w:u w:val="single" w:color="auto"/>
          <w:color w:val="auto"/>
        </w:rPr>
        <w:t>Tier II Preferred Stock</w:t>
      </w:r>
      <w:r>
        <w:rPr>
          <w:rFonts w:ascii="Arial" w:cs="Arial" w:eastAsia="Arial" w:hAnsi="Arial"/>
          <w:sz w:val="15"/>
          <w:szCs w:val="15"/>
          <w:color w:val="auto"/>
        </w:rPr>
        <w:t xml:space="preserve">. Each share of Tier II Preferred Stock shall automatically be converted into that number of fully paid and nonassessable shares of Common Stock at the then effective Conversion Price applicable to such share in effect at the time of conversion, determined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 upon the written consent or agreement of the holders of shares of Tier II Preferred Stock representing at least sixty-six and two-thirds percent (66 2/3%) of the votes represented by all outstanding shares of Tier II Preferred Stock voting together as a single class.</w:t>
      </w:r>
    </w:p>
    <w:p>
      <w:pPr>
        <w:spacing w:after="0" w:line="156" w:lineRule="exact"/>
        <w:rPr>
          <w:rFonts w:ascii="Arial" w:cs="Arial" w:eastAsia="Arial" w:hAnsi="Arial"/>
          <w:sz w:val="15"/>
          <w:szCs w:val="15"/>
          <w:color w:val="auto"/>
        </w:rPr>
      </w:pPr>
    </w:p>
    <w:p>
      <w:pPr>
        <w:ind w:left="7" w:right="600" w:firstLine="1660"/>
        <w:spacing w:after="0" w:line="283" w:lineRule="auto"/>
        <w:tabs>
          <w:tab w:leader="none" w:pos="2245" w:val="left"/>
        </w:tabs>
        <w:numPr>
          <w:ilvl w:val="0"/>
          <w:numId w:val="213"/>
        </w:numPr>
        <w:rPr>
          <w:rFonts w:ascii="Arial" w:cs="Arial" w:eastAsia="Arial" w:hAnsi="Arial"/>
          <w:sz w:val="14"/>
          <w:szCs w:val="14"/>
          <w:color w:val="auto"/>
        </w:rPr>
      </w:pPr>
      <w:r>
        <w:rPr>
          <w:rFonts w:ascii="Arial" w:cs="Arial" w:eastAsia="Arial" w:hAnsi="Arial"/>
          <w:sz w:val="14"/>
          <w:szCs w:val="14"/>
          <w:u w:val="single" w:color="auto"/>
          <w:color w:val="auto"/>
        </w:rPr>
        <w:t>Series SRN Preferred Stock</w:t>
      </w:r>
      <w:r>
        <w:rPr>
          <w:rFonts w:ascii="Arial" w:cs="Arial" w:eastAsia="Arial" w:hAnsi="Arial"/>
          <w:sz w:val="14"/>
          <w:szCs w:val="14"/>
          <w:color w:val="auto"/>
        </w:rPr>
        <w:t>. Each share of Series SRN Preferred Stock shall automatically be converted into that number of fully paid and nonassessable shares of Common Stock at the then effective Conversion Price applicable to such share in effect at the time of conversion, determined as provided in</w:t>
      </w:r>
    </w:p>
    <w:p>
      <w:pPr>
        <w:spacing w:after="0" w:line="1" w:lineRule="exact"/>
        <w:rPr>
          <w:rFonts w:ascii="Arial" w:cs="Arial" w:eastAsia="Arial" w:hAnsi="Arial"/>
          <w:sz w:val="14"/>
          <w:szCs w:val="14"/>
          <w:color w:val="auto"/>
        </w:rPr>
      </w:pPr>
    </w:p>
    <w:p>
      <w:pPr>
        <w:ind w:left="7" w:right="80"/>
        <w:spacing w:after="0" w:line="285" w:lineRule="auto"/>
        <w:rPr>
          <w:rFonts w:ascii="Arial" w:cs="Arial" w:eastAsia="Arial" w:hAnsi="Arial"/>
          <w:sz w:val="14"/>
          <w:szCs w:val="14"/>
          <w:color w:val="auto"/>
        </w:rPr>
      </w:pPr>
      <w:r>
        <w:rPr>
          <w:rFonts w:ascii="Arial" w:cs="Arial" w:eastAsia="Arial" w:hAnsi="Arial"/>
          <w:sz w:val="14"/>
          <w:szCs w:val="14"/>
          <w:u w:val="single" w:color="auto"/>
          <w:color w:val="auto"/>
        </w:rPr>
        <w:t>Section 3.3(d)</w:t>
      </w:r>
      <w:r>
        <w:rPr>
          <w:rFonts w:ascii="Arial" w:cs="Arial" w:eastAsia="Arial" w:hAnsi="Arial"/>
          <w:sz w:val="14"/>
          <w:szCs w:val="14"/>
          <w:color w:val="auto"/>
        </w:rPr>
        <w:t xml:space="preserve"> below upon any of the following: (A) the cumulative acquisition from the Corporation’s stockholders of more than fifty percent (50%) of the outstanding capital stock of the Corporation; (B) any acquisition by any person (or group of affiliated or associated persons) of beneficial ownership of a majority of the shares of outstanding capital stock of the Corporation (whether or not such shares are newly-issued) in a single transaction or a series of related transactions; (C) the closing of a firm commitment underwritten public offering pursuant to an effective registration statement under the Act covering the offer and sale of the Corporation’s Common Stock to the public; (D) with respect to the events described in </w:t>
      </w:r>
      <w:r>
        <w:rPr>
          <w:rFonts w:ascii="Arial" w:cs="Arial" w:eastAsia="Arial" w:hAnsi="Arial"/>
          <w:sz w:val="14"/>
          <w:szCs w:val="14"/>
          <w:u w:val="single" w:color="auto"/>
          <w:color w:val="auto"/>
        </w:rPr>
        <w:t>Section 3.3(b)(iv)(A)-(D)</w:t>
      </w:r>
      <w:r>
        <w:rPr>
          <w:rFonts w:ascii="Arial" w:cs="Arial" w:eastAsia="Arial" w:hAnsi="Arial"/>
          <w:sz w:val="14"/>
          <w:szCs w:val="14"/>
          <w:color w:val="auto"/>
        </w:rPr>
        <w:t>, the receipt by the Corporation or its stockholders (as applicable) from a third party of a binding offer to consummate any of the foregoing; or (E) the written</w:t>
      </w:r>
    </w:p>
    <w:p>
      <w:pPr>
        <w:sectPr>
          <w:pgSz w:w="11900" w:h="16838" w:orient="portrait"/>
          <w:cols w:equalWidth="0" w:num="1">
            <w:col w:w="11427"/>
          </w:cols>
          <w:pgMar w:left="233" w:top="129" w:right="239" w:bottom="0" w:gutter="0" w:footer="0" w:header="0"/>
        </w:sectPr>
      </w:pPr>
    </w:p>
    <w:bookmarkStart w:id="311" w:name="page312"/>
    <w:bookmarkEnd w:id="311"/>
    <w:p>
      <w:pPr>
        <w:ind w:right="140"/>
        <w:spacing w:after="0" w:line="273" w:lineRule="auto"/>
        <w:rPr>
          <w:sz w:val="20"/>
          <w:szCs w:val="20"/>
          <w:color w:val="auto"/>
        </w:rPr>
      </w:pPr>
      <w:r>
        <w:rPr>
          <w:rFonts w:ascii="Arial" w:cs="Arial" w:eastAsia="Arial" w:hAnsi="Arial"/>
          <w:sz w:val="15"/>
          <w:szCs w:val="15"/>
          <w:color w:val="auto"/>
        </w:rPr>
        <w:t>consent or agreement of the SRN Majority Holders (as such term is defined in that certain Fifth Amended and Restated Investor Rights Agreement, by among the Corporation and the parties named therein, dated as of August 27, 2015, as the same may be amended and/or amended and restated from time to time (the “</w:t>
      </w:r>
      <w:r>
        <w:rPr>
          <w:rFonts w:ascii="Arial" w:cs="Arial" w:eastAsia="Arial" w:hAnsi="Arial"/>
          <w:sz w:val="15"/>
          <w:szCs w:val="15"/>
          <w:u w:val="single" w:color="auto"/>
          <w:color w:val="auto"/>
        </w:rPr>
        <w:t>Investor Rights Agreement</w:t>
      </w:r>
      <w:r>
        <w:rPr>
          <w:rFonts w:ascii="Arial" w:cs="Arial" w:eastAsia="Arial" w:hAnsi="Arial"/>
          <w:sz w:val="15"/>
          <w:szCs w:val="15"/>
          <w:color w:val="auto"/>
        </w:rPr>
        <w:t>”), if any (voting together as a single class).</w:t>
      </w:r>
    </w:p>
    <w:p>
      <w:pPr>
        <w:spacing w:after="0" w:line="153" w:lineRule="exact"/>
        <w:rPr>
          <w:sz w:val="20"/>
          <w:szCs w:val="20"/>
          <w:color w:val="auto"/>
        </w:rPr>
      </w:pPr>
    </w:p>
    <w:p>
      <w:pPr>
        <w:ind w:right="460" w:firstLine="1660"/>
        <w:spacing w:after="0" w:line="289" w:lineRule="auto"/>
        <w:tabs>
          <w:tab w:leader="none" w:pos="223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Immediately after the holders of a series of Preferred Stock receive any proceeds from a Deemed Liquidation Event as a result of Retroactive Deemed Conversion, all shares of such series of Preferred Stock shall be converted, without any further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40"/>
        <w:spacing w:after="0" w:line="273" w:lineRule="auto"/>
        <w:rPr>
          <w:sz w:val="20"/>
          <w:szCs w:val="20"/>
          <w:color w:val="auto"/>
        </w:rPr>
      </w:pPr>
      <w:r>
        <w:rPr>
          <w:rFonts w:ascii="Arial" w:cs="Arial" w:eastAsia="Arial" w:hAnsi="Arial"/>
          <w:sz w:val="15"/>
          <w:szCs w:val="15"/>
          <w:color w:val="auto"/>
        </w:rPr>
        <w:t xml:space="preserve">action on the part of the holders thereof, into shares of Common Stock at the conversion rate that was applicable to such series of Preferred Stock immediately prior to such Deemed Liquidation Event. For the avoidance of doubt, the conversion rate with respect to shares of the Series E Preferred shall be determined as if such conversion were taking place in accordance with </w:t>
      </w:r>
      <w:r>
        <w:rPr>
          <w:rFonts w:ascii="Arial" w:cs="Arial" w:eastAsia="Arial" w:hAnsi="Arial"/>
          <w:sz w:val="15"/>
          <w:szCs w:val="15"/>
          <w:u w:val="single" w:color="auto"/>
          <w:color w:val="auto"/>
        </w:rPr>
        <w:t>Subsection 3.3(a)(i)(1)</w:t>
      </w:r>
      <w:r>
        <w:rPr>
          <w:rFonts w:ascii="Arial" w:cs="Arial" w:eastAsia="Arial" w:hAnsi="Arial"/>
          <w:sz w:val="15"/>
          <w:szCs w:val="15"/>
          <w:color w:val="auto"/>
        </w:rPr>
        <w:t>.</w:t>
      </w:r>
    </w:p>
    <w:p>
      <w:pPr>
        <w:spacing w:after="0" w:line="153" w:lineRule="exact"/>
        <w:rPr>
          <w:sz w:val="20"/>
          <w:szCs w:val="20"/>
          <w:color w:val="auto"/>
        </w:rPr>
      </w:pPr>
    </w:p>
    <w:p>
      <w:pPr>
        <w:ind w:right="60" w:firstLine="1660"/>
        <w:spacing w:after="0" w:line="265" w:lineRule="auto"/>
        <w:tabs>
          <w:tab w:leader="none" w:pos="2238" w:val="left"/>
        </w:tabs>
        <w:numPr>
          <w:ilvl w:val="1"/>
          <w:numId w:val="215"/>
        </w:numPr>
        <w:rPr>
          <w:rFonts w:ascii="Arial" w:cs="Arial" w:eastAsia="Arial" w:hAnsi="Arial"/>
          <w:sz w:val="15"/>
          <w:szCs w:val="15"/>
          <w:color w:val="auto"/>
        </w:rPr>
      </w:pPr>
      <w:r>
        <w:rPr>
          <w:rFonts w:ascii="Arial" w:cs="Arial" w:eastAsia="Arial" w:hAnsi="Arial"/>
          <w:sz w:val="15"/>
          <w:szCs w:val="15"/>
          <w:color w:val="auto"/>
        </w:rPr>
        <w:t xml:space="preserve">The person(s) entitled to receive Common Stock issuable upon a conversion of Preferred Stock pursuant to this </w:t>
      </w:r>
      <w:r>
        <w:rPr>
          <w:rFonts w:ascii="Arial" w:cs="Arial" w:eastAsia="Arial" w:hAnsi="Arial"/>
          <w:sz w:val="15"/>
          <w:szCs w:val="15"/>
          <w:u w:val="single" w:color="auto"/>
          <w:color w:val="auto"/>
        </w:rPr>
        <w:t>Section 3.3(b)</w:t>
      </w:r>
      <w:r>
        <w:rPr>
          <w:rFonts w:ascii="Arial" w:cs="Arial" w:eastAsia="Arial" w:hAnsi="Arial"/>
          <w:sz w:val="15"/>
          <w:szCs w:val="15"/>
          <w:color w:val="auto"/>
        </w:rPr>
        <w:t xml:space="preserve"> shall not be deemed to have converted the Preferred Stock until immediately prior to the closing of such Qualified Public Offering, or the date specified by such written consents or agreements delivered to the Corporation pursuant to </w:t>
      </w:r>
      <w:r>
        <w:rPr>
          <w:rFonts w:ascii="Arial" w:cs="Arial" w:eastAsia="Arial" w:hAnsi="Arial"/>
          <w:sz w:val="15"/>
          <w:szCs w:val="15"/>
          <w:u w:val="single" w:color="auto"/>
          <w:color w:val="auto"/>
        </w:rPr>
        <w:t>Section 3.3(b)(ii)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3.3(b)(iii)</w:t>
      </w:r>
      <w:r>
        <w:rPr>
          <w:rFonts w:ascii="Arial" w:cs="Arial" w:eastAsia="Arial" w:hAnsi="Arial"/>
          <w:sz w:val="15"/>
          <w:szCs w:val="15"/>
          <w:color w:val="auto"/>
        </w:rPr>
        <w:t xml:space="preserve"> above, or the date specified in </w:t>
      </w:r>
      <w:r>
        <w:rPr>
          <w:rFonts w:ascii="Arial" w:cs="Arial" w:eastAsia="Arial" w:hAnsi="Arial"/>
          <w:sz w:val="15"/>
          <w:szCs w:val="15"/>
          <w:u w:val="single" w:color="auto"/>
          <w:color w:val="auto"/>
        </w:rPr>
        <w:t>Section 3.3(b)(v)</w:t>
      </w:r>
      <w:r>
        <w:rPr>
          <w:rFonts w:ascii="Arial" w:cs="Arial" w:eastAsia="Arial" w:hAnsi="Arial"/>
          <w:sz w:val="15"/>
          <w:szCs w:val="15"/>
          <w:color w:val="auto"/>
        </w:rPr>
        <w:t xml:space="preserve"> above. Each person who holds of record Preferred Stock immediately prior to an automatic conversion shall be entitled to all declared but unpaid dividends (other than the Accruing Dividends thereon, if any) up to the time of the automatic conversion. Such dividends shall be paid to all such holders within thirty (30) days of the automatic conversion.</w:t>
      </w:r>
    </w:p>
    <w:p>
      <w:pPr>
        <w:spacing w:after="0" w:line="159" w:lineRule="exact"/>
        <w:rPr>
          <w:rFonts w:ascii="Arial" w:cs="Arial" w:eastAsia="Arial" w:hAnsi="Arial"/>
          <w:sz w:val="15"/>
          <w:szCs w:val="15"/>
          <w:color w:val="auto"/>
        </w:rPr>
      </w:pPr>
    </w:p>
    <w:p>
      <w:pPr>
        <w:ind w:left="1660" w:hanging="556"/>
        <w:spacing w:after="0"/>
        <w:tabs>
          <w:tab w:leader="none" w:pos="1660" w:val="left"/>
        </w:tabs>
        <w:numPr>
          <w:ilvl w:val="0"/>
          <w:numId w:val="216"/>
        </w:numPr>
        <w:rPr>
          <w:rFonts w:ascii="Arial" w:cs="Arial" w:eastAsia="Arial" w:hAnsi="Arial"/>
          <w:sz w:val="15"/>
          <w:szCs w:val="15"/>
          <w:color w:val="auto"/>
        </w:rPr>
      </w:pPr>
      <w:r>
        <w:rPr>
          <w:rFonts w:ascii="Arial" w:cs="Arial" w:eastAsia="Arial" w:hAnsi="Arial"/>
          <w:sz w:val="15"/>
          <w:szCs w:val="15"/>
          <w:u w:val="single" w:color="auto"/>
          <w:color w:val="auto"/>
        </w:rPr>
        <w:t>Mechanics of Conversion</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180" w:firstLine="1660"/>
        <w:spacing w:after="0" w:line="262" w:lineRule="auto"/>
        <w:tabs>
          <w:tab w:leader="none" w:pos="2242" w:val="left"/>
        </w:tabs>
        <w:numPr>
          <w:ilvl w:val="1"/>
          <w:numId w:val="216"/>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xml:space="preserve">. The Corporation shall use commercially reasonable efforts to give each holder of record of Senior Preferred Stock and Series SRN Preferred written notice of any SRN Optional Conversion Event not later than thirty (30) days prior to the effectiveness of such SRN Optional Conversion Event and shall also notify such holders in writing of the final approval of such SRN Optional Conversion Event no later than seven (7) business days after the occurrence of such event. The Corporation shall further use commercially reasonable efforts to give each holder of record of Senior Preferred Stock and Series SRN Preferred written notice of any SRN Special Optional Conversion Event not later than ten (10) days after the occurrence of such SRN Special Optional Conversion Event. For the avoidance of doubt, failure to give notice as set forth in this </w:t>
      </w:r>
      <w:r>
        <w:rPr>
          <w:rFonts w:ascii="Arial" w:cs="Arial" w:eastAsia="Arial" w:hAnsi="Arial"/>
          <w:sz w:val="15"/>
          <w:szCs w:val="15"/>
          <w:u w:val="single" w:color="auto"/>
          <w:color w:val="auto"/>
        </w:rPr>
        <w:t>Section 3.3(c)(i)</w:t>
      </w:r>
      <w:r>
        <w:rPr>
          <w:rFonts w:ascii="Arial" w:cs="Arial" w:eastAsia="Arial" w:hAnsi="Arial"/>
          <w:sz w:val="15"/>
          <w:szCs w:val="15"/>
          <w:color w:val="auto"/>
        </w:rPr>
        <w:t xml:space="preserve"> shall not alter the effectiveness of the consummation of an SRN Optional Conversion Event or the occurrence of a SRN Special Optional Conversion Event. Notwithstanding the other provisions of this Certificate, the notice period in this </w:t>
      </w:r>
      <w:r>
        <w:rPr>
          <w:rFonts w:ascii="Arial" w:cs="Arial" w:eastAsia="Arial" w:hAnsi="Arial"/>
          <w:sz w:val="15"/>
          <w:szCs w:val="15"/>
          <w:u w:val="single" w:color="auto"/>
          <w:color w:val="auto"/>
        </w:rPr>
        <w:t>Section 3.3(c)(i)</w:t>
      </w:r>
      <w:r>
        <w:rPr>
          <w:rFonts w:ascii="Arial" w:cs="Arial" w:eastAsia="Arial" w:hAnsi="Arial"/>
          <w:sz w:val="15"/>
          <w:szCs w:val="15"/>
          <w:color w:val="auto"/>
        </w:rPr>
        <w:t xml:space="preserve"> may be shortened or waived, either before or after the action for which notice is required, with the written consent of the SRN Majority Holders, if any.</w:t>
      </w:r>
    </w:p>
    <w:p>
      <w:pPr>
        <w:spacing w:after="0" w:line="161" w:lineRule="exact"/>
        <w:rPr>
          <w:rFonts w:ascii="Arial" w:cs="Arial" w:eastAsia="Arial" w:hAnsi="Arial"/>
          <w:sz w:val="15"/>
          <w:szCs w:val="15"/>
          <w:color w:val="auto"/>
        </w:rPr>
      </w:pPr>
    </w:p>
    <w:p>
      <w:pPr>
        <w:ind w:right="20" w:firstLine="1660"/>
        <w:spacing w:after="0" w:line="262" w:lineRule="auto"/>
        <w:tabs>
          <w:tab w:leader="none" w:pos="2250" w:val="left"/>
        </w:tabs>
        <w:numPr>
          <w:ilvl w:val="1"/>
          <w:numId w:val="216"/>
        </w:numPr>
        <w:rPr>
          <w:rFonts w:ascii="Arial" w:cs="Arial" w:eastAsia="Arial" w:hAnsi="Arial"/>
          <w:sz w:val="15"/>
          <w:szCs w:val="15"/>
          <w:color w:val="auto"/>
        </w:rPr>
      </w:pPr>
      <w:r>
        <w:rPr>
          <w:rFonts w:ascii="Arial" w:cs="Arial" w:eastAsia="Arial" w:hAnsi="Arial"/>
          <w:sz w:val="15"/>
          <w:szCs w:val="15"/>
          <w:u w:val="single" w:color="auto"/>
          <w:color w:val="auto"/>
        </w:rPr>
        <w:t>Fractional Shares</w:t>
      </w:r>
      <w:r>
        <w:rPr>
          <w:rFonts w:ascii="Arial" w:cs="Arial" w:eastAsia="Arial" w:hAnsi="Arial"/>
          <w:sz w:val="15"/>
          <w:szCs w:val="15"/>
          <w:color w:val="auto"/>
        </w:rPr>
        <w:t>. No fractional shares of Common Stock shall be issued upon conversion of Preferred Stock. In lieu of any fractional shares to which a holder would otherwise be entitled, the Corporation shall pay cash equal to such fraction multiplied by the then effective Conversion Price, if applicable. Before any holder of Preferred Stock shall be entitled to receive the full shares of Common Stock into which such Preferred Stock shares have been converted, such holder shall surrender the certificate or certificates therefor, duly endorsed, at the office of the Corporation or of any transfer agent for the Preferred Stock, and shall give timely written notice to the Corporation at such office that such holder elects to convert the same and shall state therein his name or the name or names of his nominees in which such holder wishes the certificate or certificates for shares of Common Stock to be issued, together with the applicable federal taxpayer identification number. The Corporation shall, as soon as practicable thereafter, issue and deliver at such office to such holder of Preferred Stock, or to his nominee or nominees, a certificate or certificates for the number of shares of Common Stock to which he shall be entitled, together with cash in lieu of any fraction of a share. Such conversion shall be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371" w:lineRule="auto"/>
        <w:rPr>
          <w:sz w:val="20"/>
          <w:szCs w:val="20"/>
          <w:color w:val="auto"/>
        </w:rPr>
      </w:pPr>
      <w:r>
        <w:rPr>
          <w:rFonts w:ascii="Arial" w:cs="Arial" w:eastAsia="Arial" w:hAnsi="Arial"/>
          <w:sz w:val="13"/>
          <w:szCs w:val="13"/>
          <w:color w:val="auto"/>
        </w:rPr>
        <w:t>deemed to have been made immediately prior to the close of business on the date of such surrender of the shares of Preferred Stock to be converted, and the person or persons entitled to receive the shares of Common Stock issuable upon conversion shall be treated for all purposes as the record holder or holders of such shares of Common Stock on such date.</w:t>
      </w:r>
    </w:p>
    <w:p>
      <w:pPr>
        <w:spacing w:after="0" w:line="94" w:lineRule="exact"/>
        <w:rPr>
          <w:sz w:val="20"/>
          <w:szCs w:val="20"/>
          <w:color w:val="auto"/>
        </w:rPr>
      </w:pPr>
    </w:p>
    <w:p>
      <w:pPr>
        <w:ind w:left="1660" w:hanging="556"/>
        <w:spacing w:after="0"/>
        <w:tabs>
          <w:tab w:leader="none" w:pos="1660" w:val="left"/>
        </w:tabs>
        <w:numPr>
          <w:ilvl w:val="0"/>
          <w:numId w:val="217"/>
        </w:numPr>
        <w:rPr>
          <w:rFonts w:ascii="Arial" w:cs="Arial" w:eastAsia="Arial" w:hAnsi="Arial"/>
          <w:sz w:val="15"/>
          <w:szCs w:val="15"/>
          <w:color w:val="auto"/>
        </w:rPr>
      </w:pPr>
      <w:r>
        <w:rPr>
          <w:rFonts w:ascii="Arial" w:cs="Arial" w:eastAsia="Arial" w:hAnsi="Arial"/>
          <w:sz w:val="15"/>
          <w:szCs w:val="15"/>
          <w:u w:val="single" w:color="auto"/>
          <w:color w:val="auto"/>
        </w:rPr>
        <w:t>Adjustments to Conversion Prices for Diluting Issues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2240" w:hanging="580"/>
        <w:spacing w:after="0"/>
        <w:tabs>
          <w:tab w:leader="none" w:pos="2240" w:val="left"/>
        </w:tabs>
        <w:numPr>
          <w:ilvl w:val="1"/>
          <w:numId w:val="217"/>
        </w:numPr>
        <w:rPr>
          <w:rFonts w:ascii="Arial" w:cs="Arial" w:eastAsia="Arial" w:hAnsi="Arial"/>
          <w:sz w:val="15"/>
          <w:szCs w:val="15"/>
          <w:color w:val="auto"/>
        </w:rPr>
      </w:pPr>
      <w:r>
        <w:rPr>
          <w:rFonts w:ascii="Arial" w:cs="Arial" w:eastAsia="Arial" w:hAnsi="Arial"/>
          <w:sz w:val="15"/>
          <w:szCs w:val="15"/>
          <w:u w:val="single" w:color="auto"/>
          <w:color w:val="auto"/>
        </w:rPr>
        <w:t>Special Definitions</w:t>
      </w:r>
      <w:r>
        <w:rPr>
          <w:rFonts w:ascii="Arial" w:cs="Arial" w:eastAsia="Arial" w:hAnsi="Arial"/>
          <w:sz w:val="15"/>
          <w:szCs w:val="15"/>
          <w:color w:val="auto"/>
        </w:rPr>
        <w:t xml:space="preserve">. For purposes of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3.4</w:t>
      </w:r>
      <w:r>
        <w:rPr>
          <w:rFonts w:ascii="Arial" w:cs="Arial" w:eastAsia="Arial" w:hAnsi="Arial"/>
          <w:sz w:val="15"/>
          <w:szCs w:val="15"/>
          <w:color w:val="auto"/>
        </w:rPr>
        <w:t>, the following definitions shall apply:</w:t>
      </w:r>
    </w:p>
    <w:p>
      <w:pPr>
        <w:spacing w:after="0" w:line="198" w:lineRule="exact"/>
        <w:rPr>
          <w:rFonts w:ascii="Arial" w:cs="Arial" w:eastAsia="Arial" w:hAnsi="Arial"/>
          <w:sz w:val="15"/>
          <w:szCs w:val="15"/>
          <w:color w:val="auto"/>
        </w:rPr>
      </w:pPr>
    </w:p>
    <w:p>
      <w:pPr>
        <w:ind w:left="2780" w:hanging="564"/>
        <w:spacing w:after="0"/>
        <w:tabs>
          <w:tab w:leader="none" w:pos="2780" w:val="left"/>
        </w:tabs>
        <w:numPr>
          <w:ilvl w:val="2"/>
          <w:numId w:val="2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Option</w:t>
      </w:r>
      <w:r>
        <w:rPr>
          <w:rFonts w:ascii="Arial" w:cs="Arial" w:eastAsia="Arial" w:hAnsi="Arial"/>
          <w:sz w:val="14"/>
          <w:szCs w:val="14"/>
          <w:color w:val="auto"/>
        </w:rPr>
        <w:t>” shall mean rights, options or warrants to subscribe for, purchase or otherwise acquire either Common Stock or Convertible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Securities.</w:t>
      </w:r>
    </w:p>
    <w:p>
      <w:pPr>
        <w:spacing w:after="0" w:line="188" w:lineRule="exact"/>
        <w:rPr>
          <w:sz w:val="20"/>
          <w:szCs w:val="20"/>
          <w:color w:val="auto"/>
        </w:rPr>
      </w:pPr>
    </w:p>
    <w:p>
      <w:pPr>
        <w:ind w:left="2780" w:hanging="564"/>
        <w:spacing w:after="0"/>
        <w:tabs>
          <w:tab w:leader="none" w:pos="2780" w:val="left"/>
        </w:tabs>
        <w:numPr>
          <w:ilvl w:val="0"/>
          <w:numId w:val="2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Original Issue Date</w:t>
      </w:r>
      <w:r>
        <w:rPr>
          <w:rFonts w:ascii="Arial" w:cs="Arial" w:eastAsia="Arial" w:hAnsi="Arial"/>
          <w:sz w:val="15"/>
          <w:szCs w:val="15"/>
          <w:color w:val="auto"/>
        </w:rPr>
        <w:t>” shall mean the date on which the first share of Series E Preferred was issued.</w:t>
      </w:r>
    </w:p>
    <w:p>
      <w:pPr>
        <w:spacing w:after="0" w:line="198" w:lineRule="exact"/>
        <w:rPr>
          <w:rFonts w:ascii="Arial" w:cs="Arial" w:eastAsia="Arial" w:hAnsi="Arial"/>
          <w:sz w:val="15"/>
          <w:szCs w:val="15"/>
          <w:color w:val="auto"/>
        </w:rPr>
      </w:pPr>
    </w:p>
    <w:p>
      <w:pPr>
        <w:ind w:right="100" w:firstLine="2216"/>
        <w:spacing w:after="0" w:line="289" w:lineRule="auto"/>
        <w:tabs>
          <w:tab w:leader="none" w:pos="2786" w:val="left"/>
        </w:tabs>
        <w:numPr>
          <w:ilvl w:val="0"/>
          <w:numId w:val="2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Convertible Securities</w:t>
      </w:r>
      <w:r>
        <w:rPr>
          <w:rFonts w:ascii="Arial" w:cs="Arial" w:eastAsia="Arial" w:hAnsi="Arial"/>
          <w:sz w:val="15"/>
          <w:szCs w:val="15"/>
          <w:color w:val="auto"/>
        </w:rPr>
        <w:t>” shall mean any evidences of indebtedness, shares (other than Common Stock or other stock issued on conversion of the Preferred Stock) or other securities directly or indirectly convertible into or exchangeable for Common Stock.</w:t>
      </w:r>
    </w:p>
    <w:p>
      <w:pPr>
        <w:spacing w:after="0" w:line="140" w:lineRule="exact"/>
        <w:rPr>
          <w:rFonts w:ascii="Arial" w:cs="Arial" w:eastAsia="Arial" w:hAnsi="Arial"/>
          <w:sz w:val="15"/>
          <w:szCs w:val="15"/>
          <w:color w:val="auto"/>
        </w:rPr>
      </w:pPr>
    </w:p>
    <w:p>
      <w:pPr>
        <w:ind w:right="260" w:firstLine="2216"/>
        <w:spacing w:after="0" w:line="289" w:lineRule="auto"/>
        <w:tabs>
          <w:tab w:leader="none" w:pos="2786" w:val="left"/>
        </w:tabs>
        <w:numPr>
          <w:ilvl w:val="0"/>
          <w:numId w:val="2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Shares of Common Stock</w:t>
      </w:r>
      <w:r>
        <w:rPr>
          <w:rFonts w:ascii="Arial" w:cs="Arial" w:eastAsia="Arial" w:hAnsi="Arial"/>
          <w:sz w:val="15"/>
          <w:szCs w:val="15"/>
          <w:color w:val="auto"/>
        </w:rPr>
        <w:t xml:space="preserve">” shall mean all shares of Common Stock issued (or, pursuant to </w:t>
      </w:r>
      <w:r>
        <w:rPr>
          <w:rFonts w:ascii="Arial" w:cs="Arial" w:eastAsia="Arial" w:hAnsi="Arial"/>
          <w:sz w:val="15"/>
          <w:szCs w:val="15"/>
          <w:u w:val="single" w:color="auto"/>
          <w:color w:val="auto"/>
        </w:rPr>
        <w:t>Section 3.3(d)(iii)</w:t>
      </w:r>
      <w:r>
        <w:rPr>
          <w:rFonts w:ascii="Arial" w:cs="Arial" w:eastAsia="Arial" w:hAnsi="Arial"/>
          <w:sz w:val="15"/>
          <w:szCs w:val="15"/>
          <w:color w:val="auto"/>
        </w:rPr>
        <w:t>, deemed to be issued) by the Corporation after the Original Issue Date, other than shares of Common Stock issued or issuable:</w:t>
      </w:r>
    </w:p>
    <w:p>
      <w:pPr>
        <w:spacing w:after="0" w:line="140" w:lineRule="exact"/>
        <w:rPr>
          <w:rFonts w:ascii="Arial" w:cs="Arial" w:eastAsia="Arial" w:hAnsi="Arial"/>
          <w:sz w:val="15"/>
          <w:szCs w:val="15"/>
          <w:color w:val="auto"/>
        </w:rPr>
      </w:pPr>
    </w:p>
    <w:p>
      <w:pPr>
        <w:ind w:firstLine="2772"/>
        <w:spacing w:after="0" w:line="322" w:lineRule="auto"/>
        <w:tabs>
          <w:tab w:leader="none" w:pos="3353" w:val="left"/>
        </w:tabs>
        <w:numPr>
          <w:ilvl w:val="1"/>
          <w:numId w:val="218"/>
        </w:numPr>
        <w:rPr>
          <w:rFonts w:ascii="Arial" w:cs="Arial" w:eastAsia="Arial" w:hAnsi="Arial"/>
          <w:sz w:val="13"/>
          <w:szCs w:val="13"/>
          <w:color w:val="auto"/>
        </w:rPr>
      </w:pPr>
      <w:r>
        <w:rPr>
          <w:rFonts w:ascii="Arial" w:cs="Arial" w:eastAsia="Arial" w:hAnsi="Arial"/>
          <w:sz w:val="13"/>
          <w:szCs w:val="13"/>
          <w:color w:val="auto"/>
        </w:rPr>
        <w:t>Pursuant to that certain Series E Preferred Stock Purchase Agreement, by and among the Corporation and the parties named therein, dated August 27, 2015 (as the same may be amended from time to time, the “</w:t>
      </w:r>
      <w:r>
        <w:rPr>
          <w:rFonts w:ascii="Arial" w:cs="Arial" w:eastAsia="Arial" w:hAnsi="Arial"/>
          <w:sz w:val="13"/>
          <w:szCs w:val="13"/>
          <w:u w:val="single" w:color="auto"/>
          <w:color w:val="auto"/>
        </w:rPr>
        <w:t>Series E Purchase Agreement</w:t>
      </w:r>
      <w:r>
        <w:rPr>
          <w:rFonts w:ascii="Arial" w:cs="Arial" w:eastAsia="Arial" w:hAnsi="Arial"/>
          <w:sz w:val="13"/>
          <w:szCs w:val="13"/>
          <w:color w:val="auto"/>
        </w:rPr>
        <w:t xml:space="preserve">”), including without limitation (x) those certain warrants to purchase Common Stock issued thereunder and upon any exercise of such warrants and (y) any shares of Common Stock that may be issued or become issuable upon conversion of the Series E Preferred as a result of adjustments to the conversion rate of the Series E Preferred, including for the avoidance of doubt, pursuant to </w:t>
      </w:r>
      <w:r>
        <w:rPr>
          <w:rFonts w:ascii="Arial" w:cs="Arial" w:eastAsia="Arial" w:hAnsi="Arial"/>
          <w:sz w:val="13"/>
          <w:szCs w:val="13"/>
          <w:u w:val="single" w:color="auto"/>
          <w:color w:val="auto"/>
        </w:rPr>
        <w:t>Subsection 3.3(a)(i)(1)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Subsection 3.3(b)(i)(2)</w:t>
      </w:r>
      <w:r>
        <w:rPr>
          <w:rFonts w:ascii="Arial" w:cs="Arial" w:eastAsia="Arial" w:hAnsi="Arial"/>
          <w:sz w:val="13"/>
          <w:szCs w:val="13"/>
          <w:color w:val="auto"/>
        </w:rPr>
        <w:t>;</w:t>
      </w:r>
    </w:p>
    <w:p>
      <w:pPr>
        <w:spacing w:after="0" w:line="124" w:lineRule="exact"/>
        <w:rPr>
          <w:rFonts w:ascii="Arial" w:cs="Arial" w:eastAsia="Arial" w:hAnsi="Arial"/>
          <w:sz w:val="13"/>
          <w:szCs w:val="13"/>
          <w:color w:val="auto"/>
        </w:rPr>
      </w:pPr>
    </w:p>
    <w:p>
      <w:pPr>
        <w:ind w:right="20" w:firstLine="2772"/>
        <w:spacing w:after="0" w:line="286" w:lineRule="auto"/>
        <w:tabs>
          <w:tab w:leader="none" w:pos="3344" w:val="left"/>
        </w:tabs>
        <w:numPr>
          <w:ilvl w:val="1"/>
          <w:numId w:val="218"/>
        </w:numPr>
        <w:rPr>
          <w:rFonts w:ascii="Arial" w:cs="Arial" w:eastAsia="Arial" w:hAnsi="Arial"/>
          <w:sz w:val="14"/>
          <w:szCs w:val="14"/>
          <w:color w:val="auto"/>
        </w:rPr>
      </w:pPr>
      <w:r>
        <w:rPr>
          <w:rFonts w:ascii="Arial" w:cs="Arial" w:eastAsia="Arial" w:hAnsi="Arial"/>
          <w:sz w:val="14"/>
          <w:szCs w:val="14"/>
          <w:color w:val="auto"/>
        </w:rPr>
        <w:t>pursuant to the Initial SRN Purchase Agreement, including without limitation upon conversion of shares of Series SRN Preferred pursuant to the Initial SRN Purchase Agreement, or pursuant to that certain Series SRN Preferred Stock Purchase Agreement, by and among the Corporation and the parties named therein, dated as of July 15, 2014 (as may be amended from time to time, the “</w:t>
      </w:r>
      <w:r>
        <w:rPr>
          <w:rFonts w:ascii="Arial" w:cs="Arial" w:eastAsia="Arial" w:hAnsi="Arial"/>
          <w:sz w:val="14"/>
          <w:szCs w:val="14"/>
          <w:u w:val="single" w:color="auto"/>
          <w:color w:val="auto"/>
        </w:rPr>
        <w:t>SRN Purchase Agreement</w:t>
      </w:r>
      <w:r>
        <w:rPr>
          <w:rFonts w:ascii="Arial" w:cs="Arial" w:eastAsia="Arial" w:hAnsi="Arial"/>
          <w:sz w:val="14"/>
          <w:szCs w:val="14"/>
          <w:color w:val="auto"/>
        </w:rPr>
        <w:t>”), including without limitation upon conversion of shares of Series SRN Preferred Stock issued pursuant to the SRN Purchase Agreement, provided, however, that the shares of Series SRN Preferred Stock issued or issuable pursuant the Initial SRN Purchase Agreement and the SRN Purchase Agreement shall not exceed in the aggregate 5,611,112 shares and the purchase price for each such share of Series SRN Preferred Stock shall not be less than $4.50 (subject to adjustment as provided in the Initial SRN Purchase Agreement or the SRN Purchase Agreement, as applicable);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3340" w:hanging="568"/>
        <w:spacing w:after="0"/>
        <w:tabs>
          <w:tab w:leader="none" w:pos="334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upon conversion of Preferred Stock or the conversion or exercise of other Convertible Securities outstanding as of the Original</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Issue Date;</w:t>
      </w:r>
    </w:p>
    <w:p>
      <w:pPr>
        <w:spacing w:after="0" w:line="188" w:lineRule="exact"/>
        <w:rPr>
          <w:sz w:val="20"/>
          <w:szCs w:val="20"/>
          <w:color w:val="auto"/>
        </w:rPr>
      </w:pPr>
    </w:p>
    <w:p>
      <w:pPr>
        <w:ind w:left="3340" w:hanging="568"/>
        <w:spacing w:after="0"/>
        <w:tabs>
          <w:tab w:leader="none" w:pos="334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 xml:space="preserve">pursuant to a transaction described in </w:t>
      </w:r>
      <w:r>
        <w:rPr>
          <w:rFonts w:ascii="Arial" w:cs="Arial" w:eastAsia="Arial" w:hAnsi="Arial"/>
          <w:sz w:val="14"/>
          <w:szCs w:val="14"/>
          <w:u w:val="single" w:color="auto"/>
          <w:color w:val="auto"/>
        </w:rPr>
        <w:t>Section 3.3(d)(iii)(2)</w:t>
      </w:r>
      <w:r>
        <w:rPr>
          <w:rFonts w:ascii="Arial" w:cs="Arial" w:eastAsia="Arial" w:hAnsi="Arial"/>
          <w:sz w:val="14"/>
          <w:szCs w:val="14"/>
          <w:color w:val="auto"/>
        </w:rPr>
        <w:t xml:space="preserve"> below, or by way of dividend or distribution on shares of Preferred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Stock;</w:t>
      </w:r>
    </w:p>
    <w:p>
      <w:pPr>
        <w:spacing w:after="0" w:line="188" w:lineRule="exact"/>
        <w:rPr>
          <w:sz w:val="20"/>
          <w:szCs w:val="20"/>
          <w:color w:val="auto"/>
        </w:rPr>
      </w:pPr>
    </w:p>
    <w:p>
      <w:pPr>
        <w:ind w:right="20" w:firstLine="2772"/>
        <w:spacing w:after="0" w:line="268" w:lineRule="auto"/>
        <w:tabs>
          <w:tab w:leader="none" w:pos="3347" w:val="left"/>
        </w:tabs>
        <w:numPr>
          <w:ilvl w:val="0"/>
          <w:numId w:val="221"/>
        </w:numPr>
        <w:rPr>
          <w:rFonts w:ascii="Arial" w:cs="Arial" w:eastAsia="Arial" w:hAnsi="Arial"/>
          <w:sz w:val="15"/>
          <w:szCs w:val="15"/>
          <w:color w:val="auto"/>
        </w:rPr>
      </w:pPr>
      <w:r>
        <w:rPr>
          <w:rFonts w:ascii="Arial" w:cs="Arial" w:eastAsia="Arial" w:hAnsi="Arial"/>
          <w:sz w:val="15"/>
          <w:szCs w:val="15"/>
          <w:color w:val="auto"/>
        </w:rPr>
        <w:t>to officers, directors or employees of, or consultants to, the Corporation pursuant to action by the Board of Directors, or the compensation committee thereof, pursuant to any stock purchase or option plan or other employee or director stock incentive or compensation program (collectively, the “</w:t>
      </w:r>
      <w:r>
        <w:rPr>
          <w:rFonts w:ascii="Arial" w:cs="Arial" w:eastAsia="Arial" w:hAnsi="Arial"/>
          <w:sz w:val="15"/>
          <w:szCs w:val="15"/>
          <w:u w:val="single" w:color="auto"/>
          <w:color w:val="auto"/>
        </w:rPr>
        <w:t>Plans</w:t>
      </w:r>
      <w:r>
        <w:rPr>
          <w:rFonts w:ascii="Arial" w:cs="Arial" w:eastAsia="Arial" w:hAnsi="Arial"/>
          <w:sz w:val="15"/>
          <w:szCs w:val="15"/>
          <w:color w:val="auto"/>
        </w:rPr>
        <w:t>”) as in effect on the filing date of this Certificate or as amended or approved by a majority of the members of the Board of Directors, including a majority of the Preferred Directors (as defined below);</w:t>
      </w:r>
    </w:p>
    <w:p>
      <w:pPr>
        <w:sectPr>
          <w:pgSz w:w="11900" w:h="16838" w:orient="portrait"/>
          <w:cols w:equalWidth="0" w:num="1">
            <w:col w:w="11400"/>
          </w:cols>
          <w:pgMar w:left="240" w:top="129" w:right="259" w:bottom="0" w:gutter="0" w:footer="0" w:header="0"/>
        </w:sectPr>
      </w:pPr>
    </w:p>
    <w:bookmarkStart w:id="312" w:name="page313"/>
    <w:bookmarkEnd w:id="312"/>
    <w:p>
      <w:pPr>
        <w:ind w:left="3340" w:hanging="568"/>
        <w:spacing w:after="0"/>
        <w:tabs>
          <w:tab w:leader="none" w:pos="3340" w:val="left"/>
        </w:tabs>
        <w:numPr>
          <w:ilvl w:val="1"/>
          <w:numId w:val="222"/>
        </w:numPr>
        <w:rPr>
          <w:rFonts w:ascii="Arial" w:cs="Arial" w:eastAsia="Arial" w:hAnsi="Arial"/>
          <w:sz w:val="15"/>
          <w:szCs w:val="15"/>
          <w:color w:val="auto"/>
        </w:rPr>
      </w:pPr>
      <w:r>
        <w:rPr>
          <w:rFonts w:ascii="Arial" w:cs="Arial" w:eastAsia="Arial" w:hAnsi="Arial"/>
          <w:sz w:val="15"/>
          <w:szCs w:val="15"/>
          <w:color w:val="auto"/>
        </w:rPr>
        <w:t>to a financing institution in connection with a commercial credit arrangement, equipment financing or similar financing</w:t>
      </w:r>
    </w:p>
    <w:p>
      <w:pPr>
        <w:spacing w:after="0" w:line="2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arrangement approved by a majority of the members of the Board of Directors, including a majority of the Preferred Directors;</w:t>
      </w:r>
    </w:p>
    <w:p>
      <w:pPr>
        <w:spacing w:after="0" w:line="187" w:lineRule="exact"/>
        <w:rPr>
          <w:rFonts w:ascii="Arial" w:cs="Arial" w:eastAsia="Arial" w:hAnsi="Arial"/>
          <w:sz w:val="15"/>
          <w:szCs w:val="15"/>
          <w:color w:val="auto"/>
        </w:rPr>
      </w:pPr>
    </w:p>
    <w:p>
      <w:pPr>
        <w:ind w:right="40" w:firstLine="2772"/>
        <w:spacing w:after="0" w:line="289" w:lineRule="auto"/>
        <w:tabs>
          <w:tab w:leader="none" w:pos="3353" w:val="left"/>
        </w:tabs>
        <w:numPr>
          <w:ilvl w:val="1"/>
          <w:numId w:val="222"/>
        </w:numPr>
        <w:rPr>
          <w:rFonts w:ascii="Arial" w:cs="Arial" w:eastAsia="Arial" w:hAnsi="Arial"/>
          <w:sz w:val="15"/>
          <w:szCs w:val="15"/>
          <w:color w:val="auto"/>
        </w:rPr>
      </w:pPr>
      <w:r>
        <w:rPr>
          <w:rFonts w:ascii="Arial" w:cs="Arial" w:eastAsia="Arial" w:hAnsi="Arial"/>
          <w:sz w:val="15"/>
          <w:szCs w:val="15"/>
          <w:color w:val="auto"/>
        </w:rPr>
        <w:t>in connection with the bona fide acquisition of a business, product or technology by the Corporation approved by a majority of the members of the Board of Directors, including a majority of the Preferred Directors;</w:t>
      </w:r>
    </w:p>
    <w:p>
      <w:pPr>
        <w:spacing w:after="0" w:line="140" w:lineRule="exact"/>
        <w:rPr>
          <w:rFonts w:ascii="Arial" w:cs="Arial" w:eastAsia="Arial" w:hAnsi="Arial"/>
          <w:sz w:val="15"/>
          <w:szCs w:val="15"/>
          <w:color w:val="auto"/>
        </w:rPr>
      </w:pPr>
    </w:p>
    <w:p>
      <w:pPr>
        <w:jc w:val="both"/>
        <w:ind w:right="520" w:firstLine="2772"/>
        <w:spacing w:after="0" w:line="327" w:lineRule="auto"/>
        <w:tabs>
          <w:tab w:leader="none" w:pos="3341" w:val="left"/>
        </w:tabs>
        <w:numPr>
          <w:ilvl w:val="1"/>
          <w:numId w:val="222"/>
        </w:numPr>
        <w:rPr>
          <w:rFonts w:ascii="Arial" w:cs="Arial" w:eastAsia="Arial" w:hAnsi="Arial"/>
          <w:sz w:val="14"/>
          <w:szCs w:val="14"/>
          <w:color w:val="auto"/>
        </w:rPr>
      </w:pPr>
      <w:r>
        <w:rPr>
          <w:rFonts w:ascii="Arial" w:cs="Arial" w:eastAsia="Arial" w:hAnsi="Arial"/>
          <w:sz w:val="14"/>
          <w:szCs w:val="14"/>
          <w:color w:val="auto"/>
        </w:rPr>
        <w:t>in connection with any bona fide sponsored research, collaboration, joint venture, technology license, development, OEM, marketing or other similar agreements or strategic partnerships approved by a majority of the members of the Board of Directors, including a majority of the Preferred Directors;</w:t>
      </w:r>
    </w:p>
    <w:p>
      <w:pPr>
        <w:spacing w:after="0" w:line="117" w:lineRule="exact"/>
        <w:rPr>
          <w:rFonts w:ascii="Arial" w:cs="Arial" w:eastAsia="Arial" w:hAnsi="Arial"/>
          <w:sz w:val="14"/>
          <w:szCs w:val="14"/>
          <w:color w:val="auto"/>
        </w:rPr>
      </w:pPr>
    </w:p>
    <w:p>
      <w:pPr>
        <w:ind w:left="3340" w:hanging="568"/>
        <w:spacing w:after="0"/>
        <w:tabs>
          <w:tab w:leader="none" w:pos="3340" w:val="left"/>
        </w:tabs>
        <w:numPr>
          <w:ilvl w:val="1"/>
          <w:numId w:val="222"/>
        </w:numPr>
        <w:rPr>
          <w:rFonts w:ascii="Arial" w:cs="Arial" w:eastAsia="Arial" w:hAnsi="Arial"/>
          <w:sz w:val="15"/>
          <w:szCs w:val="15"/>
          <w:color w:val="auto"/>
        </w:rPr>
      </w:pPr>
      <w:r>
        <w:rPr>
          <w:rFonts w:ascii="Arial" w:cs="Arial" w:eastAsia="Arial" w:hAnsi="Arial"/>
          <w:sz w:val="15"/>
          <w:szCs w:val="15"/>
          <w:color w:val="auto"/>
        </w:rPr>
        <w:t>pursuant to a Qualified Public Offering;</w:t>
      </w:r>
    </w:p>
    <w:p>
      <w:pPr>
        <w:spacing w:after="0" w:line="198" w:lineRule="exact"/>
        <w:rPr>
          <w:rFonts w:ascii="Arial" w:cs="Arial" w:eastAsia="Arial" w:hAnsi="Arial"/>
          <w:sz w:val="15"/>
          <w:szCs w:val="15"/>
          <w:color w:val="auto"/>
        </w:rPr>
      </w:pPr>
    </w:p>
    <w:p>
      <w:pPr>
        <w:ind w:left="3340" w:hanging="568"/>
        <w:spacing w:after="0"/>
        <w:tabs>
          <w:tab w:leader="none" w:pos="3340" w:val="left"/>
        </w:tabs>
        <w:numPr>
          <w:ilvl w:val="1"/>
          <w:numId w:val="222"/>
        </w:numPr>
        <w:rPr>
          <w:rFonts w:ascii="Arial" w:cs="Arial" w:eastAsia="Arial" w:hAnsi="Arial"/>
          <w:sz w:val="13"/>
          <w:szCs w:val="13"/>
          <w:color w:val="auto"/>
        </w:rPr>
      </w:pPr>
      <w:r>
        <w:rPr>
          <w:rFonts w:ascii="Arial" w:cs="Arial" w:eastAsia="Arial" w:hAnsi="Arial"/>
          <w:sz w:val="13"/>
          <w:szCs w:val="13"/>
          <w:color w:val="auto"/>
        </w:rPr>
        <w:t xml:space="preserve">as a result of a decrease in the Conversion Price of any series of Preferred Stock resulting from the operation of this </w:t>
      </w:r>
      <w:r>
        <w:rPr>
          <w:rFonts w:ascii="Arial" w:cs="Arial" w:eastAsia="Arial" w:hAnsi="Arial"/>
          <w:sz w:val="13"/>
          <w:szCs w:val="13"/>
          <w:u w:val="single" w:color="auto"/>
          <w:color w:val="auto"/>
        </w:rPr>
        <w:t>Section 3.3(d)</w:t>
      </w:r>
      <w:r>
        <w:rPr>
          <w:rFonts w:ascii="Arial" w:cs="Arial" w:eastAsia="Arial" w:hAnsi="Arial"/>
          <w:sz w:val="13"/>
          <w:szCs w:val="13"/>
          <w:color w:val="auto"/>
        </w:rPr>
        <w:t>;</w:t>
      </w:r>
    </w:p>
    <w:p>
      <w:pPr>
        <w:spacing w:after="0" w:line="221" w:lineRule="exact"/>
        <w:rPr>
          <w:rFonts w:ascii="Arial" w:cs="Arial" w:eastAsia="Arial" w:hAnsi="Arial"/>
          <w:sz w:val="13"/>
          <w:szCs w:val="13"/>
          <w:color w:val="auto"/>
        </w:rPr>
      </w:pPr>
    </w:p>
    <w:p>
      <w:pPr>
        <w:ind w:left="3340" w:hanging="568"/>
        <w:spacing w:after="0"/>
        <w:tabs>
          <w:tab w:leader="none" w:pos="3340" w:val="left"/>
        </w:tabs>
        <w:numPr>
          <w:ilvl w:val="1"/>
          <w:numId w:val="222"/>
        </w:numPr>
        <w:rPr>
          <w:rFonts w:ascii="Arial" w:cs="Arial" w:eastAsia="Arial" w:hAnsi="Arial"/>
          <w:sz w:val="15"/>
          <w:szCs w:val="15"/>
          <w:color w:val="auto"/>
        </w:rPr>
      </w:pPr>
      <w:r>
        <w:rPr>
          <w:rFonts w:ascii="Arial" w:cs="Arial" w:eastAsia="Arial" w:hAnsi="Arial"/>
          <w:sz w:val="15"/>
          <w:szCs w:val="15"/>
          <w:color w:val="auto"/>
        </w:rPr>
        <w:t>in connection with a financing of the Project Company; and</w:t>
      </w:r>
    </w:p>
    <w:p>
      <w:pPr>
        <w:spacing w:after="0" w:line="198" w:lineRule="exact"/>
        <w:rPr>
          <w:rFonts w:ascii="Arial" w:cs="Arial" w:eastAsia="Arial" w:hAnsi="Arial"/>
          <w:sz w:val="15"/>
          <w:szCs w:val="15"/>
          <w:color w:val="auto"/>
        </w:rPr>
      </w:pPr>
    </w:p>
    <w:p>
      <w:pPr>
        <w:ind w:left="3340" w:hanging="568"/>
        <w:spacing w:after="0"/>
        <w:tabs>
          <w:tab w:leader="none" w:pos="3340" w:val="left"/>
        </w:tabs>
        <w:numPr>
          <w:ilvl w:val="1"/>
          <w:numId w:val="222"/>
        </w:numPr>
        <w:rPr>
          <w:rFonts w:ascii="Arial" w:cs="Arial" w:eastAsia="Arial" w:hAnsi="Arial"/>
          <w:sz w:val="15"/>
          <w:szCs w:val="15"/>
          <w:color w:val="auto"/>
        </w:rPr>
      </w:pPr>
      <w:r>
        <w:rPr>
          <w:rFonts w:ascii="Arial" w:cs="Arial" w:eastAsia="Arial" w:hAnsi="Arial"/>
          <w:sz w:val="15"/>
          <w:szCs w:val="15"/>
          <w:color w:val="auto"/>
        </w:rPr>
        <w:t>with the unanimous approval of the Board of Directors.</w:t>
      </w:r>
    </w:p>
    <w:p>
      <w:pPr>
        <w:spacing w:after="0" w:line="198" w:lineRule="exact"/>
        <w:rPr>
          <w:rFonts w:ascii="Arial" w:cs="Arial" w:eastAsia="Arial" w:hAnsi="Arial"/>
          <w:sz w:val="15"/>
          <w:szCs w:val="15"/>
          <w:color w:val="auto"/>
        </w:rPr>
      </w:pPr>
    </w:p>
    <w:p>
      <w:pPr>
        <w:ind w:right="60" w:firstLine="1660"/>
        <w:spacing w:after="0" w:line="264" w:lineRule="auto"/>
        <w:tabs>
          <w:tab w:leader="none" w:pos="2250" w:val="left"/>
        </w:tabs>
        <w:numPr>
          <w:ilvl w:val="0"/>
          <w:numId w:val="223"/>
        </w:numPr>
        <w:rPr>
          <w:rFonts w:ascii="Arial" w:cs="Arial" w:eastAsia="Arial" w:hAnsi="Arial"/>
          <w:sz w:val="15"/>
          <w:szCs w:val="15"/>
          <w:color w:val="auto"/>
        </w:rPr>
      </w:pPr>
      <w:r>
        <w:rPr>
          <w:rFonts w:ascii="Arial" w:cs="Arial" w:eastAsia="Arial" w:hAnsi="Arial"/>
          <w:sz w:val="15"/>
          <w:szCs w:val="15"/>
          <w:u w:val="single" w:color="auto"/>
          <w:color w:val="auto"/>
        </w:rPr>
        <w:t>No Adjustment of Conversion Price</w:t>
      </w:r>
      <w:r>
        <w:rPr>
          <w:rFonts w:ascii="Arial" w:cs="Arial" w:eastAsia="Arial" w:hAnsi="Arial"/>
          <w:sz w:val="15"/>
          <w:szCs w:val="15"/>
          <w:color w:val="auto"/>
        </w:rPr>
        <w:t>. No adjustment in the number of shares of Common Stock into which a series of Preferred Stock is convertible shall be made by adjustment of the Conversion Price of such series of Preferred Stock with respect to the issuance or deemed issuance of Additional Shares of Common Stock or otherwise, (A) with respect to the Senior Preferred Stock, if the holders of shares of Senior Preferred Stock representing at least sixty-six and two-thirds percent (66 2/3%) of the votes represented by all outstanding shares of Senior Preferred Stock voting together as a single class, waive such adjustment, (B) with respect to the Series SRN Preferred Stock, if the SRN Majority Holders, if any, waive such adjustment, or (C) unless the consideration per share for such Additional Shares of Common Stock issued or deemed to be issued by the Corporation is less than the Conversion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Price of such series of Preferred Stock in effect on the date of, and immediately prior to, the issuance or deemed issuance of such Additional Shares of Common Stock.</w:t>
      </w:r>
    </w:p>
    <w:p>
      <w:pPr>
        <w:spacing w:after="0" w:line="198" w:lineRule="exact"/>
        <w:rPr>
          <w:sz w:val="20"/>
          <w:szCs w:val="20"/>
          <w:color w:val="auto"/>
        </w:rPr>
      </w:pPr>
    </w:p>
    <w:p>
      <w:pPr>
        <w:ind w:left="2260" w:hanging="600"/>
        <w:spacing w:after="0"/>
        <w:tabs>
          <w:tab w:leader="none" w:pos="2260" w:val="left"/>
        </w:tabs>
        <w:numPr>
          <w:ilvl w:val="0"/>
          <w:numId w:val="224"/>
        </w:numPr>
        <w:rPr>
          <w:rFonts w:ascii="Arial" w:cs="Arial" w:eastAsia="Arial" w:hAnsi="Arial"/>
          <w:sz w:val="15"/>
          <w:szCs w:val="15"/>
          <w:color w:val="auto"/>
        </w:rPr>
      </w:pPr>
      <w:r>
        <w:rPr>
          <w:rFonts w:ascii="Arial" w:cs="Arial" w:eastAsia="Arial" w:hAnsi="Arial"/>
          <w:sz w:val="15"/>
          <w:szCs w:val="15"/>
          <w:u w:val="single" w:color="auto"/>
          <w:color w:val="auto"/>
        </w:rPr>
        <w:t>Deemed Issue of Additional Shares of Common Stock</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60" w:firstLine="2216"/>
        <w:spacing w:after="0" w:line="282" w:lineRule="auto"/>
        <w:tabs>
          <w:tab w:leader="none" w:pos="2786" w:val="left"/>
        </w:tabs>
        <w:numPr>
          <w:ilvl w:val="1"/>
          <w:numId w:val="224"/>
        </w:numPr>
        <w:rPr>
          <w:rFonts w:ascii="Arial" w:cs="Arial" w:eastAsia="Arial" w:hAnsi="Arial"/>
          <w:sz w:val="14"/>
          <w:szCs w:val="14"/>
          <w:color w:val="auto"/>
        </w:rPr>
      </w:pPr>
      <w:r>
        <w:rPr>
          <w:rFonts w:ascii="Arial" w:cs="Arial" w:eastAsia="Arial" w:hAnsi="Arial"/>
          <w:sz w:val="14"/>
          <w:szCs w:val="14"/>
          <w:u w:val="single" w:color="auto"/>
          <w:color w:val="auto"/>
        </w:rPr>
        <w:t>Options and Convertible Securities</w:t>
      </w:r>
      <w:r>
        <w:rPr>
          <w:rFonts w:ascii="Arial" w:cs="Arial" w:eastAsia="Arial" w:hAnsi="Arial"/>
          <w:sz w:val="14"/>
          <w:szCs w:val="14"/>
          <w:color w:val="auto"/>
        </w:rPr>
        <w:t xml:space="preserve">. In the event the Corporation at any time or from time to time after the Original Issue Date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Additional Shares of Common Stock shall not be deemed to have been issued if (i) such shares of Common Stock are excluded from the definition of Additional Shares of Common Stock set forth in </w:t>
      </w:r>
      <w:r>
        <w:rPr>
          <w:rFonts w:ascii="Arial" w:cs="Arial" w:eastAsia="Arial" w:hAnsi="Arial"/>
          <w:sz w:val="14"/>
          <w:szCs w:val="14"/>
          <w:u w:val="single" w:color="auto"/>
          <w:color w:val="auto"/>
        </w:rPr>
        <w:t>Section 3.3(d)(i)(4)</w:t>
      </w:r>
      <w:r>
        <w:rPr>
          <w:rFonts w:ascii="Arial" w:cs="Arial" w:eastAsia="Arial" w:hAnsi="Arial"/>
          <w:sz w:val="14"/>
          <w:szCs w:val="14"/>
          <w:color w:val="auto"/>
        </w:rPr>
        <w:t xml:space="preserve"> or (ii) the consideration per share (determined pursuant to </w:t>
      </w:r>
      <w:r>
        <w:rPr>
          <w:rFonts w:ascii="Arial" w:cs="Arial" w:eastAsia="Arial" w:hAnsi="Arial"/>
          <w:sz w:val="14"/>
          <w:szCs w:val="14"/>
          <w:u w:val="single" w:color="auto"/>
          <w:color w:val="auto"/>
        </w:rPr>
        <w:t>Section 3.3(d)(v)</w:t>
      </w:r>
      <w:r>
        <w:rPr>
          <w:rFonts w:ascii="Arial" w:cs="Arial" w:eastAsia="Arial" w:hAnsi="Arial"/>
          <w:sz w:val="14"/>
          <w:szCs w:val="14"/>
          <w:color w:val="auto"/>
        </w:rPr>
        <w:t xml:space="preserve">) of such Additional Shares of Common Stock is not less than the Conversion Price of any series of Senior Preferred Stock in effect on the date of and immediately prior to such issue, or such record date, as the case may be; and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in any such case in which Additional Shares of Common Stock are deemed to be issued:</w:t>
      </w:r>
    </w:p>
    <w:p>
      <w:pPr>
        <w:spacing w:after="0" w:line="150" w:lineRule="exact"/>
        <w:rPr>
          <w:rFonts w:ascii="Arial" w:cs="Arial" w:eastAsia="Arial" w:hAnsi="Arial"/>
          <w:sz w:val="14"/>
          <w:szCs w:val="14"/>
          <w:color w:val="auto"/>
        </w:rPr>
      </w:pPr>
    </w:p>
    <w:p>
      <w:pPr>
        <w:ind w:left="3340" w:hanging="568"/>
        <w:spacing w:after="0"/>
        <w:tabs>
          <w:tab w:leader="none" w:pos="3340" w:val="left"/>
        </w:tabs>
        <w:numPr>
          <w:ilvl w:val="2"/>
          <w:numId w:val="224"/>
        </w:numPr>
        <w:rPr>
          <w:rFonts w:ascii="Arial" w:cs="Arial" w:eastAsia="Arial" w:hAnsi="Arial"/>
          <w:sz w:val="14"/>
          <w:szCs w:val="14"/>
          <w:color w:val="auto"/>
        </w:rPr>
      </w:pPr>
      <w:r>
        <w:rPr>
          <w:rFonts w:ascii="Arial" w:cs="Arial" w:eastAsia="Arial" w:hAnsi="Arial"/>
          <w:sz w:val="14"/>
          <w:szCs w:val="14"/>
          <w:color w:val="auto"/>
        </w:rPr>
        <w:t>no further adjustment in the Conversion Price of any series of Preferred Stock shall be made upon the subsequent issue of</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Convertible Securities or shares of Common Stock upon the exercise of such Options or conversion or exchange of such Convertible Securities;</w:t>
      </w:r>
    </w:p>
    <w:p>
      <w:pPr>
        <w:spacing w:after="0" w:line="187" w:lineRule="exact"/>
        <w:rPr>
          <w:rFonts w:ascii="Arial" w:cs="Arial" w:eastAsia="Arial" w:hAnsi="Arial"/>
          <w:sz w:val="14"/>
          <w:szCs w:val="14"/>
          <w:color w:val="auto"/>
        </w:rPr>
      </w:pPr>
    </w:p>
    <w:p>
      <w:pPr>
        <w:ind w:right="240" w:firstLine="2772"/>
        <w:spacing w:after="0" w:line="265" w:lineRule="auto"/>
        <w:tabs>
          <w:tab w:leader="none" w:pos="3344" w:val="left"/>
        </w:tabs>
        <w:numPr>
          <w:ilvl w:val="2"/>
          <w:numId w:val="224"/>
        </w:numPr>
        <w:rPr>
          <w:rFonts w:ascii="Arial" w:cs="Arial" w:eastAsia="Arial" w:hAnsi="Arial"/>
          <w:sz w:val="15"/>
          <w:szCs w:val="15"/>
          <w:color w:val="auto"/>
        </w:rPr>
      </w:pPr>
      <w:r>
        <w:rPr>
          <w:rFonts w:ascii="Arial" w:cs="Arial" w:eastAsia="Arial" w:hAnsi="Arial"/>
          <w:sz w:val="15"/>
          <w:szCs w:val="15"/>
          <w:color w:val="auto"/>
        </w:rPr>
        <w:t>if such Options or Convertible Securities by their terms provide, with the passage of time or otherwise, for any increase in the consideration payable to the Corporation, or decrease in the number of shares of Common Stock issuable, upon the exercise, conversion or exchange thereof, the Conversion Price of any series of Preferred Stock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w:t>
      </w:r>
    </w:p>
    <w:p>
      <w:pPr>
        <w:spacing w:after="0" w:line="159" w:lineRule="exact"/>
        <w:rPr>
          <w:rFonts w:ascii="Arial" w:cs="Arial" w:eastAsia="Arial" w:hAnsi="Arial"/>
          <w:sz w:val="15"/>
          <w:szCs w:val="15"/>
          <w:color w:val="auto"/>
        </w:rPr>
      </w:pPr>
    </w:p>
    <w:p>
      <w:pPr>
        <w:ind w:right="20" w:firstLine="2772"/>
        <w:spacing w:after="0" w:line="273" w:lineRule="auto"/>
        <w:tabs>
          <w:tab w:leader="none" w:pos="3344" w:val="left"/>
        </w:tabs>
        <w:numPr>
          <w:ilvl w:val="2"/>
          <w:numId w:val="224"/>
        </w:numPr>
        <w:rPr>
          <w:rFonts w:ascii="Arial" w:cs="Arial" w:eastAsia="Arial" w:hAnsi="Arial"/>
          <w:sz w:val="15"/>
          <w:szCs w:val="15"/>
          <w:color w:val="auto"/>
        </w:rPr>
      </w:pPr>
      <w:r>
        <w:rPr>
          <w:rFonts w:ascii="Arial" w:cs="Arial" w:eastAsia="Arial" w:hAnsi="Arial"/>
          <w:sz w:val="15"/>
          <w:szCs w:val="15"/>
          <w:color w:val="auto"/>
        </w:rPr>
        <w:t>upon the expiration of any such Options or any rights of conversion or exchange under such Convertible Securities which shall not have been exercised, the Conversion Price of any series of Preferred Stock computed upon the original issue thereof (or upon the occurrence of a record date with respect thereto) and any subsequent adjustments based thereon shall, upon such expiration, be recomputed as if:</w:t>
      </w:r>
    </w:p>
    <w:p>
      <w:pPr>
        <w:spacing w:after="0" w:line="152" w:lineRule="exact"/>
        <w:rPr>
          <w:rFonts w:ascii="Arial" w:cs="Arial" w:eastAsia="Arial" w:hAnsi="Arial"/>
          <w:sz w:val="15"/>
          <w:szCs w:val="15"/>
          <w:color w:val="auto"/>
        </w:rPr>
      </w:pPr>
    </w:p>
    <w:p>
      <w:pPr>
        <w:jc w:val="both"/>
        <w:ind w:right="60" w:firstLine="3328"/>
        <w:spacing w:after="0" w:line="273" w:lineRule="auto"/>
        <w:tabs>
          <w:tab w:leader="none" w:pos="3910" w:val="left"/>
        </w:tabs>
        <w:numPr>
          <w:ilvl w:val="3"/>
          <w:numId w:val="224"/>
        </w:numPr>
        <w:rPr>
          <w:rFonts w:ascii="Arial" w:cs="Arial" w:eastAsia="Arial" w:hAnsi="Arial"/>
          <w:sz w:val="15"/>
          <w:szCs w:val="15"/>
          <w:color w:val="auto"/>
        </w:rPr>
      </w:pPr>
      <w:r>
        <w:rPr>
          <w:rFonts w:ascii="Arial" w:cs="Arial" w:eastAsia="Arial" w:hAnsi="Arial"/>
          <w:sz w:val="15"/>
          <w:szCs w:val="15"/>
          <w:color w:val="auto"/>
        </w:rPr>
        <w:t>in the case of Convertible Securities or Options for Common Stock, the only Additional Shares of Common Stock issued were the shares of Common Stock, if any, actually issued upon the exercise of such Options or the conversion or exchange of such Convertible Securities and the consideration received therefor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spacing w:after="0" w:line="273" w:lineRule="auto"/>
        <w:rPr>
          <w:sz w:val="20"/>
          <w:szCs w:val="20"/>
          <w:color w:val="auto"/>
        </w:rPr>
      </w:pPr>
      <w:r>
        <w:rPr>
          <w:rFonts w:ascii="Arial" w:cs="Arial" w:eastAsia="Arial" w:hAnsi="Arial"/>
          <w:sz w:val="15"/>
          <w:szCs w:val="15"/>
          <w:color w:val="auto"/>
        </w:rPr>
        <w:t>was the consideration actually received by the Corporation for the issue of all such Options, whether or not exercised,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153" w:lineRule="exact"/>
        <w:rPr>
          <w:sz w:val="20"/>
          <w:szCs w:val="20"/>
          <w:color w:val="auto"/>
        </w:rPr>
      </w:pPr>
    </w:p>
    <w:p>
      <w:pPr>
        <w:jc w:val="both"/>
        <w:ind w:right="20" w:firstLine="3328"/>
        <w:spacing w:after="0" w:line="293" w:lineRule="auto"/>
        <w:tabs>
          <w:tab w:leader="none" w:pos="3918" w:val="left"/>
        </w:tabs>
        <w:numPr>
          <w:ilvl w:val="2"/>
          <w:numId w:val="225"/>
        </w:numPr>
        <w:rPr>
          <w:rFonts w:ascii="Arial" w:cs="Arial" w:eastAsia="Arial" w:hAnsi="Arial"/>
          <w:sz w:val="14"/>
          <w:szCs w:val="14"/>
          <w:color w:val="auto"/>
        </w:rPr>
      </w:pPr>
      <w:r>
        <w:rPr>
          <w:rFonts w:ascii="Arial" w:cs="Arial" w:eastAsia="Arial" w:hAnsi="Arial"/>
          <w:sz w:val="14"/>
          <w:szCs w:val="14"/>
          <w:color w:val="auto"/>
        </w:rPr>
        <w:t xml:space="preserve">in the case of Options for Convertible Securities, only the Convertible Securities, if any, actually issued upon the exercise thereof were issued at the time of issue of such Options, and the consideration received by the Corporation for the Additional Shares of Common Stock deemed to have been then issued was the consideration actually received by the Corporation for the issue of all such Options, whether or not exercised, plus the consideration deemed to have been received by the Corporation (determined pursuant to </w:t>
      </w:r>
      <w:r>
        <w:rPr>
          <w:rFonts w:ascii="Arial" w:cs="Arial" w:eastAsia="Arial" w:hAnsi="Arial"/>
          <w:sz w:val="14"/>
          <w:szCs w:val="14"/>
          <w:u w:val="single" w:color="auto"/>
          <w:color w:val="auto"/>
        </w:rPr>
        <w:t>Section 3.3(d)(v)</w:t>
      </w:r>
      <w:r>
        <w:rPr>
          <w:rFonts w:ascii="Arial" w:cs="Arial" w:eastAsia="Arial" w:hAnsi="Arial"/>
          <w:sz w:val="14"/>
          <w:szCs w:val="14"/>
          <w:color w:val="auto"/>
        </w:rPr>
        <w:t>) upon the issue of the Convertible Securities with respect to which such Options were actually exercised;</w:t>
      </w:r>
    </w:p>
    <w:p>
      <w:pPr>
        <w:spacing w:after="0" w:line="140" w:lineRule="exact"/>
        <w:rPr>
          <w:rFonts w:ascii="Arial" w:cs="Arial" w:eastAsia="Arial" w:hAnsi="Arial"/>
          <w:sz w:val="14"/>
          <w:szCs w:val="14"/>
          <w:color w:val="auto"/>
        </w:rPr>
      </w:pPr>
    </w:p>
    <w:p>
      <w:pPr>
        <w:ind w:right="140" w:firstLine="2772"/>
        <w:spacing w:after="0" w:line="302" w:lineRule="auto"/>
        <w:tabs>
          <w:tab w:leader="none" w:pos="3353" w:val="left"/>
        </w:tabs>
        <w:numPr>
          <w:ilvl w:val="1"/>
          <w:numId w:val="226"/>
        </w:numPr>
        <w:rPr>
          <w:rFonts w:ascii="Arial" w:cs="Arial" w:eastAsia="Arial" w:hAnsi="Arial"/>
          <w:sz w:val="14"/>
          <w:szCs w:val="14"/>
          <w:color w:val="auto"/>
        </w:rPr>
      </w:pPr>
      <w:r>
        <w:rPr>
          <w:rFonts w:ascii="Arial" w:cs="Arial" w:eastAsia="Arial" w:hAnsi="Arial"/>
          <w:sz w:val="14"/>
          <w:szCs w:val="14"/>
          <w:color w:val="auto"/>
        </w:rPr>
        <w:t>no readjustment pursuant to clause (B) or (C) above shall have the effect of increasing the Conversion Price of any series of Preferred Stock to an amount which exceeds the lower of (i) the Conversion Price of such series of Preferred Stock on the original adjustment date, or (ii) the Conversion Price of such series of Preferred Stock that would have resulted from any other issuance of Additional Shares of Common Stock between the original adjustment date and such readjustment date;</w:t>
      </w:r>
    </w:p>
    <w:p>
      <w:pPr>
        <w:spacing w:after="0" w:line="133" w:lineRule="exact"/>
        <w:rPr>
          <w:rFonts w:ascii="Arial" w:cs="Arial" w:eastAsia="Arial" w:hAnsi="Arial"/>
          <w:sz w:val="14"/>
          <w:szCs w:val="14"/>
          <w:color w:val="auto"/>
        </w:rPr>
      </w:pPr>
    </w:p>
    <w:p>
      <w:pPr>
        <w:jc w:val="both"/>
        <w:ind w:right="40" w:firstLine="2772"/>
        <w:spacing w:after="0" w:line="273" w:lineRule="auto"/>
        <w:tabs>
          <w:tab w:leader="none" w:pos="3347" w:val="left"/>
        </w:tabs>
        <w:numPr>
          <w:ilvl w:val="1"/>
          <w:numId w:val="226"/>
        </w:numPr>
        <w:rPr>
          <w:rFonts w:ascii="Arial" w:cs="Arial" w:eastAsia="Arial" w:hAnsi="Arial"/>
          <w:sz w:val="15"/>
          <w:szCs w:val="15"/>
          <w:color w:val="auto"/>
        </w:rPr>
      </w:pPr>
      <w:r>
        <w:rPr>
          <w:rFonts w:ascii="Arial" w:cs="Arial" w:eastAsia="Arial" w:hAnsi="Arial"/>
          <w:sz w:val="15"/>
          <w:szCs w:val="15"/>
          <w:color w:val="auto"/>
        </w:rPr>
        <w:t>in the case of any Options which expire by their terms not more than thirty (30) days after the date of issue thereof, no adjustment of the Conversion Price of any series of Preferred Stock shall be made until the expiration or exercise of all such Options, whereupon such adjustment shall be made in the same manner provided in clause (C) above; and</w:t>
      </w:r>
    </w:p>
    <w:p>
      <w:pPr>
        <w:spacing w:after="0" w:line="152" w:lineRule="exact"/>
        <w:rPr>
          <w:rFonts w:ascii="Arial" w:cs="Arial" w:eastAsia="Arial" w:hAnsi="Arial"/>
          <w:sz w:val="15"/>
          <w:szCs w:val="15"/>
          <w:color w:val="auto"/>
        </w:rPr>
      </w:pPr>
    </w:p>
    <w:p>
      <w:pPr>
        <w:ind w:right="160" w:firstLine="2772"/>
        <w:spacing w:after="0" w:line="302" w:lineRule="auto"/>
        <w:tabs>
          <w:tab w:leader="none" w:pos="3350" w:val="left"/>
        </w:tabs>
        <w:numPr>
          <w:ilvl w:val="1"/>
          <w:numId w:val="226"/>
        </w:numPr>
        <w:rPr>
          <w:rFonts w:ascii="Arial" w:cs="Arial" w:eastAsia="Arial" w:hAnsi="Arial"/>
          <w:sz w:val="14"/>
          <w:szCs w:val="14"/>
          <w:color w:val="auto"/>
        </w:rPr>
      </w:pPr>
      <w:r>
        <w:rPr>
          <w:rFonts w:ascii="Arial" w:cs="Arial" w:eastAsia="Arial" w:hAnsi="Arial"/>
          <w:sz w:val="14"/>
          <w:szCs w:val="14"/>
          <w:color w:val="auto"/>
        </w:rPr>
        <w:t xml:space="preserve">if such record date shall have been fixed and such Options or Convertible Securities are not issued on the date fixed therefor, the adjustment previously made in the Conversion Price of any series of Preferred Stock which became effective on such record date shall be canceled as of the close of business on such record date, and thereafter the Conversion Price of such series of Preferred Stock shall be adjusted pursuant to this </w:t>
      </w:r>
      <w:r>
        <w:rPr>
          <w:rFonts w:ascii="Arial" w:cs="Arial" w:eastAsia="Arial" w:hAnsi="Arial"/>
          <w:sz w:val="14"/>
          <w:szCs w:val="14"/>
          <w:u w:val="single" w:color="auto"/>
          <w:color w:val="auto"/>
        </w:rPr>
        <w:t>Section 3.3(d)(iii)</w:t>
      </w:r>
      <w:r>
        <w:rPr>
          <w:rFonts w:ascii="Arial" w:cs="Arial" w:eastAsia="Arial" w:hAnsi="Arial"/>
          <w:sz w:val="14"/>
          <w:szCs w:val="14"/>
          <w:color w:val="auto"/>
        </w:rPr>
        <w:t xml:space="preserve"> as of the actual date of their issuance.</w:t>
      </w:r>
    </w:p>
    <w:p>
      <w:pPr>
        <w:spacing w:after="0" w:line="133" w:lineRule="exact"/>
        <w:rPr>
          <w:rFonts w:ascii="Arial" w:cs="Arial" w:eastAsia="Arial" w:hAnsi="Arial"/>
          <w:sz w:val="14"/>
          <w:szCs w:val="14"/>
          <w:color w:val="auto"/>
        </w:rPr>
      </w:pPr>
    </w:p>
    <w:p>
      <w:pPr>
        <w:ind w:right="300" w:firstLine="2216"/>
        <w:spacing w:after="0" w:line="327" w:lineRule="auto"/>
        <w:tabs>
          <w:tab w:leader="none" w:pos="2786" w:val="left"/>
        </w:tabs>
        <w:numPr>
          <w:ilvl w:val="0"/>
          <w:numId w:val="227"/>
        </w:numPr>
        <w:rPr>
          <w:rFonts w:ascii="Arial" w:cs="Arial" w:eastAsia="Arial" w:hAnsi="Arial"/>
          <w:sz w:val="14"/>
          <w:szCs w:val="14"/>
          <w:color w:val="auto"/>
        </w:rPr>
      </w:pPr>
      <w:r>
        <w:rPr>
          <w:rFonts w:ascii="Arial" w:cs="Arial" w:eastAsia="Arial" w:hAnsi="Arial"/>
          <w:sz w:val="14"/>
          <w:szCs w:val="14"/>
          <w:u w:val="single" w:color="auto"/>
          <w:color w:val="auto"/>
        </w:rPr>
        <w:t>Stock Dividends, Stock Distributions and Subdivisions</w:t>
      </w:r>
      <w:r>
        <w:rPr>
          <w:rFonts w:ascii="Arial" w:cs="Arial" w:eastAsia="Arial" w:hAnsi="Arial"/>
          <w:sz w:val="14"/>
          <w:szCs w:val="14"/>
          <w:color w:val="auto"/>
        </w:rPr>
        <w:t>. In the event the Corporation at any time or from time to time after the Original Issue Date shall declare or pay any dividend or make any other distribution on the Common Stock payable in Common Stock, or effect a subdivision of the outstanding shares of</w:t>
      </w:r>
    </w:p>
    <w:p>
      <w:pPr>
        <w:sectPr>
          <w:pgSz w:w="11900" w:h="16838" w:orient="portrait"/>
          <w:cols w:equalWidth="0" w:num="1">
            <w:col w:w="11440"/>
          </w:cols>
          <w:pgMar w:left="240" w:top="314" w:right="219" w:bottom="0" w:gutter="0" w:footer="0" w:header="0"/>
        </w:sectPr>
      </w:pPr>
    </w:p>
    <w:bookmarkStart w:id="313" w:name="page314"/>
    <w:bookmarkEnd w:id="313"/>
    <w:p>
      <w:pPr>
        <w:ind w:right="480"/>
        <w:spacing w:after="0" w:line="289" w:lineRule="auto"/>
        <w:rPr>
          <w:sz w:val="20"/>
          <w:szCs w:val="20"/>
          <w:color w:val="auto"/>
        </w:rPr>
      </w:pPr>
      <w:r>
        <w:rPr>
          <w:rFonts w:ascii="Arial" w:cs="Arial" w:eastAsia="Arial" w:hAnsi="Arial"/>
          <w:sz w:val="15"/>
          <w:szCs w:val="15"/>
          <w:color w:val="auto"/>
        </w:rPr>
        <w:t xml:space="preserve">Common Stock (by reclassification or otherwise than by payment of a dividend in Common Stock), then and in any such event, Additional Shares of Common Stock shall not be deemed to have been issued, but the Conversion Price of any series of Preferred Stock shall be adjusted in accordance with </w:t>
      </w:r>
      <w:r>
        <w:rPr>
          <w:rFonts w:ascii="Arial" w:cs="Arial" w:eastAsia="Arial" w:hAnsi="Arial"/>
          <w:sz w:val="15"/>
          <w:szCs w:val="15"/>
          <w:u w:val="single" w:color="auto"/>
          <w:color w:val="auto"/>
        </w:rPr>
        <w:t>Section 3.3(d)(vi)</w:t>
      </w:r>
      <w:r>
        <w:rPr>
          <w:rFonts w:ascii="Arial" w:cs="Arial" w:eastAsia="Arial" w:hAnsi="Arial"/>
          <w:sz w:val="15"/>
          <w:szCs w:val="15"/>
          <w:color w:val="auto"/>
        </w:rPr>
        <w:t>.</w:t>
      </w:r>
    </w:p>
    <w:p>
      <w:pPr>
        <w:spacing w:after="0" w:line="141" w:lineRule="exact"/>
        <w:rPr>
          <w:sz w:val="20"/>
          <w:szCs w:val="20"/>
          <w:color w:val="auto"/>
        </w:rPr>
      </w:pPr>
    </w:p>
    <w:p>
      <w:pPr>
        <w:ind w:right="80" w:firstLine="1660"/>
        <w:spacing w:after="0" w:line="289" w:lineRule="auto"/>
        <w:tabs>
          <w:tab w:leader="none" w:pos="2238" w:val="left"/>
        </w:tabs>
        <w:numPr>
          <w:ilvl w:val="0"/>
          <w:numId w:val="228"/>
        </w:numPr>
        <w:rPr>
          <w:rFonts w:ascii="Arial" w:cs="Arial" w:eastAsia="Arial" w:hAnsi="Arial"/>
          <w:sz w:val="15"/>
          <w:szCs w:val="15"/>
          <w:color w:val="auto"/>
        </w:rPr>
      </w:pPr>
      <w:r>
        <w:rPr>
          <w:rFonts w:ascii="Arial" w:cs="Arial" w:eastAsia="Arial" w:hAnsi="Arial"/>
          <w:sz w:val="15"/>
          <w:szCs w:val="15"/>
          <w:u w:val="single" w:color="auto"/>
          <w:color w:val="auto"/>
        </w:rPr>
        <w:t>Adjustment of Conversion Price Upon Issuance of Additional Shares of Common Stock</w:t>
      </w:r>
      <w:r>
        <w:rPr>
          <w:rFonts w:ascii="Arial" w:cs="Arial" w:eastAsia="Arial" w:hAnsi="Arial"/>
          <w:sz w:val="15"/>
          <w:szCs w:val="15"/>
          <w:color w:val="auto"/>
        </w:rPr>
        <w:t>. In the event the Corporation shall issue Additional Shares of Common Stock (including without limitation Additional Shares of Common Stock deemed to be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color w:val="auto"/>
        </w:rPr>
        <w:t xml:space="preserve">issued pursuant to </w:t>
      </w:r>
      <w:r>
        <w:rPr>
          <w:rFonts w:ascii="Arial" w:cs="Arial" w:eastAsia="Arial" w:hAnsi="Arial"/>
          <w:sz w:val="14"/>
          <w:szCs w:val="14"/>
          <w:u w:val="single" w:color="auto"/>
          <w:color w:val="auto"/>
        </w:rPr>
        <w:t>Section 3.3(d)(iii)</w:t>
      </w:r>
      <w:r>
        <w:rPr>
          <w:rFonts w:ascii="Arial" w:cs="Arial" w:eastAsia="Arial" w:hAnsi="Arial"/>
          <w:sz w:val="14"/>
          <w:szCs w:val="14"/>
          <w:color w:val="auto"/>
        </w:rPr>
        <w:t xml:space="preserve">) without consideration or for a consideration per share less than the applicable Conversion Price of any series of Preferred Stock in effect on the date of and immediately prior to such issue, then and in such event, such Conversion Price shall be reduced, concurrently with such issue in order to increase the number of shares of Common Stock into which such series of Preferred Stock is convertible, to a price (calculated to the nearest cent) determined by dividing (A) (i) the Conversion Price of such series of Preferred Stock multiplied by the number of shares of Common Stock outstanding immediately prior to such issue (including without limitation shares of Common Stock issuable upon conversion of any outstanding Options, Convertible Securities and shares of Preferred Stock), plus (ii) the aggregate consideration received by the Corporation for the total number of Additional Shares of Common Stock so issued, by (B) (i) the number of shares of Common Stock outstanding immediately prior to such issue (including without limitation shares of Common Stock issuable upon conversion of any outstanding Options, Convertible Securities and shares of Preferred Stock), plus (ii) the total number of such Additional Shares of Common Stock so issued,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the Conversion Price shall not be so reduced at such time if the amount of such reduction would be an amount less than $0.01, but any such amount shall be carried forward and any reduction with respect thereto shall be made at the time of and together with any subsequent reduction which, together with such amount and any other amount or amounts so carried forward, shall aggregate $0.01 or more. For the avoidance of doubt, the Conversion Price for the Series SRN Preferred in connection with an SRN Special Optional Conversion Event shall not be adjusted pursuant to this Section 3.3(d)(iv) or otherwise in connection with the actual or deemed issuance by the Corporation of Additional Shares of Common Stock.</w:t>
      </w:r>
    </w:p>
    <w:p>
      <w:pPr>
        <w:spacing w:after="0" w:line="155" w:lineRule="exact"/>
        <w:rPr>
          <w:sz w:val="20"/>
          <w:szCs w:val="20"/>
          <w:color w:val="auto"/>
        </w:rPr>
      </w:pPr>
    </w:p>
    <w:p>
      <w:pPr>
        <w:ind w:right="160" w:firstLine="1660"/>
        <w:spacing w:after="0" w:line="289" w:lineRule="auto"/>
        <w:tabs>
          <w:tab w:leader="none" w:pos="2230" w:val="left"/>
        </w:tabs>
        <w:numPr>
          <w:ilvl w:val="0"/>
          <w:numId w:val="229"/>
        </w:numPr>
        <w:rPr>
          <w:rFonts w:ascii="Arial" w:cs="Arial" w:eastAsia="Arial" w:hAnsi="Arial"/>
          <w:sz w:val="15"/>
          <w:szCs w:val="15"/>
          <w:color w:val="auto"/>
        </w:rPr>
      </w:pPr>
      <w:r>
        <w:rPr>
          <w:rFonts w:ascii="Arial" w:cs="Arial" w:eastAsia="Arial" w:hAnsi="Arial"/>
          <w:sz w:val="15"/>
          <w:szCs w:val="15"/>
          <w:u w:val="single" w:color="auto"/>
          <w:color w:val="auto"/>
        </w:rPr>
        <w:t>Determination of Consideration</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Section 3.3(d)</w:t>
      </w:r>
      <w:r>
        <w:rPr>
          <w:rFonts w:ascii="Arial" w:cs="Arial" w:eastAsia="Arial" w:hAnsi="Arial"/>
          <w:sz w:val="15"/>
          <w:szCs w:val="15"/>
          <w:color w:val="auto"/>
        </w:rPr>
        <w:t>, the consideration received by the Corporation for the issue of any Additional Shares of Common Stock shall be computed as follows:</w:t>
      </w:r>
    </w:p>
    <w:p>
      <w:pPr>
        <w:spacing w:after="0" w:line="140" w:lineRule="exact"/>
        <w:rPr>
          <w:rFonts w:ascii="Arial" w:cs="Arial" w:eastAsia="Arial" w:hAnsi="Arial"/>
          <w:sz w:val="15"/>
          <w:szCs w:val="15"/>
          <w:color w:val="auto"/>
        </w:rPr>
      </w:pPr>
    </w:p>
    <w:p>
      <w:pPr>
        <w:ind w:left="2780" w:hanging="564"/>
        <w:spacing w:after="0"/>
        <w:tabs>
          <w:tab w:leader="none" w:pos="2780" w:val="left"/>
        </w:tabs>
        <w:numPr>
          <w:ilvl w:val="1"/>
          <w:numId w:val="229"/>
        </w:numPr>
        <w:rPr>
          <w:rFonts w:ascii="Arial" w:cs="Arial" w:eastAsia="Arial" w:hAnsi="Arial"/>
          <w:sz w:val="15"/>
          <w:szCs w:val="15"/>
          <w:color w:val="auto"/>
        </w:rPr>
      </w:pPr>
      <w:r>
        <w:rPr>
          <w:rFonts w:ascii="Arial" w:cs="Arial" w:eastAsia="Arial" w:hAnsi="Arial"/>
          <w:sz w:val="15"/>
          <w:szCs w:val="15"/>
          <w:u w:val="single" w:color="auto"/>
          <w:color w:val="auto"/>
        </w:rPr>
        <w:t>Cash and Property</w:t>
      </w:r>
      <w:r>
        <w:rPr>
          <w:rFonts w:ascii="Arial" w:cs="Arial" w:eastAsia="Arial" w:hAnsi="Arial"/>
          <w:sz w:val="15"/>
          <w:szCs w:val="15"/>
          <w:color w:val="auto"/>
        </w:rPr>
        <w:t>. Such consideration shall:</w:t>
      </w:r>
    </w:p>
    <w:p>
      <w:pPr>
        <w:spacing w:after="0" w:line="198" w:lineRule="exact"/>
        <w:rPr>
          <w:rFonts w:ascii="Arial" w:cs="Arial" w:eastAsia="Arial" w:hAnsi="Arial"/>
          <w:sz w:val="15"/>
          <w:szCs w:val="15"/>
          <w:color w:val="auto"/>
        </w:rPr>
      </w:pPr>
    </w:p>
    <w:p>
      <w:pPr>
        <w:ind w:left="3340" w:hanging="568"/>
        <w:spacing w:after="0"/>
        <w:tabs>
          <w:tab w:leader="none" w:pos="3340" w:val="left"/>
        </w:tabs>
        <w:numPr>
          <w:ilvl w:val="2"/>
          <w:numId w:val="229"/>
        </w:numPr>
        <w:rPr>
          <w:rFonts w:ascii="Arial" w:cs="Arial" w:eastAsia="Arial" w:hAnsi="Arial"/>
          <w:sz w:val="13"/>
          <w:szCs w:val="13"/>
          <w:color w:val="auto"/>
        </w:rPr>
      </w:pPr>
      <w:r>
        <w:rPr>
          <w:rFonts w:ascii="Arial" w:cs="Arial" w:eastAsia="Arial" w:hAnsi="Arial"/>
          <w:sz w:val="13"/>
          <w:szCs w:val="13"/>
          <w:color w:val="auto"/>
        </w:rPr>
        <w:t>insofar as it consists of cash, be computed at the aggregate amount of cash received by the Corporation, excluding amounts paid or</w:t>
      </w:r>
    </w:p>
    <w:p>
      <w:pPr>
        <w:spacing w:after="0" w:line="4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payable for accrued interest or accrued dividends;</w:t>
      </w:r>
    </w:p>
    <w:p>
      <w:pPr>
        <w:spacing w:after="0" w:line="187" w:lineRule="exact"/>
        <w:rPr>
          <w:rFonts w:ascii="Arial" w:cs="Arial" w:eastAsia="Arial" w:hAnsi="Arial"/>
          <w:sz w:val="13"/>
          <w:szCs w:val="13"/>
          <w:color w:val="auto"/>
        </w:rPr>
      </w:pPr>
    </w:p>
    <w:p>
      <w:pPr>
        <w:ind w:left="3340" w:hanging="568"/>
        <w:spacing w:after="0"/>
        <w:tabs>
          <w:tab w:leader="none" w:pos="3340" w:val="left"/>
        </w:tabs>
        <w:numPr>
          <w:ilvl w:val="2"/>
          <w:numId w:val="229"/>
        </w:numPr>
        <w:rPr>
          <w:rFonts w:ascii="Arial" w:cs="Arial" w:eastAsia="Arial" w:hAnsi="Arial"/>
          <w:sz w:val="14"/>
          <w:szCs w:val="14"/>
          <w:color w:val="auto"/>
        </w:rPr>
      </w:pPr>
      <w:r>
        <w:rPr>
          <w:rFonts w:ascii="Arial" w:cs="Arial" w:eastAsia="Arial" w:hAnsi="Arial"/>
          <w:sz w:val="14"/>
          <w:szCs w:val="14"/>
          <w:color w:val="auto"/>
        </w:rPr>
        <w:t>insofar as it consists of property other than cash, be computed at the fair value thereof at the time of such issue, as determined in</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good faith by the Board of Directors; and</w:t>
      </w:r>
    </w:p>
    <w:p>
      <w:pPr>
        <w:spacing w:after="0" w:line="187" w:lineRule="exact"/>
        <w:rPr>
          <w:rFonts w:ascii="Arial" w:cs="Arial" w:eastAsia="Arial" w:hAnsi="Arial"/>
          <w:sz w:val="14"/>
          <w:szCs w:val="14"/>
          <w:color w:val="auto"/>
        </w:rPr>
      </w:pPr>
    </w:p>
    <w:p>
      <w:pPr>
        <w:ind w:right="160" w:firstLine="2772"/>
        <w:spacing w:after="0" w:line="273" w:lineRule="auto"/>
        <w:tabs>
          <w:tab w:leader="none" w:pos="3344" w:val="left"/>
        </w:tabs>
        <w:numPr>
          <w:ilvl w:val="2"/>
          <w:numId w:val="229"/>
        </w:numPr>
        <w:rPr>
          <w:rFonts w:ascii="Arial" w:cs="Arial" w:eastAsia="Arial" w:hAnsi="Arial"/>
          <w:sz w:val="15"/>
          <w:szCs w:val="15"/>
          <w:color w:val="auto"/>
        </w:rPr>
      </w:pPr>
      <w:r>
        <w:rPr>
          <w:rFonts w:ascii="Arial" w:cs="Arial" w:eastAsia="Arial" w:hAnsi="Arial"/>
          <w:sz w:val="15"/>
          <w:szCs w:val="15"/>
          <w:color w:val="auto"/>
        </w:rPr>
        <w:t>in the event Additional Shares of Common Stock are issued together with other shares or securities or other assets of the Corporation for consideration which covers both, by the proportion of such consideration so received, computed as provided in clauses (A) and (B) above, as determined in good faith by the Board of Directors.</w:t>
      </w:r>
    </w:p>
    <w:p>
      <w:pPr>
        <w:spacing w:after="0" w:line="152" w:lineRule="exact"/>
        <w:rPr>
          <w:rFonts w:ascii="Arial" w:cs="Arial" w:eastAsia="Arial" w:hAnsi="Arial"/>
          <w:sz w:val="15"/>
          <w:szCs w:val="15"/>
          <w:color w:val="auto"/>
        </w:rPr>
      </w:pPr>
    </w:p>
    <w:p>
      <w:pPr>
        <w:jc w:val="both"/>
        <w:ind w:right="300" w:firstLine="2216"/>
        <w:spacing w:after="0" w:line="273" w:lineRule="auto"/>
        <w:tabs>
          <w:tab w:leader="none" w:pos="2786" w:val="left"/>
        </w:tabs>
        <w:numPr>
          <w:ilvl w:val="1"/>
          <w:numId w:val="229"/>
        </w:numPr>
        <w:rPr>
          <w:rFonts w:ascii="Arial" w:cs="Arial" w:eastAsia="Arial" w:hAnsi="Arial"/>
          <w:sz w:val="15"/>
          <w:szCs w:val="15"/>
          <w:color w:val="auto"/>
        </w:rPr>
      </w:pPr>
      <w:r>
        <w:rPr>
          <w:rFonts w:ascii="Arial" w:cs="Arial" w:eastAsia="Arial" w:hAnsi="Arial"/>
          <w:sz w:val="15"/>
          <w:szCs w:val="15"/>
          <w:u w:val="single" w:color="auto"/>
          <w:color w:val="auto"/>
        </w:rPr>
        <w:t>Options and Convertible Securities</w:t>
      </w:r>
      <w:r>
        <w:rPr>
          <w:rFonts w:ascii="Arial" w:cs="Arial" w:eastAsia="Arial" w:hAnsi="Arial"/>
          <w:sz w:val="15"/>
          <w:szCs w:val="15"/>
          <w:color w:val="auto"/>
        </w:rPr>
        <w:t xml:space="preserve">. The aggregate consideration received by the Corporation for Additional Shares of Common Stock deemed to have been issued pursuant to </w:t>
      </w:r>
      <w:r>
        <w:rPr>
          <w:rFonts w:ascii="Arial" w:cs="Arial" w:eastAsia="Arial" w:hAnsi="Arial"/>
          <w:sz w:val="15"/>
          <w:szCs w:val="15"/>
          <w:u w:val="single" w:color="auto"/>
          <w:color w:val="auto"/>
        </w:rPr>
        <w:t>Section 3.3(d)(iii)(1)</w:t>
      </w:r>
      <w:r>
        <w:rPr>
          <w:rFonts w:ascii="Arial" w:cs="Arial" w:eastAsia="Arial" w:hAnsi="Arial"/>
          <w:sz w:val="15"/>
          <w:szCs w:val="15"/>
          <w:color w:val="auto"/>
        </w:rPr>
        <w:t>, relating to Options and Convertible Securities, shall be determined by computing the total amount, if any, received or receivable by the Corporation as consideration for the issue of such Options or Convertible Securities, plus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minimum aggregate amount of additional consideration (as set forth in the instruments relating thereto, without regard to any provision contained therein for a subsequent adjustment of such consideration until such subsequent adjustment occurs)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The total number of Additional Shares of Common Stock so issued shall be determined by calculating the maximum number of shares of Common Stock (as set forth in the instruments relating thereto, without regard to any provision contained therein for a subsequent adjustment of such number until such subsequent adjustment occurs) issuable upon the exercise of such Options or the conversion or exchange of such Convertible Securities.</w:t>
      </w:r>
    </w:p>
    <w:p>
      <w:pPr>
        <w:spacing w:after="0" w:line="159" w:lineRule="exact"/>
        <w:rPr>
          <w:sz w:val="20"/>
          <w:szCs w:val="20"/>
          <w:color w:val="auto"/>
        </w:rPr>
      </w:pPr>
    </w:p>
    <w:p>
      <w:pPr>
        <w:ind w:left="2240" w:hanging="580"/>
        <w:spacing w:after="0"/>
        <w:tabs>
          <w:tab w:leader="none" w:pos="2240" w:val="left"/>
        </w:tabs>
        <w:numPr>
          <w:ilvl w:val="0"/>
          <w:numId w:val="230"/>
        </w:numPr>
        <w:rPr>
          <w:rFonts w:ascii="Arial" w:cs="Arial" w:eastAsia="Arial" w:hAnsi="Arial"/>
          <w:sz w:val="15"/>
          <w:szCs w:val="15"/>
          <w:color w:val="auto"/>
        </w:rPr>
      </w:pPr>
      <w:r>
        <w:rPr>
          <w:rFonts w:ascii="Arial" w:cs="Arial" w:eastAsia="Arial" w:hAnsi="Arial"/>
          <w:sz w:val="15"/>
          <w:szCs w:val="15"/>
          <w:u w:val="single" w:color="auto"/>
          <w:color w:val="auto"/>
        </w:rPr>
        <w:t>Adjustment for Dividends, Distributions, Subdivisions Combinations or Consolidation of Common Stock</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jc w:val="both"/>
        <w:ind w:right="280" w:firstLine="2216"/>
        <w:spacing w:after="0" w:line="293" w:lineRule="auto"/>
        <w:tabs>
          <w:tab w:leader="none" w:pos="2786" w:val="left"/>
        </w:tabs>
        <w:numPr>
          <w:ilvl w:val="1"/>
          <w:numId w:val="230"/>
        </w:numPr>
        <w:rPr>
          <w:rFonts w:ascii="Arial" w:cs="Arial" w:eastAsia="Arial" w:hAnsi="Arial"/>
          <w:sz w:val="14"/>
          <w:szCs w:val="14"/>
          <w:color w:val="auto"/>
        </w:rPr>
      </w:pPr>
      <w:r>
        <w:rPr>
          <w:rFonts w:ascii="Arial" w:cs="Arial" w:eastAsia="Arial" w:hAnsi="Arial"/>
          <w:sz w:val="14"/>
          <w:szCs w:val="14"/>
          <w:u w:val="single" w:color="auto"/>
          <w:color w:val="auto"/>
        </w:rPr>
        <w:t>Stock Dividends, Distributions or Subdivisions</w:t>
      </w:r>
      <w:r>
        <w:rPr>
          <w:rFonts w:ascii="Arial" w:cs="Arial" w:eastAsia="Arial" w:hAnsi="Arial"/>
          <w:sz w:val="14"/>
          <w:szCs w:val="14"/>
          <w:color w:val="auto"/>
        </w:rPr>
        <w:t>. In the event the Corporation at any time, or from time to time, shall declare or pay any dividend or make any other distribution on the Common Stock payable in Common Stock, or effect a subdivision of the outstanding shares of Common Stock (by reclassification or otherwise than by payment of a dividend in Common Stock), the Conversion Price of each series of Preferred Stock, in each case in effect immediately prior to such stock dividend, stock distribution or subdivision shall, concurrently with the effectiveness of such stock dividend, stock distribution or subdivision, be proportionately decreased.</w:t>
      </w:r>
    </w:p>
    <w:p>
      <w:pPr>
        <w:spacing w:after="0" w:line="140" w:lineRule="exact"/>
        <w:rPr>
          <w:rFonts w:ascii="Arial" w:cs="Arial" w:eastAsia="Arial" w:hAnsi="Arial"/>
          <w:sz w:val="14"/>
          <w:szCs w:val="14"/>
          <w:color w:val="auto"/>
        </w:rPr>
      </w:pPr>
    </w:p>
    <w:p>
      <w:pPr>
        <w:ind w:right="140" w:firstLine="2216"/>
        <w:spacing w:after="0" w:line="268" w:lineRule="auto"/>
        <w:tabs>
          <w:tab w:leader="none" w:pos="2786" w:val="left"/>
        </w:tabs>
        <w:numPr>
          <w:ilvl w:val="1"/>
          <w:numId w:val="230"/>
        </w:numPr>
        <w:rPr>
          <w:rFonts w:ascii="Arial" w:cs="Arial" w:eastAsia="Arial" w:hAnsi="Arial"/>
          <w:sz w:val="15"/>
          <w:szCs w:val="15"/>
          <w:color w:val="auto"/>
        </w:rPr>
      </w:pPr>
      <w:r>
        <w:rPr>
          <w:rFonts w:ascii="Arial" w:cs="Arial" w:eastAsia="Arial" w:hAnsi="Arial"/>
          <w:sz w:val="15"/>
          <w:szCs w:val="15"/>
          <w:u w:val="single" w:color="auto"/>
          <w:color w:val="auto"/>
        </w:rPr>
        <w:t>Combinations or Consolidations</w:t>
      </w:r>
      <w:r>
        <w:rPr>
          <w:rFonts w:ascii="Arial" w:cs="Arial" w:eastAsia="Arial" w:hAnsi="Arial"/>
          <w:sz w:val="15"/>
          <w:szCs w:val="15"/>
          <w:color w:val="auto"/>
        </w:rPr>
        <w:t>. In the event the outstanding shares of Common Stock shall be combined or consolidated, by reclassification or otherwise, into a lesser number of shares of Common Stock, the Conversion Price of each series of Preferred Stock (including, for the avoidance of doubt, in connection with an SRN Special Optional Conversion Event), in each case in effect immediately prior to such combination or contribution shall, concurrently with the effectiveness of such combination or consolidation, be proportionately increased.</w:t>
      </w:r>
    </w:p>
    <w:p>
      <w:pPr>
        <w:spacing w:after="0" w:line="156" w:lineRule="exact"/>
        <w:rPr>
          <w:rFonts w:ascii="Arial" w:cs="Arial" w:eastAsia="Arial" w:hAnsi="Arial"/>
          <w:sz w:val="15"/>
          <w:szCs w:val="15"/>
          <w:color w:val="auto"/>
        </w:rPr>
      </w:pPr>
    </w:p>
    <w:p>
      <w:pPr>
        <w:ind w:right="180" w:firstLine="1660"/>
        <w:spacing w:after="0" w:line="308" w:lineRule="auto"/>
        <w:tabs>
          <w:tab w:leader="none" w:pos="2246" w:val="left"/>
        </w:tabs>
        <w:numPr>
          <w:ilvl w:val="0"/>
          <w:numId w:val="230"/>
        </w:numPr>
        <w:rPr>
          <w:rFonts w:ascii="Arial" w:cs="Arial" w:eastAsia="Arial" w:hAnsi="Arial"/>
          <w:sz w:val="13"/>
          <w:szCs w:val="13"/>
          <w:color w:val="auto"/>
        </w:rPr>
      </w:pPr>
      <w:r>
        <w:rPr>
          <w:rFonts w:ascii="Arial" w:cs="Arial" w:eastAsia="Arial" w:hAnsi="Arial"/>
          <w:sz w:val="13"/>
          <w:szCs w:val="13"/>
          <w:u w:val="single" w:color="auto"/>
          <w:color w:val="auto"/>
        </w:rPr>
        <w:t>Adjustment for Merger or Reorganization</w:t>
      </w:r>
      <w:r>
        <w:rPr>
          <w:rFonts w:ascii="Arial" w:cs="Arial" w:eastAsia="Arial" w:hAnsi="Arial"/>
          <w:sz w:val="13"/>
          <w:szCs w:val="13"/>
          <w:color w:val="auto"/>
        </w:rPr>
        <w:t>. Unless otherwise determined by a vote or written consent of the holders of shares of Senior Preferred Stock and Series SRN Preferred representing at least sixty-six and two-thirds percent (66 2/3%) of the votes represented by all outstanding shares of Senior Preferred Stock and Series SRN Preferred voting together as a single class, in case of any consolidation or merger of the Corporation with or into another corporation or the conveyance of all or substantially all of the assets of the Corporation to another corporation in which the holders of Common Stock will be entitled to receive shares of stock, other securities or property, each share of the Series A Preferred, the Series B Preferred, the Series C Preferred, the Series D Preferred and the Series E Preferred shall thereafter be convertible into the number of shares of stock or other securities or property to which a holder of the number of shares of Common Stock of the Corporation deliverable upon conversion of such share of Series A Preferred, Series B Preferred, Series C Preferred, Series D Preferred or Series E Preferred would have been entitled upon such consolidation, merger or conveyance, and appropriate adjustment (as determined in good faith by the Board of Directors) shall be made to the conversion provisions of the Series SRN Preferred. In any such case, appropriate adjustment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40"/>
        <w:spacing w:after="0" w:line="302" w:lineRule="auto"/>
        <w:rPr>
          <w:sz w:val="20"/>
          <w:szCs w:val="20"/>
          <w:color w:val="auto"/>
        </w:rPr>
      </w:pPr>
      <w:r>
        <w:rPr>
          <w:rFonts w:ascii="Arial" w:cs="Arial" w:eastAsia="Arial" w:hAnsi="Arial"/>
          <w:sz w:val="14"/>
          <w:szCs w:val="14"/>
          <w:color w:val="auto"/>
        </w:rPr>
        <w:t>(as determined in good faith by the Board of Directors) shall be made in the application of these provisions set forth with respect to the rights and interest thereafter of the holders of Preferred Stock, to the end that these provisions (including without limitation provisions with respect to changes in and other adjustments of the Conversion Price) shall thereafter be applicable, as nearly as reasonably may be, in relation to any shares of stock or other property thereafter deliverable upon the conversion of the Preferred Stock.</w:t>
      </w:r>
    </w:p>
    <w:p>
      <w:pPr>
        <w:spacing w:after="0" w:line="133" w:lineRule="exact"/>
        <w:rPr>
          <w:sz w:val="20"/>
          <w:szCs w:val="20"/>
          <w:color w:val="auto"/>
        </w:rPr>
      </w:pPr>
    </w:p>
    <w:p>
      <w:pPr>
        <w:ind w:right="60" w:firstLine="1104"/>
        <w:spacing w:after="0" w:line="268" w:lineRule="auto"/>
        <w:tabs>
          <w:tab w:leader="none" w:pos="1677" w:val="left"/>
        </w:tabs>
        <w:numPr>
          <w:ilvl w:val="0"/>
          <w:numId w:val="231"/>
        </w:numPr>
        <w:rPr>
          <w:rFonts w:ascii="Arial" w:cs="Arial" w:eastAsia="Arial" w:hAnsi="Arial"/>
          <w:sz w:val="15"/>
          <w:szCs w:val="15"/>
          <w:color w:val="auto"/>
        </w:rPr>
      </w:pPr>
      <w:r>
        <w:rPr>
          <w:rFonts w:ascii="Arial" w:cs="Arial" w:eastAsia="Arial" w:hAnsi="Arial"/>
          <w:sz w:val="15"/>
          <w:szCs w:val="15"/>
          <w:u w:val="single" w:color="auto"/>
          <w:color w:val="auto"/>
        </w:rPr>
        <w:t>No Impairment</w:t>
      </w:r>
      <w:r>
        <w:rPr>
          <w:rFonts w:ascii="Arial" w:cs="Arial" w:eastAsia="Arial" w:hAnsi="Arial"/>
          <w:sz w:val="15"/>
          <w:szCs w:val="15"/>
          <w:color w:val="auto"/>
        </w:rPr>
        <w:t xml:space="preserve">. The Corporation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and in the taking of all such action as may be necessary or appropriate in order to protect the Conversion Rights of the holders of Preferred Stock against impairment.</w:t>
      </w:r>
    </w:p>
    <w:p>
      <w:pPr>
        <w:sectPr>
          <w:pgSz w:w="11900" w:h="16838" w:orient="portrait"/>
          <w:cols w:equalWidth="0" w:num="1">
            <w:col w:w="11420"/>
          </w:cols>
          <w:pgMar w:left="240" w:top="129" w:right="239" w:bottom="5" w:gutter="0" w:footer="0" w:header="0"/>
        </w:sectPr>
      </w:pPr>
    </w:p>
    <w:bookmarkStart w:id="314" w:name="page315"/>
    <w:bookmarkEnd w:id="314"/>
    <w:p>
      <w:pPr>
        <w:ind w:right="120" w:firstLine="1104"/>
        <w:spacing w:after="0" w:line="263" w:lineRule="auto"/>
        <w:tabs>
          <w:tab w:leader="none" w:pos="1671" w:val="left"/>
        </w:tabs>
        <w:numPr>
          <w:ilvl w:val="0"/>
          <w:numId w:val="232"/>
        </w:numPr>
        <w:rPr>
          <w:rFonts w:ascii="Arial" w:cs="Arial" w:eastAsia="Arial" w:hAnsi="Arial"/>
          <w:sz w:val="15"/>
          <w:szCs w:val="15"/>
          <w:color w:val="auto"/>
        </w:rPr>
      </w:pPr>
      <w:r>
        <w:rPr>
          <w:rFonts w:ascii="Arial" w:cs="Arial" w:eastAsia="Arial" w:hAnsi="Arial"/>
          <w:sz w:val="15"/>
          <w:szCs w:val="15"/>
          <w:u w:val="single" w:color="auto"/>
          <w:color w:val="auto"/>
        </w:rPr>
        <w:t>Certificate as to Adjustments</w:t>
      </w:r>
      <w:r>
        <w:rPr>
          <w:rFonts w:ascii="Arial" w:cs="Arial" w:eastAsia="Arial" w:hAnsi="Arial"/>
          <w:sz w:val="15"/>
          <w:szCs w:val="15"/>
          <w:color w:val="auto"/>
        </w:rPr>
        <w:t xml:space="preserve">. Upon the occurrence of each adjustment or readjustment of any Conversion Price of any series of Preferred Stock pursuant to this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the Corporation at its expense shall promptly compute such adjustment or readjustment in accordance with these terms and furnish to each holder of Preferred Stock a certificate setting forth such adjustment, readjustment or conversion and showing in detail the facts upon which such adjustment, readjustment or conversion is based,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the failure to promptly provide such notice shall not affect the effectiveness of such adjustment, or readjustment or conversion. The Corporation shall, upon the written request at any time of any holder of Preferred Stock, furnish or cause to be furnished to such holder a like certificate setting forth (i) such adjustments and readjustments, (ii) the Conversion Price of any series of Preferred Stock at the time in effect, and (iii) the number of shares of Common Stock and the amount, if any, of other property which at the time would be received upon the conversion of any series of Preferred Stock.</w:t>
      </w:r>
    </w:p>
    <w:p>
      <w:pPr>
        <w:spacing w:after="0" w:line="159" w:lineRule="exact"/>
        <w:rPr>
          <w:rFonts w:ascii="Arial" w:cs="Arial" w:eastAsia="Arial" w:hAnsi="Arial"/>
          <w:sz w:val="15"/>
          <w:szCs w:val="15"/>
          <w:color w:val="auto"/>
        </w:rPr>
      </w:pPr>
    </w:p>
    <w:p>
      <w:pPr>
        <w:ind w:right="60" w:firstLine="1104"/>
        <w:spacing w:after="0" w:line="282" w:lineRule="auto"/>
        <w:tabs>
          <w:tab w:leader="none" w:pos="1686" w:val="left"/>
        </w:tabs>
        <w:numPr>
          <w:ilvl w:val="0"/>
          <w:numId w:val="232"/>
        </w:numPr>
        <w:rPr>
          <w:rFonts w:ascii="Arial" w:cs="Arial" w:eastAsia="Arial" w:hAnsi="Arial"/>
          <w:sz w:val="14"/>
          <w:szCs w:val="14"/>
          <w:color w:val="auto"/>
        </w:rPr>
      </w:pPr>
      <w:r>
        <w:rPr>
          <w:rFonts w:ascii="Arial" w:cs="Arial" w:eastAsia="Arial" w:hAnsi="Arial"/>
          <w:sz w:val="14"/>
          <w:szCs w:val="14"/>
          <w:u w:val="single" w:color="auto"/>
          <w:color w:val="auto"/>
        </w:rPr>
        <w:t>Notices of Record Date</w:t>
      </w:r>
      <w:r>
        <w:rPr>
          <w:rFonts w:ascii="Arial" w:cs="Arial" w:eastAsia="Arial" w:hAnsi="Arial"/>
          <w:sz w:val="14"/>
          <w:szCs w:val="14"/>
          <w:color w:val="auto"/>
        </w:rPr>
        <w:t>. In the event of (i) any taking by the Corporation of a record date of the holders of any class of securities for the purpose of determining the holders thereof who are entitled to receive any dividend (other than a cash dividend which is the same as cash dividends paid in previous quarters) or other distribution, or (ii) any capital reorganization of the Corporation, any reclassification or recapitalization of the capital stock of the Corporation, any merger or consolidation of the Corporation, and any transfer of all or substantially all of the assets of the Corporation to any other corporation, or any other entity or person, or any voluntary or involuntary dissolution, liquidation or winding up of the Corporation, the Corporation shall mail to each holder of Preferred Stock at least twenty (20) days prior to such record date, a notice specifying (A) the date on which any such record is to be taken for the purpose of such dividend or distribution and a description of such dividend or distribution, (B) the date on which any such reorganization, reclassification, transfer, consolidation, merger, dissolution, liquidation or winding up is expected to become effective, and (C) the time, if any, that is to be fixed, as to when the holders of record of Common Stock (or other securities) shall be entitled to exchange their shares of Common Stock (or other securities) for securities or other property deliverable upon such reorganization, reclassification, transfer, consolidation, merger, dissolution, liquidation or winding up. For the avoidance of doubt, failure to give notice as set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forth in this </w:t>
      </w:r>
      <w:r>
        <w:rPr>
          <w:rFonts w:ascii="Arial" w:cs="Arial" w:eastAsia="Arial" w:hAnsi="Arial"/>
          <w:sz w:val="15"/>
          <w:szCs w:val="15"/>
          <w:u w:val="single" w:color="auto"/>
          <w:color w:val="auto"/>
        </w:rPr>
        <w:t>Section 3.3(g)</w:t>
      </w:r>
      <w:r>
        <w:rPr>
          <w:rFonts w:ascii="Arial" w:cs="Arial" w:eastAsia="Arial" w:hAnsi="Arial"/>
          <w:sz w:val="15"/>
          <w:szCs w:val="15"/>
          <w:color w:val="auto"/>
        </w:rPr>
        <w:t xml:space="preserve"> shall not alter the effectiveness of the consummation of any transaction or event pertaining to such notice.</w:t>
      </w:r>
    </w:p>
    <w:p>
      <w:pPr>
        <w:spacing w:after="0" w:line="198" w:lineRule="exact"/>
        <w:rPr>
          <w:sz w:val="20"/>
          <w:szCs w:val="20"/>
          <w:color w:val="auto"/>
        </w:rPr>
      </w:pPr>
    </w:p>
    <w:p>
      <w:pPr>
        <w:ind w:right="360" w:firstLine="1104"/>
        <w:spacing w:after="0" w:line="289" w:lineRule="auto"/>
        <w:tabs>
          <w:tab w:leader="none" w:pos="1674" w:val="left"/>
        </w:tabs>
        <w:numPr>
          <w:ilvl w:val="0"/>
          <w:numId w:val="233"/>
        </w:numPr>
        <w:rPr>
          <w:rFonts w:ascii="Arial" w:cs="Arial" w:eastAsia="Arial" w:hAnsi="Arial"/>
          <w:sz w:val="15"/>
          <w:szCs w:val="15"/>
          <w:color w:val="auto"/>
        </w:rPr>
      </w:pPr>
      <w:r>
        <w:rPr>
          <w:rFonts w:ascii="Arial" w:cs="Arial" w:eastAsia="Arial" w:hAnsi="Arial"/>
          <w:sz w:val="15"/>
          <w:szCs w:val="15"/>
          <w:u w:val="single" w:color="auto"/>
          <w:color w:val="auto"/>
        </w:rPr>
        <w:t>Common Stock Reserved</w:t>
      </w:r>
      <w:r>
        <w:rPr>
          <w:rFonts w:ascii="Arial" w:cs="Arial" w:eastAsia="Arial" w:hAnsi="Arial"/>
          <w:sz w:val="15"/>
          <w:szCs w:val="15"/>
          <w:color w:val="auto"/>
        </w:rPr>
        <w:t>. The Corporation shall reserve and keep available out of its authorized but unissued Common Stock such number of shares of Common Stock as shall from time to time be sufficient to effect conversion of the Preferred Stock.</w:t>
      </w:r>
    </w:p>
    <w:p>
      <w:pPr>
        <w:spacing w:after="0" w:line="141"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3"/>
          <w:szCs w:val="13"/>
          <w:u w:val="single" w:color="auto"/>
          <w:color w:val="auto"/>
        </w:rPr>
        <w:t>Senior Preferred Stock Redemption.</w:t>
      </w:r>
    </w:p>
    <w:p>
      <w:pPr>
        <w:spacing w:after="0" w:line="198" w:lineRule="exact"/>
        <w:rPr>
          <w:sz w:val="20"/>
          <w:szCs w:val="20"/>
          <w:color w:val="auto"/>
        </w:rPr>
      </w:pPr>
    </w:p>
    <w:p>
      <w:pPr>
        <w:ind w:firstLine="1104"/>
        <w:spacing w:after="0" w:line="279" w:lineRule="auto"/>
        <w:tabs>
          <w:tab w:leader="none" w:pos="1665" w:val="left"/>
        </w:tabs>
        <w:numPr>
          <w:ilvl w:val="0"/>
          <w:numId w:val="234"/>
        </w:numPr>
        <w:rPr>
          <w:rFonts w:ascii="Arial" w:cs="Arial" w:eastAsia="Arial" w:hAnsi="Arial"/>
          <w:sz w:val="14"/>
          <w:szCs w:val="14"/>
          <w:color w:val="auto"/>
        </w:rPr>
      </w:pPr>
      <w:r>
        <w:rPr>
          <w:rFonts w:ascii="Arial" w:cs="Arial" w:eastAsia="Arial" w:hAnsi="Arial"/>
          <w:sz w:val="14"/>
          <w:szCs w:val="14"/>
          <w:color w:val="auto"/>
        </w:rPr>
        <w:t>Shares of Senior Preferred Stock shall be redeemed by the Corporation out of funds lawfully available therefor at a price equal to the applicable Original Issue Price per share, plus all Accruing Dividends, whether or not declared, and any other declared but unpaid dividends thereon (the “</w:t>
      </w:r>
      <w:r>
        <w:rPr>
          <w:rFonts w:ascii="Arial" w:cs="Arial" w:eastAsia="Arial" w:hAnsi="Arial"/>
          <w:sz w:val="14"/>
          <w:szCs w:val="14"/>
          <w:u w:val="single" w:color="auto"/>
          <w:color w:val="auto"/>
        </w:rPr>
        <w:t>Redemption Price</w:t>
      </w:r>
      <w:r>
        <w:rPr>
          <w:rFonts w:ascii="Arial" w:cs="Arial" w:eastAsia="Arial" w:hAnsi="Arial"/>
          <w:sz w:val="14"/>
          <w:szCs w:val="14"/>
          <w:color w:val="auto"/>
        </w:rPr>
        <w:t>”), in four (4) annual installments commencing not more than ninety (90) days after receipt by the Corporation at any time (i) on or after November 7, 2019 and (ii) at which time there has not occurred a Deemed Liquidation Event, from the holders of shares of Senior Preferred Stock representing at least sixty-six and two-thirds percent (66 2/3%) of the votes represented by all outstanding shares of Senior Preferred Stock voting together as a single class, of written notice requesting redemption of some or all of such holders’ shares of Senior Preferred Stock (such notice, a “</w:t>
      </w:r>
      <w:r>
        <w:rPr>
          <w:rFonts w:ascii="Arial" w:cs="Arial" w:eastAsia="Arial" w:hAnsi="Arial"/>
          <w:sz w:val="14"/>
          <w:szCs w:val="14"/>
          <w:u w:val="single" w:color="auto"/>
          <w:color w:val="auto"/>
        </w:rPr>
        <w:t>Senior Preferred Stock Redemption Request</w:t>
      </w:r>
      <w:r>
        <w:rPr>
          <w:rFonts w:ascii="Arial" w:cs="Arial" w:eastAsia="Arial" w:hAnsi="Arial"/>
          <w:sz w:val="14"/>
          <w:szCs w:val="14"/>
          <w:color w:val="auto"/>
        </w:rPr>
        <w:t>”); provided that, immediately prior to the SRN Redemption Request Date (as defined below), any and all installments due in respect to a Senior Preferred Stock Redemption Request which are unpaid shall immediately accelerate. For the avoidance of doubt, the requisite holders of shares of Senior Preferred Stock may elect to deliver a Senior Preferred Stock Redemption Request following the Corporation’s receipt of a SRN Redemption Request and prior to the SRN Redemption Request Date, in which case, as provided above, the full Redemption Price for all shares of Senior Preferred Stock subject to such Senior Preferred Stock Redemption Request shall accelerate and be paid immediately prior to the SRN Redemption Request Date. The date of each such installment shall be referred to as a “</w:t>
      </w:r>
      <w:r>
        <w:rPr>
          <w:rFonts w:ascii="Arial" w:cs="Arial" w:eastAsia="Arial" w:hAnsi="Arial"/>
          <w:sz w:val="14"/>
          <w:szCs w:val="14"/>
          <w:u w:val="single" w:color="auto"/>
          <w:color w:val="auto"/>
        </w:rPr>
        <w:t>Redemption Date</w:t>
      </w:r>
      <w:r>
        <w:rPr>
          <w:rFonts w:ascii="Arial" w:cs="Arial" w:eastAsia="Arial" w:hAnsi="Arial"/>
          <w:sz w:val="14"/>
          <w:szCs w:val="14"/>
          <w:color w:val="auto"/>
        </w:rPr>
        <w:t xml:space="preserve">”. The maximum number of shares of Senior Preferred Stock that the Corporation shall be required to redeem on any one Redemption Date shall be equal to the amount determined by dividing (i) the aggregate number of shares of Senior Preferred Stock outstanding immediately prior to such Redemption Date by (ii) the number of remaining Redemption Dates (including the Redemption Date to which such calculation applies). Any redemption of Senior Preferred Stock effected pursuant to this </w:t>
      </w:r>
      <w:r>
        <w:rPr>
          <w:rFonts w:ascii="Arial" w:cs="Arial" w:eastAsia="Arial" w:hAnsi="Arial"/>
          <w:sz w:val="14"/>
          <w:szCs w:val="14"/>
          <w:u w:val="single" w:color="auto"/>
          <w:color w:val="auto"/>
        </w:rPr>
        <w:t>Section 3.4(a)</w:t>
      </w:r>
      <w:r>
        <w:rPr>
          <w:rFonts w:ascii="Arial" w:cs="Arial" w:eastAsia="Arial" w:hAnsi="Arial"/>
          <w:sz w:val="14"/>
          <w:szCs w:val="14"/>
          <w:color w:val="auto"/>
        </w:rPr>
        <w:t xml:space="preserve"> shall not be mandatory on all holders of Senior Preferred Stock but all holders of Senior Preferred Stock shall have the option to participate in such redemption in accordance with </w:t>
      </w:r>
      <w:r>
        <w:rPr>
          <w:rFonts w:ascii="Arial" w:cs="Arial" w:eastAsia="Arial" w:hAnsi="Arial"/>
          <w:sz w:val="14"/>
          <w:szCs w:val="14"/>
          <w:u w:val="single" w:color="auto"/>
          <w:color w:val="auto"/>
        </w:rPr>
        <w:t>Section 3.4(b)</w:t>
      </w:r>
      <w:r>
        <w:rPr>
          <w:rFonts w:ascii="Arial" w:cs="Arial" w:eastAsia="Arial" w:hAnsi="Arial"/>
          <w:sz w:val="14"/>
          <w:szCs w:val="14"/>
          <w:color w:val="auto"/>
        </w:rPr>
        <w:t xml:space="preserve">, and any such redemption shall be made on a pro rata basis among the holders of Senior Preferred Stock participating in the redemption in proportion to the aggregate Redemption Price each such holder of Senior Preferred Stock would otherwise be entitled to receive on the applicable Redemption Date. Notwithstanding the foregoing, a holder of Senior Preferred Stock may at any time convert some or all of such holder’s Senior Preferred Stock prior to a Redemption Date in accordance with the provisions of </w:t>
      </w:r>
      <w:r>
        <w:rPr>
          <w:rFonts w:ascii="Arial" w:cs="Arial" w:eastAsia="Arial" w:hAnsi="Arial"/>
          <w:sz w:val="14"/>
          <w:szCs w:val="14"/>
          <w:u w:val="single" w:color="auto"/>
          <w:color w:val="auto"/>
        </w:rPr>
        <w:t>Section 3.3</w:t>
      </w:r>
      <w:r>
        <w:rPr>
          <w:rFonts w:ascii="Arial" w:cs="Arial" w:eastAsia="Arial" w:hAnsi="Arial"/>
          <w:sz w:val="14"/>
          <w:szCs w:val="14"/>
          <w:color w:val="auto"/>
        </w:rPr>
        <w:t>.</w:t>
      </w:r>
    </w:p>
    <w:p>
      <w:pPr>
        <w:spacing w:after="0" w:line="153" w:lineRule="exact"/>
        <w:rPr>
          <w:rFonts w:ascii="Arial" w:cs="Arial" w:eastAsia="Arial" w:hAnsi="Arial"/>
          <w:sz w:val="14"/>
          <w:szCs w:val="14"/>
          <w:color w:val="auto"/>
        </w:rPr>
      </w:pPr>
    </w:p>
    <w:p>
      <w:pPr>
        <w:ind w:right="200" w:firstLine="1104"/>
        <w:spacing w:after="0" w:line="273" w:lineRule="auto"/>
        <w:tabs>
          <w:tab w:leader="none" w:pos="1674" w:val="left"/>
        </w:tabs>
        <w:numPr>
          <w:ilvl w:val="0"/>
          <w:numId w:val="234"/>
        </w:numPr>
        <w:rPr>
          <w:rFonts w:ascii="Arial" w:cs="Arial" w:eastAsia="Arial" w:hAnsi="Arial"/>
          <w:sz w:val="15"/>
          <w:szCs w:val="15"/>
          <w:color w:val="auto"/>
        </w:rPr>
      </w:pPr>
      <w:r>
        <w:rPr>
          <w:rFonts w:ascii="Arial" w:cs="Arial" w:eastAsia="Arial" w:hAnsi="Arial"/>
          <w:sz w:val="15"/>
          <w:szCs w:val="15"/>
          <w:color w:val="auto"/>
        </w:rPr>
        <w:t>Written notice shall be mailed, first class postage prepaid, to each holder of record (at the close of business on the business day next preceding the day on which notice is given) of Senior Preferred Stock, at the address last shown on the records of the Corporation for such holder, notifying such holder of the redemption to be effected on the applicable Redemption Date (the “</w:t>
      </w:r>
      <w:r>
        <w:rPr>
          <w:rFonts w:ascii="Arial" w:cs="Arial" w:eastAsia="Arial" w:hAnsi="Arial"/>
          <w:sz w:val="15"/>
          <w:szCs w:val="15"/>
          <w:u w:val="single" w:color="auto"/>
          <w:color w:val="auto"/>
        </w:rPr>
        <w:t>Redemption Notice</w:t>
      </w:r>
      <w:r>
        <w:rPr>
          <w:rFonts w:ascii="Arial" w:cs="Arial" w:eastAsia="Arial" w:hAnsi="Arial"/>
          <w:sz w:val="15"/>
          <w:szCs w:val="15"/>
          <w:color w:val="auto"/>
        </w:rPr>
        <w:t>”). If the Corporation receives, on or prior to the twentieth day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 xml:space="preserve">after the date of delivery of the Redemption Notice to a holder of Senior Preferred Stock, written notice from such holder that such holder elects to be included in the redemption, then some or all of such holder’s shares of Senior Preferred Stock as requested in the holder’s notice to the Corporation, shall thereafter be included in the redemption provided in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To the extent shares of Senior Preferred Stock are excluded from the redemption provided in </w:t>
      </w:r>
      <w:r>
        <w:rPr>
          <w:rFonts w:ascii="Arial" w:cs="Arial" w:eastAsia="Arial" w:hAnsi="Arial"/>
          <w:sz w:val="15"/>
          <w:szCs w:val="15"/>
          <w:u w:val="single" w:color="auto"/>
          <w:color w:val="auto"/>
        </w:rPr>
        <w:t>Section 3.4(a)</w:t>
      </w:r>
      <w:r>
        <w:rPr>
          <w:rFonts w:ascii="Arial" w:cs="Arial" w:eastAsia="Arial" w:hAnsi="Arial"/>
          <w:sz w:val="15"/>
          <w:szCs w:val="15"/>
          <w:color w:val="auto"/>
        </w:rPr>
        <w:t xml:space="preserve">, such shares shall not be redeemed and shall cease to be redeemable pursuant to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whether on a Redemption Date or thereafter.</w:t>
      </w:r>
    </w:p>
    <w:p>
      <w:pPr>
        <w:spacing w:after="0" w:line="156" w:lineRule="exact"/>
        <w:rPr>
          <w:sz w:val="20"/>
          <w:szCs w:val="20"/>
          <w:color w:val="auto"/>
        </w:rPr>
      </w:pPr>
    </w:p>
    <w:p>
      <w:pPr>
        <w:ind w:right="20" w:firstLine="1104"/>
        <w:spacing w:after="0" w:line="268" w:lineRule="auto"/>
        <w:tabs>
          <w:tab w:leader="none" w:pos="1677" w:val="left"/>
        </w:tabs>
        <w:numPr>
          <w:ilvl w:val="0"/>
          <w:numId w:val="235"/>
        </w:numPr>
        <w:rPr>
          <w:rFonts w:ascii="Arial" w:cs="Arial" w:eastAsia="Arial" w:hAnsi="Arial"/>
          <w:sz w:val="15"/>
          <w:szCs w:val="15"/>
          <w:color w:val="auto"/>
        </w:rPr>
      </w:pPr>
      <w:r>
        <w:rPr>
          <w:rFonts w:ascii="Arial" w:cs="Arial" w:eastAsia="Arial" w:hAnsi="Arial"/>
          <w:sz w:val="15"/>
          <w:szCs w:val="15"/>
          <w:color w:val="auto"/>
        </w:rPr>
        <w:t xml:space="preserve">If the Corporation for any reason fails to redeem any of the shares of the Senior Preferred Stock in accordance with </w:t>
      </w:r>
      <w:r>
        <w:rPr>
          <w:rFonts w:ascii="Arial" w:cs="Arial" w:eastAsia="Arial" w:hAnsi="Arial"/>
          <w:sz w:val="15"/>
          <w:szCs w:val="15"/>
          <w:u w:val="single" w:color="auto"/>
          <w:color w:val="auto"/>
        </w:rPr>
        <w:t>Section 3.4(a)</w:t>
      </w:r>
      <w:r>
        <w:rPr>
          <w:rFonts w:ascii="Arial" w:cs="Arial" w:eastAsia="Arial" w:hAnsi="Arial"/>
          <w:sz w:val="15"/>
          <w:szCs w:val="15"/>
          <w:color w:val="auto"/>
        </w:rPr>
        <w:t xml:space="preserve"> on or prior to the Redemption Dates determined in accordance with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then the Corporation shall become obligated to pay to the holder of unredeemed shares, in addition to the Redemption Price for such unredeemed shares specified in </w:t>
      </w:r>
      <w:r>
        <w:rPr>
          <w:rFonts w:ascii="Arial" w:cs="Arial" w:eastAsia="Arial" w:hAnsi="Arial"/>
          <w:sz w:val="15"/>
          <w:szCs w:val="15"/>
          <w:u w:val="single" w:color="auto"/>
          <w:color w:val="auto"/>
        </w:rPr>
        <w:t>Section 3.4(a)</w:t>
      </w:r>
      <w:r>
        <w:rPr>
          <w:rFonts w:ascii="Arial" w:cs="Arial" w:eastAsia="Arial" w:hAnsi="Arial"/>
          <w:sz w:val="15"/>
          <w:szCs w:val="15"/>
          <w:color w:val="auto"/>
        </w:rPr>
        <w:t>, interest on the unpaid balance of such Redemption Price, which shall accrue beginning on such Redemption Date, at a rate of one percent (1%) per month until such price is paid in full.</w:t>
      </w:r>
    </w:p>
    <w:p>
      <w:pPr>
        <w:spacing w:after="0" w:line="156" w:lineRule="exact"/>
        <w:rPr>
          <w:rFonts w:ascii="Arial" w:cs="Arial" w:eastAsia="Arial" w:hAnsi="Arial"/>
          <w:sz w:val="15"/>
          <w:szCs w:val="15"/>
          <w:color w:val="auto"/>
        </w:rPr>
      </w:pPr>
    </w:p>
    <w:p>
      <w:pPr>
        <w:ind w:right="100" w:firstLine="1104"/>
        <w:spacing w:after="0" w:line="262" w:lineRule="auto"/>
        <w:tabs>
          <w:tab w:leader="none" w:pos="1674" w:val="left"/>
        </w:tabs>
        <w:numPr>
          <w:ilvl w:val="0"/>
          <w:numId w:val="235"/>
        </w:numPr>
        <w:rPr>
          <w:rFonts w:ascii="Arial" w:cs="Arial" w:eastAsia="Arial" w:hAnsi="Arial"/>
          <w:sz w:val="15"/>
          <w:szCs w:val="15"/>
          <w:color w:val="auto"/>
        </w:rPr>
      </w:pPr>
      <w:r>
        <w:rPr>
          <w:rFonts w:ascii="Arial" w:cs="Arial" w:eastAsia="Arial" w:hAnsi="Arial"/>
          <w:sz w:val="15"/>
          <w:szCs w:val="15"/>
          <w:color w:val="auto"/>
        </w:rPr>
        <w:t xml:space="preserve">If the funds of the Corporation legally available for redemption of the Senior Preferred Stock on any Redemption Date are insufficient to redeem the number of shares of the Senior Preferred Stock required under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to be redeemed on such date, those funds which are legally available will be used to redeem the maximum possible number of such shares ratably among the holders of Senior Preferred Stock, and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as between the Series A Preferred, the Series B Preferred, the Series C Preferred, the Series D Preferred and the Series E Preferred, in proportion to the full amount each such holder is otherwise entitled to receive under </w:t>
      </w:r>
      <w:r>
        <w:rPr>
          <w:rFonts w:ascii="Arial" w:cs="Arial" w:eastAsia="Arial" w:hAnsi="Arial"/>
          <w:sz w:val="15"/>
          <w:szCs w:val="15"/>
          <w:u w:val="single" w:color="auto"/>
          <w:color w:val="auto"/>
        </w:rPr>
        <w:t>Section 3.4(a)</w:t>
      </w:r>
      <w:r>
        <w:rPr>
          <w:rFonts w:ascii="Arial" w:cs="Arial" w:eastAsia="Arial" w:hAnsi="Arial"/>
          <w:sz w:val="15"/>
          <w:szCs w:val="15"/>
          <w:color w:val="auto"/>
        </w:rPr>
        <w:t xml:space="preserve"> on the basis of the number of shares of such series which would be redeemed on such date if the funds of the Corporation legally available therefor had been sufficient to redeem all the shares of such series required to be redeemed on such date. At any time thereafter when additional funds of the Corporation become legally available for the redemption of Senior Preferred Stock, such funds will be used, at the end of the next succeeding fiscal quarter, to redeem the balance of the shares which the Corporation was theretofore obligated to redeem, ratably on the basis set forth in the preceding sentence.</w:t>
      </w:r>
    </w:p>
    <w:p>
      <w:pPr>
        <w:spacing w:after="0" w:line="161" w:lineRule="exact"/>
        <w:rPr>
          <w:rFonts w:ascii="Arial" w:cs="Arial" w:eastAsia="Arial" w:hAnsi="Arial"/>
          <w:sz w:val="15"/>
          <w:szCs w:val="15"/>
          <w:color w:val="auto"/>
        </w:rPr>
      </w:pPr>
    </w:p>
    <w:p>
      <w:pPr>
        <w:ind w:right="160" w:firstLine="1104"/>
        <w:spacing w:after="0" w:line="293" w:lineRule="auto"/>
        <w:tabs>
          <w:tab w:leader="none" w:pos="1677" w:val="left"/>
        </w:tabs>
        <w:numPr>
          <w:ilvl w:val="0"/>
          <w:numId w:val="235"/>
        </w:numPr>
        <w:rPr>
          <w:rFonts w:ascii="Arial" w:cs="Arial" w:eastAsia="Arial" w:hAnsi="Arial"/>
          <w:sz w:val="14"/>
          <w:szCs w:val="14"/>
          <w:color w:val="auto"/>
        </w:rPr>
      </w:pPr>
      <w:r>
        <w:rPr>
          <w:rFonts w:ascii="Arial" w:cs="Arial" w:eastAsia="Arial" w:hAnsi="Arial"/>
          <w:sz w:val="14"/>
          <w:szCs w:val="14"/>
          <w:color w:val="auto"/>
        </w:rPr>
        <w:t>Unless there shall have been a default in payment of the applicable Redemption Price, no share of Senior Preferred Stock elected to be included in the redemption shall be entitled to any Accruing Dividends accruing after or any other dividends declared after its applicable Redemption Date, and on such Redemption Date all rights of the holder of such share as a stockholder of the Corporation by reason of the ownership of such share will cease, except the right to receive the applicable Redemption Price for such share, upon presentation and surrender of the certificate representing such share and such share will not from and after such Redemption Date be deemed to be outstanding.</w:t>
      </w:r>
    </w:p>
    <w:p>
      <w:pPr>
        <w:spacing w:after="0" w:line="140" w:lineRule="exact"/>
        <w:rPr>
          <w:rFonts w:ascii="Arial" w:cs="Arial" w:eastAsia="Arial" w:hAnsi="Arial"/>
          <w:sz w:val="14"/>
          <w:szCs w:val="14"/>
          <w:color w:val="auto"/>
        </w:rPr>
      </w:pPr>
    </w:p>
    <w:p>
      <w:pPr>
        <w:ind w:right="200" w:firstLine="1104"/>
        <w:spacing w:after="0" w:line="268" w:lineRule="auto"/>
        <w:tabs>
          <w:tab w:leader="none" w:pos="1671" w:val="left"/>
        </w:tabs>
        <w:numPr>
          <w:ilvl w:val="0"/>
          <w:numId w:val="235"/>
        </w:numPr>
        <w:rPr>
          <w:rFonts w:ascii="Arial" w:cs="Arial" w:eastAsia="Arial" w:hAnsi="Arial"/>
          <w:sz w:val="15"/>
          <w:szCs w:val="15"/>
          <w:color w:val="auto"/>
        </w:rPr>
      </w:pPr>
      <w:r>
        <w:rPr>
          <w:rFonts w:ascii="Arial" w:cs="Arial" w:eastAsia="Arial" w:hAnsi="Arial"/>
          <w:sz w:val="15"/>
          <w:szCs w:val="15"/>
          <w:color w:val="auto"/>
        </w:rPr>
        <w:t xml:space="preserve">Notwithstanding the foregoing, for so long as the Corporation is bound by or subject to a loan agreement or similar financing arrangement that has been approved by a majority of the members of the Board of Directors, including a majority of the Preferred Directors (as defined below), and that restricts the ability of the Corporation to redeem shares of Senior Preferred Stock in accordance with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the rights of the holders of Senior Preferred Stock under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shall be suspended and the Corporation shall not be required to redeem any shares of Senior Preferred Stock.</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129" w:right="219" w:bottom="291" w:gutter="0" w:footer="0" w:header="0"/>
        </w:sectPr>
      </w:pPr>
    </w:p>
    <w:bookmarkStart w:id="315" w:name="page316"/>
    <w:bookmarkEnd w:id="315"/>
    <w:p>
      <w:pPr>
        <w:ind w:left="547"/>
        <w:spacing w:after="0"/>
        <w:tabs>
          <w:tab w:leader="none" w:pos="1087"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3"/>
          <w:szCs w:val="13"/>
          <w:u w:val="single" w:color="auto"/>
          <w:color w:val="auto"/>
        </w:rPr>
        <w:t>SRN Preferred Redemption.</w:t>
      </w:r>
    </w:p>
    <w:p>
      <w:pPr>
        <w:spacing w:after="0" w:line="198" w:lineRule="exact"/>
        <w:rPr>
          <w:sz w:val="20"/>
          <w:szCs w:val="20"/>
          <w:color w:val="auto"/>
        </w:rPr>
      </w:pPr>
    </w:p>
    <w:p>
      <w:pPr>
        <w:ind w:left="7" w:right="20" w:firstLine="1104"/>
        <w:spacing w:after="0" w:line="261" w:lineRule="auto"/>
        <w:tabs>
          <w:tab w:leader="none" w:pos="1673" w:val="left"/>
        </w:tabs>
        <w:numPr>
          <w:ilvl w:val="0"/>
          <w:numId w:val="236"/>
        </w:numPr>
        <w:rPr>
          <w:rFonts w:ascii="Arial" w:cs="Arial" w:eastAsia="Arial" w:hAnsi="Arial"/>
          <w:sz w:val="15"/>
          <w:szCs w:val="15"/>
          <w:color w:val="auto"/>
        </w:rPr>
      </w:pPr>
      <w:r>
        <w:rPr>
          <w:rFonts w:ascii="Arial" w:cs="Arial" w:eastAsia="Arial" w:hAnsi="Arial"/>
          <w:sz w:val="15"/>
          <w:szCs w:val="15"/>
          <w:color w:val="auto"/>
        </w:rPr>
        <w:t>With respect to each holder of shares of Series SRN Preferred, the shares of Series SRN Preferred held by such holder shall be redeemed by the Corporation out of funds lawfully available therefor, only if and to the extent that the Corporation has sufficient cash from earnings immediately available to fund such redemption, at a price equal to the applicable SRN Redemption Price (as defined below), in one (1) payment to be paid not more than thirty (30) days after receipt by the Corporation after November 7, 2019, from such holder of written notice requesting redemption of all shares of Series SRN Preferred held by such holder (such notice, a “</w:t>
      </w:r>
      <w:r>
        <w:rPr>
          <w:rFonts w:ascii="Arial" w:cs="Arial" w:eastAsia="Arial" w:hAnsi="Arial"/>
          <w:sz w:val="15"/>
          <w:szCs w:val="15"/>
          <w:u w:val="single" w:color="auto"/>
          <w:color w:val="auto"/>
        </w:rPr>
        <w:t>SRN Redemption Request</w:t>
      </w:r>
      <w:r>
        <w:rPr>
          <w:rFonts w:ascii="Arial" w:cs="Arial" w:eastAsia="Arial" w:hAnsi="Arial"/>
          <w:sz w:val="15"/>
          <w:szCs w:val="15"/>
          <w:color w:val="auto"/>
        </w:rPr>
        <w:t>”). The date which is thirty (30) days after receipt of any such request shall be referred to as the “</w:t>
      </w:r>
      <w:r>
        <w:rPr>
          <w:rFonts w:ascii="Arial" w:cs="Arial" w:eastAsia="Arial" w:hAnsi="Arial"/>
          <w:sz w:val="15"/>
          <w:szCs w:val="15"/>
          <w:u w:val="single" w:color="auto"/>
          <w:color w:val="auto"/>
        </w:rPr>
        <w:t>SRN Redemption Request Date</w:t>
      </w:r>
      <w:r>
        <w:rPr>
          <w:rFonts w:ascii="Arial" w:cs="Arial" w:eastAsia="Arial" w:hAnsi="Arial"/>
          <w:sz w:val="15"/>
          <w:szCs w:val="15"/>
          <w:color w:val="auto"/>
        </w:rPr>
        <w:t>”, and the date of such payment shall be referred to as the “</w:t>
      </w:r>
      <w:r>
        <w:rPr>
          <w:rFonts w:ascii="Arial" w:cs="Arial" w:eastAsia="Arial" w:hAnsi="Arial"/>
          <w:sz w:val="15"/>
          <w:szCs w:val="15"/>
          <w:u w:val="single" w:color="auto"/>
          <w:color w:val="auto"/>
        </w:rPr>
        <w:t>SRN Redemption Date</w:t>
      </w:r>
      <w:r>
        <w:rPr>
          <w:rFonts w:ascii="Arial" w:cs="Arial" w:eastAsia="Arial" w:hAnsi="Arial"/>
          <w:sz w:val="15"/>
          <w:szCs w:val="15"/>
          <w:color w:val="auto"/>
        </w:rPr>
        <w:t>”. The “</w:t>
      </w:r>
      <w:r>
        <w:rPr>
          <w:rFonts w:ascii="Arial" w:cs="Arial" w:eastAsia="Arial" w:hAnsi="Arial"/>
          <w:sz w:val="15"/>
          <w:szCs w:val="15"/>
          <w:u w:val="single" w:color="auto"/>
          <w:color w:val="auto"/>
        </w:rPr>
        <w:t>SRN Redemption Price</w:t>
      </w:r>
      <w:r>
        <w:rPr>
          <w:rFonts w:ascii="Arial" w:cs="Arial" w:eastAsia="Arial" w:hAnsi="Arial"/>
          <w:sz w:val="15"/>
          <w:szCs w:val="15"/>
          <w:color w:val="auto"/>
        </w:rPr>
        <w:t>” shall equal an amount per share such that, when paid in full, the holder thereof shall have achieved on the SRN Redemption Date (as defined below) a sixteen and one half percent (16.5%) internal rate of return on the Original Issue Price of the Series SRN Preferred since the date of original issuance of such share of Series SRN Preferred. For purposes hereof, “internal rate of return” means the discount rate at which the net present value of the Original Issue Price of the Series SRN Preferred is equal to the net present value of the SRN Redemption Price and all dividends paid with respect to a share of Series SRN Preferred from the original date of issuance. Internal rate of return shall be calculated using the XIRR function in the most recent version of Microsoft Excel (or if such program is no longer available, such other software program for calculating IRR reasonably proposed by the Corporation).</w:t>
      </w:r>
    </w:p>
    <w:p>
      <w:pPr>
        <w:spacing w:after="0" w:line="160" w:lineRule="exact"/>
        <w:rPr>
          <w:rFonts w:ascii="Arial" w:cs="Arial" w:eastAsia="Arial" w:hAnsi="Arial"/>
          <w:sz w:val="15"/>
          <w:szCs w:val="15"/>
          <w:color w:val="auto"/>
        </w:rPr>
      </w:pPr>
    </w:p>
    <w:p>
      <w:pPr>
        <w:ind w:left="7" w:right="180" w:firstLine="1104"/>
        <w:spacing w:after="0" w:line="273" w:lineRule="auto"/>
        <w:tabs>
          <w:tab w:leader="none" w:pos="1681" w:val="left"/>
        </w:tabs>
        <w:numPr>
          <w:ilvl w:val="0"/>
          <w:numId w:val="236"/>
        </w:numPr>
        <w:rPr>
          <w:rFonts w:ascii="Arial" w:cs="Arial" w:eastAsia="Arial" w:hAnsi="Arial"/>
          <w:sz w:val="15"/>
          <w:szCs w:val="15"/>
          <w:color w:val="auto"/>
        </w:rPr>
      </w:pPr>
      <w:r>
        <w:rPr>
          <w:rFonts w:ascii="Arial" w:cs="Arial" w:eastAsia="Arial" w:hAnsi="Arial"/>
          <w:sz w:val="15"/>
          <w:szCs w:val="15"/>
          <w:color w:val="auto"/>
        </w:rPr>
        <w:t>Prior to the close of business on the next business day following the day on which the Corporation receives any SRN Redemption Request, the Corporation shall mail, first class postage prepaid, written notice to each holder of record of Senior Preferred Stock, at the address last shown on the records of the Corporation for such holder, notifying such holder of the redemption of such Series SRN Preferred shares to be effected on the applicable SRN Redemption Date.</w:t>
      </w:r>
    </w:p>
    <w:p>
      <w:pPr>
        <w:spacing w:after="0" w:line="152" w:lineRule="exact"/>
        <w:rPr>
          <w:rFonts w:ascii="Arial" w:cs="Arial" w:eastAsia="Arial" w:hAnsi="Arial"/>
          <w:sz w:val="15"/>
          <w:szCs w:val="15"/>
          <w:color w:val="auto"/>
        </w:rPr>
      </w:pPr>
    </w:p>
    <w:p>
      <w:pPr>
        <w:ind w:left="7" w:firstLine="1104"/>
        <w:spacing w:after="0" w:line="284" w:lineRule="auto"/>
        <w:tabs>
          <w:tab w:leader="none" w:pos="1684" w:val="left"/>
        </w:tabs>
        <w:numPr>
          <w:ilvl w:val="0"/>
          <w:numId w:val="236"/>
        </w:numPr>
        <w:rPr>
          <w:rFonts w:ascii="Arial" w:cs="Arial" w:eastAsia="Arial" w:hAnsi="Arial"/>
          <w:sz w:val="14"/>
          <w:szCs w:val="14"/>
          <w:color w:val="auto"/>
        </w:rPr>
      </w:pPr>
      <w:r>
        <w:rPr>
          <w:rFonts w:ascii="Arial" w:cs="Arial" w:eastAsia="Arial" w:hAnsi="Arial"/>
          <w:sz w:val="14"/>
          <w:szCs w:val="14"/>
          <w:color w:val="auto"/>
        </w:rPr>
        <w:t xml:space="preserve">If the funds of the Corporation lawfully available or immediately available from earnings for redemption of the Series SRN Preferred on the respective SRN Redemption Request Date are insufficient to redeem the total number of shares of Series SRN Preferred required under this </w:t>
      </w:r>
      <w:r>
        <w:rPr>
          <w:rFonts w:ascii="Arial" w:cs="Arial" w:eastAsia="Arial" w:hAnsi="Arial"/>
          <w:sz w:val="14"/>
          <w:szCs w:val="14"/>
          <w:u w:val="single" w:color="auto"/>
          <w:color w:val="auto"/>
        </w:rPr>
        <w:t>Section 3.5</w:t>
      </w:r>
      <w:r>
        <w:rPr>
          <w:rFonts w:ascii="Arial" w:cs="Arial" w:eastAsia="Arial" w:hAnsi="Arial"/>
          <w:sz w:val="14"/>
          <w:szCs w:val="14"/>
          <w:color w:val="auto"/>
        </w:rPr>
        <w:t xml:space="preserve"> to be redeemed on such date, the Corporation shall, as payment of the SRN Redemption Price for all such unredeemed shares, issue a promissory note (an “</w:t>
      </w:r>
      <w:r>
        <w:rPr>
          <w:rFonts w:ascii="Arial" w:cs="Arial" w:eastAsia="Arial" w:hAnsi="Arial"/>
          <w:sz w:val="14"/>
          <w:szCs w:val="14"/>
          <w:u w:val="single" w:color="auto"/>
          <w:color w:val="auto"/>
        </w:rPr>
        <w:t>SRN Redemption Note</w:t>
      </w:r>
      <w:r>
        <w:rPr>
          <w:rFonts w:ascii="Arial" w:cs="Arial" w:eastAsia="Arial" w:hAnsi="Arial"/>
          <w:sz w:val="14"/>
          <w:szCs w:val="14"/>
          <w:color w:val="auto"/>
        </w:rPr>
        <w:t xml:space="preserve">”) in favor of each holder of such shares for an amount equal to the SRN Redemption Price of all such shares held by such holder, the term of which SRN Redemption Note shall not exceed a period of two (2) years, and which will contemplate a payment schedule to be agreed upon among the Corporation and such holders, which will reflect that such SRN Redemption Note shall accrue interest such that the holder thereof shall achieve, on the date of payment in full, a sixteen and one half percent (16.5%) internal rate of return on the Original Issue Price of such shares of Series SRN Preferred since the date of original issuance of such shares of Series SRN Preferred as provided in </w:t>
      </w:r>
      <w:r>
        <w:rPr>
          <w:rFonts w:ascii="Arial" w:cs="Arial" w:eastAsia="Arial" w:hAnsi="Arial"/>
          <w:sz w:val="14"/>
          <w:szCs w:val="14"/>
          <w:u w:val="single" w:color="auto"/>
          <w:color w:val="auto"/>
        </w:rPr>
        <w:t>Section 3.5(a)</w:t>
      </w:r>
      <w:r>
        <w:rPr>
          <w:rFonts w:ascii="Arial" w:cs="Arial" w:eastAsia="Arial" w:hAnsi="Arial"/>
          <w:sz w:val="14"/>
          <w:szCs w:val="14"/>
          <w:color w:val="auto"/>
        </w:rPr>
        <w:t xml:space="preserve"> above.</w:t>
      </w:r>
    </w:p>
    <w:p>
      <w:pPr>
        <w:spacing w:after="0" w:line="148" w:lineRule="exact"/>
        <w:rPr>
          <w:rFonts w:ascii="Arial" w:cs="Arial" w:eastAsia="Arial" w:hAnsi="Arial"/>
          <w:sz w:val="14"/>
          <w:szCs w:val="14"/>
          <w:color w:val="auto"/>
        </w:rPr>
      </w:pPr>
    </w:p>
    <w:p>
      <w:pPr>
        <w:ind w:left="1667" w:hanging="556"/>
        <w:spacing w:after="0"/>
        <w:tabs>
          <w:tab w:leader="none" w:pos="1667" w:val="left"/>
        </w:tabs>
        <w:numPr>
          <w:ilvl w:val="0"/>
          <w:numId w:val="236"/>
        </w:numPr>
        <w:rPr>
          <w:rFonts w:ascii="Arial" w:cs="Arial" w:eastAsia="Arial" w:hAnsi="Arial"/>
          <w:sz w:val="14"/>
          <w:szCs w:val="14"/>
          <w:color w:val="auto"/>
        </w:rPr>
      </w:pPr>
      <w:r>
        <w:rPr>
          <w:rFonts w:ascii="Arial" w:cs="Arial" w:eastAsia="Arial" w:hAnsi="Arial"/>
          <w:sz w:val="14"/>
          <w:szCs w:val="14"/>
          <w:color w:val="auto"/>
        </w:rPr>
        <w:t>Unless there is a default in the payment of the applicable Series SRN Redemption Price on the respective SRN Redemption Request Date, no share of</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color w:val="auto"/>
        </w:rPr>
        <w:t xml:space="preserve">Series SRN Preferred to be redeemed pursuant to this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on such date shall be entitled to any</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60"/>
        <w:spacing w:after="0" w:line="273" w:lineRule="auto"/>
        <w:rPr>
          <w:sz w:val="20"/>
          <w:szCs w:val="20"/>
          <w:color w:val="auto"/>
        </w:rPr>
      </w:pPr>
      <w:r>
        <w:rPr>
          <w:rFonts w:ascii="Arial" w:cs="Arial" w:eastAsia="Arial" w:hAnsi="Arial"/>
          <w:sz w:val="15"/>
          <w:szCs w:val="15"/>
          <w:color w:val="auto"/>
        </w:rPr>
        <w:t>dividends declared after such SRN Redemption Request Date, and on such SRN Redemption Request Date all rights of the holder of such share as a stockholder of the Corporation by reason of the ownership of such share will cease, except the right to receive the applicable SRN Redemption Price for such share, upon presentation and surrender of the certificate representing such share and such share will not from and after such SRN Redemption Date be deemed to be outstanding.</w:t>
      </w:r>
    </w:p>
    <w:p>
      <w:pPr>
        <w:spacing w:after="0" w:line="153" w:lineRule="exact"/>
        <w:rPr>
          <w:sz w:val="20"/>
          <w:szCs w:val="20"/>
          <w:color w:val="auto"/>
        </w:rPr>
      </w:pPr>
    </w:p>
    <w:p>
      <w:pPr>
        <w:ind w:left="7" w:right="160" w:firstLine="1104"/>
        <w:spacing w:after="0" w:line="293" w:lineRule="auto"/>
        <w:tabs>
          <w:tab w:leader="none" w:pos="1684" w:val="left"/>
        </w:tabs>
        <w:numPr>
          <w:ilvl w:val="0"/>
          <w:numId w:val="237"/>
        </w:numPr>
        <w:rPr>
          <w:rFonts w:ascii="Arial" w:cs="Arial" w:eastAsia="Arial" w:hAnsi="Arial"/>
          <w:sz w:val="14"/>
          <w:szCs w:val="14"/>
          <w:color w:val="auto"/>
        </w:rPr>
      </w:pPr>
      <w:r>
        <w:rPr>
          <w:rFonts w:ascii="Arial" w:cs="Arial" w:eastAsia="Arial" w:hAnsi="Arial"/>
          <w:sz w:val="14"/>
          <w:szCs w:val="14"/>
          <w:color w:val="auto"/>
        </w:rPr>
        <w:t xml:space="preserve">If at any time while the SRN Redemption Notes are outstanding the Corporation is required to pay, but has not yet paid the Redemption Price pursuant to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then any payment made by the Corporation to the holders of Senior Preferred Stock on account of the Redemption Price, or to the holders of an SRN Redemption Note on account thereof, shall be paid ratably among the holders of the Senior Preferred Stock and holders of the SRN Redemption Notes on a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basis, in proportion to the amounts such holders are entitled to receive pursuant to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and the amounts of the SRN Redemption Notes issued pursuant to </w:t>
      </w:r>
      <w:r>
        <w:rPr>
          <w:rFonts w:ascii="Arial" w:cs="Arial" w:eastAsia="Arial" w:hAnsi="Arial"/>
          <w:sz w:val="14"/>
          <w:szCs w:val="14"/>
          <w:u w:val="single" w:color="auto"/>
          <w:color w:val="auto"/>
        </w:rPr>
        <w:t>Section 3.5</w:t>
      </w:r>
      <w:r>
        <w:rPr>
          <w:rFonts w:ascii="Arial" w:cs="Arial" w:eastAsia="Arial" w:hAnsi="Arial"/>
          <w:sz w:val="14"/>
          <w:szCs w:val="14"/>
          <w:color w:val="auto"/>
        </w:rPr>
        <w:t>, respectively</w:t>
      </w:r>
    </w:p>
    <w:p>
      <w:pPr>
        <w:spacing w:after="0" w:line="140" w:lineRule="exact"/>
        <w:rPr>
          <w:rFonts w:ascii="Arial" w:cs="Arial" w:eastAsia="Arial" w:hAnsi="Arial"/>
          <w:sz w:val="14"/>
          <w:szCs w:val="14"/>
          <w:color w:val="auto"/>
        </w:rPr>
      </w:pPr>
    </w:p>
    <w:p>
      <w:pPr>
        <w:ind w:left="7" w:right="280" w:firstLine="1104"/>
        <w:spacing w:after="0" w:line="268" w:lineRule="auto"/>
        <w:tabs>
          <w:tab w:leader="none" w:pos="1679" w:val="left"/>
        </w:tabs>
        <w:numPr>
          <w:ilvl w:val="0"/>
          <w:numId w:val="237"/>
        </w:numPr>
        <w:rPr>
          <w:rFonts w:ascii="Arial" w:cs="Arial" w:eastAsia="Arial" w:hAnsi="Arial"/>
          <w:sz w:val="15"/>
          <w:szCs w:val="15"/>
          <w:color w:val="auto"/>
        </w:rPr>
      </w:pPr>
      <w:r>
        <w:rPr>
          <w:rFonts w:ascii="Arial" w:cs="Arial" w:eastAsia="Arial" w:hAnsi="Arial"/>
          <w:sz w:val="15"/>
          <w:szCs w:val="15"/>
          <w:color w:val="auto"/>
        </w:rPr>
        <w:t xml:space="preserve">Notwithstanding the foregoing, for so long as the Corporation is bound by or subject to a loan agreement or similar financing arrangement that has been approved by a majority of the members of the Board of Directors, including a majority of the Preferred Directors, and that restricts the ability of the Corporation to redeem shares of SRN Preferred Stock in accordance with this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the rights of the holders of SRN Preferred Stock under this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shall be suspended and the Corporation shall not be required to redeem any shares of SRN Preferred Stock.</w:t>
      </w:r>
    </w:p>
    <w:p>
      <w:pPr>
        <w:spacing w:after="0" w:line="156"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4"/>
          <w:szCs w:val="14"/>
          <w:u w:val="single" w:color="auto"/>
          <w:color w:val="auto"/>
        </w:rPr>
        <w:t>Voting Rights.</w:t>
      </w:r>
    </w:p>
    <w:p>
      <w:pPr>
        <w:spacing w:after="0" w:line="198" w:lineRule="exact"/>
        <w:rPr>
          <w:sz w:val="20"/>
          <w:szCs w:val="20"/>
          <w:color w:val="auto"/>
        </w:rPr>
      </w:pPr>
    </w:p>
    <w:p>
      <w:pPr>
        <w:ind w:left="7" w:right="20" w:firstLine="1104"/>
        <w:spacing w:after="0" w:line="284" w:lineRule="auto"/>
        <w:tabs>
          <w:tab w:leader="none" w:pos="1673" w:val="left"/>
        </w:tabs>
        <w:numPr>
          <w:ilvl w:val="0"/>
          <w:numId w:val="238"/>
        </w:numPr>
        <w:rPr>
          <w:rFonts w:ascii="Arial" w:cs="Arial" w:eastAsia="Arial" w:hAnsi="Arial"/>
          <w:sz w:val="14"/>
          <w:szCs w:val="14"/>
          <w:color w:val="auto"/>
        </w:rPr>
      </w:pPr>
      <w:r>
        <w:rPr>
          <w:rFonts w:ascii="Arial" w:cs="Arial" w:eastAsia="Arial" w:hAnsi="Arial"/>
          <w:sz w:val="14"/>
          <w:szCs w:val="14"/>
          <w:color w:val="auto"/>
        </w:rPr>
        <w:t xml:space="preserve">The holders of shares of Senior Preferred Stock shall be entitled to notice of any stockholders’ meeting and to vote upon any matter submitted to a stockholder for a vote, as though the Common Stock and Senior Preferred Stock constituted a single class of stock, except with respect to those matters on which the General Corporation Law requires that a vote must be by a separate class or classes or by separate series, as to which each such class or series shall have the right to vote in accordance with such law, and except as otherwise provided in this Certificate, including without limitation </w:t>
      </w:r>
      <w:r>
        <w:rPr>
          <w:rFonts w:ascii="Arial" w:cs="Arial" w:eastAsia="Arial" w:hAnsi="Arial"/>
          <w:sz w:val="14"/>
          <w:szCs w:val="14"/>
          <w:u w:val="single" w:color="auto"/>
          <w:color w:val="auto"/>
        </w:rPr>
        <w:t>Sections 3.6(b)</w:t>
      </w:r>
      <w:r>
        <w:rPr>
          <w:rFonts w:ascii="Arial" w:cs="Arial" w:eastAsia="Arial" w:hAnsi="Arial"/>
          <w:sz w:val="14"/>
          <w:szCs w:val="14"/>
          <w:color w:val="auto"/>
        </w:rPr>
        <w:t xml:space="preserve">, </w:t>
      </w:r>
      <w:r>
        <w:rPr>
          <w:rFonts w:ascii="Arial" w:cs="Arial" w:eastAsia="Arial" w:hAnsi="Arial"/>
          <w:sz w:val="14"/>
          <w:szCs w:val="14"/>
          <w:u w:val="single" w:color="auto"/>
          <w:color w:val="auto"/>
        </w:rPr>
        <w:t>(c)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(d)</w:t>
      </w:r>
      <w:r>
        <w:rPr>
          <w:rFonts w:ascii="Arial" w:cs="Arial" w:eastAsia="Arial" w:hAnsi="Arial"/>
          <w:sz w:val="14"/>
          <w:szCs w:val="14"/>
          <w:color w:val="auto"/>
        </w:rPr>
        <w:t xml:space="preserve"> below. Holders of Senior Preferred Stock shall have that number of votes per share as is equal to the number of shares of Common Stock into which each such share of Senior Preferred Stock held by such holder is then convertible (based on the Conversion Price in effect at such time and, in the case of the Series E Preferred, disregarding the special conversion ratios set forth in </w:t>
      </w:r>
      <w:r>
        <w:rPr>
          <w:rFonts w:ascii="Arial" w:cs="Arial" w:eastAsia="Arial" w:hAnsi="Arial"/>
          <w:sz w:val="14"/>
          <w:szCs w:val="14"/>
          <w:u w:val="single" w:color="auto"/>
          <w:color w:val="auto"/>
        </w:rPr>
        <w:t>Subsections 3.3(a)(i)(1)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3.3(b)(i)(2)</w:t>
      </w:r>
      <w:r>
        <w:rPr>
          <w:rFonts w:ascii="Arial" w:cs="Arial" w:eastAsia="Arial" w:hAnsi="Arial"/>
          <w:sz w:val="14"/>
          <w:szCs w:val="14"/>
          <w:color w:val="auto"/>
        </w:rPr>
        <w:t xml:space="preserve">). Except as otherwise required by law or as provided in </w:t>
      </w:r>
      <w:r>
        <w:rPr>
          <w:rFonts w:ascii="Arial" w:cs="Arial" w:eastAsia="Arial" w:hAnsi="Arial"/>
          <w:sz w:val="14"/>
          <w:szCs w:val="14"/>
          <w:u w:val="single" w:color="auto"/>
          <w:color w:val="auto"/>
        </w:rPr>
        <w:t>Section 3.3(d)(vii)</w:t>
      </w:r>
      <w:r>
        <w:rPr>
          <w:rFonts w:ascii="Arial" w:cs="Arial" w:eastAsia="Arial" w:hAnsi="Arial"/>
          <w:sz w:val="14"/>
          <w:szCs w:val="14"/>
          <w:color w:val="auto"/>
        </w:rPr>
        <w:t>, the holders of Series SRN Preferred shall not be entitled to vote on any matter submitted to a stockholder for a vote.</w:t>
      </w:r>
    </w:p>
    <w:p>
      <w:pPr>
        <w:spacing w:after="0" w:line="148" w:lineRule="exact"/>
        <w:rPr>
          <w:rFonts w:ascii="Arial" w:cs="Arial" w:eastAsia="Arial" w:hAnsi="Arial"/>
          <w:sz w:val="14"/>
          <w:szCs w:val="14"/>
          <w:color w:val="auto"/>
        </w:rPr>
      </w:pPr>
    </w:p>
    <w:p>
      <w:pPr>
        <w:ind w:left="7" w:right="240" w:firstLine="1104"/>
        <w:spacing w:after="0" w:line="273" w:lineRule="auto"/>
        <w:tabs>
          <w:tab w:leader="none" w:pos="1681" w:val="left"/>
        </w:tabs>
        <w:numPr>
          <w:ilvl w:val="0"/>
          <w:numId w:val="238"/>
        </w:numPr>
        <w:rPr>
          <w:rFonts w:ascii="Arial" w:cs="Arial" w:eastAsia="Arial" w:hAnsi="Arial"/>
          <w:sz w:val="15"/>
          <w:szCs w:val="15"/>
          <w:color w:val="auto"/>
        </w:rPr>
      </w:pPr>
      <w:r>
        <w:rPr>
          <w:rFonts w:ascii="Arial" w:cs="Arial" w:eastAsia="Arial" w:hAnsi="Arial"/>
          <w:sz w:val="15"/>
          <w:szCs w:val="15"/>
          <w:color w:val="auto"/>
        </w:rPr>
        <w:t>Any provision of the Bylaws of the Corporation to the contrary notwithstanding, the number of directors constituting the entire Board of Directors of the Corporation shall be fixed at eleven (11) and may not be increased without the prior consent of the holders of shares of Senior Preferred Stock representing at least sixty-six and two-thirds percent (66 2/3%) of the votes represented by all outstanding shares of Senior Preferred Stock voting together as a single class.</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7" w:right="20" w:firstLine="1104"/>
        <w:spacing w:after="0" w:line="284" w:lineRule="auto"/>
        <w:tabs>
          <w:tab w:leader="none" w:pos="1684" w:val="left"/>
        </w:tabs>
        <w:numPr>
          <w:ilvl w:val="0"/>
          <w:numId w:val="239"/>
        </w:numPr>
        <w:rPr>
          <w:rFonts w:ascii="Arial" w:cs="Arial" w:eastAsia="Arial" w:hAnsi="Arial"/>
          <w:sz w:val="14"/>
          <w:szCs w:val="14"/>
          <w:color w:val="auto"/>
        </w:rPr>
      </w:pPr>
      <w:r>
        <w:rPr>
          <w:rFonts w:ascii="Arial" w:cs="Arial" w:eastAsia="Arial" w:hAnsi="Arial"/>
          <w:sz w:val="14"/>
          <w:szCs w:val="14"/>
          <w:color w:val="auto"/>
        </w:rPr>
        <w:t>At all times during which shares of Senior Preferred Stock remain outstanding, the holders of the outstanding shares of Senior Preferred Stock shall have the exclusive right, separately from the Common Stock, to elect five (5) directors of the Corporation (collectively, the “</w:t>
      </w:r>
      <w:r>
        <w:rPr>
          <w:rFonts w:ascii="Arial" w:cs="Arial" w:eastAsia="Arial" w:hAnsi="Arial"/>
          <w:sz w:val="14"/>
          <w:szCs w:val="14"/>
          <w:u w:val="single" w:color="auto"/>
          <w:color w:val="auto"/>
        </w:rPr>
        <w:t>Preferred Directors</w:t>
      </w:r>
      <w:r>
        <w:rPr>
          <w:rFonts w:ascii="Arial" w:cs="Arial" w:eastAsia="Arial" w:hAnsi="Arial"/>
          <w:sz w:val="14"/>
          <w:szCs w:val="14"/>
          <w:color w:val="auto"/>
        </w:rPr>
        <w:t>”). Each Preferred Director shall be elected by the vote or written consent of the holders of shares of Senior Preferred Stock representing at least sixty-six and two-thirds percent (66 2/3%) of the votes represented by all outstanding shares of Senior Preferred Stock voting together as a single class. If any Preferred Director shall cease to serve as a director for any reason, another director elected by the holders of the Senior Preferred Stock shall replace such director. Any Preferred Director may be removed, with or without cause, and a replacement Preferred Director may be elected in his or her stead, at any time by the affirmative vote at a meeting of stockholders called for such purpose, or by written consent, of the holders of shares of Senior Preferred Stock representing at least sixty-six and two-thirds percent (66 2/3%) of the votes represented by all outstanding shares of Senior Preferred Stock voting together as a single class.</w:t>
      </w:r>
    </w:p>
    <w:p>
      <w:pPr>
        <w:spacing w:after="0" w:line="148" w:lineRule="exact"/>
        <w:rPr>
          <w:rFonts w:ascii="Arial" w:cs="Arial" w:eastAsia="Arial" w:hAnsi="Arial"/>
          <w:sz w:val="14"/>
          <w:szCs w:val="14"/>
          <w:color w:val="auto"/>
        </w:rPr>
      </w:pPr>
    </w:p>
    <w:p>
      <w:pPr>
        <w:ind w:left="7" w:right="180" w:firstLine="1104"/>
        <w:spacing w:after="0" w:line="289" w:lineRule="auto"/>
        <w:tabs>
          <w:tab w:leader="none" w:pos="1681" w:val="left"/>
        </w:tabs>
        <w:numPr>
          <w:ilvl w:val="0"/>
          <w:numId w:val="239"/>
        </w:numPr>
        <w:rPr>
          <w:rFonts w:ascii="Arial" w:cs="Arial" w:eastAsia="Arial" w:hAnsi="Arial"/>
          <w:sz w:val="15"/>
          <w:szCs w:val="15"/>
          <w:color w:val="auto"/>
        </w:rPr>
      </w:pPr>
      <w:r>
        <w:rPr>
          <w:rFonts w:ascii="Arial" w:cs="Arial" w:eastAsia="Arial" w:hAnsi="Arial"/>
          <w:sz w:val="15"/>
          <w:szCs w:val="15"/>
          <w:color w:val="auto"/>
        </w:rPr>
        <w:t>The holders of Senior Preferred Stock and the holders of Common Stock shall be entitled to vote upon the election of directors in accordance with the Fifth Amended and Restated Voting Agreement dated as of August 27, 2015, as it may be amended and/or restated from time to time.</w:t>
      </w:r>
    </w:p>
    <w:p>
      <w:pPr>
        <w:spacing w:after="0" w:line="141"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3.7</w:t>
      </w:r>
      <w:r>
        <w:rPr>
          <w:sz w:val="20"/>
          <w:szCs w:val="20"/>
          <w:color w:val="auto"/>
        </w:rPr>
        <w:tab/>
      </w:r>
      <w:r>
        <w:rPr>
          <w:rFonts w:ascii="Arial" w:cs="Arial" w:eastAsia="Arial" w:hAnsi="Arial"/>
          <w:sz w:val="14"/>
          <w:szCs w:val="14"/>
          <w:u w:val="single" w:color="auto"/>
          <w:color w:val="auto"/>
        </w:rPr>
        <w:t>Dividend Right.</w:t>
      </w:r>
    </w:p>
    <w:p>
      <w:pPr>
        <w:spacing w:after="0" w:line="198" w:lineRule="exact"/>
        <w:rPr>
          <w:sz w:val="20"/>
          <w:szCs w:val="20"/>
          <w:color w:val="auto"/>
        </w:rPr>
      </w:pPr>
    </w:p>
    <w:p>
      <w:pPr>
        <w:ind w:left="1667" w:hanging="556"/>
        <w:spacing w:after="0"/>
        <w:tabs>
          <w:tab w:leader="none" w:pos="1667" w:val="left"/>
        </w:tabs>
        <w:numPr>
          <w:ilvl w:val="1"/>
          <w:numId w:val="240"/>
        </w:numPr>
        <w:rPr>
          <w:rFonts w:ascii="Arial" w:cs="Arial" w:eastAsia="Arial" w:hAnsi="Arial"/>
          <w:sz w:val="15"/>
          <w:szCs w:val="15"/>
          <w:color w:val="auto"/>
        </w:rPr>
      </w:pPr>
      <w:r>
        <w:rPr>
          <w:rFonts w:ascii="Arial" w:cs="Arial" w:eastAsia="Arial" w:hAnsi="Arial"/>
          <w:sz w:val="15"/>
          <w:szCs w:val="15"/>
          <w:color w:val="auto"/>
        </w:rPr>
        <w:t>The holders of outstanding Senior Preferred Stock shall be entitled to receive cumulative dividends (the “</w:t>
      </w:r>
      <w:r>
        <w:rPr>
          <w:rFonts w:ascii="Arial" w:cs="Arial" w:eastAsia="Arial" w:hAnsi="Arial"/>
          <w:sz w:val="15"/>
          <w:szCs w:val="15"/>
          <w:u w:val="single" w:color="auto"/>
          <w:color w:val="auto"/>
        </w:rPr>
        <w:t>Accruing Dividends</w:t>
      </w:r>
      <w:r>
        <w:rPr>
          <w:rFonts w:ascii="Arial" w:cs="Arial" w:eastAsia="Arial" w:hAnsi="Arial"/>
          <w:sz w:val="15"/>
          <w:szCs w:val="15"/>
          <w:color w:val="auto"/>
        </w:rPr>
        <w:t>”) at an annual rate of</w:t>
      </w:r>
    </w:p>
    <w:p>
      <w:pPr>
        <w:spacing w:after="0" w:line="23" w:lineRule="exact"/>
        <w:rPr>
          <w:rFonts w:ascii="Arial" w:cs="Arial" w:eastAsia="Arial" w:hAnsi="Arial"/>
          <w:sz w:val="15"/>
          <w:szCs w:val="15"/>
          <w:color w:val="auto"/>
        </w:rPr>
      </w:pPr>
    </w:p>
    <w:p>
      <w:pPr>
        <w:ind w:left="7" w:right="40" w:hanging="7"/>
        <w:spacing w:after="0" w:line="297" w:lineRule="auto"/>
        <w:tabs>
          <w:tab w:leader="none" w:pos="192" w:val="left"/>
        </w:tabs>
        <w:numPr>
          <w:ilvl w:val="0"/>
          <w:numId w:val="241"/>
        </w:numPr>
        <w:rPr>
          <w:rFonts w:ascii="Arial" w:cs="Arial" w:eastAsia="Arial" w:hAnsi="Arial"/>
          <w:sz w:val="13"/>
          <w:szCs w:val="13"/>
          <w:color w:val="auto"/>
        </w:rPr>
      </w:pPr>
      <w:r>
        <w:rPr>
          <w:rFonts w:ascii="Arial" w:cs="Arial" w:eastAsia="Arial" w:hAnsi="Arial"/>
          <w:sz w:val="13"/>
          <w:szCs w:val="13"/>
          <w:color w:val="auto"/>
        </w:rPr>
        <w:t>$0.0579 per share of Series A Preferred (as appropriately adjusted for any recapitalizations, stock combinations, stock dividends, stock splits and the like with respect to the Series A Preferred), (ii) $0.1218 per share of Series B Preferred (as appropriately adjusted for any recapitalizations, stock combinations, stock dividends, stock splits and the like with respect to the Series B Preferred), (iii) $0.18 per share of Series C Preferred (as appropriately adjusted for any recapitalizations, stock combinations, stock dividends, stock splits and the like with respect to the Series C Preferred), (iv) $0.27 per share of Series D Preferred (as appropriately adjusted for any recapitalizations, stock combinations, stock dividends, stock splits and the like with respect to the Series D Preferred), and (v) $0.27 per share of Series E Preferred (as appropriately adjusted for any recapitalizations, stock combinations, stock dividends, stock splits and the like with respect to the Series E Preferred), which dividends shall accrue daily in arrears, whether or not such dividends are declared by the Board of Directors or paid.</w:t>
      </w:r>
    </w:p>
    <w:p>
      <w:pPr>
        <w:spacing w:after="0" w:line="1" w:lineRule="exact"/>
        <w:rPr>
          <w:rFonts w:ascii="Arial" w:cs="Arial" w:eastAsia="Arial" w:hAnsi="Arial"/>
          <w:sz w:val="13"/>
          <w:szCs w:val="13"/>
          <w:color w:val="auto"/>
        </w:rPr>
      </w:pPr>
    </w:p>
    <w:p>
      <w:pPr>
        <w:ind w:left="7" w:right="20"/>
        <w:spacing w:after="0" w:line="263" w:lineRule="auto"/>
        <w:rPr>
          <w:rFonts w:ascii="Arial" w:cs="Arial" w:eastAsia="Arial" w:hAnsi="Arial"/>
          <w:sz w:val="13"/>
          <w:szCs w:val="13"/>
          <w:color w:val="auto"/>
        </w:rPr>
      </w:pPr>
      <w:r>
        <w:rPr>
          <w:rFonts w:ascii="Arial" w:cs="Arial" w:eastAsia="Arial" w:hAnsi="Arial"/>
          <w:sz w:val="15"/>
          <w:szCs w:val="15"/>
          <w:color w:val="auto"/>
        </w:rPr>
        <w:t>The Accruing Dividends shall be payable when, as and if declared by the Board of Directors, out of any funds legally available therefor and prior and in preference to dividends to any other holder of capital stock of the Corporation. The Accruing Dividends owed to the holders of one series of Senior Preferred Stock shall not be paid unless the Accruing Dividends owed to the holders of the other series of Senior Preferred Stock are paid simultaneously therewith in proportion to the full amount of Accruing Dividends then owed. For the avoidance of doubt, Accruing Dividends shall cease to accrue upon the consummation of a Deemed Liquidation Event.</w:t>
      </w:r>
    </w:p>
    <w:p>
      <w:pPr>
        <w:sectPr>
          <w:pgSz w:w="11900" w:h="16838" w:orient="portrait"/>
          <w:cols w:equalWidth="0" w:num="1">
            <w:col w:w="11447"/>
          </w:cols>
          <w:pgMar w:left="233" w:top="129" w:right="219" w:bottom="0" w:gutter="0" w:footer="0" w:header="0"/>
        </w:sectPr>
      </w:pPr>
    </w:p>
    <w:bookmarkStart w:id="316" w:name="page317"/>
    <w:bookmarkEnd w:id="316"/>
    <w:p>
      <w:pPr>
        <w:ind w:right="260" w:firstLine="1104"/>
        <w:spacing w:after="0" w:line="289" w:lineRule="auto"/>
        <w:tabs>
          <w:tab w:leader="none" w:pos="1674" w:val="left"/>
        </w:tabs>
        <w:numPr>
          <w:ilvl w:val="0"/>
          <w:numId w:val="242"/>
        </w:numPr>
        <w:rPr>
          <w:rFonts w:ascii="Arial" w:cs="Arial" w:eastAsia="Arial" w:hAnsi="Arial"/>
          <w:sz w:val="15"/>
          <w:szCs w:val="15"/>
          <w:color w:val="auto"/>
        </w:rPr>
      </w:pPr>
      <w:r>
        <w:rPr>
          <w:rFonts w:ascii="Arial" w:cs="Arial" w:eastAsia="Arial" w:hAnsi="Arial"/>
          <w:sz w:val="15"/>
          <w:szCs w:val="15"/>
          <w:color w:val="auto"/>
        </w:rPr>
        <w:t>The holders of outstanding Preferred Stock shall be entitled to receive a dividend (determined on the basis of the number of shares of Common Stock into which such share of Preferred Stock is then convertible, disregarding, with respect to the Series E Preferred,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 xml:space="preserve">the special conversion ratios set forth in </w:t>
      </w:r>
      <w:r>
        <w:rPr>
          <w:rFonts w:ascii="Arial" w:cs="Arial" w:eastAsia="Arial" w:hAnsi="Arial"/>
          <w:sz w:val="15"/>
          <w:szCs w:val="15"/>
          <w:u w:val="single" w:color="auto"/>
          <w:color w:val="auto"/>
        </w:rPr>
        <w:t>Subsections 3.3(a)(i)(1)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3.3(b)(i)(2)</w:t>
      </w:r>
      <w:r>
        <w:rPr>
          <w:rFonts w:ascii="Arial" w:cs="Arial" w:eastAsia="Arial" w:hAnsi="Arial"/>
          <w:sz w:val="15"/>
          <w:szCs w:val="15"/>
          <w:color w:val="auto"/>
        </w:rPr>
        <w:t xml:space="preserve">) equal to any dividend paid on Common Stock, other than dividends comprised solely of shares of Common Stock. Any Accruing Dividends, whether or not declared, and any other declared but unpaid dividend shall be payable on liquidation and redemption in accordance with </w:t>
      </w:r>
      <w:r>
        <w:rPr>
          <w:rFonts w:ascii="Arial" w:cs="Arial" w:eastAsia="Arial" w:hAnsi="Arial"/>
          <w:sz w:val="15"/>
          <w:szCs w:val="15"/>
          <w:u w:val="single" w:color="auto"/>
          <w:color w:val="auto"/>
        </w:rPr>
        <w:t>Sections 3.2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3.4</w:t>
      </w:r>
      <w:r>
        <w:rPr>
          <w:rFonts w:ascii="Arial" w:cs="Arial" w:eastAsia="Arial" w:hAnsi="Arial"/>
          <w:sz w:val="15"/>
          <w:szCs w:val="15"/>
          <w:color w:val="auto"/>
        </w:rPr>
        <w:t xml:space="preserve">. Any declared but unpaid dividend, other than the Accruing Dividends (which for the avoidance of doubt shall be cancelled without payment on conversion), shall be payable on conversion in accordance with </w:t>
      </w:r>
      <w:r>
        <w:rPr>
          <w:rFonts w:ascii="Arial" w:cs="Arial" w:eastAsia="Arial" w:hAnsi="Arial"/>
          <w:sz w:val="15"/>
          <w:szCs w:val="15"/>
          <w:u w:val="single" w:color="auto"/>
          <w:color w:val="auto"/>
        </w:rPr>
        <w:t>Section 3.3</w:t>
      </w:r>
      <w:r>
        <w:rPr>
          <w:rFonts w:ascii="Arial" w:cs="Arial" w:eastAsia="Arial" w:hAnsi="Arial"/>
          <w:sz w:val="15"/>
          <w:szCs w:val="15"/>
          <w:color w:val="auto"/>
        </w:rPr>
        <w:t>.</w:t>
      </w:r>
    </w:p>
    <w:p>
      <w:pPr>
        <w:spacing w:after="0" w:line="156" w:lineRule="exact"/>
        <w:rPr>
          <w:sz w:val="20"/>
          <w:szCs w:val="20"/>
          <w:color w:val="auto"/>
        </w:rPr>
      </w:pPr>
    </w:p>
    <w:p>
      <w:pPr>
        <w:ind w:right="40" w:firstLine="556"/>
        <w:spacing w:after="0" w:line="289"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Covenants</w:t>
      </w:r>
      <w:r>
        <w:rPr>
          <w:rFonts w:ascii="Arial" w:cs="Arial" w:eastAsia="Arial" w:hAnsi="Arial"/>
          <w:sz w:val="15"/>
          <w:szCs w:val="15"/>
          <w:color w:val="auto"/>
        </w:rPr>
        <w:t xml:space="preserve">. In addition to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and any vote which any series of Senior Preferred Stock may have under Delaware law, so long as any shares of Senior Preferred Stock shall be outstanding, the Corporation shall not (by merger, reclassification or otherwise):</w:t>
      </w:r>
    </w:p>
    <w:p>
      <w:pPr>
        <w:spacing w:after="0" w:line="141" w:lineRule="exact"/>
        <w:rPr>
          <w:sz w:val="20"/>
          <w:szCs w:val="20"/>
          <w:color w:val="auto"/>
        </w:rPr>
      </w:pPr>
    </w:p>
    <w:p>
      <w:pPr>
        <w:ind w:right="120" w:firstLine="1104"/>
        <w:spacing w:after="0" w:line="289" w:lineRule="auto"/>
        <w:tabs>
          <w:tab w:leader="none" w:pos="1665" w:val="left"/>
        </w:tabs>
        <w:numPr>
          <w:ilvl w:val="0"/>
          <w:numId w:val="243"/>
        </w:numPr>
        <w:rPr>
          <w:rFonts w:ascii="Arial" w:cs="Arial" w:eastAsia="Arial" w:hAnsi="Arial"/>
          <w:sz w:val="15"/>
          <w:szCs w:val="15"/>
          <w:color w:val="auto"/>
        </w:rPr>
      </w:pPr>
      <w:r>
        <w:rPr>
          <w:rFonts w:ascii="Arial" w:cs="Arial" w:eastAsia="Arial" w:hAnsi="Arial"/>
          <w:sz w:val="15"/>
          <w:szCs w:val="15"/>
          <w:color w:val="auto"/>
        </w:rPr>
        <w:t>without first obtaining the affirmative vote or written consent of the holders of shares of Senior Preferred Stock representing at least sixty-six and two-thirds percent (66 2/3%) of the votes represented by all outstanding shares of Senior Preferred Stock voting together as a single class:</w:t>
      </w:r>
    </w:p>
    <w:p>
      <w:pPr>
        <w:spacing w:after="0" w:line="140" w:lineRule="exact"/>
        <w:rPr>
          <w:rFonts w:ascii="Arial" w:cs="Arial" w:eastAsia="Arial" w:hAnsi="Arial"/>
          <w:sz w:val="15"/>
          <w:szCs w:val="15"/>
          <w:color w:val="auto"/>
        </w:rPr>
      </w:pPr>
    </w:p>
    <w:p>
      <w:pPr>
        <w:ind w:right="200" w:firstLine="1660"/>
        <w:spacing w:after="0" w:line="289" w:lineRule="auto"/>
        <w:tabs>
          <w:tab w:leader="none" w:pos="2242" w:val="left"/>
        </w:tabs>
        <w:numPr>
          <w:ilvl w:val="1"/>
          <w:numId w:val="243"/>
        </w:numPr>
        <w:rPr>
          <w:rFonts w:ascii="Arial" w:cs="Arial" w:eastAsia="Arial" w:hAnsi="Arial"/>
          <w:sz w:val="15"/>
          <w:szCs w:val="15"/>
          <w:color w:val="auto"/>
        </w:rPr>
      </w:pPr>
      <w:r>
        <w:rPr>
          <w:rFonts w:ascii="Arial" w:cs="Arial" w:eastAsia="Arial" w:hAnsi="Arial"/>
          <w:sz w:val="15"/>
          <w:szCs w:val="15"/>
          <w:color w:val="auto"/>
        </w:rPr>
        <w:t>authorize any sale, merger or consolidation of the Corporation or any subsidiary of the Corporation to, with or into any other corporation or entity (including, without limitation, a subsidiary of the Corporation);</w:t>
      </w:r>
    </w:p>
    <w:p>
      <w:pPr>
        <w:spacing w:after="0" w:line="140" w:lineRule="exact"/>
        <w:rPr>
          <w:rFonts w:ascii="Arial" w:cs="Arial" w:eastAsia="Arial" w:hAnsi="Arial"/>
          <w:sz w:val="15"/>
          <w:szCs w:val="15"/>
          <w:color w:val="auto"/>
        </w:rPr>
      </w:pPr>
    </w:p>
    <w:p>
      <w:pPr>
        <w:ind w:left="2240" w:hanging="580"/>
        <w:spacing w:after="0"/>
        <w:tabs>
          <w:tab w:leader="none" w:pos="2240" w:val="left"/>
        </w:tabs>
        <w:numPr>
          <w:ilvl w:val="1"/>
          <w:numId w:val="243"/>
        </w:numPr>
        <w:rPr>
          <w:rFonts w:ascii="Arial" w:cs="Arial" w:eastAsia="Arial" w:hAnsi="Arial"/>
          <w:sz w:val="15"/>
          <w:szCs w:val="15"/>
          <w:color w:val="auto"/>
        </w:rPr>
      </w:pPr>
      <w:r>
        <w:rPr>
          <w:rFonts w:ascii="Arial" w:cs="Arial" w:eastAsia="Arial" w:hAnsi="Arial"/>
          <w:sz w:val="15"/>
          <w:szCs w:val="15"/>
          <w:color w:val="auto"/>
        </w:rPr>
        <w:t>effect any reincorporation or recapitalization of the Corporation or any subsidiary of the Corporation;</w:t>
      </w:r>
    </w:p>
    <w:p>
      <w:pPr>
        <w:spacing w:after="0" w:line="198" w:lineRule="exact"/>
        <w:rPr>
          <w:rFonts w:ascii="Arial" w:cs="Arial" w:eastAsia="Arial" w:hAnsi="Arial"/>
          <w:sz w:val="15"/>
          <w:szCs w:val="15"/>
          <w:color w:val="auto"/>
        </w:rPr>
      </w:pPr>
    </w:p>
    <w:p>
      <w:pPr>
        <w:ind w:right="540" w:firstLine="1660"/>
        <w:spacing w:after="0" w:line="289" w:lineRule="auto"/>
        <w:tabs>
          <w:tab w:leader="none" w:pos="2258" w:val="left"/>
        </w:tabs>
        <w:numPr>
          <w:ilvl w:val="1"/>
          <w:numId w:val="243"/>
        </w:numPr>
        <w:rPr>
          <w:rFonts w:ascii="Arial" w:cs="Arial" w:eastAsia="Arial" w:hAnsi="Arial"/>
          <w:sz w:val="15"/>
          <w:szCs w:val="15"/>
          <w:color w:val="auto"/>
        </w:rPr>
      </w:pPr>
      <w:r>
        <w:rPr>
          <w:rFonts w:ascii="Arial" w:cs="Arial" w:eastAsia="Arial" w:hAnsi="Arial"/>
          <w:sz w:val="15"/>
          <w:szCs w:val="15"/>
          <w:color w:val="auto"/>
        </w:rPr>
        <w:t>effect any acquisition of all of the capital stock, or all or substantially all of the assets, of another entity where such acquisition results in the consolidation, for financial reporting purposes, of that entity into the results of operations of the Corporation;</w:t>
      </w:r>
    </w:p>
    <w:p>
      <w:pPr>
        <w:spacing w:after="0" w:line="140" w:lineRule="exact"/>
        <w:rPr>
          <w:rFonts w:ascii="Arial" w:cs="Arial" w:eastAsia="Arial" w:hAnsi="Arial"/>
          <w:sz w:val="15"/>
          <w:szCs w:val="15"/>
          <w:color w:val="auto"/>
        </w:rPr>
      </w:pPr>
    </w:p>
    <w:p>
      <w:pPr>
        <w:ind w:right="260" w:firstLine="1660"/>
        <w:spacing w:after="0" w:line="289" w:lineRule="auto"/>
        <w:tabs>
          <w:tab w:leader="none" w:pos="2238" w:val="left"/>
        </w:tabs>
        <w:numPr>
          <w:ilvl w:val="1"/>
          <w:numId w:val="243"/>
        </w:numPr>
        <w:rPr>
          <w:rFonts w:ascii="Arial" w:cs="Arial" w:eastAsia="Arial" w:hAnsi="Arial"/>
          <w:sz w:val="15"/>
          <w:szCs w:val="15"/>
          <w:color w:val="auto"/>
        </w:rPr>
      </w:pPr>
      <w:r>
        <w:rPr>
          <w:rFonts w:ascii="Arial" w:cs="Arial" w:eastAsia="Arial" w:hAnsi="Arial"/>
          <w:sz w:val="15"/>
          <w:szCs w:val="15"/>
          <w:color w:val="auto"/>
        </w:rPr>
        <w:t>authorize the sale or transfer of all or substantially all or any substantial part of the assets of the Corporation or any subsidiary of the Corporation other than in the course of ordinary business;</w:t>
      </w:r>
    </w:p>
    <w:p>
      <w:pPr>
        <w:spacing w:after="0" w:line="140" w:lineRule="exact"/>
        <w:rPr>
          <w:rFonts w:ascii="Arial" w:cs="Arial" w:eastAsia="Arial" w:hAnsi="Arial"/>
          <w:sz w:val="15"/>
          <w:szCs w:val="15"/>
          <w:color w:val="auto"/>
        </w:rPr>
      </w:pPr>
    </w:p>
    <w:p>
      <w:pPr>
        <w:ind w:left="2220" w:hanging="560"/>
        <w:spacing w:after="0"/>
        <w:tabs>
          <w:tab w:leader="none" w:pos="2220" w:val="left"/>
        </w:tabs>
        <w:numPr>
          <w:ilvl w:val="1"/>
          <w:numId w:val="243"/>
        </w:numPr>
        <w:rPr>
          <w:rFonts w:ascii="Arial" w:cs="Arial" w:eastAsia="Arial" w:hAnsi="Arial"/>
          <w:sz w:val="15"/>
          <w:szCs w:val="15"/>
          <w:color w:val="auto"/>
        </w:rPr>
      </w:pPr>
      <w:r>
        <w:rPr>
          <w:rFonts w:ascii="Arial" w:cs="Arial" w:eastAsia="Arial" w:hAnsi="Arial"/>
          <w:sz w:val="15"/>
          <w:szCs w:val="15"/>
          <w:color w:val="auto"/>
        </w:rPr>
        <w:t>effect any liquidation, dissolution or winding up of the affairs of the Corporation or any subsidiary of the Corporation;</w:t>
      </w:r>
    </w:p>
    <w:p>
      <w:pPr>
        <w:spacing w:after="0" w:line="198" w:lineRule="exact"/>
        <w:rPr>
          <w:rFonts w:ascii="Arial" w:cs="Arial" w:eastAsia="Arial" w:hAnsi="Arial"/>
          <w:sz w:val="15"/>
          <w:szCs w:val="15"/>
          <w:color w:val="auto"/>
        </w:rPr>
      </w:pPr>
    </w:p>
    <w:p>
      <w:pPr>
        <w:ind w:right="100" w:firstLine="1660"/>
        <w:spacing w:after="0" w:line="268" w:lineRule="auto"/>
        <w:tabs>
          <w:tab w:leader="none" w:pos="2238" w:val="left"/>
        </w:tabs>
        <w:numPr>
          <w:ilvl w:val="1"/>
          <w:numId w:val="243"/>
        </w:numPr>
        <w:rPr>
          <w:rFonts w:ascii="Arial" w:cs="Arial" w:eastAsia="Arial" w:hAnsi="Arial"/>
          <w:sz w:val="15"/>
          <w:szCs w:val="15"/>
          <w:color w:val="auto"/>
        </w:rPr>
      </w:pPr>
      <w:r>
        <w:rPr>
          <w:rFonts w:ascii="Arial" w:cs="Arial" w:eastAsia="Arial" w:hAnsi="Arial"/>
          <w:sz w:val="15"/>
          <w:szCs w:val="15"/>
          <w:color w:val="auto"/>
        </w:rPr>
        <w:t xml:space="preserve">pay or declare any dividend or distribution on any shares of the Corporation’s capital stock (except Accruing Dividends or dividends payable solely in shares of Common Stock), or apply any of the Corporation’s assets to the redemption or repurchase of the Corporation’s capital stock (except for redemption of Preferred Stock as provided in </w:t>
      </w:r>
      <w:r>
        <w:rPr>
          <w:rFonts w:ascii="Arial" w:cs="Arial" w:eastAsia="Arial" w:hAnsi="Arial"/>
          <w:sz w:val="15"/>
          <w:szCs w:val="15"/>
          <w:u w:val="single" w:color="auto"/>
          <w:color w:val="auto"/>
        </w:rPr>
        <w:t>Sections 3.4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or the repurchase of securities from employees or consultants of the Corporation pursuant to restricted stock arrangements with individuals who have terminated their relationship with the Corporation);</w:t>
      </w:r>
    </w:p>
    <w:p>
      <w:pPr>
        <w:spacing w:after="0" w:line="156" w:lineRule="exact"/>
        <w:rPr>
          <w:rFonts w:ascii="Arial" w:cs="Arial" w:eastAsia="Arial" w:hAnsi="Arial"/>
          <w:sz w:val="15"/>
          <w:szCs w:val="15"/>
          <w:color w:val="auto"/>
        </w:rPr>
      </w:pPr>
    </w:p>
    <w:p>
      <w:pPr>
        <w:ind w:left="2240" w:hanging="580"/>
        <w:spacing w:after="0"/>
        <w:tabs>
          <w:tab w:leader="none" w:pos="2240" w:val="left"/>
        </w:tabs>
        <w:numPr>
          <w:ilvl w:val="1"/>
          <w:numId w:val="243"/>
        </w:numPr>
        <w:rPr>
          <w:rFonts w:ascii="Arial" w:cs="Arial" w:eastAsia="Arial" w:hAnsi="Arial"/>
          <w:sz w:val="15"/>
          <w:szCs w:val="15"/>
          <w:color w:val="auto"/>
        </w:rPr>
      </w:pPr>
      <w:r>
        <w:rPr>
          <w:rFonts w:ascii="Arial" w:cs="Arial" w:eastAsia="Arial" w:hAnsi="Arial"/>
          <w:sz w:val="15"/>
          <w:szCs w:val="15"/>
          <w:color w:val="auto"/>
        </w:rPr>
        <w:t>increase or decrease the authorized number of directors constituting the Board of Directors;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40" w:hanging="580"/>
        <w:spacing w:after="0"/>
        <w:tabs>
          <w:tab w:leader="none" w:pos="2240" w:val="left"/>
        </w:tabs>
        <w:numPr>
          <w:ilvl w:val="1"/>
          <w:numId w:val="244"/>
        </w:numPr>
        <w:rPr>
          <w:rFonts w:ascii="Arial" w:cs="Arial" w:eastAsia="Arial" w:hAnsi="Arial"/>
          <w:sz w:val="15"/>
          <w:szCs w:val="15"/>
          <w:color w:val="auto"/>
        </w:rPr>
      </w:pPr>
      <w:r>
        <w:rPr>
          <w:rFonts w:ascii="Arial" w:cs="Arial" w:eastAsia="Arial" w:hAnsi="Arial"/>
          <w:sz w:val="15"/>
          <w:szCs w:val="15"/>
          <w:color w:val="auto"/>
        </w:rPr>
        <w:t>increase or decrease the authorized number of shares of Preferred Stock or Common Stock;</w:t>
      </w:r>
    </w:p>
    <w:p>
      <w:pPr>
        <w:spacing w:after="0" w:line="198" w:lineRule="exact"/>
        <w:rPr>
          <w:rFonts w:ascii="Arial" w:cs="Arial" w:eastAsia="Arial" w:hAnsi="Arial"/>
          <w:sz w:val="15"/>
          <w:szCs w:val="15"/>
          <w:color w:val="auto"/>
        </w:rPr>
      </w:pPr>
    </w:p>
    <w:p>
      <w:pPr>
        <w:ind w:left="2240" w:hanging="580"/>
        <w:spacing w:after="0"/>
        <w:tabs>
          <w:tab w:leader="none" w:pos="2240" w:val="left"/>
        </w:tabs>
        <w:numPr>
          <w:ilvl w:val="1"/>
          <w:numId w:val="244"/>
        </w:numPr>
        <w:rPr>
          <w:rFonts w:ascii="Arial" w:cs="Arial" w:eastAsia="Arial" w:hAnsi="Arial"/>
          <w:sz w:val="14"/>
          <w:szCs w:val="14"/>
          <w:color w:val="auto"/>
        </w:rPr>
      </w:pPr>
      <w:r>
        <w:rPr>
          <w:rFonts w:ascii="Arial" w:cs="Arial" w:eastAsia="Arial" w:hAnsi="Arial"/>
          <w:sz w:val="14"/>
          <w:szCs w:val="14"/>
          <w:color w:val="auto"/>
        </w:rPr>
        <w:t>authorize, create or issue shares of any class or series of stock on parity or having preference over any series of the Senior Preferred Stock; or</w:t>
      </w:r>
    </w:p>
    <w:p>
      <w:pPr>
        <w:spacing w:after="0" w:line="209" w:lineRule="exact"/>
        <w:rPr>
          <w:rFonts w:ascii="Arial" w:cs="Arial" w:eastAsia="Arial" w:hAnsi="Arial"/>
          <w:sz w:val="14"/>
          <w:szCs w:val="14"/>
          <w:color w:val="auto"/>
        </w:rPr>
      </w:pPr>
    </w:p>
    <w:p>
      <w:pPr>
        <w:ind w:left="2220" w:hanging="560"/>
        <w:spacing w:after="0"/>
        <w:tabs>
          <w:tab w:leader="none" w:pos="2220" w:val="left"/>
        </w:tabs>
        <w:numPr>
          <w:ilvl w:val="1"/>
          <w:numId w:val="244"/>
        </w:numPr>
        <w:rPr>
          <w:rFonts w:ascii="Arial" w:cs="Arial" w:eastAsia="Arial" w:hAnsi="Arial"/>
          <w:sz w:val="15"/>
          <w:szCs w:val="15"/>
          <w:color w:val="auto"/>
        </w:rPr>
      </w:pPr>
      <w:r>
        <w:rPr>
          <w:rFonts w:ascii="Arial" w:cs="Arial" w:eastAsia="Arial" w:hAnsi="Arial"/>
          <w:sz w:val="15"/>
          <w:szCs w:val="15"/>
          <w:color w:val="auto"/>
        </w:rPr>
        <w:t>amend or repeal any provision of, or add any provision to, the Corporation’s Certificate of Incorporation or Bylaws.</w:t>
      </w:r>
    </w:p>
    <w:p>
      <w:pPr>
        <w:spacing w:after="0" w:line="198" w:lineRule="exact"/>
        <w:rPr>
          <w:rFonts w:ascii="Arial" w:cs="Arial" w:eastAsia="Arial" w:hAnsi="Arial"/>
          <w:sz w:val="15"/>
          <w:szCs w:val="15"/>
          <w:color w:val="auto"/>
        </w:rPr>
      </w:pPr>
    </w:p>
    <w:p>
      <w:pPr>
        <w:ind w:right="20" w:firstLine="1104"/>
        <w:spacing w:after="0" w:line="265" w:lineRule="auto"/>
        <w:tabs>
          <w:tab w:leader="none" w:pos="1674" w:val="left"/>
        </w:tabs>
        <w:numPr>
          <w:ilvl w:val="0"/>
          <w:numId w:val="245"/>
        </w:numPr>
        <w:rPr>
          <w:rFonts w:ascii="Arial" w:cs="Arial" w:eastAsia="Arial" w:hAnsi="Arial"/>
          <w:sz w:val="15"/>
          <w:szCs w:val="15"/>
          <w:color w:val="auto"/>
        </w:rPr>
      </w:pPr>
      <w:r>
        <w:rPr>
          <w:rFonts w:ascii="Arial" w:cs="Arial" w:eastAsia="Arial" w:hAnsi="Arial"/>
          <w:sz w:val="15"/>
          <w:szCs w:val="15"/>
          <w:color w:val="auto"/>
        </w:rPr>
        <w:t>without first obtaining the affirmative vote or written consent of the holders of shares of Series A Preferred representing at least sixty-six and two-thirds percent (66 2/3%) of the votes represented by all outstanding shares of Series A Preferred (so long as any shares of Series A Preferred are outstanding) amend or repeal any provision of, or add any provision to, the Corporation’s Certificate of Incorporation or Bylaws or the certificate of incorporation or bylaws of any subsidiary of the Corporation if such action would change the preferences, rights, privileges or powers of, or the restrictions provided for the benefit of, the Series A Preferred in a manner that adversely affects the Series A Preferred in a manner different from any other series of Tier II Preferred Stock;</w:t>
      </w:r>
    </w:p>
    <w:p>
      <w:pPr>
        <w:spacing w:after="0" w:line="159" w:lineRule="exact"/>
        <w:rPr>
          <w:rFonts w:ascii="Arial" w:cs="Arial" w:eastAsia="Arial" w:hAnsi="Arial"/>
          <w:sz w:val="15"/>
          <w:szCs w:val="15"/>
          <w:color w:val="auto"/>
        </w:rPr>
      </w:pPr>
    </w:p>
    <w:p>
      <w:pPr>
        <w:ind w:right="40" w:firstLine="1104"/>
        <w:spacing w:after="0" w:line="265" w:lineRule="auto"/>
        <w:tabs>
          <w:tab w:leader="none" w:pos="1677" w:val="left"/>
        </w:tabs>
        <w:numPr>
          <w:ilvl w:val="0"/>
          <w:numId w:val="245"/>
        </w:numPr>
        <w:rPr>
          <w:rFonts w:ascii="Arial" w:cs="Arial" w:eastAsia="Arial" w:hAnsi="Arial"/>
          <w:sz w:val="15"/>
          <w:szCs w:val="15"/>
          <w:color w:val="auto"/>
        </w:rPr>
      </w:pPr>
      <w:r>
        <w:rPr>
          <w:rFonts w:ascii="Arial" w:cs="Arial" w:eastAsia="Arial" w:hAnsi="Arial"/>
          <w:sz w:val="15"/>
          <w:szCs w:val="15"/>
          <w:color w:val="auto"/>
        </w:rPr>
        <w:t>without first obtaining the affirmative vote or written consent of the holders of shares of the Series B Preferred representing at least eighty percent (80%) of the votes represented by all outstanding shares of Series B Preferred (so long as any shares of Series B Preferred are outstanding) amend or repeal any provision of, or add any provision to, the Corporation’s Certificate of Incorporation or Bylaws or the certificate of incorporation or bylaws of any subsidiary of the Corporation if such action would change the preferences, rights, privileges or powers of, or the restrictions provided for the benefit of, the Series B Preferred in a manner that adversely affects the Series B Preferred in a manner different from any other series of Tier II Preferred Stock;</w:t>
      </w:r>
    </w:p>
    <w:p>
      <w:pPr>
        <w:spacing w:after="0" w:line="159" w:lineRule="exact"/>
        <w:rPr>
          <w:rFonts w:ascii="Arial" w:cs="Arial" w:eastAsia="Arial" w:hAnsi="Arial"/>
          <w:sz w:val="15"/>
          <w:szCs w:val="15"/>
          <w:color w:val="auto"/>
        </w:rPr>
      </w:pPr>
    </w:p>
    <w:p>
      <w:pPr>
        <w:ind w:right="40" w:firstLine="1104"/>
        <w:spacing w:after="0" w:line="265" w:lineRule="auto"/>
        <w:tabs>
          <w:tab w:leader="none" w:pos="1674" w:val="left"/>
        </w:tabs>
        <w:numPr>
          <w:ilvl w:val="0"/>
          <w:numId w:val="245"/>
        </w:numPr>
        <w:rPr>
          <w:rFonts w:ascii="Arial" w:cs="Arial" w:eastAsia="Arial" w:hAnsi="Arial"/>
          <w:sz w:val="15"/>
          <w:szCs w:val="15"/>
          <w:color w:val="auto"/>
        </w:rPr>
      </w:pPr>
      <w:r>
        <w:rPr>
          <w:rFonts w:ascii="Arial" w:cs="Arial" w:eastAsia="Arial" w:hAnsi="Arial"/>
          <w:sz w:val="15"/>
          <w:szCs w:val="15"/>
          <w:color w:val="auto"/>
        </w:rPr>
        <w:t>without first obtaining the affirmative vote or written consent of the holders shares of Series C Preferred representing at least seventy-five percent (75%) of the votes represented by all outstanding shares of Series C Preferred (so long as any shares of Series C Preferred are outstanding) amend or repeal any provision of, or add any provision to, the Corporation’s Certificate of Incorporation or Bylaws or the certificate of incorporation or bylaws of any subsidiary of the Corporation if such action would change the preferences, rights, privileges or powers of, or the restrictions provided for the benefit of, the Series C Preferred in a manner that adversely affects the Series C Preferred in a manner different from any other series of Tier II Preferred Stock;</w:t>
      </w:r>
    </w:p>
    <w:p>
      <w:pPr>
        <w:spacing w:after="0" w:line="159" w:lineRule="exact"/>
        <w:rPr>
          <w:rFonts w:ascii="Arial" w:cs="Arial" w:eastAsia="Arial" w:hAnsi="Arial"/>
          <w:sz w:val="15"/>
          <w:szCs w:val="15"/>
          <w:color w:val="auto"/>
        </w:rPr>
      </w:pPr>
    </w:p>
    <w:p>
      <w:pPr>
        <w:ind w:right="20" w:firstLine="1104"/>
        <w:spacing w:after="0" w:line="293" w:lineRule="auto"/>
        <w:tabs>
          <w:tab w:leader="none" w:pos="1677" w:val="left"/>
        </w:tabs>
        <w:numPr>
          <w:ilvl w:val="0"/>
          <w:numId w:val="245"/>
        </w:numPr>
        <w:rPr>
          <w:rFonts w:ascii="Arial" w:cs="Arial" w:eastAsia="Arial" w:hAnsi="Arial"/>
          <w:sz w:val="14"/>
          <w:szCs w:val="14"/>
          <w:color w:val="auto"/>
        </w:rPr>
      </w:pPr>
      <w:r>
        <w:rPr>
          <w:rFonts w:ascii="Arial" w:cs="Arial" w:eastAsia="Arial" w:hAnsi="Arial"/>
          <w:sz w:val="14"/>
          <w:szCs w:val="14"/>
          <w:color w:val="auto"/>
        </w:rPr>
        <w:t>without first obtaining the affirmative vote or written consent of the holders of shares of Series D Preferred representing at least sixty-six and two-thirds percent (66 2/3%) of the votes represented by all outstanding shares of Series D Preferred (so long as any shares of Series D Preferred are outstanding, amend or repeal any provision of, or add any provision to, the Corporation’s Certificate of Incorporation or Bylaws if such action would change the preferences, rights, privileges or powers of, or the restrictions provided for the benefit of, the Series D Preferred in a manner that adversely affects the Series D Preferred in a manner different from any other series of Tier II Preferred Stock; or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1104"/>
        <w:spacing w:after="0" w:line="268" w:lineRule="auto"/>
        <w:tabs>
          <w:tab w:leader="none" w:pos="1671" w:val="left"/>
        </w:tabs>
        <w:numPr>
          <w:ilvl w:val="0"/>
          <w:numId w:val="246"/>
        </w:numPr>
        <w:rPr>
          <w:rFonts w:ascii="Arial" w:cs="Arial" w:eastAsia="Arial" w:hAnsi="Arial"/>
          <w:sz w:val="15"/>
          <w:szCs w:val="15"/>
          <w:color w:val="auto"/>
        </w:rPr>
      </w:pPr>
      <w:r>
        <w:rPr>
          <w:rFonts w:ascii="Arial" w:cs="Arial" w:eastAsia="Arial" w:hAnsi="Arial"/>
          <w:sz w:val="15"/>
          <w:szCs w:val="15"/>
          <w:color w:val="auto"/>
        </w:rPr>
        <w:t>without first obtaining the affirmative vote or written consent of the holders of shares of Series E Preferred representing a majority of the votes represented by all outstanding shares of Series E Preferred (so long as any shares of Series E Preferred are outstanding, amend or repeal any provision of, or add any provision to, the Corporation’s Certificate of Incorporation or Bylaws if such action would change the preferences, rights, privileges or powers of, or the restrictions provided for the benefit of, the Series E Preferred in a manner that adversely affects the Series E Preferred in a manner different from the Tier II Preferred Stock.</w:t>
      </w:r>
    </w:p>
    <w:p>
      <w:pPr>
        <w:spacing w:after="0" w:line="156" w:lineRule="exact"/>
        <w:rPr>
          <w:rFonts w:ascii="Arial" w:cs="Arial" w:eastAsia="Arial" w:hAnsi="Arial"/>
          <w:sz w:val="15"/>
          <w:szCs w:val="15"/>
          <w:color w:val="auto"/>
        </w:rPr>
      </w:pPr>
    </w:p>
    <w:p>
      <w:pPr>
        <w:ind w:right="40" w:firstLine="1104"/>
        <w:spacing w:after="0" w:line="265" w:lineRule="auto"/>
        <w:tabs>
          <w:tab w:leader="none" w:pos="1686" w:val="left"/>
        </w:tabs>
        <w:numPr>
          <w:ilvl w:val="0"/>
          <w:numId w:val="246"/>
        </w:numPr>
        <w:rPr>
          <w:rFonts w:ascii="Arial" w:cs="Arial" w:eastAsia="Arial" w:hAnsi="Arial"/>
          <w:sz w:val="15"/>
          <w:szCs w:val="15"/>
          <w:color w:val="auto"/>
        </w:rPr>
      </w:pPr>
      <w:r>
        <w:rPr>
          <w:rFonts w:ascii="Arial" w:cs="Arial" w:eastAsia="Arial" w:hAnsi="Arial"/>
          <w:sz w:val="15"/>
          <w:szCs w:val="15"/>
          <w:color w:val="auto"/>
        </w:rPr>
        <w:t>For the avoidance of doubt, it is agreed that the neither authorization or issuance of a new series of Preferred Stock by the Corporation nor the amendment of the Corporation’s Certificate of Incorporation to include such new series of Preferred Stock in any definition relating to the Corporation’s Preferred Stock (including, without limitation, the definitions of Tier II Preferred Stock and/or Senior Preferred Stock) shall, on its own, be deemed to be a change in the preferences, rights, privileges, or powers of, or the restrictions provided for the benefit of the Series A Preferred, Series B Preferred, Series C Preferred, Series D Preferred or Series E Preferred, or to otherwise require a separate vote of any such series of Preferred Stock under Sections 3.8(b), (c), (d), (e) or (f).</w:t>
      </w:r>
    </w:p>
    <w:p>
      <w:pPr>
        <w:sectPr>
          <w:pgSz w:w="11900" w:h="16838" w:orient="portrait"/>
          <w:cols w:equalWidth="0" w:num="1">
            <w:col w:w="11440"/>
          </w:cols>
          <w:pgMar w:left="240" w:top="314" w:right="219" w:bottom="9" w:gutter="0" w:footer="0" w:header="0"/>
        </w:sectPr>
      </w:pPr>
    </w:p>
    <w:bookmarkStart w:id="317" w:name="page318"/>
    <w:bookmarkEnd w:id="317"/>
    <w:p>
      <w:pPr>
        <w:ind w:right="80" w:firstLine="556"/>
        <w:spacing w:after="0" w:line="289"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Converted, Redeemed or Otherwise Acquired Shares</w:t>
      </w:r>
      <w:r>
        <w:rPr>
          <w:rFonts w:ascii="Arial" w:cs="Arial" w:eastAsia="Arial" w:hAnsi="Arial"/>
          <w:sz w:val="15"/>
          <w:szCs w:val="15"/>
          <w:color w:val="auto"/>
        </w:rPr>
        <w:t xml:space="preserve">. Any share of Preferred Stock that is converted under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redeemed under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or otherwise acquired by the Corporation will be canceled and shall not be reissued, sold or transferred.</w:t>
      </w:r>
    </w:p>
    <w:p>
      <w:pPr>
        <w:spacing w:after="0" w:line="141"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3.10</w:t>
      </w:r>
      <w:r>
        <w:rPr>
          <w:sz w:val="20"/>
          <w:szCs w:val="20"/>
          <w:color w:val="auto"/>
        </w:rPr>
        <w:tab/>
      </w:r>
      <w:r>
        <w:rPr>
          <w:rFonts w:ascii="Arial" w:cs="Arial" w:eastAsia="Arial" w:hAnsi="Arial"/>
          <w:sz w:val="14"/>
          <w:szCs w:val="14"/>
          <w:u w:val="single" w:color="auto"/>
          <w:color w:val="auto"/>
        </w:rPr>
        <w:t>Residual Rights</w:t>
      </w:r>
      <w:r>
        <w:rPr>
          <w:rFonts w:ascii="Arial" w:cs="Arial" w:eastAsia="Arial" w:hAnsi="Arial"/>
          <w:sz w:val="14"/>
          <w:szCs w:val="14"/>
          <w:color w:val="auto"/>
        </w:rPr>
        <w:t>. All rights accruing to the outstanding shares of the Corporation not expressly provided for to the contrary shall be vested in the Common Stock.</w:t>
      </w:r>
    </w:p>
    <w:p>
      <w:pPr>
        <w:spacing w:after="0" w:line="198" w:lineRule="exact"/>
        <w:rPr>
          <w:sz w:val="20"/>
          <w:szCs w:val="20"/>
          <w:color w:val="auto"/>
        </w:rPr>
      </w:pPr>
    </w:p>
    <w:p>
      <w:pPr>
        <w:ind w:firstLine="556"/>
        <w:spacing w:after="0" w:line="289"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Notices to Holders of Series SRN Preferred</w:t>
      </w:r>
      <w:r>
        <w:rPr>
          <w:rFonts w:ascii="Arial" w:cs="Arial" w:eastAsia="Arial" w:hAnsi="Arial"/>
          <w:sz w:val="15"/>
          <w:szCs w:val="15"/>
          <w:color w:val="auto"/>
        </w:rPr>
        <w:t>. Notwithstanding anything to the contrary herein, each notice to holders of Series SRN Preferred to be provided hereunder shall be deemed effectively provided at the time any member of the Board of Directors designated by such holder shall receive such notice.</w:t>
      </w:r>
    </w:p>
    <w:p>
      <w:pPr>
        <w:spacing w:after="0" w:line="141" w:lineRule="exact"/>
        <w:rPr>
          <w:sz w:val="20"/>
          <w:szCs w:val="20"/>
          <w:color w:val="auto"/>
        </w:rPr>
      </w:pPr>
    </w:p>
    <w:p>
      <w:pPr>
        <w:ind w:right="20" w:firstLine="556"/>
        <w:spacing w:after="0" w:line="283" w:lineRule="auto"/>
        <w:rPr>
          <w:sz w:val="20"/>
          <w:szCs w:val="20"/>
          <w:color w:val="auto"/>
        </w:rPr>
      </w:pPr>
      <w:r>
        <w:rPr>
          <w:rFonts w:ascii="Arial" w:cs="Arial" w:eastAsia="Arial" w:hAnsi="Arial"/>
          <w:sz w:val="14"/>
          <w:szCs w:val="14"/>
          <w:color w:val="auto"/>
        </w:rPr>
        <w:t>FIFTH: 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§291 of Title 8 of the Delaware Code or on the application of trustees in dissolution or of any receiver or receivers appointed for the Corporation under the provisions of §279 of Title 8 of the Delaware Code order a meeting of the creditors or class of creditors, and/or of the stockholders or class of stockholders of the Corporation, as the case may be, to be summoned in such manner as the said court directs. If a majority in number representing three-fourths (3/4)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all the stockholders or class of stockholders, of the Corporation, as the case may be, and also on the Corporation.</w:t>
      </w:r>
    </w:p>
    <w:p>
      <w:pPr>
        <w:spacing w:after="0" w:line="198" w:lineRule="exact"/>
        <w:rPr>
          <w:sz w:val="20"/>
          <w:szCs w:val="20"/>
          <w:color w:val="auto"/>
        </w:rPr>
      </w:pPr>
    </w:p>
    <w:p>
      <w:pPr>
        <w:ind w:right="40" w:firstLine="556"/>
        <w:spacing w:after="0" w:line="265" w:lineRule="auto"/>
        <w:rPr>
          <w:sz w:val="20"/>
          <w:szCs w:val="20"/>
          <w:color w:val="auto"/>
        </w:rPr>
      </w:pPr>
      <w:r>
        <w:rPr>
          <w:rFonts w:ascii="Arial" w:cs="Arial" w:eastAsia="Arial" w:hAnsi="Arial"/>
          <w:sz w:val="15"/>
          <w:szCs w:val="15"/>
          <w:color w:val="auto"/>
        </w:rPr>
        <w:t>SIXTH: A director of this Corporation shall not be personally liable to the Corporation or its stockholders for monetary damages for the breach of any fiduciary duty as a director, except in the case of (a) any breach of the director’s duty of loyalty to the Corporation or its stockholders, (b) acts or omissions not in good faith or that involve intentional misconduct or a knowing violation of law, (c) under section 174 of the General Corporation Law or (d) for any transaction from which the director derives an improper personal benefit. Any repeal or modification of this Article by the stockholders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160" w:lineRule="exact"/>
        <w:rPr>
          <w:sz w:val="20"/>
          <w:szCs w:val="20"/>
          <w:color w:val="auto"/>
        </w:rPr>
      </w:pPr>
    </w:p>
    <w:p>
      <w:pPr>
        <w:ind w:firstLine="556"/>
        <w:spacing w:after="0" w:line="284" w:lineRule="auto"/>
        <w:rPr>
          <w:sz w:val="20"/>
          <w:szCs w:val="20"/>
          <w:color w:val="auto"/>
        </w:rPr>
      </w:pPr>
      <w:r>
        <w:rPr>
          <w:rFonts w:ascii="Arial" w:cs="Arial" w:eastAsia="Arial" w:hAnsi="Arial"/>
          <w:sz w:val="14"/>
          <w:szCs w:val="14"/>
          <w:color w:val="auto"/>
        </w:rPr>
        <w:t>SEVENTH: The Corporation shall, to the fullest extent permitted by Section 145 of the General Corporation Law, as amended from time to time, indemnify each person who was or is a party or is threatened to be made a party to any threatened, pending or completed action, suit or proceeding, whether civil, criminal, administrative or investigative, by reason of the fact that he or she is or was, or has agreed to become, a director or officer of the Corporation, or is or was serving, or has agreed to serve, at the request of the Corporation, as a director, general director, officer, partner, employee or trustee of, or in a similar capacity with, another corporation, limited liability company, partnership, joint venture, trust or other enterprise (including without limitation any employee benefit plan) (all such persons being referred to hereafter as an “</w:t>
      </w:r>
      <w:r>
        <w:rPr>
          <w:rFonts w:ascii="Arial" w:cs="Arial" w:eastAsia="Arial" w:hAnsi="Arial"/>
          <w:sz w:val="14"/>
          <w:szCs w:val="14"/>
          <w:u w:val="single" w:color="auto"/>
          <w:color w:val="auto"/>
        </w:rPr>
        <w:t>Indemnitee</w:t>
      </w:r>
      <w:r>
        <w:rPr>
          <w:rFonts w:ascii="Arial" w:cs="Arial" w:eastAsia="Arial" w:hAnsi="Arial"/>
          <w:sz w:val="14"/>
          <w:szCs w:val="14"/>
          <w:color w:val="auto"/>
        </w:rPr>
        <w:t>”), or by reason of any action alleged to have been taken or omitted in such capacity, against all expenses (including without limitation attorneys’ fees), judgments, fines and amounts paid in settlement actually and reasonably incurred by or on behalf of an Indemnitee in connection with such action, suit or proceeding and any appeal therefrom.</w:t>
      </w:r>
    </w:p>
    <w:p>
      <w:pPr>
        <w:spacing w:after="0" w:line="149" w:lineRule="exact"/>
        <w:rPr>
          <w:sz w:val="20"/>
          <w:szCs w:val="20"/>
          <w:color w:val="auto"/>
        </w:rPr>
      </w:pPr>
    </w:p>
    <w:p>
      <w:pPr>
        <w:ind w:right="160" w:firstLine="556"/>
        <w:spacing w:after="0" w:line="268" w:lineRule="auto"/>
        <w:rPr>
          <w:sz w:val="20"/>
          <w:szCs w:val="20"/>
          <w:color w:val="auto"/>
        </w:rPr>
      </w:pPr>
      <w:r>
        <w:rPr>
          <w:rFonts w:ascii="Arial" w:cs="Arial" w:eastAsia="Arial" w:hAnsi="Arial"/>
          <w:sz w:val="15"/>
          <w:szCs w:val="15"/>
          <w:color w:val="auto"/>
        </w:rPr>
        <w:t>The rights provided in this Article (i) shall not be deemed exclusive of any other rights to which an Indemnitee may be entitled under any law, agreement or vote of stockholders or disinterested directors or otherwise, and (ii) shall inure to the benefit of the heirs, executors and administrators of the Indemnitees.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w:t>
      </w:r>
    </w:p>
    <w:p>
      <w:pPr>
        <w:spacing w:after="0" w:line="156" w:lineRule="exact"/>
        <w:rPr>
          <w:sz w:val="20"/>
          <w:szCs w:val="20"/>
          <w:color w:val="auto"/>
        </w:rPr>
      </w:pPr>
    </w:p>
    <w:p>
      <w:pPr>
        <w:ind w:firstLine="556"/>
        <w:spacing w:after="0" w:line="273" w:lineRule="auto"/>
        <w:rPr>
          <w:sz w:val="20"/>
          <w:szCs w:val="20"/>
          <w:color w:val="auto"/>
        </w:rPr>
      </w:pPr>
      <w:r>
        <w:rPr>
          <w:rFonts w:ascii="Arial" w:cs="Arial" w:eastAsia="Arial" w:hAnsi="Arial"/>
          <w:sz w:val="15"/>
          <w:szCs w:val="15"/>
          <w:color w:val="auto"/>
        </w:rPr>
        <w:t>Any repeal or modification of the foregoing provisions of this Article shall not adversely affect any right or protection hereunder of any person in respect of any act or omission occurring prior to the time of such repeal or modification. The rights provided hereunder shall inure to the benefit of any Indemnitee and such person’s heirs, executors and administrators.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EIGHTH: Unless, and except to the extent that, the Bylaws of the Corporation shall so require, the election of directors of the Corporation need not be by written ballot.</w:t>
      </w:r>
    </w:p>
    <w:p>
      <w:pPr>
        <w:spacing w:after="0" w:line="210" w:lineRule="exact"/>
        <w:rPr>
          <w:sz w:val="20"/>
          <w:szCs w:val="20"/>
          <w:color w:val="auto"/>
        </w:rPr>
      </w:pPr>
    </w:p>
    <w:p>
      <w:pPr>
        <w:ind w:right="220" w:firstLine="556"/>
        <w:spacing w:after="0" w:line="289" w:lineRule="auto"/>
        <w:rPr>
          <w:sz w:val="20"/>
          <w:szCs w:val="20"/>
          <w:color w:val="auto"/>
        </w:rPr>
      </w:pPr>
      <w:r>
        <w:rPr>
          <w:rFonts w:ascii="Arial" w:cs="Arial" w:eastAsia="Arial" w:hAnsi="Arial"/>
          <w:sz w:val="15"/>
          <w:szCs w:val="15"/>
          <w:color w:val="auto"/>
        </w:rPr>
        <w:t>NINTH: Subject to any additional vote required by the Corporation’s Certificate of Incorporation or Bylaws, in furtherance and not in limitation of the powers conferred by statute, the Corporation hereby confers the power to adopt, amend or repeal the Bylaws of the Corporation upon the directors.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TENTH: Meetings of the stockholders may be held within or without the State of Delaware, as the Bylaws of the Corporation may provide.</w:t>
      </w:r>
    </w:p>
    <w:p>
      <w:pPr>
        <w:spacing w:after="0" w:line="198" w:lineRule="exact"/>
        <w:rPr>
          <w:sz w:val="20"/>
          <w:szCs w:val="20"/>
          <w:color w:val="auto"/>
        </w:rPr>
      </w:pPr>
    </w:p>
    <w:p>
      <w:pPr>
        <w:ind w:right="120" w:firstLine="556"/>
        <w:spacing w:after="0" w:line="289" w:lineRule="auto"/>
        <w:rPr>
          <w:sz w:val="20"/>
          <w:szCs w:val="20"/>
          <w:color w:val="auto"/>
        </w:rPr>
      </w:pPr>
      <w:r>
        <w:rPr>
          <w:rFonts w:ascii="Arial" w:cs="Arial" w:eastAsia="Arial" w:hAnsi="Arial"/>
          <w:sz w:val="15"/>
          <w:szCs w:val="15"/>
          <w:color w:val="auto"/>
        </w:rPr>
        <w:t>ELEVENTH: The books of the Corporation may be kept outside the State of Delaware at such place or places as may be designated in the Bylaws of the Corporation or from time to time by its directors.</w:t>
      </w:r>
    </w:p>
    <w:p>
      <w:pPr>
        <w:spacing w:after="0" w:line="141" w:lineRule="exact"/>
        <w:rPr>
          <w:sz w:val="20"/>
          <w:szCs w:val="20"/>
          <w:color w:val="auto"/>
        </w:rPr>
      </w:pPr>
    </w:p>
    <w:p>
      <w:pPr>
        <w:ind w:firstLine="556"/>
        <w:spacing w:after="0" w:line="265" w:lineRule="auto"/>
        <w:rPr>
          <w:sz w:val="20"/>
          <w:szCs w:val="20"/>
          <w:color w:val="auto"/>
        </w:rPr>
      </w:pPr>
      <w:r>
        <w:rPr>
          <w:rFonts w:ascii="Arial" w:cs="Arial" w:eastAsia="Arial" w:hAnsi="Arial"/>
          <w:sz w:val="15"/>
          <w:szCs w:val="15"/>
          <w:color w:val="auto"/>
        </w:rPr>
        <w:t>TWELFTH: In accordance with the provisions of Section 122(17) of the General Corporation Law, the Corporation renounces any interest or expectancy of the Corporation in, or in being offered an opportunity to participate in, any Excluded Opportunity. An “</w:t>
      </w:r>
      <w:r>
        <w:rPr>
          <w:rFonts w:ascii="Arial" w:cs="Arial" w:eastAsia="Arial" w:hAnsi="Arial"/>
          <w:sz w:val="15"/>
          <w:szCs w:val="15"/>
          <w:u w:val="single" w:color="auto"/>
          <w:color w:val="auto"/>
        </w:rPr>
        <w:t>Excluded Opportunity</w:t>
      </w:r>
      <w:r>
        <w:rPr>
          <w:rFonts w:ascii="Arial" w:cs="Arial" w:eastAsia="Arial" w:hAnsi="Arial"/>
          <w:sz w:val="15"/>
          <w:szCs w:val="15"/>
          <w:color w:val="auto"/>
        </w:rPr>
        <w:t>” is any matter, transaction or interest that is presented to, or acquired, created or developed by, or which otherwise comes into the possession of any director or officer of the Corporation who is not an employee of the Corporation or any of its subsidiaries (collectively, “</w:t>
      </w:r>
      <w:r>
        <w:rPr>
          <w:rFonts w:ascii="Arial" w:cs="Arial" w:eastAsia="Arial" w:hAnsi="Arial"/>
          <w:sz w:val="15"/>
          <w:szCs w:val="15"/>
          <w:u w:val="single" w:color="auto"/>
          <w:color w:val="auto"/>
        </w:rPr>
        <w:t>Covered Persons</w:t>
      </w:r>
      <w:r>
        <w:rPr>
          <w:rFonts w:ascii="Arial" w:cs="Arial" w:eastAsia="Arial" w:hAnsi="Arial"/>
          <w:sz w:val="15"/>
          <w:szCs w:val="15"/>
          <w:color w:val="auto"/>
        </w:rPr>
        <w:t>”), unless such matter, transaction or interest is presented to, or acquired, created or developed by, or otherwise comes into the possession of, a Covered Person expressly and solely in such Covered Person’s capacity as a director or officer of the Corporation.</w:t>
      </w:r>
    </w:p>
    <w:p>
      <w:pPr>
        <w:spacing w:after="0" w:line="160" w:lineRule="exact"/>
        <w:rPr>
          <w:sz w:val="20"/>
          <w:szCs w:val="20"/>
          <w:color w:val="auto"/>
        </w:rPr>
      </w:pPr>
    </w:p>
    <w:p>
      <w:pPr>
        <w:ind w:right="460" w:firstLine="556"/>
        <w:spacing w:after="0" w:line="289" w:lineRule="auto"/>
        <w:rPr>
          <w:sz w:val="20"/>
          <w:szCs w:val="20"/>
          <w:color w:val="auto"/>
        </w:rPr>
      </w:pPr>
      <w:r>
        <w:rPr>
          <w:rFonts w:ascii="Arial" w:cs="Arial" w:eastAsia="Arial" w:hAnsi="Arial"/>
          <w:sz w:val="15"/>
          <w:szCs w:val="15"/>
          <w:color w:val="auto"/>
        </w:rPr>
        <w:t>THIRTEENTH: The Corporation reserves the right to amend or repeal any provision contained in this Fourth Amended and Restated Certificate of Incorporation, in the manner now or hereafter prescribed by statute, and all rights conferred upon a stockholder herein are granted subject to this reservation.</w:t>
      </w:r>
    </w:p>
    <w:p>
      <w:pPr>
        <w:spacing w:after="0" w:line="141" w:lineRule="exact"/>
        <w:rPr>
          <w:sz w:val="20"/>
          <w:szCs w:val="20"/>
          <w:color w:val="auto"/>
        </w:rPr>
      </w:pPr>
    </w:p>
    <w:p>
      <w:pPr>
        <w:jc w:val="center"/>
        <w:spacing w:after="0"/>
        <w:tabs>
          <w:tab w:leader="none" w:pos="180" w:val="left"/>
          <w:tab w:leader="none" w:pos="160" w:val="left"/>
        </w:tabs>
        <w:rPr>
          <w:sz w:val="20"/>
          <w:szCs w:val="20"/>
          <w:color w:val="auto"/>
        </w:rPr>
      </w:pPr>
      <w:r>
        <w:rPr>
          <w:rFonts w:ascii="Arial" w:cs="Arial" w:eastAsia="Arial" w:hAnsi="Arial"/>
          <w:sz w:val="15"/>
          <w:szCs w:val="15"/>
          <w:color w:val="auto"/>
        </w:rPr>
        <w:t>*</w:t>
        <w:tab/>
        <w:t>*</w:t>
        <w:tab/>
        <w:t>*</w:t>
      </w:r>
    </w:p>
    <w:p>
      <w:pPr>
        <w:spacing w:after="0" w:line="198" w:lineRule="exact"/>
        <w:rPr>
          <w:sz w:val="20"/>
          <w:szCs w:val="20"/>
          <w:color w:val="auto"/>
        </w:rPr>
      </w:pPr>
    </w:p>
    <w:p>
      <w:pPr>
        <w:ind w:right="580" w:firstLine="1104"/>
        <w:spacing w:after="0" w:line="289" w:lineRule="auto"/>
        <w:tabs>
          <w:tab w:leader="none" w:pos="1668" w:val="left"/>
        </w:tabs>
        <w:numPr>
          <w:ilvl w:val="0"/>
          <w:numId w:val="247"/>
        </w:numPr>
        <w:rPr>
          <w:rFonts w:ascii="Arial" w:cs="Arial" w:eastAsia="Arial" w:hAnsi="Arial"/>
          <w:sz w:val="15"/>
          <w:szCs w:val="15"/>
          <w:b w:val="1"/>
          <w:bCs w:val="1"/>
          <w:color w:val="auto"/>
        </w:rPr>
      </w:pPr>
      <w:r>
        <w:rPr>
          <w:rFonts w:ascii="Arial" w:cs="Arial" w:eastAsia="Arial" w:hAnsi="Arial"/>
          <w:sz w:val="15"/>
          <w:szCs w:val="15"/>
          <w:color w:val="auto"/>
        </w:rPr>
        <w:t>That the foregoing amendment and restatement was approved by the holders of the requisite number of shares of this corporation in accordance with Section 228 of the General Corporation Law.</w:t>
      </w:r>
    </w:p>
    <w:p>
      <w:pPr>
        <w:spacing w:after="0" w:line="140" w:lineRule="exact"/>
        <w:rPr>
          <w:rFonts w:ascii="Arial" w:cs="Arial" w:eastAsia="Arial" w:hAnsi="Arial"/>
          <w:sz w:val="15"/>
          <w:szCs w:val="15"/>
          <w:b w:val="1"/>
          <w:bCs w:val="1"/>
          <w:color w:val="auto"/>
        </w:rPr>
      </w:pPr>
    </w:p>
    <w:p>
      <w:pPr>
        <w:ind w:right="280" w:firstLine="1104"/>
        <w:spacing w:after="0" w:line="289" w:lineRule="auto"/>
        <w:tabs>
          <w:tab w:leader="none" w:pos="1668" w:val="left"/>
        </w:tabs>
        <w:numPr>
          <w:ilvl w:val="0"/>
          <w:numId w:val="247"/>
        </w:numPr>
        <w:rPr>
          <w:rFonts w:ascii="Arial" w:cs="Arial" w:eastAsia="Arial" w:hAnsi="Arial"/>
          <w:sz w:val="15"/>
          <w:szCs w:val="15"/>
          <w:b w:val="1"/>
          <w:bCs w:val="1"/>
          <w:color w:val="auto"/>
        </w:rPr>
      </w:pPr>
      <w:r>
        <w:rPr>
          <w:rFonts w:ascii="Arial" w:cs="Arial" w:eastAsia="Arial" w:hAnsi="Arial"/>
          <w:sz w:val="15"/>
          <w:szCs w:val="15"/>
          <w:color w:val="auto"/>
        </w:rPr>
        <w:t>That this Fourth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60" w:firstLine="162"/>
        <w:spacing w:after="0" w:line="298"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this Fourth Amended and Restated Certificate of Incorporation has been executed by a duly authorized officer of this corporation on this 27th day of</w:t>
      </w:r>
      <w:r>
        <w:rPr>
          <w:rFonts w:ascii="Arial" w:cs="Arial" w:eastAsia="Arial" w:hAnsi="Arial"/>
          <w:sz w:val="15"/>
          <w:szCs w:val="15"/>
          <w:b w:val="1"/>
          <w:bCs w:val="1"/>
          <w:color w:val="auto"/>
        </w:rPr>
        <w:t xml:space="preserve"> </w:t>
      </w:r>
      <w:r>
        <w:rPr>
          <w:rFonts w:ascii="Arial" w:cs="Arial" w:eastAsia="Arial" w:hAnsi="Arial"/>
          <w:sz w:val="15"/>
          <w:szCs w:val="15"/>
          <w:color w:val="auto"/>
        </w:rPr>
        <w:t>August, 2015.</w:t>
      </w:r>
    </w:p>
    <w:p>
      <w:pPr>
        <w:spacing w:after="0" w:line="319"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5"/>
          <w:szCs w:val="15"/>
          <w:color w:val="auto"/>
        </w:rPr>
        <w:t>By:</w:t>
        <w:tab/>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346450" cy="762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3346450" cy="7620"/>
                    </a:xfrm>
                    <a:prstGeom prst="rect">
                      <a:avLst/>
                    </a:prstGeom>
                    <a:noFill/>
                  </pic:spPr>
                </pic:pic>
              </a:graphicData>
            </a:graphic>
          </wp:anchor>
        </w:drawing>
      </w:r>
    </w:p>
    <w:p>
      <w:pPr>
        <w:spacing w:after="0" w:line="4"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Werner Cautreels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President and CEO</w:t>
      </w:r>
    </w:p>
    <w:p>
      <w:pPr>
        <w:sectPr>
          <w:pgSz w:w="11900" w:h="16838" w:orient="portrait"/>
          <w:cols w:equalWidth="0" w:num="1">
            <w:col w:w="11420"/>
          </w:cols>
          <w:pgMar w:left="240" w:top="129" w:right="239" w:bottom="0" w:gutter="0" w:footer="0" w:header="0"/>
        </w:sectPr>
      </w:pPr>
    </w:p>
    <w:bookmarkStart w:id="318" w:name="page319"/>
    <w:bookmarkEnd w:id="318"/>
    <w:p>
      <w:pPr>
        <w:jc w:val="center"/>
        <w:ind w:right="20"/>
        <w:spacing w:after="0"/>
        <w:rPr>
          <w:sz w:val="20"/>
          <w:szCs w:val="20"/>
          <w:color w:val="auto"/>
        </w:rPr>
      </w:pPr>
      <w:r>
        <w:rPr>
          <w:rFonts w:ascii="Arial" w:cs="Arial" w:eastAsia="Arial" w:hAnsi="Arial"/>
          <w:sz w:val="15"/>
          <w:szCs w:val="15"/>
          <w:i w:val="1"/>
          <w:iCs w:val="1"/>
          <w:color w:val="auto"/>
        </w:rPr>
        <w:t>-Signature Page to Fourth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CERTIFICATE OF AMENDMENT</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TO</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FOURTH AMENDED AND RESTATED CERTIFICATE OF INCORPORATION</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OF</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SELECTA BIOSCIENCES, INC.</w:t>
      </w:r>
    </w:p>
    <w:p>
      <w:pPr>
        <w:spacing w:after="0" w:line="188" w:lineRule="exact"/>
        <w:rPr>
          <w:sz w:val="20"/>
          <w:szCs w:val="20"/>
          <w:color w:val="auto"/>
        </w:rPr>
      </w:pPr>
    </w:p>
    <w:p>
      <w:pPr>
        <w:ind w:left="20" w:right="520" w:firstLine="556"/>
        <w:spacing w:after="0" w:line="289" w:lineRule="auto"/>
        <w:rPr>
          <w:sz w:val="20"/>
          <w:szCs w:val="20"/>
          <w:color w:val="auto"/>
        </w:rPr>
      </w:pPr>
      <w:r>
        <w:rPr>
          <w:rFonts w:ascii="Arial" w:cs="Arial" w:eastAsia="Arial" w:hAnsi="Arial"/>
          <w:sz w:val="15"/>
          <w:szCs w:val="15"/>
          <w:color w:val="auto"/>
        </w:rPr>
        <w:t>Selecta Biosciences, Inc., a corporation organized and existing under and by virtue of the General Corporation Law of the State of Delaware (the “</w:t>
      </w:r>
      <w:r>
        <w:rPr>
          <w:rFonts w:ascii="Arial" w:cs="Arial" w:eastAsia="Arial" w:hAnsi="Arial"/>
          <w:sz w:val="15"/>
          <w:szCs w:val="15"/>
          <w:u w:val="single" w:color="auto"/>
          <w:color w:val="auto"/>
        </w:rPr>
        <w:t>Corporation</w:t>
      </w:r>
      <w:r>
        <w:rPr>
          <w:rFonts w:ascii="Arial" w:cs="Arial" w:eastAsia="Arial" w:hAnsi="Arial"/>
          <w:sz w:val="15"/>
          <w:szCs w:val="15"/>
          <w:color w:val="auto"/>
        </w:rPr>
        <w:t>”), DOES HEREBY CERTIFY:</w:t>
      </w:r>
    </w:p>
    <w:p>
      <w:pPr>
        <w:spacing w:after="0" w:line="141" w:lineRule="exact"/>
        <w:rPr>
          <w:sz w:val="20"/>
          <w:szCs w:val="20"/>
          <w:color w:val="auto"/>
        </w:rPr>
      </w:pPr>
    </w:p>
    <w:p>
      <w:pPr>
        <w:ind w:left="1120" w:right="460" w:hanging="1111"/>
        <w:spacing w:after="0" w:line="273" w:lineRule="auto"/>
        <w:tabs>
          <w:tab w:leader="none" w:pos="1100" w:val="left"/>
        </w:tabs>
        <w:rPr>
          <w:sz w:val="20"/>
          <w:szCs w:val="20"/>
          <w:color w:val="auto"/>
        </w:rPr>
      </w:pPr>
      <w:r>
        <w:rPr>
          <w:rFonts w:ascii="Arial" w:cs="Arial" w:eastAsia="Arial" w:hAnsi="Arial"/>
          <w:sz w:val="15"/>
          <w:szCs w:val="15"/>
          <w:u w:val="single" w:color="auto"/>
          <w:color w:val="auto"/>
        </w:rPr>
        <w:t>FIRST</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That, in lieu of a meeting, the Board of Directors of the Corporation duly adopted resolutions by written consent recommending and declaring advisable that the Fourth Amended and Restated Certificate of Incorporation of the Corporation be amended and that such amendments be submitted to the stockholders of the Corporation for their consideration, as follows:</w:t>
      </w:r>
    </w:p>
    <w:p>
      <w:pPr>
        <w:spacing w:after="0" w:line="147" w:lineRule="exact"/>
        <w:rPr>
          <w:sz w:val="20"/>
          <w:szCs w:val="20"/>
          <w:color w:val="auto"/>
        </w:rPr>
      </w:pPr>
    </w:p>
    <w:p>
      <w:pPr>
        <w:ind w:left="1120" w:right="180"/>
        <w:spacing w:after="0" w:line="298" w:lineRule="auto"/>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that Section 1 of Article FOURTH of the Fourth Amended and Restated Certificate of Incorporation of the Corporation, as amended and/or restated to</w:t>
      </w:r>
      <w:r>
        <w:rPr>
          <w:rFonts w:ascii="Arial" w:cs="Arial" w:eastAsia="Arial" w:hAnsi="Arial"/>
          <w:sz w:val="15"/>
          <w:szCs w:val="15"/>
          <w:b w:val="1"/>
          <w:bCs w:val="1"/>
          <w:color w:val="auto"/>
        </w:rPr>
        <w:t xml:space="preserve"> </w:t>
      </w:r>
      <w:r>
        <w:rPr>
          <w:rFonts w:ascii="Arial" w:cs="Arial" w:eastAsia="Arial" w:hAnsi="Arial"/>
          <w:sz w:val="15"/>
          <w:szCs w:val="15"/>
          <w:color w:val="auto"/>
        </w:rPr>
        <w:t>date, be amended and restated in its entirety to read as follows:</w:t>
      </w:r>
    </w:p>
    <w:p>
      <w:pPr>
        <w:spacing w:after="0" w:line="134" w:lineRule="exact"/>
        <w:rPr>
          <w:sz w:val="20"/>
          <w:szCs w:val="20"/>
          <w:color w:val="auto"/>
        </w:rPr>
      </w:pPr>
    </w:p>
    <w:p>
      <w:pPr>
        <w:ind w:left="1680" w:right="40"/>
        <w:spacing w:after="0" w:line="281" w:lineRule="auto"/>
        <w:rPr>
          <w:sz w:val="20"/>
          <w:szCs w:val="20"/>
          <w:color w:val="auto"/>
        </w:rPr>
      </w:pPr>
      <w:r>
        <w:rPr>
          <w:rFonts w:ascii="Arial" w:cs="Arial" w:eastAsia="Arial" w:hAnsi="Arial"/>
          <w:sz w:val="14"/>
          <w:szCs w:val="14"/>
          <w:color w:val="auto"/>
        </w:rPr>
        <w:t>“Effective on the filing of this Certificate of Amendment to Fourth Amended and Restated Certificate of Incorporation with the Secretary of State of the State of Delaware (the “</w:t>
      </w:r>
      <w:r>
        <w:rPr>
          <w:rFonts w:ascii="Arial" w:cs="Arial" w:eastAsia="Arial" w:hAnsi="Arial"/>
          <w:sz w:val="14"/>
          <w:szCs w:val="14"/>
          <w:u w:val="single" w:color="auto"/>
          <w:color w:val="auto"/>
        </w:rPr>
        <w:t>Effective Time</w:t>
      </w:r>
      <w:r>
        <w:rPr>
          <w:rFonts w:ascii="Arial" w:cs="Arial" w:eastAsia="Arial" w:hAnsi="Arial"/>
          <w:sz w:val="14"/>
          <w:szCs w:val="14"/>
          <w:color w:val="auto"/>
        </w:rPr>
        <w:t>”), a one-for-3.9 reverse stock split of the Corporation’s Common Stock shall become effective, pursuant to which each 3.9 shares of Common Stock outstanding and held of record by each stockholder of the Corporation (including treasury shares) immediately prior to the Effective Time shall be reclassified and combined into one validly issued, fully paid and nonassessable share of Common Stock automatically and without any action by the holder thereof upon the Effective Time and shall represent one share of Common Stock from and after the Effective Time (such reclassification and combination of shares, the “</w:t>
      </w:r>
      <w:r>
        <w:rPr>
          <w:rFonts w:ascii="Arial" w:cs="Arial" w:eastAsia="Arial" w:hAnsi="Arial"/>
          <w:sz w:val="14"/>
          <w:szCs w:val="14"/>
          <w:u w:val="single" w:color="auto"/>
          <w:color w:val="auto"/>
        </w:rPr>
        <w:t>Reverse Stock Split</w:t>
      </w:r>
      <w:r>
        <w:rPr>
          <w:rFonts w:ascii="Arial" w:cs="Arial" w:eastAsia="Arial" w:hAnsi="Arial"/>
          <w:sz w:val="14"/>
          <w:szCs w:val="14"/>
          <w:color w:val="auto"/>
        </w:rPr>
        <w:t>”). The par value of the Common Stock and the Preferred Stock following the Reverse Stock Split shall remain at $0.0001 per share. No fractional shares of Common Stock shall be issued as a result of the Reverse Stock Split and, in lieu thereof, upon surrender after the Effective Time of a certificate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equal to the fraction of which such holder would otherwise be entitled multiplied by the fair value per share as determined by the Board of Directors.</w:t>
      </w:r>
    </w:p>
    <w:p>
      <w:pPr>
        <w:spacing w:after="0" w:line="150"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Each stock certificate that, immediately prior to the Effective Time, represented shares of Common Stock that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80" w:right="40"/>
        <w:spacing w:after="0" w:line="281" w:lineRule="auto"/>
        <w:rPr>
          <w:sz w:val="20"/>
          <w:szCs w:val="20"/>
          <w:color w:val="auto"/>
        </w:rPr>
      </w:pPr>
      <w:r>
        <w:rPr>
          <w:rFonts w:ascii="Arial" w:cs="Arial" w:eastAsia="Arial" w:hAnsi="Arial"/>
          <w:sz w:val="14"/>
          <w:szCs w:val="14"/>
          <w:color w:val="auto"/>
        </w:rPr>
        <w:t>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have been reclassified (as well as the right to receive cash in lieu of fractional shares of Common Stock after the Effective Time);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and provided further, however, that whether or not fractional shares would be issuable as a result of the Reverse Stock Split shall be determined on the basis of (i) the total number of shares of Common Stock that were issued and outstanding immediately prior to the Effective Time formerly represented by certificates that the holder is at the time surrendering for a new certificate evidencing and representing the number of whole shares of Common Stock after the Effective Time and (ii) the aggregate number of shares of Common Stock after the Effective Time into which the shares of Common Stock formerly represented by such certificates shall have been reclassified.</w:t>
      </w:r>
    </w:p>
    <w:p>
      <w:pPr>
        <w:spacing w:after="0" w:line="153" w:lineRule="exact"/>
        <w:rPr>
          <w:sz w:val="20"/>
          <w:szCs w:val="20"/>
          <w:color w:val="auto"/>
        </w:rPr>
      </w:pPr>
    </w:p>
    <w:p>
      <w:pPr>
        <w:jc w:val="both"/>
        <w:ind w:left="1680" w:right="300"/>
        <w:spacing w:after="0" w:line="273" w:lineRule="auto"/>
        <w:rPr>
          <w:sz w:val="20"/>
          <w:szCs w:val="20"/>
          <w:color w:val="auto"/>
        </w:rPr>
      </w:pPr>
      <w:r>
        <w:rPr>
          <w:rFonts w:ascii="Arial" w:cs="Arial" w:eastAsia="Arial" w:hAnsi="Arial"/>
          <w:sz w:val="15"/>
          <w:szCs w:val="15"/>
          <w:color w:val="auto"/>
        </w:rPr>
        <w:t>The total number of shares of all classes of stock which the Corporation shall have authority to issue is 137,835,623, consisting of 100,000,000 shares of common stock, $0.0001 par value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and 37,835,623 shares of preferred stock, $0.0001 par value per share (the “</w:t>
      </w:r>
      <w:r>
        <w:rPr>
          <w:rFonts w:ascii="Arial" w:cs="Arial" w:eastAsia="Arial" w:hAnsi="Arial"/>
          <w:sz w:val="15"/>
          <w:szCs w:val="15"/>
          <w:u w:val="single" w:color="auto"/>
          <w:color w:val="auto"/>
        </w:rPr>
        <w:t>Preferred</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w:t>
      </w:r>
      <w:r>
        <w:rPr>
          <w:rFonts w:ascii="Arial" w:cs="Arial" w:eastAsia="Arial" w:hAnsi="Arial"/>
          <w:sz w:val="15"/>
          <w:szCs w:val="15"/>
          <w:color w:val="auto"/>
        </w:rPr>
        <w:t>”).”</w:t>
      </w:r>
    </w:p>
    <w:p>
      <w:pPr>
        <w:spacing w:after="0" w:line="153" w:lineRule="exact"/>
        <w:rPr>
          <w:sz w:val="20"/>
          <w:szCs w:val="20"/>
          <w:color w:val="auto"/>
        </w:rPr>
      </w:pPr>
    </w:p>
    <w:p>
      <w:pPr>
        <w:ind w:left="1120" w:right="160" w:hanging="1111"/>
        <w:spacing w:after="0" w:line="289" w:lineRule="auto"/>
        <w:tabs>
          <w:tab w:leader="none" w:pos="1100" w:val="left"/>
        </w:tabs>
        <w:rPr>
          <w:sz w:val="20"/>
          <w:szCs w:val="20"/>
          <w:color w:val="auto"/>
        </w:rPr>
      </w:pPr>
      <w:r>
        <w:rPr>
          <w:rFonts w:ascii="Arial" w:cs="Arial" w:eastAsia="Arial" w:hAnsi="Arial"/>
          <w:sz w:val="15"/>
          <w:szCs w:val="15"/>
          <w:u w:val="single" w:color="auto"/>
          <w:color w:val="auto"/>
        </w:rPr>
        <w:t>SECOND</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That in lieu of a meeting and vote of stockholders, the stockholders have given written consent to said amendments in accordance with the provisions of Section 228 of the General Corporation Law of the State of Delaware.</w:t>
      </w:r>
    </w:p>
    <w:p>
      <w:pPr>
        <w:spacing w:after="0" w:line="141" w:lineRule="exact"/>
        <w:rPr>
          <w:sz w:val="20"/>
          <w:szCs w:val="20"/>
          <w:color w:val="auto"/>
        </w:rPr>
      </w:pPr>
    </w:p>
    <w:p>
      <w:pPr>
        <w:ind w:left="1120" w:right="600" w:hanging="1111"/>
        <w:spacing w:after="0" w:line="289" w:lineRule="auto"/>
        <w:tabs>
          <w:tab w:leader="none" w:pos="1100" w:val="left"/>
        </w:tabs>
        <w:rPr>
          <w:sz w:val="20"/>
          <w:szCs w:val="20"/>
          <w:color w:val="auto"/>
        </w:rPr>
      </w:pPr>
      <w:r>
        <w:rPr>
          <w:rFonts w:ascii="Arial" w:cs="Arial" w:eastAsia="Arial" w:hAnsi="Arial"/>
          <w:sz w:val="15"/>
          <w:szCs w:val="15"/>
          <w:u w:val="single" w:color="auto"/>
          <w:color w:val="auto"/>
        </w:rPr>
        <w:t>THIRD</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That the aforesaid amendments were duly adopted in accordance with the applicable provisions of Section 242 of the General Corporation Law of the State of Delaware.</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right="20" w:firstLine="556"/>
        <w:spacing w:after="0" w:line="292" w:lineRule="auto"/>
        <w:rPr>
          <w:sz w:val="20"/>
          <w:szCs w:val="20"/>
          <w:color w:val="auto"/>
        </w:rPr>
      </w:pPr>
      <w:r>
        <w:rPr>
          <w:rFonts w:ascii="Arial" w:cs="Arial" w:eastAsia="Arial" w:hAnsi="Arial"/>
          <w:sz w:val="15"/>
          <w:szCs w:val="15"/>
          <w:color w:val="auto"/>
        </w:rPr>
        <w:t>IN WITNESS WHEREOF, the Corporation has caused this Certificate of Amendment to be signed by Werner Cautreels, Ph.D., the President and Chief Executive Officer of the Corporation, this 7</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day of June, 2016.</w:t>
      </w:r>
    </w:p>
    <w:p>
      <w:pPr>
        <w:spacing w:after="0" w:line="246"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SELECTA BIOSCIENCES, INC.</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5740"/>
              <w:spacing w:after="0"/>
              <w:rPr>
                <w:sz w:val="20"/>
                <w:szCs w:val="20"/>
                <w:color w:val="auto"/>
              </w:rPr>
            </w:pPr>
            <w:r>
              <w:rPr>
                <w:rFonts w:ascii="Arial" w:cs="Arial" w:eastAsia="Arial" w:hAnsi="Arial"/>
                <w:sz w:val="15"/>
                <w:szCs w:val="15"/>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Werner Cautreels, Ph.D.</w:t>
            </w:r>
          </w:p>
        </w:tc>
        <w:tc>
          <w:tcPr>
            <w:tcW w:w="20" w:type="dxa"/>
            <w:vAlign w:val="bottom"/>
          </w:tcPr>
          <w:p>
            <w:pPr>
              <w:spacing w:after="0"/>
              <w:rPr>
                <w:sz w:val="17"/>
                <w:szCs w:val="17"/>
                <w:color w:val="auto"/>
              </w:rPr>
            </w:pPr>
          </w:p>
        </w:tc>
      </w:tr>
      <w:tr>
        <w:trPr>
          <w:trHeight w:val="166"/>
        </w:trPr>
        <w:tc>
          <w:tcPr>
            <w:tcW w:w="6280" w:type="dxa"/>
            <w:vAlign w:val="bottom"/>
          </w:tcPr>
          <w:p>
            <w:pPr>
              <w:spacing w:after="0"/>
              <w:rPr>
                <w:sz w:val="14"/>
                <w:szCs w:val="14"/>
                <w:color w:val="auto"/>
              </w:rPr>
            </w:pPr>
          </w:p>
        </w:tc>
        <w:tc>
          <w:tcPr>
            <w:tcW w:w="5180" w:type="dxa"/>
            <w:vAlign w:val="bottom"/>
          </w:tcPr>
          <w:p>
            <w:pPr>
              <w:spacing w:after="0" w:line="167" w:lineRule="exact"/>
              <w:rPr>
                <w:sz w:val="20"/>
                <w:szCs w:val="20"/>
                <w:color w:val="auto"/>
              </w:rPr>
            </w:pPr>
            <w:r>
              <w:rPr>
                <w:rFonts w:ascii="Arial" w:cs="Arial" w:eastAsia="Arial" w:hAnsi="Arial"/>
                <w:sz w:val="15"/>
                <w:szCs w:val="15"/>
                <w:color w:val="auto"/>
              </w:rPr>
              <w:t>Werner Cautreels, Ph.D.</w:t>
            </w:r>
          </w:p>
        </w:tc>
        <w:tc>
          <w:tcPr>
            <w:tcW w:w="20" w:type="dxa"/>
            <w:vAlign w:val="bottom"/>
          </w:tcPr>
          <w:p>
            <w:pPr>
              <w:spacing w:after="0"/>
              <w:rPr>
                <w:sz w:val="14"/>
                <w:szCs w:val="14"/>
                <w:color w:val="auto"/>
              </w:rPr>
            </w:pPr>
          </w:p>
        </w:tc>
      </w:tr>
      <w:tr>
        <w:trPr>
          <w:trHeight w:val="196"/>
        </w:trPr>
        <w:tc>
          <w:tcPr>
            <w:tcW w:w="628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5"/>
                <w:szCs w:val="15"/>
                <w:color w:val="auto"/>
              </w:rPr>
              <w:t>President and Chief Executive Officer</w:t>
            </w:r>
          </w:p>
        </w:tc>
        <w:tc>
          <w:tcPr>
            <w:tcW w:w="20" w:type="dxa"/>
            <w:vAlign w:val="bottom"/>
          </w:tcPr>
          <w:p>
            <w:pPr>
              <w:spacing w:after="0"/>
              <w:rPr>
                <w:sz w:val="17"/>
                <w:szCs w:val="17"/>
                <w:color w:val="auto"/>
              </w:rPr>
            </w:pPr>
          </w:p>
        </w:tc>
      </w:tr>
      <w:tr>
        <w:trPr>
          <w:trHeight w:val="297"/>
        </w:trPr>
        <w:tc>
          <w:tcPr>
            <w:tcW w:w="628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14" w:right="199" w:bottom="1440" w:gutter="0" w:footer="0" w:header="0"/>
        </w:sectPr>
      </w:pPr>
    </w:p>
    <w:bookmarkStart w:id="319" w:name="page320"/>
    <w:bookmarkEnd w:id="319"/>
    <w:p>
      <w:pPr>
        <w:jc w:val="right"/>
        <w:spacing w:after="0"/>
        <w:rPr>
          <w:sz w:val="20"/>
          <w:szCs w:val="20"/>
          <w:color w:val="auto"/>
        </w:rPr>
      </w:pPr>
      <w:r>
        <w:rPr>
          <w:rFonts w:ascii="Arial" w:cs="Arial" w:eastAsia="Arial" w:hAnsi="Arial"/>
          <w:sz w:val="15"/>
          <w:szCs w:val="15"/>
          <w:b w:val="1"/>
          <w:bCs w:val="1"/>
          <w:color w:val="auto"/>
        </w:rPr>
        <w:t>Exhibit 4.1</w:t>
      </w:r>
    </w:p>
    <w:p>
      <w:pPr>
        <w:spacing w:after="0" w:line="204" w:lineRule="exact"/>
        <w:rPr>
          <w:sz w:val="20"/>
          <w:szCs w:val="20"/>
          <w:color w:val="auto"/>
        </w:rPr>
      </w:pPr>
    </w:p>
    <w:p>
      <w:pPr>
        <w:ind w:left="4507"/>
        <w:spacing w:after="0"/>
        <w:rPr>
          <w:sz w:val="20"/>
          <w:szCs w:val="20"/>
          <w:color w:val="auto"/>
        </w:rPr>
      </w:pPr>
      <w:r>
        <w:rPr>
          <w:rFonts w:ascii="Arial" w:cs="Arial" w:eastAsia="Arial" w:hAnsi="Arial"/>
          <w:sz w:val="15"/>
          <w:szCs w:val="15"/>
          <w:color w:val="auto"/>
        </w:rPr>
        <w:t>FIFTH AMENDED AND RESTATED</w:t>
      </w:r>
    </w:p>
    <w:p>
      <w:pPr>
        <w:spacing w:after="0" w:line="23" w:lineRule="exact"/>
        <w:rPr>
          <w:sz w:val="20"/>
          <w:szCs w:val="20"/>
          <w:color w:val="auto"/>
        </w:rPr>
      </w:pPr>
    </w:p>
    <w:p>
      <w:pPr>
        <w:ind w:left="4487"/>
        <w:spacing w:after="0"/>
        <w:rPr>
          <w:sz w:val="20"/>
          <w:szCs w:val="20"/>
          <w:color w:val="auto"/>
        </w:rPr>
      </w:pPr>
      <w:r>
        <w:rPr>
          <w:rFonts w:ascii="Arial" w:cs="Arial" w:eastAsia="Arial" w:hAnsi="Arial"/>
          <w:sz w:val="15"/>
          <w:szCs w:val="15"/>
          <w:color w:val="auto"/>
        </w:rPr>
        <w:t>INVESTORS’ RIGHTS AGREEMENT</w:t>
      </w:r>
    </w:p>
    <w:p>
      <w:pPr>
        <w:spacing w:after="0" w:line="188" w:lineRule="exact"/>
        <w:rPr>
          <w:sz w:val="20"/>
          <w:szCs w:val="20"/>
          <w:color w:val="auto"/>
        </w:rPr>
      </w:pPr>
    </w:p>
    <w:p>
      <w:pPr>
        <w:ind w:left="7" w:right="80" w:firstLine="556"/>
        <w:spacing w:after="0" w:line="261" w:lineRule="auto"/>
        <w:rPr>
          <w:sz w:val="20"/>
          <w:szCs w:val="20"/>
          <w:color w:val="auto"/>
        </w:rPr>
      </w:pPr>
      <w:r>
        <w:rPr>
          <w:rFonts w:ascii="Arial" w:cs="Arial" w:eastAsia="Arial" w:hAnsi="Arial"/>
          <w:sz w:val="15"/>
          <w:szCs w:val="15"/>
          <w:color w:val="auto"/>
        </w:rPr>
        <w:t>This Fifth Amended and Restated Investors’ Rights Agreement dated as of August 26, 2015 (this “</w:t>
      </w:r>
      <w:r>
        <w:rPr>
          <w:rFonts w:ascii="Arial" w:cs="Arial" w:eastAsia="Arial" w:hAnsi="Arial"/>
          <w:sz w:val="15"/>
          <w:szCs w:val="15"/>
          <w:u w:val="single" w:color="auto"/>
          <w:color w:val="auto"/>
        </w:rPr>
        <w:t>Agreement</w:t>
      </w:r>
      <w:r>
        <w:rPr>
          <w:rFonts w:ascii="Arial" w:cs="Arial" w:eastAsia="Arial" w:hAnsi="Arial"/>
          <w:sz w:val="15"/>
          <w:szCs w:val="15"/>
          <w:color w:val="auto"/>
        </w:rPr>
        <w:t>”), is made by and among: (i)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(ii) the holders of the Company’s Series A Convertible Preferred Stock, par value $0.0001 per share (the “</w:t>
      </w:r>
      <w:r>
        <w:rPr>
          <w:rFonts w:ascii="Arial" w:cs="Arial" w:eastAsia="Arial" w:hAnsi="Arial"/>
          <w:sz w:val="15"/>
          <w:szCs w:val="15"/>
          <w:u w:val="single" w:color="auto"/>
          <w:color w:val="auto"/>
        </w:rPr>
        <w:t>Series A Preferred Stock</w:t>
      </w:r>
      <w:r>
        <w:rPr>
          <w:rFonts w:ascii="Arial" w:cs="Arial" w:eastAsia="Arial" w:hAnsi="Arial"/>
          <w:sz w:val="15"/>
          <w:szCs w:val="15"/>
          <w:color w:val="auto"/>
        </w:rPr>
        <w:t>”), the Company’s Series B Convertible Preferred Stock, par value $0.0001 per share (the “</w:t>
      </w:r>
      <w:r>
        <w:rPr>
          <w:rFonts w:ascii="Arial" w:cs="Arial" w:eastAsia="Arial" w:hAnsi="Arial"/>
          <w:sz w:val="15"/>
          <w:szCs w:val="15"/>
          <w:u w:val="single" w:color="auto"/>
          <w:color w:val="auto"/>
        </w:rPr>
        <w:t>Series B Preferred Stock</w:t>
      </w:r>
      <w:r>
        <w:rPr>
          <w:rFonts w:ascii="Arial" w:cs="Arial" w:eastAsia="Arial" w:hAnsi="Arial"/>
          <w:sz w:val="15"/>
          <w:szCs w:val="15"/>
          <w:color w:val="auto"/>
        </w:rPr>
        <w:t>”), the Company’s Series C Convertible Preferred Stock, par value $0.0001 per share, (the “</w:t>
      </w:r>
      <w:r>
        <w:rPr>
          <w:rFonts w:ascii="Arial" w:cs="Arial" w:eastAsia="Arial" w:hAnsi="Arial"/>
          <w:sz w:val="15"/>
          <w:szCs w:val="15"/>
          <w:u w:val="single" w:color="auto"/>
          <w:color w:val="auto"/>
        </w:rPr>
        <w:t>Series C Preferred Stock</w:t>
      </w:r>
      <w:r>
        <w:rPr>
          <w:rFonts w:ascii="Arial" w:cs="Arial" w:eastAsia="Arial" w:hAnsi="Arial"/>
          <w:sz w:val="15"/>
          <w:szCs w:val="15"/>
          <w:color w:val="auto"/>
        </w:rPr>
        <w:t>”), the Company’s Series D Convertible Preferred Stock, par value $0.0001 per share (the “</w:t>
      </w:r>
      <w:r>
        <w:rPr>
          <w:rFonts w:ascii="Arial" w:cs="Arial" w:eastAsia="Arial" w:hAnsi="Arial"/>
          <w:sz w:val="15"/>
          <w:szCs w:val="15"/>
          <w:u w:val="single" w:color="auto"/>
          <w:color w:val="auto"/>
        </w:rPr>
        <w:t>Series D Preferred Stock</w:t>
      </w:r>
      <w:r>
        <w:rPr>
          <w:rFonts w:ascii="Arial" w:cs="Arial" w:eastAsia="Arial" w:hAnsi="Arial"/>
          <w:sz w:val="15"/>
          <w:szCs w:val="15"/>
          <w:color w:val="auto"/>
        </w:rPr>
        <w:t>”), the Company’s Series E Convertible Preferred Stock, par value $0.0001 per share, (the “</w:t>
      </w:r>
      <w:r>
        <w:rPr>
          <w:rFonts w:ascii="Arial" w:cs="Arial" w:eastAsia="Arial" w:hAnsi="Arial"/>
          <w:sz w:val="15"/>
          <w:szCs w:val="15"/>
          <w:u w:val="single" w:color="auto"/>
          <w:color w:val="auto"/>
        </w:rPr>
        <w:t>Series E Preferred Stock</w:t>
      </w:r>
      <w:r>
        <w:rPr>
          <w:rFonts w:ascii="Arial" w:cs="Arial" w:eastAsia="Arial" w:hAnsi="Arial"/>
          <w:sz w:val="15"/>
          <w:szCs w:val="15"/>
          <w:color w:val="auto"/>
        </w:rPr>
        <w:t>” and, collectively with the Series A Preferred Stock, the Series B Preferred Stock and the Series C Preferred Stock and the Series D Preferred Stock, the “</w:t>
      </w:r>
      <w:r>
        <w:rPr>
          <w:rFonts w:ascii="Arial" w:cs="Arial" w:eastAsia="Arial" w:hAnsi="Arial"/>
          <w:sz w:val="15"/>
          <w:szCs w:val="15"/>
          <w:u w:val="single" w:color="auto"/>
          <w:color w:val="auto"/>
        </w:rPr>
        <w:t>Senior Preferred Stock</w:t>
      </w:r>
      <w:r>
        <w:rPr>
          <w:rFonts w:ascii="Arial" w:cs="Arial" w:eastAsia="Arial" w:hAnsi="Arial"/>
          <w:sz w:val="15"/>
          <w:szCs w:val="15"/>
          <w:color w:val="auto"/>
        </w:rPr>
        <w:t>”), and the Company’s Series SRN Convertible Preferred Stock, par value $0.0001 per share (the “</w:t>
      </w:r>
      <w:r>
        <w:rPr>
          <w:rFonts w:ascii="Arial" w:cs="Arial" w:eastAsia="Arial" w:hAnsi="Arial"/>
          <w:sz w:val="15"/>
          <w:szCs w:val="15"/>
          <w:u w:val="single" w:color="auto"/>
          <w:color w:val="auto"/>
        </w:rPr>
        <w:t>Series SRN Preferred Stock</w:t>
      </w:r>
      <w:r>
        <w:rPr>
          <w:rFonts w:ascii="Arial" w:cs="Arial" w:eastAsia="Arial" w:hAnsi="Arial"/>
          <w:sz w:val="15"/>
          <w:szCs w:val="15"/>
          <w:color w:val="auto"/>
        </w:rPr>
        <w:t xml:space="preserve">”) listed on the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attached hereto (collectively, the “</w:t>
      </w:r>
      <w:r>
        <w:rPr>
          <w:rFonts w:ascii="Arial" w:cs="Arial" w:eastAsia="Arial" w:hAnsi="Arial"/>
          <w:sz w:val="15"/>
          <w:szCs w:val="15"/>
          <w:u w:val="single" w:color="auto"/>
          <w:color w:val="auto"/>
        </w:rPr>
        <w:t>Purchasers</w:t>
      </w:r>
      <w:r>
        <w:rPr>
          <w:rFonts w:ascii="Arial" w:cs="Arial" w:eastAsia="Arial" w:hAnsi="Arial"/>
          <w:sz w:val="15"/>
          <w:szCs w:val="15"/>
          <w:color w:val="auto"/>
        </w:rPr>
        <w:t>”); (iii) Omid Farokhzad, Ulrich von Andrian and Robert S. Langer, Jr. (each individually, a “</w:t>
      </w:r>
      <w:r>
        <w:rPr>
          <w:rFonts w:ascii="Arial" w:cs="Arial" w:eastAsia="Arial" w:hAnsi="Arial"/>
          <w:sz w:val="15"/>
          <w:szCs w:val="15"/>
          <w:u w:val="single" w:color="auto"/>
          <w:color w:val="auto"/>
        </w:rPr>
        <w:t>Founder</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Founders</w:t>
      </w:r>
      <w:r>
        <w:rPr>
          <w:rFonts w:ascii="Arial" w:cs="Arial" w:eastAsia="Arial" w:hAnsi="Arial"/>
          <w:sz w:val="15"/>
          <w:szCs w:val="15"/>
          <w:color w:val="auto"/>
        </w:rPr>
        <w:t xml:space="preserve">”); and (iv) the persons and entities listed on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(each a “</w:t>
      </w:r>
      <w:r>
        <w:rPr>
          <w:rFonts w:ascii="Arial" w:cs="Arial" w:eastAsia="Arial" w:hAnsi="Arial"/>
          <w:sz w:val="15"/>
          <w:szCs w:val="15"/>
          <w:u w:val="single" w:color="auto"/>
          <w:color w:val="auto"/>
        </w:rPr>
        <w:t>Licensor Shareholder</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Licensor</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Shareholders</w:t>
      </w:r>
      <w:r>
        <w:rPr>
          <w:rFonts w:ascii="Arial" w:cs="Arial" w:eastAsia="Arial" w:hAnsi="Arial"/>
          <w:sz w:val="15"/>
          <w:szCs w:val="15"/>
          <w:color w:val="auto"/>
        </w:rPr>
        <w:t>”, and collectively with the Founders, the “</w:t>
      </w:r>
      <w:r>
        <w:rPr>
          <w:rFonts w:ascii="Arial" w:cs="Arial" w:eastAsia="Arial" w:hAnsi="Arial"/>
          <w:sz w:val="15"/>
          <w:szCs w:val="15"/>
          <w:u w:val="single" w:color="auto"/>
          <w:color w:val="auto"/>
        </w:rPr>
        <w:t>Initial Stockholders</w:t>
      </w:r>
      <w:r>
        <w:rPr>
          <w:rFonts w:ascii="Arial" w:cs="Arial" w:eastAsia="Arial" w:hAnsi="Arial"/>
          <w:sz w:val="15"/>
          <w:szCs w:val="15"/>
          <w:color w:val="auto"/>
        </w:rPr>
        <w:t>”).</w:t>
      </w:r>
    </w:p>
    <w:p>
      <w:pPr>
        <w:spacing w:after="0" w:line="165" w:lineRule="exact"/>
        <w:rPr>
          <w:sz w:val="20"/>
          <w:szCs w:val="20"/>
          <w:color w:val="auto"/>
        </w:rPr>
      </w:pPr>
    </w:p>
    <w:p>
      <w:pPr>
        <w:ind w:left="7" w:right="240" w:firstLine="556"/>
        <w:spacing w:after="0" w:line="268" w:lineRule="auto"/>
        <w:rPr>
          <w:sz w:val="20"/>
          <w:szCs w:val="20"/>
          <w:color w:val="auto"/>
        </w:rPr>
      </w:pPr>
      <w:r>
        <w:rPr>
          <w:rFonts w:ascii="Arial" w:cs="Arial" w:eastAsia="Arial" w:hAnsi="Arial"/>
          <w:sz w:val="15"/>
          <w:szCs w:val="15"/>
          <w:color w:val="auto"/>
        </w:rPr>
        <w:t>WHEREAS, the Company, the holders of the Company’s Series A Preferred Stock, the holders of the Company’s Series B Preferred Stock, the holders of the Company’s Series C Preferred Stock, the holders of the Company’s Series D Preferred Stock, the holders of the Company’s Series SRN Preferred Stock, the Founders, the Licensor Shareholders and certain other parties named therein are parties to a Fourth Amended and Restated Investors’ Rights Agreement dated as of July 15, 2014 (the “</w:t>
      </w:r>
      <w:r>
        <w:rPr>
          <w:rFonts w:ascii="Arial" w:cs="Arial" w:eastAsia="Arial" w:hAnsi="Arial"/>
          <w:sz w:val="15"/>
          <w:szCs w:val="15"/>
          <w:u w:val="single" w:color="auto"/>
          <w:color w:val="auto"/>
        </w:rPr>
        <w:t>Former Investors’ Rights</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w:t>
      </w:r>
    </w:p>
    <w:p>
      <w:pPr>
        <w:spacing w:after="0" w:line="156" w:lineRule="exact"/>
        <w:rPr>
          <w:sz w:val="20"/>
          <w:szCs w:val="20"/>
          <w:color w:val="auto"/>
        </w:rPr>
      </w:pPr>
    </w:p>
    <w:p>
      <w:pPr>
        <w:ind w:left="7" w:right="40" w:firstLine="556"/>
        <w:spacing w:after="0" w:line="289" w:lineRule="auto"/>
        <w:rPr>
          <w:sz w:val="20"/>
          <w:szCs w:val="20"/>
          <w:color w:val="auto"/>
        </w:rPr>
      </w:pPr>
      <w:r>
        <w:rPr>
          <w:rFonts w:ascii="Arial" w:cs="Arial" w:eastAsia="Arial" w:hAnsi="Arial"/>
          <w:sz w:val="15"/>
          <w:szCs w:val="15"/>
          <w:color w:val="auto"/>
        </w:rPr>
        <w:t>WHEREAS, the Company is a party to a Series E Preferred Stock Purchase Agreement dated as of the date hereof (the “</w:t>
      </w:r>
      <w:r>
        <w:rPr>
          <w:rFonts w:ascii="Arial" w:cs="Arial" w:eastAsia="Arial" w:hAnsi="Arial"/>
          <w:sz w:val="15"/>
          <w:szCs w:val="15"/>
          <w:u w:val="single" w:color="auto"/>
          <w:color w:val="auto"/>
        </w:rPr>
        <w:t>Purchase Agreement</w:t>
      </w:r>
      <w:r>
        <w:rPr>
          <w:rFonts w:ascii="Arial" w:cs="Arial" w:eastAsia="Arial" w:hAnsi="Arial"/>
          <w:sz w:val="15"/>
          <w:szCs w:val="15"/>
          <w:color w:val="auto"/>
        </w:rPr>
        <w:t>”) pursuant to which the Company agreed to issue shares of Series E Preferred Stock to certain Purchasers (collectively, the “</w:t>
      </w:r>
      <w:r>
        <w:rPr>
          <w:rFonts w:ascii="Arial" w:cs="Arial" w:eastAsia="Arial" w:hAnsi="Arial"/>
          <w:sz w:val="15"/>
          <w:szCs w:val="15"/>
          <w:u w:val="single" w:color="auto"/>
          <w:color w:val="auto"/>
        </w:rPr>
        <w:t>Series E Investors</w:t>
      </w:r>
      <w:r>
        <w:rPr>
          <w:rFonts w:ascii="Arial" w:cs="Arial" w:eastAsia="Arial" w:hAnsi="Arial"/>
          <w:sz w:val="15"/>
          <w:szCs w:val="15"/>
          <w:color w:val="auto"/>
        </w:rPr>
        <w:t>”); and</w:t>
      </w:r>
    </w:p>
    <w:p>
      <w:pPr>
        <w:spacing w:after="0" w:line="141" w:lineRule="exact"/>
        <w:rPr>
          <w:sz w:val="20"/>
          <w:szCs w:val="20"/>
          <w:color w:val="auto"/>
        </w:rPr>
      </w:pPr>
    </w:p>
    <w:p>
      <w:pPr>
        <w:ind w:left="7" w:right="380" w:firstLine="556"/>
        <w:spacing w:after="0" w:line="289" w:lineRule="auto"/>
        <w:rPr>
          <w:sz w:val="20"/>
          <w:szCs w:val="20"/>
          <w:color w:val="auto"/>
        </w:rPr>
      </w:pPr>
      <w:r>
        <w:rPr>
          <w:rFonts w:ascii="Arial" w:cs="Arial" w:eastAsia="Arial" w:hAnsi="Arial"/>
          <w:sz w:val="15"/>
          <w:szCs w:val="15"/>
          <w:color w:val="auto"/>
        </w:rPr>
        <w:t>WHEREAS, the Series E Investors have made it a condition precedent to their purchase of shares of Series E Preferred Stock pursuant to the Purchase Agreement that the parties enter into this Agreement, which amends and restates the Former Investors’ Rights Agreement.</w:t>
      </w:r>
    </w:p>
    <w:p>
      <w:pPr>
        <w:spacing w:after="0" w:line="141" w:lineRule="exact"/>
        <w:rPr>
          <w:sz w:val="20"/>
          <w:szCs w:val="20"/>
          <w:color w:val="auto"/>
        </w:rPr>
      </w:pPr>
    </w:p>
    <w:p>
      <w:pPr>
        <w:ind w:left="547"/>
        <w:spacing w:after="0"/>
        <w:rPr>
          <w:sz w:val="20"/>
          <w:szCs w:val="20"/>
          <w:color w:val="auto"/>
        </w:rPr>
      </w:pPr>
      <w:r>
        <w:rPr>
          <w:rFonts w:ascii="Arial" w:cs="Arial" w:eastAsia="Arial" w:hAnsi="Arial"/>
          <w:sz w:val="15"/>
          <w:szCs w:val="15"/>
          <w:color w:val="auto"/>
        </w:rPr>
        <w:t>NOW, THEREFORE, in consideration of these mutual promises and covenants set forth herein, the parties hereto agree to the terms and conditions set forth below:</w:t>
      </w:r>
    </w:p>
    <w:p>
      <w:pPr>
        <w:spacing w:after="0" w:line="198" w:lineRule="exact"/>
        <w:rPr>
          <w:sz w:val="20"/>
          <w:szCs w:val="20"/>
          <w:color w:val="auto"/>
        </w:rPr>
      </w:pPr>
    </w:p>
    <w:p>
      <w:pPr>
        <w:jc w:val="both"/>
        <w:ind w:left="7" w:hanging="7"/>
        <w:spacing w:after="0" w:line="268" w:lineRule="auto"/>
        <w:tabs>
          <w:tab w:leader="none" w:pos="563" w:val="left"/>
        </w:tabs>
        <w:numPr>
          <w:ilvl w:val="0"/>
          <w:numId w:val="248"/>
        </w:numPr>
        <w:rPr>
          <w:rFonts w:ascii="Arial" w:cs="Arial" w:eastAsia="Arial" w:hAnsi="Arial"/>
          <w:sz w:val="15"/>
          <w:szCs w:val="15"/>
          <w:color w:val="auto"/>
        </w:rPr>
      </w:pPr>
      <w:r>
        <w:rPr>
          <w:rFonts w:ascii="Arial" w:cs="Arial" w:eastAsia="Arial" w:hAnsi="Arial"/>
          <w:sz w:val="15"/>
          <w:szCs w:val="15"/>
          <w:u w:val="single" w:color="auto"/>
          <w:color w:val="auto"/>
        </w:rPr>
        <w:t>Covenants of the Company</w:t>
      </w:r>
      <w:r>
        <w:rPr>
          <w:rFonts w:ascii="Arial" w:cs="Arial" w:eastAsia="Arial" w:hAnsi="Arial"/>
          <w:sz w:val="15"/>
          <w:szCs w:val="15"/>
          <w:color w:val="auto"/>
        </w:rPr>
        <w:t>. The Company covenants and agrees that so long as (i) at least 1,500,000 shares of Senior Preferred Stock (subject to equitable adjustment for stock splits, stock dividends and similar events) are outstanding or (ii) the Purchasers hold of record and beneficially not less than four percent (4%) of the Company’s common stock, $0.0001 par value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(treating each share of Senior Preferred Stock on an as-converted to Common Stock basis), it will perform and observe the following covenants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7285990" cy="2730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 w:right="80" w:firstLine="556"/>
        <w:spacing w:after="0" w:line="263"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xml:space="preserve">. The Company will maintain true and accurate books of account in accordance with generally accepted accounting principles applied on a consistent basis (except that the Company will not be required to record the annual valuation and adjustments for its share-based compensation expense under Statement of Financial Accounting Standards No. 123R, recording gains/losses on exchange rates, revenue and deferred revenue and other such valuation analysis tied to year-end until the time it delivers audited financial statements pursuant to </w:t>
      </w:r>
      <w:r>
        <w:rPr>
          <w:rFonts w:ascii="Arial" w:cs="Arial" w:eastAsia="Arial" w:hAnsi="Arial"/>
          <w:sz w:val="15"/>
          <w:szCs w:val="15"/>
          <w:u w:val="single" w:color="auto"/>
          <w:color w:val="auto"/>
        </w:rPr>
        <w:t>Section 1.1(a)</w:t>
      </w:r>
      <w:r>
        <w:rPr>
          <w:rFonts w:ascii="Arial" w:cs="Arial" w:eastAsia="Arial" w:hAnsi="Arial"/>
          <w:sz w:val="15"/>
          <w:szCs w:val="15"/>
          <w:color w:val="auto"/>
        </w:rPr>
        <w:t xml:space="preserve"> below), keep full and complete financial records, and furnish the following reports to (i) each Purchaser who holds at least 600,000 shares of Common Stock (including shares of Common Stock issued or issuable upon conversion of Senior Preferred Stock and subject to equitable adjustment for stock splits, stock dividends and similar events) (each a “</w:t>
      </w:r>
      <w:r>
        <w:rPr>
          <w:rFonts w:ascii="Arial" w:cs="Arial" w:eastAsia="Arial" w:hAnsi="Arial"/>
          <w:sz w:val="15"/>
          <w:szCs w:val="15"/>
          <w:u w:val="single" w:color="auto"/>
          <w:color w:val="auto"/>
        </w:rPr>
        <w:t>Major Stockholder</w:t>
      </w:r>
      <w:r>
        <w:rPr>
          <w:rFonts w:ascii="Arial" w:cs="Arial" w:eastAsia="Arial" w:hAnsi="Arial"/>
          <w:sz w:val="15"/>
          <w:szCs w:val="15"/>
          <w:color w:val="auto"/>
        </w:rPr>
        <w:t>”) and (ii) The Brigham and Women’s Hospital (“</w:t>
      </w:r>
      <w:r>
        <w:rPr>
          <w:rFonts w:ascii="Arial" w:cs="Arial" w:eastAsia="Arial" w:hAnsi="Arial"/>
          <w:sz w:val="15"/>
          <w:szCs w:val="15"/>
          <w:u w:val="single" w:color="auto"/>
          <w:color w:val="auto"/>
        </w:rPr>
        <w:t>Brigham</w:t>
      </w:r>
      <w:r>
        <w:rPr>
          <w:rFonts w:ascii="Arial" w:cs="Arial" w:eastAsia="Arial" w:hAnsi="Arial"/>
          <w:sz w:val="15"/>
          <w:szCs w:val="15"/>
          <w:color w:val="auto"/>
        </w:rPr>
        <w:t>”) for so long as it holds at least 10,000 shares of Common Stock (subject to equitable adjustment for stock splits, stock dividends and similar events):</w:t>
      </w:r>
    </w:p>
    <w:p>
      <w:pPr>
        <w:spacing w:after="0" w:line="159" w:lineRule="exact"/>
        <w:rPr>
          <w:sz w:val="20"/>
          <w:szCs w:val="20"/>
          <w:color w:val="auto"/>
        </w:rPr>
      </w:pPr>
    </w:p>
    <w:p>
      <w:pPr>
        <w:ind w:left="7" w:right="40" w:firstLine="1104"/>
        <w:spacing w:after="0" w:line="265" w:lineRule="auto"/>
        <w:tabs>
          <w:tab w:leader="none" w:pos="1673" w:val="left"/>
        </w:tabs>
        <w:numPr>
          <w:ilvl w:val="0"/>
          <w:numId w:val="249"/>
        </w:numPr>
        <w:rPr>
          <w:rFonts w:ascii="Arial" w:cs="Arial" w:eastAsia="Arial" w:hAnsi="Arial"/>
          <w:sz w:val="15"/>
          <w:szCs w:val="15"/>
          <w:color w:val="auto"/>
        </w:rPr>
      </w:pPr>
      <w:r>
        <w:rPr>
          <w:rFonts w:ascii="Arial" w:cs="Arial" w:eastAsia="Arial" w:hAnsi="Arial"/>
          <w:sz w:val="15"/>
          <w:szCs w:val="15"/>
          <w:color w:val="auto"/>
        </w:rPr>
        <w:t>as soon as practicable, but in any event within one hundred ninety (190) days after the end of each fiscal year of the Company, an income statement for such fiscal year, a balance sheet of the Company and statement of stockholders’ equity as of the end of such year, and a schedule as to the sources and applications of funds for such year, such year-end financial reports to be in reasonable detail, prepared in accordance with generally accepted accounting principles (“</w:t>
      </w:r>
      <w:r>
        <w:rPr>
          <w:rFonts w:ascii="Arial" w:cs="Arial" w:eastAsia="Arial" w:hAnsi="Arial"/>
          <w:sz w:val="15"/>
          <w:szCs w:val="15"/>
          <w:u w:val="single" w:color="auto"/>
          <w:color w:val="auto"/>
        </w:rPr>
        <w:t>GAAP</w:t>
      </w:r>
      <w:r>
        <w:rPr>
          <w:rFonts w:ascii="Arial" w:cs="Arial" w:eastAsia="Arial" w:hAnsi="Arial"/>
          <w:sz w:val="15"/>
          <w:szCs w:val="15"/>
          <w:color w:val="auto"/>
        </w:rPr>
        <w:t>”) applied on a consistent basis, and audited and certified by such independent public accountants of nationally recognized standing selected by the Company and approved by the holders of shares representing a majority of the voting power of the Senior Preferred Stock held by the Purchasers;</w:t>
      </w:r>
    </w:p>
    <w:p>
      <w:pPr>
        <w:spacing w:after="0" w:line="159" w:lineRule="exact"/>
        <w:rPr>
          <w:rFonts w:ascii="Arial" w:cs="Arial" w:eastAsia="Arial" w:hAnsi="Arial"/>
          <w:sz w:val="15"/>
          <w:szCs w:val="15"/>
          <w:color w:val="auto"/>
        </w:rPr>
      </w:pPr>
    </w:p>
    <w:p>
      <w:pPr>
        <w:ind w:left="7" w:right="220" w:firstLine="1104"/>
        <w:spacing w:after="0" w:line="289" w:lineRule="auto"/>
        <w:tabs>
          <w:tab w:leader="none" w:pos="1681" w:val="left"/>
        </w:tabs>
        <w:numPr>
          <w:ilvl w:val="0"/>
          <w:numId w:val="249"/>
        </w:numPr>
        <w:rPr>
          <w:rFonts w:ascii="Arial" w:cs="Arial" w:eastAsia="Arial" w:hAnsi="Arial"/>
          <w:sz w:val="15"/>
          <w:szCs w:val="15"/>
          <w:color w:val="auto"/>
        </w:rPr>
      </w:pPr>
      <w:r>
        <w:rPr>
          <w:rFonts w:ascii="Arial" w:cs="Arial" w:eastAsia="Arial" w:hAnsi="Arial"/>
          <w:sz w:val="15"/>
          <w:szCs w:val="15"/>
          <w:color w:val="auto"/>
        </w:rPr>
        <w:t>as soon as practicable, but in any event within thirty (30) days after the end of each month other than the last month of any quarter, an unaudited profit and loss statement and a cash flow statement and the balance sheet as of the end of such month;</w:t>
      </w:r>
    </w:p>
    <w:p>
      <w:pPr>
        <w:spacing w:after="0" w:line="140" w:lineRule="exact"/>
        <w:rPr>
          <w:rFonts w:ascii="Arial" w:cs="Arial" w:eastAsia="Arial" w:hAnsi="Arial"/>
          <w:sz w:val="15"/>
          <w:szCs w:val="15"/>
          <w:color w:val="auto"/>
        </w:rPr>
      </w:pPr>
    </w:p>
    <w:p>
      <w:pPr>
        <w:ind w:left="7" w:right="120" w:firstLine="1104"/>
        <w:spacing w:after="0" w:line="289" w:lineRule="auto"/>
        <w:tabs>
          <w:tab w:leader="none" w:pos="1684" w:val="left"/>
        </w:tabs>
        <w:numPr>
          <w:ilvl w:val="0"/>
          <w:numId w:val="249"/>
        </w:numPr>
        <w:rPr>
          <w:rFonts w:ascii="Arial" w:cs="Arial" w:eastAsia="Arial" w:hAnsi="Arial"/>
          <w:sz w:val="15"/>
          <w:szCs w:val="15"/>
          <w:color w:val="auto"/>
        </w:rPr>
      </w:pPr>
      <w:r>
        <w:rPr>
          <w:rFonts w:ascii="Arial" w:cs="Arial" w:eastAsia="Arial" w:hAnsi="Arial"/>
          <w:sz w:val="15"/>
          <w:szCs w:val="15"/>
          <w:color w:val="auto"/>
        </w:rPr>
        <w:t>as soon as practicable, but in any event within forty-five (45) days after the end of each fiscal quarter, an unaudited profit and loss statement and a cash flow statement and the balance sheet as of the end of such fiscal quarter; and</w:t>
      </w:r>
    </w:p>
    <w:p>
      <w:pPr>
        <w:spacing w:after="0" w:line="140" w:lineRule="exact"/>
        <w:rPr>
          <w:rFonts w:ascii="Arial" w:cs="Arial" w:eastAsia="Arial" w:hAnsi="Arial"/>
          <w:sz w:val="15"/>
          <w:szCs w:val="15"/>
          <w:color w:val="auto"/>
        </w:rPr>
      </w:pPr>
    </w:p>
    <w:p>
      <w:pPr>
        <w:ind w:left="7" w:right="520" w:firstLine="1104"/>
        <w:spacing w:after="0" w:line="289" w:lineRule="auto"/>
        <w:tabs>
          <w:tab w:leader="none" w:pos="1681" w:val="left"/>
        </w:tabs>
        <w:numPr>
          <w:ilvl w:val="0"/>
          <w:numId w:val="249"/>
        </w:numPr>
        <w:rPr>
          <w:rFonts w:ascii="Arial" w:cs="Arial" w:eastAsia="Arial" w:hAnsi="Arial"/>
          <w:sz w:val="15"/>
          <w:szCs w:val="15"/>
          <w:color w:val="auto"/>
        </w:rPr>
      </w:pPr>
      <w:r>
        <w:rPr>
          <w:rFonts w:ascii="Arial" w:cs="Arial" w:eastAsia="Arial" w:hAnsi="Arial"/>
          <w:sz w:val="15"/>
          <w:szCs w:val="15"/>
          <w:color w:val="auto"/>
        </w:rPr>
        <w:t xml:space="preserve">such other financial information of the Company as any Major Stockholder or Brigham may reasonably request, including certificates of the principal financial officer of the Company concerning compliance with the covenants of the Company prescribed under this </w:t>
      </w:r>
      <w:r>
        <w:rPr>
          <w:rFonts w:ascii="Arial" w:cs="Arial" w:eastAsia="Arial" w:hAnsi="Arial"/>
          <w:sz w:val="15"/>
          <w:szCs w:val="15"/>
          <w:u w:val="single" w:color="auto"/>
          <w:color w:val="auto"/>
        </w:rPr>
        <w:t>Section 1</w:t>
      </w:r>
      <w:r>
        <w:rPr>
          <w:rFonts w:ascii="Arial" w:cs="Arial" w:eastAsia="Arial" w:hAnsi="Arial"/>
          <w:sz w:val="15"/>
          <w:szCs w:val="15"/>
          <w:color w:val="auto"/>
        </w:rPr>
        <w:t>.</w:t>
      </w:r>
    </w:p>
    <w:p>
      <w:pPr>
        <w:spacing w:after="0" w:line="141" w:lineRule="exact"/>
        <w:rPr>
          <w:sz w:val="20"/>
          <w:szCs w:val="20"/>
          <w:color w:val="auto"/>
        </w:rPr>
      </w:pPr>
    </w:p>
    <w:p>
      <w:pPr>
        <w:ind w:left="7" w:right="120" w:firstLine="556"/>
        <w:spacing w:after="0" w:line="268"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Operating Plan; Other Reporting</w:t>
      </w:r>
      <w:r>
        <w:rPr>
          <w:rFonts w:ascii="Arial" w:cs="Arial" w:eastAsia="Arial" w:hAnsi="Arial"/>
          <w:sz w:val="15"/>
          <w:szCs w:val="15"/>
          <w:color w:val="auto"/>
        </w:rPr>
        <w:t>. The Company will prepare and deliver to each Major Stockholder, on or before the first day of each fiscal year, an annual operating plan (that will include a budget) prepared on a monthly basis and, promptly after preparation, any revisions to such operating plan. In addition, the Company will promptly provide to each Major Stockholder other customary information and materials, including reports of adverse developments, management letters, communications with stockholders or directors, press releases, and registration statements.</w:t>
      </w:r>
    </w:p>
    <w:p>
      <w:pPr>
        <w:spacing w:after="0" w:line="156"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4"/>
          <w:szCs w:val="14"/>
          <w:u w:val="single" w:color="auto"/>
          <w:color w:val="auto"/>
        </w:rPr>
        <w:t>Inspection</w:t>
      </w:r>
      <w:r>
        <w:rPr>
          <w:rFonts w:ascii="Arial" w:cs="Arial" w:eastAsia="Arial" w:hAnsi="Arial"/>
          <w:sz w:val="14"/>
          <w:szCs w:val="14"/>
          <w:color w:val="auto"/>
        </w:rPr>
        <w:t>. The Company shall, upon reasonable prior notice to the Company, permit authorized representatives of the Major Stockholders to visit and inspect any of</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20"/>
        <w:spacing w:after="0" w:line="281" w:lineRule="auto"/>
        <w:rPr>
          <w:sz w:val="20"/>
          <w:szCs w:val="20"/>
          <w:color w:val="auto"/>
        </w:rPr>
      </w:pPr>
      <w:r>
        <w:rPr>
          <w:rFonts w:ascii="Arial" w:cs="Arial" w:eastAsia="Arial" w:hAnsi="Arial"/>
          <w:sz w:val="14"/>
          <w:szCs w:val="14"/>
          <w:color w:val="auto"/>
        </w:rPr>
        <w:t>properties of the Company including its books of account (and to make copies thereof and take extracts therefrom), and to discuss the affairs, prospects, finances, and accounts of the Company with its officers, administrative employees, and independent accountants, all at the expense of the Major Stockholders and at such reasonable times and as often as may be reasonably requested. The Company shall, upon reasonable prior notice to the Company, permit authorized representatives of the Major Stockholders to visit and inspect any of the properties of SELECTA (RUS) LLC, a Russian limited liability company and subsidiary of the Company (the “</w:t>
      </w:r>
      <w:r>
        <w:rPr>
          <w:rFonts w:ascii="Arial" w:cs="Arial" w:eastAsia="Arial" w:hAnsi="Arial"/>
          <w:sz w:val="14"/>
          <w:szCs w:val="14"/>
          <w:u w:val="single" w:color="auto"/>
          <w:color w:val="auto"/>
        </w:rPr>
        <w:t>Project Company</w:t>
      </w:r>
      <w:r>
        <w:rPr>
          <w:rFonts w:ascii="Arial" w:cs="Arial" w:eastAsia="Arial" w:hAnsi="Arial"/>
          <w:sz w:val="14"/>
          <w:szCs w:val="14"/>
          <w:color w:val="auto"/>
        </w:rPr>
        <w:t>”) including its books of account and any document or agreement to which the Project Company is a party (but not to make copies thereof), provided that the Project Company is permitted to disclose such document or agreement to such representatives during such visit, and to discuss the affairs, prospects, finances, and accounts of the Project Company with its general director, all at the expense of the Major Stockholders and at such reasonable times as may be reasonably requested; provided that such visits and inspections will be limited to (i) two (2) times per calendar year for a duration of no more than two (2) consecutive business days each and (ii) two (2) times per calendar year for a duration of no more than one-half (1/2) business day each. For the avoidance of doubt, the rights afforded to RUSNANO, an open joint stock company organized and existing under the laws of the Russian Federation (“</w:t>
      </w:r>
      <w:r>
        <w:rPr>
          <w:rFonts w:ascii="Arial" w:cs="Arial" w:eastAsia="Arial" w:hAnsi="Arial"/>
          <w:sz w:val="14"/>
          <w:szCs w:val="14"/>
          <w:u w:val="single" w:color="auto"/>
          <w:color w:val="auto"/>
        </w:rPr>
        <w:t>RUSNANO</w:t>
      </w:r>
      <w:r>
        <w:rPr>
          <w:rFonts w:ascii="Arial" w:cs="Arial" w:eastAsia="Arial" w:hAnsi="Arial"/>
          <w:sz w:val="14"/>
          <w:szCs w:val="14"/>
          <w:color w:val="auto"/>
        </w:rPr>
        <w:t xml:space="preserve">”), under this </w:t>
      </w:r>
      <w:r>
        <w:rPr>
          <w:rFonts w:ascii="Arial" w:cs="Arial" w:eastAsia="Arial" w:hAnsi="Arial"/>
          <w:sz w:val="14"/>
          <w:szCs w:val="14"/>
          <w:u w:val="single" w:color="auto"/>
          <w:color w:val="auto"/>
        </w:rPr>
        <w:t>Section 1.3</w:t>
      </w:r>
      <w:r>
        <w:rPr>
          <w:rFonts w:ascii="Arial" w:cs="Arial" w:eastAsia="Arial" w:hAnsi="Arial"/>
          <w:sz w:val="14"/>
          <w:szCs w:val="14"/>
          <w:color w:val="auto"/>
        </w:rPr>
        <w:t xml:space="preserve"> shall be in addition to, and not lieu of, any audit rights RUSNANO may have pursuant to </w:t>
      </w:r>
      <w:r>
        <w:rPr>
          <w:rFonts w:ascii="Arial" w:cs="Arial" w:eastAsia="Arial" w:hAnsi="Arial"/>
          <w:sz w:val="14"/>
          <w:szCs w:val="14"/>
          <w:u w:val="single" w:color="auto"/>
          <w:color w:val="auto"/>
        </w:rPr>
        <w:t>Section 5.3</w:t>
      </w:r>
      <w:r>
        <w:rPr>
          <w:rFonts w:ascii="Arial" w:cs="Arial" w:eastAsia="Arial" w:hAnsi="Arial"/>
          <w:sz w:val="14"/>
          <w:szCs w:val="14"/>
          <w:color w:val="auto"/>
        </w:rPr>
        <w:t>.</w:t>
      </w:r>
    </w:p>
    <w:p>
      <w:pPr>
        <w:spacing w:after="0" w:line="153" w:lineRule="exact"/>
        <w:rPr>
          <w:sz w:val="20"/>
          <w:szCs w:val="20"/>
          <w:color w:val="auto"/>
        </w:rPr>
      </w:pPr>
    </w:p>
    <w:p>
      <w:pPr>
        <w:jc w:val="both"/>
        <w:ind w:left="7" w:right="160" w:firstLine="556"/>
        <w:spacing w:after="0" w:line="273"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Employee Agreements</w:t>
      </w:r>
      <w:r>
        <w:rPr>
          <w:rFonts w:ascii="Arial" w:cs="Arial" w:eastAsia="Arial" w:hAnsi="Arial"/>
          <w:sz w:val="15"/>
          <w:szCs w:val="15"/>
          <w:color w:val="auto"/>
        </w:rPr>
        <w:t>. The Company shall require all its employees and consultants to enter into the Company’s standard confidentiality and assignment agreement containing provisions governing, among other things, the protection of confidential information, assignment of intellectual property, competition with the Company and solicitation of the Company’s employees.</w:t>
      </w:r>
    </w:p>
    <w:p>
      <w:pPr>
        <w:sectPr>
          <w:pgSz w:w="11900" w:h="16838" w:orient="portrait"/>
          <w:cols w:equalWidth="0" w:num="1">
            <w:col w:w="11447"/>
          </w:cols>
          <w:pgMar w:left="233" w:top="331" w:right="219" w:bottom="36" w:gutter="0" w:footer="0" w:header="0"/>
        </w:sectPr>
      </w:pPr>
    </w:p>
    <w:bookmarkStart w:id="320" w:name="page321"/>
    <w:bookmarkEnd w:id="320"/>
    <w:p>
      <w:pPr>
        <w:spacing w:after="0" w:line="39" w:lineRule="exact"/>
        <w:rPr>
          <w:sz w:val="20"/>
          <w:szCs w:val="20"/>
          <w:color w:val="auto"/>
        </w:rPr>
      </w:pPr>
    </w:p>
    <w:p>
      <w:pPr>
        <w:ind w:left="7" w:firstLine="556"/>
        <w:spacing w:after="0" w:line="268" w:lineRule="auto"/>
        <w:rPr>
          <w:sz w:val="20"/>
          <w:szCs w:val="20"/>
          <w:color w:val="auto"/>
        </w:rPr>
      </w:pPr>
      <w:r>
        <w:rPr>
          <w:rFonts w:ascii="Arial" w:cs="Arial" w:eastAsia="Arial" w:hAnsi="Arial"/>
          <w:sz w:val="15"/>
          <w:szCs w:val="15"/>
          <w:color w:val="auto"/>
        </w:rPr>
        <w:t xml:space="preserve">1.5. </w:t>
      </w:r>
      <w:r>
        <w:rPr>
          <w:rFonts w:ascii="Arial" w:cs="Arial" w:eastAsia="Arial" w:hAnsi="Arial"/>
          <w:sz w:val="15"/>
          <w:szCs w:val="15"/>
          <w:u w:val="single" w:color="auto"/>
          <w:color w:val="auto"/>
        </w:rPr>
        <w:t>Reservation of Shares</w:t>
      </w:r>
      <w:r>
        <w:rPr>
          <w:rFonts w:ascii="Arial" w:cs="Arial" w:eastAsia="Arial" w:hAnsi="Arial"/>
          <w:sz w:val="15"/>
          <w:szCs w:val="15"/>
          <w:color w:val="auto"/>
        </w:rPr>
        <w:t>. The Company will at all times reserve and keep available, solely for issuance and delivery upon (a) the conversion of the Senior Preferred Stock and Series SRN Preferred Stock and (b) the exercise of those certain warrants to purchase Common Stock issued pursuant to (A) the Purchase Agreement and (B) that certain Securities Purchase Agreement by and among the Company and the other parties thereto, dated as of April 10, 2015, all Common Stock issuable from time to time upon such conversion or exercise, as applicable.</w:t>
      </w:r>
    </w:p>
    <w:p>
      <w:pPr>
        <w:spacing w:after="0" w:line="156" w:lineRule="exact"/>
        <w:rPr>
          <w:sz w:val="20"/>
          <w:szCs w:val="20"/>
          <w:color w:val="auto"/>
        </w:rPr>
      </w:pPr>
    </w:p>
    <w:p>
      <w:pPr>
        <w:ind w:left="7" w:right="280" w:firstLine="556"/>
        <w:spacing w:after="0" w:line="289"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u w:val="single" w:color="auto"/>
          <w:color w:val="auto"/>
        </w:rPr>
        <w:t>Board Meetings</w:t>
      </w:r>
      <w:r>
        <w:rPr>
          <w:rFonts w:ascii="Arial" w:cs="Arial" w:eastAsia="Arial" w:hAnsi="Arial"/>
          <w:sz w:val="15"/>
          <w:szCs w:val="15"/>
          <w:color w:val="auto"/>
        </w:rPr>
        <w:t>. The Company agrees to hold a meeting of its board of directors (“</w:t>
      </w:r>
      <w:r>
        <w:rPr>
          <w:rFonts w:ascii="Arial" w:cs="Arial" w:eastAsia="Arial" w:hAnsi="Arial"/>
          <w:sz w:val="15"/>
          <w:szCs w:val="15"/>
          <w:u w:val="single" w:color="auto"/>
          <w:color w:val="auto"/>
        </w:rPr>
        <w:t>Board of Directors</w:t>
      </w:r>
      <w:r>
        <w:rPr>
          <w:rFonts w:ascii="Arial" w:cs="Arial" w:eastAsia="Arial" w:hAnsi="Arial"/>
          <w:sz w:val="15"/>
          <w:szCs w:val="15"/>
          <w:color w:val="auto"/>
        </w:rPr>
        <w:t>”) at least once every eight weeks, or such other schedule for board meetings as is agreed by the Board of Directors.</w:t>
      </w:r>
    </w:p>
    <w:p>
      <w:pPr>
        <w:spacing w:after="0" w:line="141" w:lineRule="exact"/>
        <w:rPr>
          <w:sz w:val="20"/>
          <w:szCs w:val="20"/>
          <w:color w:val="auto"/>
        </w:rPr>
      </w:pPr>
    </w:p>
    <w:p>
      <w:pPr>
        <w:ind w:left="7" w:right="260" w:firstLine="556"/>
        <w:spacing w:after="0" w:line="327" w:lineRule="auto"/>
        <w:rPr>
          <w:sz w:val="20"/>
          <w:szCs w:val="20"/>
          <w:color w:val="auto"/>
        </w:rPr>
      </w:pPr>
      <w:r>
        <w:rPr>
          <w:rFonts w:ascii="Arial" w:cs="Arial" w:eastAsia="Arial" w:hAnsi="Arial"/>
          <w:sz w:val="14"/>
          <w:szCs w:val="14"/>
          <w:color w:val="auto"/>
        </w:rPr>
        <w:t xml:space="preserve">1.7. </w:t>
      </w:r>
      <w:r>
        <w:rPr>
          <w:rFonts w:ascii="Arial" w:cs="Arial" w:eastAsia="Arial" w:hAnsi="Arial"/>
          <w:sz w:val="14"/>
          <w:szCs w:val="14"/>
          <w:u w:val="single" w:color="auto"/>
          <w:color w:val="auto"/>
        </w:rPr>
        <w:t>Approval</w:t>
      </w:r>
      <w:r>
        <w:rPr>
          <w:rFonts w:ascii="Arial" w:cs="Arial" w:eastAsia="Arial" w:hAnsi="Arial"/>
          <w:sz w:val="14"/>
          <w:szCs w:val="14"/>
          <w:color w:val="auto"/>
        </w:rPr>
        <w:t>. The Company shall not without the approval of at least a majority of disinterested members of the Board of Directors (if any) authorize or enter into any transactions with any director or officer, or any member of such director’s or officer’s immediate family, other than standard employment or consulting arrangements.</w:t>
      </w:r>
    </w:p>
    <w:p>
      <w:pPr>
        <w:spacing w:after="0" w:line="117" w:lineRule="exact"/>
        <w:rPr>
          <w:sz w:val="20"/>
          <w:szCs w:val="20"/>
          <w:color w:val="auto"/>
        </w:rPr>
      </w:pPr>
    </w:p>
    <w:p>
      <w:pPr>
        <w:ind w:left="7" w:right="160" w:firstLine="556"/>
        <w:spacing w:after="0" w:line="273" w:lineRule="auto"/>
        <w:rPr>
          <w:sz w:val="20"/>
          <w:szCs w:val="20"/>
          <w:color w:val="auto"/>
        </w:rPr>
      </w:pPr>
      <w:r>
        <w:rPr>
          <w:rFonts w:ascii="Arial" w:cs="Arial" w:eastAsia="Arial" w:hAnsi="Arial"/>
          <w:sz w:val="15"/>
          <w:szCs w:val="15"/>
          <w:color w:val="auto"/>
        </w:rPr>
        <w:t xml:space="preserve">1.8. </w:t>
      </w:r>
      <w:r>
        <w:rPr>
          <w:rFonts w:ascii="Arial" w:cs="Arial" w:eastAsia="Arial" w:hAnsi="Arial"/>
          <w:sz w:val="15"/>
          <w:szCs w:val="15"/>
          <w:u w:val="single" w:color="auto"/>
          <w:color w:val="auto"/>
        </w:rPr>
        <w:t>Committees of the Board</w:t>
      </w:r>
      <w:r>
        <w:rPr>
          <w:rFonts w:ascii="Arial" w:cs="Arial" w:eastAsia="Arial" w:hAnsi="Arial"/>
          <w:sz w:val="15"/>
          <w:szCs w:val="15"/>
          <w:color w:val="auto"/>
        </w:rPr>
        <w:t>. In the event that the Board of Directors constitutes any committee of the Board of Directors, or any subcommittee thereof, directors designated by the holders of Senior Preferred Stock (each, a “</w:t>
      </w:r>
      <w:r>
        <w:rPr>
          <w:rFonts w:ascii="Arial" w:cs="Arial" w:eastAsia="Arial" w:hAnsi="Arial"/>
          <w:sz w:val="15"/>
          <w:szCs w:val="15"/>
          <w:u w:val="single" w:color="auto"/>
          <w:color w:val="auto"/>
        </w:rPr>
        <w:t>Preferred Director</w:t>
      </w:r>
      <w:r>
        <w:rPr>
          <w:rFonts w:ascii="Arial" w:cs="Arial" w:eastAsia="Arial" w:hAnsi="Arial"/>
          <w:sz w:val="15"/>
          <w:szCs w:val="15"/>
          <w:color w:val="auto"/>
        </w:rPr>
        <w:t>”) shall comprise a majority of the members of such committee or subcommittee thereof. The Board of Directors shall designate the Preferred Directors to be appointed to any such committee or subcommittee.</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40" w:firstLine="556"/>
        <w:spacing w:after="0" w:line="264" w:lineRule="auto"/>
        <w:rPr>
          <w:sz w:val="20"/>
          <w:szCs w:val="20"/>
          <w:color w:val="auto"/>
        </w:rPr>
      </w:pPr>
      <w:r>
        <w:rPr>
          <w:rFonts w:ascii="Arial" w:cs="Arial" w:eastAsia="Arial" w:hAnsi="Arial"/>
          <w:sz w:val="15"/>
          <w:szCs w:val="15"/>
          <w:color w:val="auto"/>
        </w:rPr>
        <w:t xml:space="preserve">1.9. </w:t>
      </w:r>
      <w:r>
        <w:rPr>
          <w:rFonts w:ascii="Arial" w:cs="Arial" w:eastAsia="Arial" w:hAnsi="Arial"/>
          <w:sz w:val="15"/>
          <w:szCs w:val="15"/>
          <w:u w:val="single" w:color="auto"/>
          <w:color w:val="auto"/>
        </w:rPr>
        <w:t>Directors’ Liability and Indemnification</w:t>
      </w:r>
      <w:r>
        <w:rPr>
          <w:rFonts w:ascii="Arial" w:cs="Arial" w:eastAsia="Arial" w:hAnsi="Arial"/>
          <w:sz w:val="15"/>
          <w:szCs w:val="15"/>
          <w:color w:val="auto"/>
        </w:rPr>
        <w:t>. The Company’s Fourth Amended and Restated Certificate of Incorporation (as the same may be amended or amended and restated from time to time, the “</w:t>
      </w:r>
      <w:r>
        <w:rPr>
          <w:rFonts w:ascii="Arial" w:cs="Arial" w:eastAsia="Arial" w:hAnsi="Arial"/>
          <w:sz w:val="15"/>
          <w:szCs w:val="15"/>
          <w:u w:val="single" w:color="auto"/>
          <w:color w:val="auto"/>
        </w:rPr>
        <w:t>Company Charter</w:t>
      </w:r>
      <w:r>
        <w:rPr>
          <w:rFonts w:ascii="Arial" w:cs="Arial" w:eastAsia="Arial" w:hAnsi="Arial"/>
          <w:sz w:val="15"/>
          <w:szCs w:val="15"/>
          <w:color w:val="auto"/>
        </w:rPr>
        <w:t>”), and the Company’s Bylaws, as in effect from time to time, shall provide (a) for elimination of the liability of directors to the maximum extent permitted by law and (b) for indemnification of directors for acts on behalf of the Company and its subsidiaries to the maximum extent permitted by law. In addition, the Company shall enter into and maintain usual and customary indemnification agreements with each of its directors to indemnify such directors to the maximum extent permissible under applicable law. The Company shall maintain in effect a usual and customary directors and officers insurance policy with coverage limits in amounts to be determined from time to time by the Board of Directors.</w:t>
      </w:r>
    </w:p>
    <w:p>
      <w:pPr>
        <w:spacing w:after="0" w:line="159"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1.10.</w:t>
      </w:r>
      <w:r>
        <w:rPr>
          <w:sz w:val="20"/>
          <w:szCs w:val="20"/>
          <w:color w:val="auto"/>
        </w:rPr>
        <w:tab/>
      </w:r>
      <w:r>
        <w:rPr>
          <w:rFonts w:ascii="Arial" w:cs="Arial" w:eastAsia="Arial" w:hAnsi="Arial"/>
          <w:sz w:val="14"/>
          <w:szCs w:val="14"/>
          <w:u w:val="single" w:color="auto"/>
          <w:color w:val="auto"/>
        </w:rPr>
        <w:t>US Tax Filings</w:t>
      </w:r>
      <w:r>
        <w:rPr>
          <w:rFonts w:ascii="Arial" w:cs="Arial" w:eastAsia="Arial" w:hAnsi="Arial"/>
          <w:sz w:val="14"/>
          <w:szCs w:val="14"/>
          <w:color w:val="auto"/>
        </w:rPr>
        <w:t>. Within seventy-five (75) days of the establishment of the Project Company, if required by applicable law, the Company shall file a US IRS tax form</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8832 on behalf of the Project Company.</w:t>
      </w:r>
    </w:p>
    <w:p>
      <w:pPr>
        <w:spacing w:after="0" w:line="188" w:lineRule="exact"/>
        <w:rPr>
          <w:sz w:val="20"/>
          <w:szCs w:val="20"/>
          <w:color w:val="auto"/>
        </w:rPr>
      </w:pPr>
    </w:p>
    <w:p>
      <w:pPr>
        <w:ind w:left="7" w:right="540" w:firstLine="556"/>
        <w:spacing w:after="0" w:line="289"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Termination of Information Rights</w:t>
      </w:r>
      <w:r>
        <w:rPr>
          <w:rFonts w:ascii="Arial" w:cs="Arial" w:eastAsia="Arial" w:hAnsi="Arial"/>
          <w:sz w:val="15"/>
          <w:szCs w:val="15"/>
          <w:color w:val="auto"/>
        </w:rPr>
        <w:t xml:space="preserve">. The provisions of this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shall terminate at the earlier to occur of such time as the Company shall become subject to Section 13(a) or 15(d) of the Securities Exchange Act of 1934, as amended.</w:t>
      </w:r>
    </w:p>
    <w:p>
      <w:pPr>
        <w:spacing w:after="0" w:line="141"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1.12.</w:t>
      </w:r>
      <w:r>
        <w:rPr>
          <w:sz w:val="20"/>
          <w:szCs w:val="20"/>
          <w:color w:val="auto"/>
        </w:rPr>
        <w:tab/>
      </w:r>
      <w:r>
        <w:rPr>
          <w:rFonts w:ascii="Arial" w:cs="Arial" w:eastAsia="Arial" w:hAnsi="Arial"/>
          <w:sz w:val="14"/>
          <w:szCs w:val="14"/>
          <w:u w:val="single" w:color="auto"/>
          <w:color w:val="auto"/>
        </w:rPr>
        <w:t>Project Company Reporting Requirements</w:t>
      </w:r>
      <w:r>
        <w:rPr>
          <w:rFonts w:ascii="Arial" w:cs="Arial" w:eastAsia="Arial" w:hAnsi="Arial"/>
          <w:sz w:val="14"/>
          <w:szCs w:val="14"/>
          <w:color w:val="auto"/>
        </w:rPr>
        <w:t>. The Company shall provide informational reports regarding the Project Company to RUSNANO, as set forth on</w:t>
      </w:r>
      <w:r>
        <w:rPr>
          <w:rFonts w:ascii="Arial" w:cs="Arial" w:eastAsia="Arial" w:hAnsi="Arial"/>
          <w:sz w:val="14"/>
          <w:szCs w:val="14"/>
          <w:u w:val="single" w:color="auto"/>
          <w:color w:val="auto"/>
        </w:rPr>
        <w:t xml:space="preserve"> Exhibit A</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hereto.</w:t>
      </w:r>
    </w:p>
    <w:p>
      <w:pPr>
        <w:spacing w:after="0" w:line="188" w:lineRule="exact"/>
        <w:rPr>
          <w:sz w:val="20"/>
          <w:szCs w:val="20"/>
          <w:color w:val="auto"/>
        </w:rPr>
      </w:pPr>
    </w:p>
    <w:p>
      <w:pPr>
        <w:ind w:left="7" w:right="160" w:firstLine="556"/>
        <w:spacing w:after="0" w:line="280" w:lineRule="auto"/>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Notice of SRN Optional Conversion Event</w:t>
      </w:r>
      <w:r>
        <w:rPr>
          <w:rFonts w:ascii="Arial" w:cs="Arial" w:eastAsia="Arial" w:hAnsi="Arial"/>
          <w:sz w:val="14"/>
          <w:szCs w:val="14"/>
          <w:color w:val="auto"/>
        </w:rPr>
        <w:t>. The Company shall provide the SRN Majority Holders (as defined below), if any, with (i) written notice of an SRN Optional Conversion Event (as defined in the Company Charter) no later than thirty (30) days prior to the effectiveness of such SRN Optional Conversion Event and (ii) written notice of final approval of such SRN Optional Conversion Event no later than seven (7) business days after the occurrence of such event. The Company shall use commercially reasonable efforts to provide the SRN Majority Holders, if any, with written notice of any SRN Special Optional Conversion Event (as defined in the Company Charter) no later than ten</w:t>
      </w:r>
    </w:p>
    <w:p>
      <w:pPr>
        <w:ind w:left="7" w:right="60" w:hanging="7"/>
        <w:spacing w:after="0" w:line="260" w:lineRule="auto"/>
        <w:tabs>
          <w:tab w:leader="none" w:pos="303" w:val="left"/>
        </w:tabs>
        <w:numPr>
          <w:ilvl w:val="0"/>
          <w:numId w:val="250"/>
        </w:numPr>
        <w:rPr>
          <w:rFonts w:ascii="Arial" w:cs="Arial" w:eastAsia="Arial" w:hAnsi="Arial"/>
          <w:sz w:val="15"/>
          <w:szCs w:val="15"/>
          <w:color w:val="auto"/>
        </w:rPr>
      </w:pPr>
      <w:r>
        <w:rPr>
          <w:rFonts w:ascii="Arial" w:cs="Arial" w:eastAsia="Arial" w:hAnsi="Arial"/>
          <w:sz w:val="15"/>
          <w:szCs w:val="15"/>
          <w:color w:val="auto"/>
        </w:rPr>
        <w:t>business days after the occurrence of such SRN Special Optional Conversion Event. The Company shall use commercially reasonable efforts to provide the SRN Majority Holders, if any, with notice of any voluntary or involuntary liquidation, dissolution or winding up of the affairs of the Corporation (including without limitation any Deemed Liquidation Event, as defined in the Company Charter) no later than sixty (60) days prior to the occurrence of such event (or, if neither the Board of Directors nor the Company’s Chief Executive Officer have knowledge of such event at that time, promptly at any time thereafter when the Board of Directors or the Company’s Chief Executive Officer has knowledge of such event); provided that under no circumstances shall the Company have any liability whatsoever for any failure to use such efforts or provide such notice. Notwithstanding anything to the contrary herein, each notice to the SRN Majority Holders to be provided hereunder shall be deemed effectively provided at the time each member of the Board of Directors designated by the SRN Majority Holders shall receive such notice.</w:t>
      </w:r>
    </w:p>
    <w:p>
      <w:pPr>
        <w:spacing w:after="0" w:line="164" w:lineRule="exact"/>
        <w:rPr>
          <w:sz w:val="20"/>
          <w:szCs w:val="20"/>
          <w:color w:val="auto"/>
        </w:rPr>
      </w:pPr>
    </w:p>
    <w:p>
      <w:pPr>
        <w:ind w:left="7" w:right="280" w:firstLine="556"/>
        <w:spacing w:after="0" w:line="289"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Confidentiality</w:t>
      </w:r>
      <w:r>
        <w:rPr>
          <w:rFonts w:ascii="Arial" w:cs="Arial" w:eastAsia="Arial" w:hAnsi="Arial"/>
          <w:sz w:val="15"/>
          <w:szCs w:val="15"/>
          <w:color w:val="auto"/>
        </w:rPr>
        <w:t>. Each Purchaser agrees that such Purchaser will keep confidential and will not disclose, divulge, or use for any purpose (other than to monitor such Purchaser’s investment in the Company) any confidential information obtained from the Company or the</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00"/>
        <w:spacing w:after="0" w:line="278" w:lineRule="auto"/>
        <w:rPr>
          <w:sz w:val="20"/>
          <w:szCs w:val="20"/>
          <w:color w:val="auto"/>
        </w:rPr>
      </w:pPr>
      <w:r>
        <w:rPr>
          <w:rFonts w:ascii="Arial" w:cs="Arial" w:eastAsia="Arial" w:hAnsi="Arial"/>
          <w:sz w:val="14"/>
          <w:szCs w:val="14"/>
          <w:color w:val="auto"/>
        </w:rPr>
        <w:t xml:space="preserve">Project Company or any other affiliate of the Company or any representative of the Company, the Project Company or any affiliate of the Company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4"/>
          <w:szCs w:val="14"/>
          <w:u w:val="single" w:color="auto"/>
          <w:color w:val="auto"/>
        </w:rPr>
        <w:t>Section 1.14</w:t>
      </w:r>
      <w:r>
        <w:rPr>
          <w:rFonts w:ascii="Arial" w:cs="Arial" w:eastAsia="Arial" w:hAnsi="Arial"/>
          <w:sz w:val="14"/>
          <w:szCs w:val="14"/>
          <w:color w:val="auto"/>
        </w:rPr>
        <w:t xml:space="preserve"> by such Purchaser), (b) is or has been independently developed or conceived by such Purchaser without use of the confidential information of the Company, the Project Company or any affiliate of the Company, or (c) is or has been made known or disclosed to such Purchaser by a third party without a breach of any obligation of confidentiality such third party may have to the Company, the Project Company or any affiliate of the Company; provided, however, that a Purchaser may disclose confidential information (i) to its attorneys, accountants, consultants, and other professionals to the extent necessary to obtain their services in connection with monitoring such Purchaser’s investment in the Company;</w:t>
      </w:r>
    </w:p>
    <w:p>
      <w:pPr>
        <w:spacing w:after="0" w:line="3" w:lineRule="exact"/>
        <w:rPr>
          <w:sz w:val="20"/>
          <w:szCs w:val="20"/>
          <w:color w:val="auto"/>
        </w:rPr>
      </w:pPr>
    </w:p>
    <w:p>
      <w:pPr>
        <w:ind w:left="7" w:right="20" w:hanging="7"/>
        <w:spacing w:after="0" w:line="263" w:lineRule="auto"/>
        <w:tabs>
          <w:tab w:leader="none" w:pos="235" w:val="left"/>
        </w:tabs>
        <w:numPr>
          <w:ilvl w:val="0"/>
          <w:numId w:val="251"/>
        </w:numPr>
        <w:rPr>
          <w:rFonts w:ascii="Arial" w:cs="Arial" w:eastAsia="Arial" w:hAnsi="Arial"/>
          <w:sz w:val="15"/>
          <w:szCs w:val="15"/>
          <w:color w:val="auto"/>
        </w:rPr>
      </w:pPr>
      <w:r>
        <w:rPr>
          <w:rFonts w:ascii="Arial" w:cs="Arial" w:eastAsia="Arial" w:hAnsi="Arial"/>
          <w:sz w:val="15"/>
          <w:szCs w:val="15"/>
          <w:color w:val="auto"/>
        </w:rPr>
        <w:t xml:space="preserve">to any prospective transferee of such Purchaser permitted under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if such prospective transferee agrees to be bound by the provisions of this </w:t>
      </w:r>
      <w:r>
        <w:rPr>
          <w:rFonts w:ascii="Arial" w:cs="Arial" w:eastAsia="Arial" w:hAnsi="Arial"/>
          <w:sz w:val="15"/>
          <w:szCs w:val="15"/>
          <w:u w:val="single" w:color="auto"/>
          <w:color w:val="auto"/>
        </w:rPr>
        <w:t>Section 1.14</w:t>
      </w:r>
      <w:r>
        <w:rPr>
          <w:rFonts w:ascii="Arial" w:cs="Arial" w:eastAsia="Arial" w:hAnsi="Arial"/>
          <w:sz w:val="15"/>
          <w:szCs w:val="15"/>
          <w:color w:val="auto"/>
        </w:rPr>
        <w:t xml:space="preserve">; (iii) to any Affiliate (as defined in </w:t>
      </w:r>
      <w:r>
        <w:rPr>
          <w:rFonts w:ascii="Arial" w:cs="Arial" w:eastAsia="Arial" w:hAnsi="Arial"/>
          <w:sz w:val="15"/>
          <w:szCs w:val="15"/>
          <w:u w:val="single" w:color="auto"/>
          <w:color w:val="auto"/>
        </w:rPr>
        <w:t>Section 4.1</w:t>
      </w:r>
      <w:r>
        <w:rPr>
          <w:rFonts w:ascii="Arial" w:cs="Arial" w:eastAsia="Arial" w:hAnsi="Arial"/>
          <w:sz w:val="15"/>
          <w:szCs w:val="15"/>
          <w:color w:val="auto"/>
        </w:rPr>
        <w:t>) in the ordinary course of business, provided that such Purchaser informs such Affiliate that such information is confidential and directs such Affiliate to maintain the confidentiality of such information; or (iv) as may otherwise be required by law, provided that the Purchaser promptly notifies the Company of such disclosure and takes reasonable steps to minimize the extent of any such required disclosure.</w:t>
      </w:r>
    </w:p>
    <w:p>
      <w:pPr>
        <w:spacing w:after="0" w:line="160" w:lineRule="exact"/>
        <w:rPr>
          <w:sz w:val="20"/>
          <w:szCs w:val="20"/>
          <w:color w:val="auto"/>
        </w:rPr>
      </w:pPr>
    </w:p>
    <w:p>
      <w:pPr>
        <w:ind w:left="547" w:hanging="547"/>
        <w:spacing w:after="0"/>
        <w:tabs>
          <w:tab w:leader="none" w:pos="547" w:val="left"/>
        </w:tabs>
        <w:numPr>
          <w:ilvl w:val="0"/>
          <w:numId w:val="252"/>
        </w:numPr>
        <w:rPr>
          <w:rFonts w:ascii="Arial" w:cs="Arial" w:eastAsia="Arial" w:hAnsi="Arial"/>
          <w:sz w:val="15"/>
          <w:szCs w:val="15"/>
          <w:color w:val="auto"/>
        </w:rPr>
      </w:pPr>
      <w:r>
        <w:rPr>
          <w:rFonts w:ascii="Arial" w:cs="Arial" w:eastAsia="Arial" w:hAnsi="Arial"/>
          <w:sz w:val="15"/>
          <w:szCs w:val="15"/>
          <w:u w:val="single" w:color="auto"/>
          <w:color w:val="auto"/>
        </w:rPr>
        <w:t>Participation Rights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47"/>
        <w:spacing w:after="0"/>
        <w:rPr>
          <w:rFonts w:ascii="Arial" w:cs="Arial" w:eastAsia="Arial" w:hAnsi="Arial"/>
          <w:sz w:val="15"/>
          <w:szCs w:val="15"/>
          <w:color w:val="auto"/>
        </w:rPr>
      </w:pPr>
      <w:r>
        <w:rPr>
          <w:rFonts w:ascii="Arial" w:cs="Arial" w:eastAsia="Arial" w:hAnsi="Arial"/>
          <w:sz w:val="15"/>
          <w:szCs w:val="15"/>
          <w:color w:val="auto"/>
        </w:rPr>
        <w:t>2.1.</w:t>
      </w:r>
      <w:r>
        <w:rPr>
          <w:rFonts w:ascii="Arial" w:cs="Arial" w:eastAsia="Arial" w:hAnsi="Arial"/>
          <w:sz w:val="14"/>
          <w:szCs w:val="14"/>
          <w:u w:val="single" w:color="auto"/>
          <w:color w:val="auto"/>
        </w:rPr>
        <w:t>Definitions</w:t>
      </w:r>
      <w:r>
        <w:rPr>
          <w:rFonts w:ascii="Arial" w:cs="Arial" w:eastAsia="Arial" w:hAnsi="Arial"/>
          <w:sz w:val="14"/>
          <w:szCs w:val="14"/>
          <w:color w:val="auto"/>
        </w:rPr>
        <w:t>. As used in this</w:t>
      </w:r>
      <w:r>
        <w:rPr>
          <w:rFonts w:ascii="Arial" w:cs="Arial" w:eastAsia="Arial" w:hAnsi="Arial"/>
          <w:sz w:val="14"/>
          <w:szCs w:val="14"/>
          <w:u w:val="single" w:color="auto"/>
          <w:color w:val="auto"/>
        </w:rPr>
        <w:t xml:space="preserve"> Section 2</w:t>
      </w:r>
      <w:r>
        <w:rPr>
          <w:rFonts w:ascii="Arial" w:cs="Arial" w:eastAsia="Arial" w:hAnsi="Arial"/>
          <w:sz w:val="14"/>
          <w:szCs w:val="14"/>
          <w:color w:val="auto"/>
        </w:rPr>
        <w:t>, the following terms shall have the following meanings:</w:t>
      </w:r>
    </w:p>
    <w:p>
      <w:pPr>
        <w:spacing w:after="0" w:line="198" w:lineRule="exact"/>
        <w:rPr>
          <w:rFonts w:ascii="Arial" w:cs="Arial" w:eastAsia="Arial" w:hAnsi="Arial"/>
          <w:sz w:val="15"/>
          <w:szCs w:val="15"/>
          <w:color w:val="auto"/>
        </w:rPr>
      </w:pPr>
    </w:p>
    <w:p>
      <w:pPr>
        <w:ind w:left="7" w:right="20" w:firstLine="1104"/>
        <w:spacing w:after="0" w:line="277" w:lineRule="auto"/>
        <w:tabs>
          <w:tab w:leader="none" w:pos="1673" w:val="left"/>
        </w:tabs>
        <w:numPr>
          <w:ilvl w:val="1"/>
          <w:numId w:val="25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New Securities</w:t>
      </w:r>
      <w:r>
        <w:rPr>
          <w:rFonts w:ascii="Arial" w:cs="Arial" w:eastAsia="Arial" w:hAnsi="Arial"/>
          <w:sz w:val="14"/>
          <w:szCs w:val="14"/>
          <w:color w:val="auto"/>
        </w:rPr>
        <w:t>” means (i) any capital stock of the Company whether or not currently authorized, (ii) all rights, options, or warrants to purchase capital stock, and (iii) all securities of any type whatsoever that are, or may become, convertible into capital stock; provided, however, that the term “</w:t>
      </w:r>
      <w:r>
        <w:rPr>
          <w:rFonts w:ascii="Arial" w:cs="Arial" w:eastAsia="Arial" w:hAnsi="Arial"/>
          <w:sz w:val="14"/>
          <w:szCs w:val="14"/>
          <w:u w:val="single" w:color="auto"/>
          <w:color w:val="auto"/>
        </w:rPr>
        <w:t>New Securities</w:t>
      </w:r>
      <w:r>
        <w:rPr>
          <w:rFonts w:ascii="Arial" w:cs="Arial" w:eastAsia="Arial" w:hAnsi="Arial"/>
          <w:sz w:val="14"/>
          <w:szCs w:val="14"/>
          <w:color w:val="auto"/>
        </w:rPr>
        <w:t>” shall not include (1) the Series E Preferred Stock issued or to be issued pursuant to the Purchase Agreement or the shares of Common Stock issuable upon the conversion of the Senior Preferred Stock or Series SRN Preferred Stock; (2) those certain warrants to purchase Common Stock issued pursuant to (A) the Purchase Agreement or (B) that certain Securities Purchase Agreement by and among the Company and the other parties thereto, dated as of April 10, 2015, if any, or shares of Common Stock issued pursuant to the exercise of any such warrants; (3) shares of Common Stock, or options to purchase such shares, that are issued or granted to directors, employees or consultants of the Company pursuant to a stock incentive plan approved by the Board of Directors, including a majority of the Preferred Directors; (4) securities issued as a result of any stock split, stock dividend, or reclassification by the Company, distributable on a pro rata basis to all holders of such class of securities; (5) securities reissued to employees or consultants of the Company following the Company’s acquisition of such securities pursuant to restricted stock arrangements with individuals who have terminated their relationship with the Company or shares subject to options which have been cancelled;</w:t>
      </w:r>
    </w:p>
    <w:p>
      <w:pPr>
        <w:spacing w:after="0" w:line="5" w:lineRule="exact"/>
        <w:rPr>
          <w:rFonts w:ascii="Arial" w:cs="Arial" w:eastAsia="Arial" w:hAnsi="Arial"/>
          <w:sz w:val="14"/>
          <w:szCs w:val="14"/>
          <w:color w:val="auto"/>
        </w:rPr>
      </w:pPr>
    </w:p>
    <w:p>
      <w:pPr>
        <w:jc w:val="both"/>
        <w:ind w:left="7" w:right="480"/>
        <w:spacing w:after="0" w:line="266" w:lineRule="auto"/>
        <w:rPr>
          <w:rFonts w:ascii="Arial" w:cs="Arial" w:eastAsia="Arial" w:hAnsi="Arial"/>
          <w:sz w:val="14"/>
          <w:szCs w:val="14"/>
          <w:color w:val="auto"/>
        </w:rPr>
      </w:pPr>
      <w:r>
        <w:rPr>
          <w:rFonts w:ascii="Arial" w:cs="Arial" w:eastAsia="Arial" w:hAnsi="Arial"/>
          <w:sz w:val="15"/>
          <w:szCs w:val="15"/>
          <w:color w:val="auto"/>
        </w:rPr>
        <w:t>(6) securities issued to the Massachusetts Institute of Technology or persons designated by the Massachusetts Institute of Technology pursuant to the MIT License Agreement (as defined in the Purchase Agreement); (7) securities issued to a financing institution in connection with a commercial credit arrangement, equipment financing or similar financing arrangement approved by a majority of the Board of Directors, including a</w:t>
      </w:r>
    </w:p>
    <w:p>
      <w:pPr>
        <w:spacing w:after="0" w:line="15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20"/>
        <w:spacing w:after="0" w:line="327" w:lineRule="auto"/>
        <w:rPr>
          <w:sz w:val="20"/>
          <w:szCs w:val="20"/>
          <w:color w:val="auto"/>
        </w:rPr>
      </w:pPr>
      <w:r>
        <w:rPr>
          <w:rFonts w:ascii="Arial" w:cs="Arial" w:eastAsia="Arial" w:hAnsi="Arial"/>
          <w:sz w:val="14"/>
          <w:szCs w:val="14"/>
          <w:color w:val="auto"/>
        </w:rPr>
        <w:t>majority of the Preferred Directors; (8) securities issued in connection with the bona fide acquisition of a business, product or technology by the Corporation approved by a majority of the Board of Directors, including a majority of the Preferred Directors; and (9) securities issued in connection with any bona fide sponsored research, collaboration, joint venture,</w:t>
      </w:r>
    </w:p>
    <w:p>
      <w:pPr>
        <w:sectPr>
          <w:pgSz w:w="11900" w:h="16878" w:orient="portrait"/>
          <w:cols w:equalWidth="0" w:num="1">
            <w:col w:w="11447"/>
          </w:cols>
          <w:pgMar w:left="233" w:top="129" w:right="219" w:bottom="0" w:gutter="0" w:footer="0" w:header="0"/>
        </w:sectPr>
      </w:pPr>
    </w:p>
    <w:bookmarkStart w:id="321" w:name="page322"/>
    <w:bookmarkEnd w:id="321"/>
    <w:p>
      <w:pPr>
        <w:ind w:left="7" w:right="260"/>
        <w:spacing w:after="0" w:line="289" w:lineRule="auto"/>
        <w:rPr>
          <w:sz w:val="20"/>
          <w:szCs w:val="20"/>
          <w:color w:val="auto"/>
        </w:rPr>
      </w:pPr>
      <w:r>
        <w:rPr>
          <w:rFonts w:ascii="Arial" w:cs="Arial" w:eastAsia="Arial" w:hAnsi="Arial"/>
          <w:sz w:val="15"/>
          <w:szCs w:val="15"/>
          <w:color w:val="auto"/>
        </w:rPr>
        <w:t>technology license, development, OEM, marketing or other similar agreements or strategic partnerships approved by a majority of the Board of Directors, including a majority of the Preferred Directors.</w:t>
      </w:r>
    </w:p>
    <w:p>
      <w:pPr>
        <w:spacing w:after="0" w:line="141" w:lineRule="exact"/>
        <w:rPr>
          <w:sz w:val="20"/>
          <w:szCs w:val="20"/>
          <w:color w:val="auto"/>
        </w:rPr>
      </w:pPr>
    </w:p>
    <w:p>
      <w:pPr>
        <w:ind w:left="1667" w:hanging="556"/>
        <w:spacing w:after="0"/>
        <w:tabs>
          <w:tab w:leader="none" w:pos="1667" w:val="left"/>
        </w:tabs>
        <w:numPr>
          <w:ilvl w:val="0"/>
          <w:numId w:val="25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Purchaser</w:t>
      </w:r>
      <w:r>
        <w:rPr>
          <w:rFonts w:ascii="Arial" w:cs="Arial" w:eastAsia="Arial" w:hAnsi="Arial"/>
          <w:sz w:val="15"/>
          <w:szCs w:val="15"/>
          <w:color w:val="auto"/>
        </w:rPr>
        <w:t xml:space="preserve">” shall include, for the purposes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only, each Licensor Shareholder.</w:t>
      </w:r>
    </w:p>
    <w:p>
      <w:pPr>
        <w:spacing w:after="0" w:line="198" w:lineRule="exact"/>
        <w:rPr>
          <w:sz w:val="20"/>
          <w:szCs w:val="20"/>
          <w:color w:val="auto"/>
        </w:rPr>
      </w:pPr>
    </w:p>
    <w:p>
      <w:pPr>
        <w:ind w:left="7" w:right="120" w:firstLine="556"/>
        <w:spacing w:after="0" w:line="281"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Participation Right</w:t>
      </w:r>
      <w:r>
        <w:rPr>
          <w:rFonts w:ascii="Arial" w:cs="Arial" w:eastAsia="Arial" w:hAnsi="Arial"/>
          <w:sz w:val="14"/>
          <w:szCs w:val="14"/>
          <w:color w:val="auto"/>
        </w:rPr>
        <w:t>. Each Purchaser shall be entitled to purchase, on a pro rata basis, all or any part of New Securities which the Company may, from time to time, propose to sell and issue, subject to the terms and conditions set forth below. Each Purchaser’s pro rata share shall equal a fraction of the New Securities being issued, the numerator of which is the number of shares of Common Stock held or Common Stock issuable upon conversion of the Senior Preferred Stock or other convertible securities (other than the</w:t>
      </w:r>
    </w:p>
    <w:p>
      <w:pPr>
        <w:spacing w:after="0" w:line="1" w:lineRule="exact"/>
        <w:rPr>
          <w:sz w:val="20"/>
          <w:szCs w:val="20"/>
          <w:color w:val="auto"/>
        </w:rPr>
      </w:pPr>
    </w:p>
    <w:p>
      <w:pPr>
        <w:ind w:left="7" w:right="100"/>
        <w:spacing w:after="0" w:line="285" w:lineRule="auto"/>
        <w:rPr>
          <w:sz w:val="20"/>
          <w:szCs w:val="20"/>
          <w:color w:val="auto"/>
        </w:rPr>
      </w:pPr>
      <w:r>
        <w:rPr>
          <w:rFonts w:ascii="Arial" w:cs="Arial" w:eastAsia="Arial" w:hAnsi="Arial"/>
          <w:sz w:val="14"/>
          <w:szCs w:val="14"/>
          <w:color w:val="auto"/>
        </w:rPr>
        <w:t xml:space="preserve">Series SRN Preferred Stock and disregarding the special conversion ratios set forth in Section 3.3(a)(i)(1) or Section 3.3(b)(i)(2) of the Company Charter in effect on the date hereof) then held by such Purchaser, and the denominator of which is the total number of shares of Common Stock then outstanding plus the number of shares of Common Stock issuable upon conversion of then outstanding Senior Preferred Stock or other convertible securities then outstanding (other than the Series SRN Preferred Stock and disregarding the special conversion ratios set forth in Section 3.3(a)(i)(1) or Section 3.3(b)(i)(2) of the Company Charter in effect on the date hereof). For the purposes of this </w:t>
      </w:r>
      <w:r>
        <w:rPr>
          <w:rFonts w:ascii="Arial" w:cs="Arial" w:eastAsia="Arial" w:hAnsi="Arial"/>
          <w:sz w:val="14"/>
          <w:szCs w:val="14"/>
          <w:u w:val="single" w:color="auto"/>
          <w:color w:val="auto"/>
        </w:rPr>
        <w:t>Section 2</w:t>
      </w:r>
      <w:r>
        <w:rPr>
          <w:rFonts w:ascii="Arial" w:cs="Arial" w:eastAsia="Arial" w:hAnsi="Arial"/>
          <w:sz w:val="14"/>
          <w:szCs w:val="14"/>
          <w:color w:val="auto"/>
        </w:rPr>
        <w:t>, a Purchaser may apportion its pro rata share among itself and any of its general partners, officers, and other affiliates in such proportions as it deems appropriate.</w:t>
      </w:r>
    </w:p>
    <w:p>
      <w:pPr>
        <w:spacing w:after="0" w:line="146" w:lineRule="exact"/>
        <w:rPr>
          <w:sz w:val="20"/>
          <w:szCs w:val="20"/>
          <w:color w:val="auto"/>
        </w:rPr>
      </w:pPr>
    </w:p>
    <w:p>
      <w:pPr>
        <w:ind w:left="7" w:right="100" w:firstLine="556"/>
        <w:spacing w:after="0" w:line="284"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Exercise of Right</w:t>
      </w:r>
      <w:r>
        <w:rPr>
          <w:rFonts w:ascii="Arial" w:cs="Arial" w:eastAsia="Arial" w:hAnsi="Arial"/>
          <w:sz w:val="14"/>
          <w:szCs w:val="14"/>
          <w:color w:val="auto"/>
        </w:rPr>
        <w:t>. In the event the Company intends to issue New Securities, it shall give each Purchaser written notice of such intention, describing the type of New Securities to be issued, the price thereof, and the general terms upon which the Company proposes to effect such issuance (the “</w:t>
      </w:r>
      <w:r>
        <w:rPr>
          <w:rFonts w:ascii="Arial" w:cs="Arial" w:eastAsia="Arial" w:hAnsi="Arial"/>
          <w:sz w:val="14"/>
          <w:szCs w:val="14"/>
          <w:u w:val="single" w:color="auto"/>
          <w:color w:val="auto"/>
        </w:rPr>
        <w:t>Sale Notice</w:t>
      </w:r>
      <w:r>
        <w:rPr>
          <w:rFonts w:ascii="Arial" w:cs="Arial" w:eastAsia="Arial" w:hAnsi="Arial"/>
          <w:sz w:val="14"/>
          <w:szCs w:val="14"/>
          <w:color w:val="auto"/>
        </w:rPr>
        <w:t>”). Each Purchaser shall have twenty (20) days from the date of the delivery of any Sale Notice to agree to purchase all or part of its pro rata share of such New Securities for the price and upon the general terms and conditions specified in the Sale Notice by giving written notice to the Company stating the quantity of New Securities to be so purchased (“</w:t>
      </w:r>
      <w:r>
        <w:rPr>
          <w:rFonts w:ascii="Arial" w:cs="Arial" w:eastAsia="Arial" w:hAnsi="Arial"/>
          <w:sz w:val="14"/>
          <w:szCs w:val="14"/>
          <w:u w:val="single" w:color="auto"/>
          <w:color w:val="auto"/>
        </w:rPr>
        <w:t>Exercise Notice</w:t>
      </w:r>
      <w:r>
        <w:rPr>
          <w:rFonts w:ascii="Arial" w:cs="Arial" w:eastAsia="Arial" w:hAnsi="Arial"/>
          <w:sz w:val="14"/>
          <w:szCs w:val="14"/>
          <w:color w:val="auto"/>
        </w:rPr>
        <w:t xml:space="preserve">”); provided, however, that in the event that the transaction described in a Sale Notice involves in whole or in part the payment of non-cash consideration, or the payment of consideration over time, the Purchasers shall have the right to elect, upon exercise of their rights set forth in this </w:t>
      </w:r>
      <w:r>
        <w:rPr>
          <w:rFonts w:ascii="Arial" w:cs="Arial" w:eastAsia="Arial" w:hAnsi="Arial"/>
          <w:sz w:val="14"/>
          <w:szCs w:val="14"/>
          <w:u w:val="single" w:color="auto"/>
          <w:color w:val="auto"/>
        </w:rPr>
        <w:t>Section 2</w:t>
      </w:r>
      <w:r>
        <w:rPr>
          <w:rFonts w:ascii="Arial" w:cs="Arial" w:eastAsia="Arial" w:hAnsi="Arial"/>
          <w:sz w:val="14"/>
          <w:szCs w:val="14"/>
          <w:color w:val="auto"/>
        </w:rPr>
        <w:t>, to pay to the Company in full consideration for the New Securities the present cash value of the consideration described in the Sale Notice as determined by the Board of Directors of the Company in good faith.</w:t>
      </w:r>
    </w:p>
    <w:p>
      <w:pPr>
        <w:spacing w:after="0" w:line="149" w:lineRule="exact"/>
        <w:rPr>
          <w:sz w:val="20"/>
          <w:szCs w:val="20"/>
          <w:color w:val="auto"/>
        </w:rPr>
      </w:pPr>
    </w:p>
    <w:p>
      <w:pPr>
        <w:ind w:left="7" w:right="120" w:firstLine="556"/>
        <w:spacing w:after="0" w:line="268"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Overallotment</w:t>
      </w:r>
      <w:r>
        <w:rPr>
          <w:rFonts w:ascii="Arial" w:cs="Arial" w:eastAsia="Arial" w:hAnsi="Arial"/>
          <w:sz w:val="15"/>
          <w:szCs w:val="15"/>
          <w:color w:val="auto"/>
        </w:rPr>
        <w:t>. In the event any Purchaser fails to exercise its right to purchase its pro rata share of New Securities, each Purchaser who delivered an Exercise Notice for such Purchaser’s total pro rata share of New Securities (an “</w:t>
      </w:r>
      <w:r>
        <w:rPr>
          <w:rFonts w:ascii="Arial" w:cs="Arial" w:eastAsia="Arial" w:hAnsi="Arial"/>
          <w:sz w:val="15"/>
          <w:szCs w:val="15"/>
          <w:u w:val="single" w:color="auto"/>
          <w:color w:val="auto"/>
        </w:rPr>
        <w:t>Overallotment Purchaser</w:t>
      </w:r>
      <w:r>
        <w:rPr>
          <w:rFonts w:ascii="Arial" w:cs="Arial" w:eastAsia="Arial" w:hAnsi="Arial"/>
          <w:sz w:val="15"/>
          <w:szCs w:val="15"/>
          <w:color w:val="auto"/>
        </w:rPr>
        <w:t>”) shall have a right to purchase such Overallotment Purchaser’s pro rata share of the New Securities with respect to which Purchasers have failed to exercise their rights hereunder (“</w:t>
      </w:r>
      <w:r>
        <w:rPr>
          <w:rFonts w:ascii="Arial" w:cs="Arial" w:eastAsia="Arial" w:hAnsi="Arial"/>
          <w:sz w:val="15"/>
          <w:szCs w:val="15"/>
          <w:u w:val="single" w:color="auto"/>
          <w:color w:val="auto"/>
        </w:rPr>
        <w:t>Remaining New Securities</w:t>
      </w:r>
      <w:r>
        <w:rPr>
          <w:rFonts w:ascii="Arial" w:cs="Arial" w:eastAsia="Arial" w:hAnsi="Arial"/>
          <w:sz w:val="15"/>
          <w:szCs w:val="15"/>
          <w:color w:val="auto"/>
        </w:rPr>
        <w:t>”). In such case, within twenty five (25) days after the delivery of the Sale Notice, the Company shall provide written notice (“</w:t>
      </w:r>
      <w:r>
        <w:rPr>
          <w:rFonts w:ascii="Arial" w:cs="Arial" w:eastAsia="Arial" w:hAnsi="Arial"/>
          <w:sz w:val="15"/>
          <w:szCs w:val="15"/>
          <w:u w:val="single" w:color="auto"/>
          <w:color w:val="auto"/>
        </w:rPr>
        <w:t>Overallotment Notice</w:t>
      </w:r>
      <w:r>
        <w:rPr>
          <w:rFonts w:ascii="Arial" w:cs="Arial" w:eastAsia="Arial" w:hAnsi="Arial"/>
          <w:sz w:val="15"/>
          <w:szCs w:val="15"/>
          <w:color w:val="auto"/>
        </w:rPr>
        <w:t>”) to each Overallotment</w:t>
      </w:r>
    </w:p>
    <w:p>
      <w:pPr>
        <w:spacing w:after="0" w:line="15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line="265" w:lineRule="auto"/>
        <w:rPr>
          <w:sz w:val="20"/>
          <w:szCs w:val="20"/>
          <w:color w:val="auto"/>
        </w:rPr>
      </w:pPr>
      <w:r>
        <w:rPr>
          <w:rFonts w:ascii="Arial" w:cs="Arial" w:eastAsia="Arial" w:hAnsi="Arial"/>
          <w:sz w:val="15"/>
          <w:szCs w:val="15"/>
          <w:color w:val="auto"/>
        </w:rPr>
        <w:t xml:space="preserve">Purchaser, which shall state the total amount of Remaining New Securities, and the pro rata portion of such Remaining New Securities which each Overallotment Purchaser is entitled to purchase. Each Overallotment Purchaser wishing to purchase any Remaining New Securities shall amend such Overallotment Purchaser’s Exercise Notice in writing within five (5) days from the date of delivery of the Overallotment Notice. For the purpose of this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an Overallotment Purchaser’s pro rata share of the Remaining New Securities shall be calculated as provided in </w:t>
      </w:r>
      <w:r>
        <w:rPr>
          <w:rFonts w:ascii="Arial" w:cs="Arial" w:eastAsia="Arial" w:hAnsi="Arial"/>
          <w:sz w:val="15"/>
          <w:szCs w:val="15"/>
          <w:u w:val="single" w:color="auto"/>
          <w:color w:val="auto"/>
        </w:rPr>
        <w:t>Section 2.2</w:t>
      </w:r>
      <w:r>
        <w:rPr>
          <w:rFonts w:ascii="Arial" w:cs="Arial" w:eastAsia="Arial" w:hAnsi="Arial"/>
          <w:sz w:val="15"/>
          <w:szCs w:val="15"/>
          <w:color w:val="auto"/>
        </w:rPr>
        <w:t>, except that the denominator of the fraction shall be the total number of shares of Common Stock issued or issuable upon conversion of shares of Senior Preferred Stock held by all of the Overallotment Purchasers.</w:t>
      </w:r>
    </w:p>
    <w:p>
      <w:pPr>
        <w:spacing w:after="0" w:line="160" w:lineRule="exact"/>
        <w:rPr>
          <w:sz w:val="20"/>
          <w:szCs w:val="20"/>
          <w:color w:val="auto"/>
        </w:rPr>
      </w:pPr>
    </w:p>
    <w:p>
      <w:pPr>
        <w:ind w:left="7" w:right="40" w:firstLine="556"/>
        <w:spacing w:after="0" w:line="304"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Closing</w:t>
      </w:r>
      <w:r>
        <w:rPr>
          <w:rFonts w:ascii="Arial" w:cs="Arial" w:eastAsia="Arial" w:hAnsi="Arial"/>
          <w:sz w:val="13"/>
          <w:szCs w:val="13"/>
          <w:color w:val="auto"/>
        </w:rPr>
        <w:t>. The closing of the purchase of New Securities by the Purchasers exercising their rights hereunder (“</w:t>
      </w:r>
      <w:r>
        <w:rPr>
          <w:rFonts w:ascii="Arial" w:cs="Arial" w:eastAsia="Arial" w:hAnsi="Arial"/>
          <w:sz w:val="13"/>
          <w:szCs w:val="13"/>
          <w:u w:val="single" w:color="auto"/>
          <w:color w:val="auto"/>
        </w:rPr>
        <w:t>Participating Purchasers</w:t>
      </w:r>
      <w:r>
        <w:rPr>
          <w:rFonts w:ascii="Arial" w:cs="Arial" w:eastAsia="Arial" w:hAnsi="Arial"/>
          <w:sz w:val="13"/>
          <w:szCs w:val="13"/>
          <w:color w:val="auto"/>
        </w:rPr>
        <w:t>”) shall take place at such location, date and time as the parties purchasing such New Securities shall agree. At the closing, the Company shall deliver to the Participating Purchasers certificates representing all of the New Securities purchased and such other agreements executed by the Company which grant any rights or privileges to the Participating Purchasers as are being granted to the other purchasers in such issuance, and in any event, at the request of the Participating Purchasers, a duly executed certificate reasonably satisfactory to the Participating Purchasers containing a representation and warranty that, upon issuance or transfer of such securities to the Participating Purchasers, the Participating Purchasers will be the legal and beneficial owners of such securities with good title thereto, free and clear of all mortgages, liens, charges, security interests, adverse claims, pledges, encumbrances and demands whatsoever, and that the Company has the absolute right to issue or transfer such securities to the Participating Purchasers without the consent or approval of any other person. At the closing, the Participating Purchasers shall deliver to the Company payment for the New Securities and such agreements executed by the other purchasers in such issuance which include representations by such purchasers to the Company or restrict such purchaser’s rights with respect to the New Securities, and, at the request of the Company, a duly executed certificate reasonably satisfactory to the Company containing such representations and warranties of the Participating Purchasers with respect to federal and state securities laws. The certificates representing the equity securities may contain a legend stating that they are issued subject to the registration requirements of the Securities Act of 1933, as amended, and applicable state securities laws.</w:t>
      </w:r>
    </w:p>
    <w:p>
      <w:pPr>
        <w:spacing w:after="0" w:line="141" w:lineRule="exact"/>
        <w:rPr>
          <w:sz w:val="20"/>
          <w:szCs w:val="20"/>
          <w:color w:val="auto"/>
        </w:rPr>
      </w:pPr>
    </w:p>
    <w:p>
      <w:pPr>
        <w:ind w:left="7" w:right="140" w:firstLine="556"/>
        <w:spacing w:after="0" w:line="265"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Failure to Exercise Right</w:t>
      </w:r>
      <w:r>
        <w:rPr>
          <w:rFonts w:ascii="Arial" w:cs="Arial" w:eastAsia="Arial" w:hAnsi="Arial"/>
          <w:sz w:val="15"/>
          <w:szCs w:val="15"/>
          <w:color w:val="auto"/>
        </w:rPr>
        <w:t xml:space="preserve">. In the event the Purchasers fail to fully exercise the foregoing participation right with respect to any New Securities within the periods specified by </w:t>
      </w:r>
      <w:r>
        <w:rPr>
          <w:rFonts w:ascii="Arial" w:cs="Arial" w:eastAsia="Arial" w:hAnsi="Arial"/>
          <w:sz w:val="15"/>
          <w:szCs w:val="15"/>
          <w:u w:val="single" w:color="auto"/>
          <w:color w:val="auto"/>
        </w:rPr>
        <w:t>Sections 2.3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2.4</w:t>
      </w:r>
      <w:r>
        <w:rPr>
          <w:rFonts w:ascii="Arial" w:cs="Arial" w:eastAsia="Arial" w:hAnsi="Arial"/>
          <w:sz w:val="15"/>
          <w:szCs w:val="15"/>
          <w:color w:val="auto"/>
        </w:rPr>
        <w:t xml:space="preserve"> above, the Company may within one hundred twenty (120) days after the delivery of the Sale Notice sell any or all of such New Securities not agreed to be purchased by the Purchasers, at a price and upon general terms no more favorable to the purchasers thereof than specified in the Sale Notice. In the event the Company has not closed the sale of such New Securities within such 120-day period, the Company shall not thereafter issue or sell any New Securities without first offering such New Securities to the Purchasers in the manner provided in </w:t>
      </w:r>
      <w:r>
        <w:rPr>
          <w:rFonts w:ascii="Arial" w:cs="Arial" w:eastAsia="Arial" w:hAnsi="Arial"/>
          <w:sz w:val="15"/>
          <w:szCs w:val="15"/>
          <w:u w:val="single" w:color="auto"/>
          <w:color w:val="auto"/>
        </w:rPr>
        <w:t>Section 2.3</w:t>
      </w:r>
      <w:r>
        <w:rPr>
          <w:rFonts w:ascii="Arial" w:cs="Arial" w:eastAsia="Arial" w:hAnsi="Arial"/>
          <w:sz w:val="15"/>
          <w:szCs w:val="15"/>
          <w:color w:val="auto"/>
        </w:rPr>
        <w:t>.</w:t>
      </w:r>
    </w:p>
    <w:p>
      <w:pPr>
        <w:spacing w:after="0" w:line="160" w:lineRule="exact"/>
        <w:rPr>
          <w:sz w:val="20"/>
          <w:szCs w:val="20"/>
          <w:color w:val="auto"/>
        </w:rPr>
      </w:pPr>
    </w:p>
    <w:p>
      <w:pPr>
        <w:jc w:val="both"/>
        <w:ind w:left="7" w:right="340" w:firstLine="556"/>
        <w:spacing w:after="0" w:line="273"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Waiver and Termination of Participation Rights</w:t>
      </w:r>
      <w:r>
        <w:rPr>
          <w:rFonts w:ascii="Arial" w:cs="Arial" w:eastAsia="Arial" w:hAnsi="Arial"/>
          <w:sz w:val="15"/>
          <w:szCs w:val="15"/>
          <w:color w:val="auto"/>
        </w:rPr>
        <w:t xml:space="preserve">. The participation rights established in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may be waived with and only with the written consent of the Company and the Purchasers holding at least sixty-six and two-thirds percent (66 2/3 %) of the Registrable Securities (as defined below) held by all Purchasers (which waiver shall apply to all</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 xml:space="preserve">Purchasers holding Registrable Securities, it being agreed that a waiver of the provisions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with respect to a particular transaction shall be deemed to apply to all Purchasers if such waiver does so by its terms, notwithstanding the fact that certain Purchasers may nonetheless, by agreement with the Company, purchase securities in such transaction). The provisions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shall not apply to, and shall terminate immediately prior to the execution of, (i) a firm commitment underwritten public offering pursuant to an effective registration statement under the Act (as defined below) covering the offer and sale of the Company’s Common Stock to the public, for the account of the Company, and having an aggregate offering price to the public of not less than $30,000,000 (a “</w:t>
      </w:r>
      <w:r>
        <w:rPr>
          <w:rFonts w:ascii="Arial" w:cs="Arial" w:eastAsia="Arial" w:hAnsi="Arial"/>
          <w:sz w:val="15"/>
          <w:szCs w:val="15"/>
          <w:u w:val="single" w:color="auto"/>
          <w:color w:val="auto"/>
        </w:rPr>
        <w:t>Qualified Public Offering</w:t>
      </w:r>
      <w:r>
        <w:rPr>
          <w:rFonts w:ascii="Arial" w:cs="Arial" w:eastAsia="Arial" w:hAnsi="Arial"/>
          <w:sz w:val="15"/>
          <w:szCs w:val="15"/>
          <w:color w:val="auto"/>
        </w:rPr>
        <w:t>”) and (ii) a transaction that qualifies as a liquidation, dissolution or winding up of the affairs of the Company under the Company Charter, as it may be amended from time to time.</w:t>
      </w:r>
    </w:p>
    <w:p>
      <w:pPr>
        <w:spacing w:after="0" w:line="159" w:lineRule="exact"/>
        <w:rPr>
          <w:sz w:val="20"/>
          <w:szCs w:val="20"/>
          <w:color w:val="auto"/>
        </w:rPr>
      </w:pPr>
    </w:p>
    <w:p>
      <w:pPr>
        <w:ind w:left="547" w:hanging="547"/>
        <w:spacing w:after="0"/>
        <w:tabs>
          <w:tab w:leader="none" w:pos="547" w:val="left"/>
        </w:tabs>
        <w:numPr>
          <w:ilvl w:val="0"/>
          <w:numId w:val="254"/>
        </w:numPr>
        <w:rPr>
          <w:rFonts w:ascii="Arial" w:cs="Arial" w:eastAsia="Arial" w:hAnsi="Arial"/>
          <w:sz w:val="15"/>
          <w:szCs w:val="15"/>
          <w:color w:val="auto"/>
        </w:rPr>
      </w:pPr>
      <w:r>
        <w:rPr>
          <w:rFonts w:ascii="Arial" w:cs="Arial" w:eastAsia="Arial" w:hAnsi="Arial"/>
          <w:sz w:val="15"/>
          <w:szCs w:val="15"/>
          <w:u w:val="single" w:color="auto"/>
          <w:color w:val="auto"/>
        </w:rPr>
        <w:t>Registration Rights</w:t>
      </w:r>
      <w:r>
        <w:rPr>
          <w:rFonts w:ascii="Arial" w:cs="Arial" w:eastAsia="Arial" w:hAnsi="Arial"/>
          <w:sz w:val="15"/>
          <w:szCs w:val="15"/>
          <w:color w:val="auto"/>
        </w:rPr>
        <w:t>. The Company covenants and agrees as follows:</w:t>
      </w:r>
    </w:p>
    <w:p>
      <w:pPr>
        <w:spacing w:after="0" w:line="198" w:lineRule="exact"/>
        <w:rPr>
          <w:rFonts w:ascii="Arial" w:cs="Arial" w:eastAsia="Arial" w:hAnsi="Arial"/>
          <w:sz w:val="15"/>
          <w:szCs w:val="15"/>
          <w:color w:val="auto"/>
        </w:rPr>
      </w:pPr>
    </w:p>
    <w:p>
      <w:pPr>
        <w:ind w:left="547"/>
        <w:spacing w:after="0"/>
        <w:rPr>
          <w:rFonts w:ascii="Arial" w:cs="Arial" w:eastAsia="Arial" w:hAnsi="Arial"/>
          <w:sz w:val="15"/>
          <w:szCs w:val="15"/>
          <w:color w:val="auto"/>
        </w:rPr>
      </w:pPr>
      <w:r>
        <w:rPr>
          <w:rFonts w:ascii="Arial" w:cs="Arial" w:eastAsia="Arial" w:hAnsi="Arial"/>
          <w:sz w:val="15"/>
          <w:szCs w:val="15"/>
          <w:color w:val="auto"/>
        </w:rPr>
        <w:t>3.1.</w:t>
      </w:r>
      <w:r>
        <w:rPr>
          <w:rFonts w:ascii="Arial" w:cs="Arial" w:eastAsia="Arial" w:hAnsi="Arial"/>
          <w:sz w:val="14"/>
          <w:szCs w:val="14"/>
          <w:u w:val="single" w:color="auto"/>
          <w:color w:val="auto"/>
        </w:rPr>
        <w:t>Definitions</w:t>
      </w:r>
      <w:r>
        <w:rPr>
          <w:rFonts w:ascii="Arial" w:cs="Arial" w:eastAsia="Arial" w:hAnsi="Arial"/>
          <w:sz w:val="14"/>
          <w:szCs w:val="14"/>
          <w:color w:val="auto"/>
        </w:rPr>
        <w:t>. As used in</w:t>
      </w:r>
      <w:r>
        <w:rPr>
          <w:rFonts w:ascii="Arial" w:cs="Arial" w:eastAsia="Arial" w:hAnsi="Arial"/>
          <w:sz w:val="14"/>
          <w:szCs w:val="14"/>
          <w:u w:val="single" w:color="auto"/>
          <w:color w:val="auto"/>
        </w:rPr>
        <w:t xml:space="preserve"> Section 2 </w:t>
      </w:r>
      <w:r>
        <w:rPr>
          <w:rFonts w:ascii="Arial" w:cs="Arial" w:eastAsia="Arial" w:hAnsi="Arial"/>
          <w:sz w:val="14"/>
          <w:szCs w:val="14"/>
          <w:color w:val="auto"/>
        </w:rPr>
        <w:t>and this</w:t>
      </w:r>
      <w:r>
        <w:rPr>
          <w:rFonts w:ascii="Arial" w:cs="Arial" w:eastAsia="Arial" w:hAnsi="Arial"/>
          <w:sz w:val="14"/>
          <w:szCs w:val="14"/>
          <w:u w:val="single" w:color="auto"/>
          <w:color w:val="auto"/>
        </w:rPr>
        <w:t xml:space="preserve"> Section 3</w:t>
      </w:r>
      <w:r>
        <w:rPr>
          <w:rFonts w:ascii="Arial" w:cs="Arial" w:eastAsia="Arial" w:hAnsi="Arial"/>
          <w:sz w:val="14"/>
          <w:szCs w:val="14"/>
          <w:color w:val="auto"/>
        </w:rPr>
        <w:t>, the following terms shall have the following meanings:</w:t>
      </w:r>
    </w:p>
    <w:p>
      <w:pPr>
        <w:spacing w:after="0" w:line="198" w:lineRule="exact"/>
        <w:rPr>
          <w:rFonts w:ascii="Arial" w:cs="Arial" w:eastAsia="Arial" w:hAnsi="Arial"/>
          <w:sz w:val="15"/>
          <w:szCs w:val="15"/>
          <w:color w:val="auto"/>
        </w:rPr>
      </w:pPr>
    </w:p>
    <w:p>
      <w:pPr>
        <w:ind w:left="1667" w:hanging="556"/>
        <w:spacing w:after="0"/>
        <w:tabs>
          <w:tab w:leader="none" w:pos="1667" w:val="left"/>
        </w:tabs>
        <w:numPr>
          <w:ilvl w:val="1"/>
          <w:numId w:val="25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1934 Act</w:t>
      </w:r>
      <w:r>
        <w:rPr>
          <w:rFonts w:ascii="Arial" w:cs="Arial" w:eastAsia="Arial" w:hAnsi="Arial"/>
          <w:sz w:val="15"/>
          <w:szCs w:val="15"/>
          <w:color w:val="auto"/>
        </w:rPr>
        <w:t>” shall mean the Securities Exchange Act of 1934, as amended.</w:t>
      </w:r>
    </w:p>
    <w:p>
      <w:pPr>
        <w:spacing w:after="0" w:line="198" w:lineRule="exact"/>
        <w:rPr>
          <w:rFonts w:ascii="Arial" w:cs="Arial" w:eastAsia="Arial" w:hAnsi="Arial"/>
          <w:sz w:val="15"/>
          <w:szCs w:val="15"/>
          <w:color w:val="auto"/>
        </w:rPr>
      </w:pPr>
    </w:p>
    <w:p>
      <w:pPr>
        <w:ind w:left="1667" w:hanging="556"/>
        <w:spacing w:after="0"/>
        <w:tabs>
          <w:tab w:leader="none" w:pos="1667" w:val="left"/>
        </w:tabs>
        <w:numPr>
          <w:ilvl w:val="1"/>
          <w:numId w:val="25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Act</w:t>
      </w:r>
      <w:r>
        <w:rPr>
          <w:rFonts w:ascii="Arial" w:cs="Arial" w:eastAsia="Arial" w:hAnsi="Arial"/>
          <w:sz w:val="15"/>
          <w:szCs w:val="15"/>
          <w:color w:val="auto"/>
        </w:rPr>
        <w:t>” means the Securities Act of 1933, as amended.</w:t>
      </w:r>
    </w:p>
    <w:p>
      <w:pPr>
        <w:spacing w:after="0" w:line="198" w:lineRule="exact"/>
        <w:rPr>
          <w:rFonts w:ascii="Arial" w:cs="Arial" w:eastAsia="Arial" w:hAnsi="Arial"/>
          <w:sz w:val="15"/>
          <w:szCs w:val="15"/>
          <w:color w:val="auto"/>
        </w:rPr>
      </w:pPr>
    </w:p>
    <w:p>
      <w:pPr>
        <w:ind w:left="7" w:right="260" w:firstLine="1104"/>
        <w:spacing w:after="0" w:line="289" w:lineRule="auto"/>
        <w:tabs>
          <w:tab w:leader="none" w:pos="1684" w:val="left"/>
        </w:tabs>
        <w:numPr>
          <w:ilvl w:val="1"/>
          <w:numId w:val="25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Form S-1</w:t>
      </w:r>
      <w:r>
        <w:rPr>
          <w:rFonts w:ascii="Arial" w:cs="Arial" w:eastAsia="Arial" w:hAnsi="Arial"/>
          <w:sz w:val="15"/>
          <w:szCs w:val="15"/>
          <w:color w:val="auto"/>
        </w:rPr>
        <w:t>” means such form under the Act as in effect on the date hereof, or any registration form under the Act subsequently adopted by the SEC which permits the registration of securities under the Act for which no other form is authorized or prescribed.</w:t>
      </w:r>
    </w:p>
    <w:p>
      <w:pPr>
        <w:spacing w:after="0" w:line="140" w:lineRule="exact"/>
        <w:rPr>
          <w:rFonts w:ascii="Arial" w:cs="Arial" w:eastAsia="Arial" w:hAnsi="Arial"/>
          <w:sz w:val="15"/>
          <w:szCs w:val="15"/>
          <w:color w:val="auto"/>
        </w:rPr>
      </w:pPr>
    </w:p>
    <w:p>
      <w:pPr>
        <w:ind w:left="7" w:right="300" w:firstLine="1104"/>
        <w:spacing w:after="0" w:line="289" w:lineRule="auto"/>
        <w:tabs>
          <w:tab w:leader="none" w:pos="1681" w:val="left"/>
        </w:tabs>
        <w:numPr>
          <w:ilvl w:val="1"/>
          <w:numId w:val="25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Form S-3</w:t>
      </w:r>
      <w:r>
        <w:rPr>
          <w:rFonts w:ascii="Arial" w:cs="Arial" w:eastAsia="Arial" w:hAnsi="Arial"/>
          <w:sz w:val="15"/>
          <w:szCs w:val="15"/>
          <w:color w:val="auto"/>
        </w:rPr>
        <w:t>” means such form under the Act as in effect on the date hereof or any registration form under the Act subsequently adopted by the SEC which permits inclusion or incorporation of substantial information by reference to other documents filed by the Company with the SEC.</w:t>
      </w:r>
    </w:p>
    <w:p>
      <w:pPr>
        <w:spacing w:after="0" w:line="140" w:lineRule="exact"/>
        <w:rPr>
          <w:rFonts w:ascii="Arial" w:cs="Arial" w:eastAsia="Arial" w:hAnsi="Arial"/>
          <w:sz w:val="15"/>
          <w:szCs w:val="15"/>
          <w:color w:val="auto"/>
        </w:rPr>
      </w:pPr>
    </w:p>
    <w:p>
      <w:pPr>
        <w:ind w:left="7" w:right="180" w:firstLine="1104"/>
        <w:spacing w:after="0" w:line="289" w:lineRule="auto"/>
        <w:tabs>
          <w:tab w:leader="none" w:pos="1684" w:val="left"/>
        </w:tabs>
        <w:numPr>
          <w:ilvl w:val="1"/>
          <w:numId w:val="25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Preferred Stock Holder</w:t>
      </w:r>
      <w:r>
        <w:rPr>
          <w:rFonts w:ascii="Arial" w:cs="Arial" w:eastAsia="Arial" w:hAnsi="Arial"/>
          <w:sz w:val="15"/>
          <w:szCs w:val="15"/>
          <w:color w:val="auto"/>
        </w:rPr>
        <w:t xml:space="preserve">” means (i) a Purchaser and any persons or entities to whom the rights granted under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are transferred by the Purchaser and (ii) their successors or assigns as permitted under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below.</w:t>
      </w:r>
    </w:p>
    <w:p>
      <w:pPr>
        <w:spacing w:after="0" w:line="140" w:lineRule="exact"/>
        <w:rPr>
          <w:rFonts w:ascii="Arial" w:cs="Arial" w:eastAsia="Arial" w:hAnsi="Arial"/>
          <w:sz w:val="15"/>
          <w:szCs w:val="15"/>
          <w:color w:val="auto"/>
        </w:rPr>
      </w:pPr>
    </w:p>
    <w:p>
      <w:pPr>
        <w:ind w:left="1667" w:hanging="556"/>
        <w:spacing w:after="0"/>
        <w:tabs>
          <w:tab w:leader="none" w:pos="1667" w:val="left"/>
        </w:tabs>
        <w:numPr>
          <w:ilvl w:val="1"/>
          <w:numId w:val="25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Holders</w:t>
      </w:r>
      <w:r>
        <w:rPr>
          <w:rFonts w:ascii="Arial" w:cs="Arial" w:eastAsia="Arial" w:hAnsi="Arial"/>
          <w:sz w:val="14"/>
          <w:szCs w:val="14"/>
          <w:color w:val="auto"/>
        </w:rPr>
        <w:t xml:space="preserve">” means any person owning or having the right to acquire Registrable Securities or any assignee thereof in accordance with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below.</w:t>
      </w:r>
    </w:p>
    <w:p>
      <w:pPr>
        <w:sectPr>
          <w:pgSz w:w="11900" w:h="16838" w:orient="portrait"/>
          <w:cols w:equalWidth="0" w:num="1">
            <w:col w:w="11447"/>
          </w:cols>
          <w:pgMar w:left="233" w:top="129" w:right="219" w:bottom="0" w:gutter="0" w:footer="0" w:header="0"/>
        </w:sectPr>
      </w:pPr>
    </w:p>
    <w:bookmarkStart w:id="322" w:name="page323"/>
    <w:bookmarkEnd w:id="322"/>
    <w:p>
      <w:pPr>
        <w:spacing w:after="0" w:line="17" w:lineRule="exact"/>
        <w:rPr>
          <w:sz w:val="20"/>
          <w:szCs w:val="20"/>
          <w:color w:val="auto"/>
        </w:rPr>
      </w:pPr>
    </w:p>
    <w:p>
      <w:pPr>
        <w:ind w:right="20" w:firstLine="1104"/>
        <w:spacing w:after="0" w:line="264" w:lineRule="auto"/>
        <w:tabs>
          <w:tab w:leader="none" w:pos="1686" w:val="left"/>
        </w:tabs>
        <w:numPr>
          <w:ilvl w:val="0"/>
          <w:numId w:val="25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means, with respect to the Founders (i) any member or members of such Founder’s immediate family to whom Registrable Securities are transferred; and (ii) any trust to which Registrable Securities are transferred (1) in respect of which such Founder serves as trustee, provided that the trust instrument governing such trust shall provide that such Founder, as trustee, shall retain sole and exclusive control over the voting and disposition of such Registrable Securities until the termination of this Agreement or (2) for the benefit solely of any member or members of such Founder’s immediate family; provided, that no person or entity shall be a Permitted Transferee unless such transferee delivers a written notice to the Company at the time of such transfer stating the name and address of the transferee and identifying the Registrable Securities with respect to which such rights are being assigned.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right="220" w:firstLine="1104"/>
        <w:spacing w:after="0" w:line="289" w:lineRule="auto"/>
        <w:tabs>
          <w:tab w:leader="none" w:pos="1674" w:val="left"/>
        </w:tabs>
        <w:numPr>
          <w:ilvl w:val="0"/>
          <w:numId w:val="256"/>
        </w:numPr>
        <w:rPr>
          <w:rFonts w:ascii="Arial" w:cs="Arial" w:eastAsia="Arial" w:hAnsi="Arial"/>
          <w:sz w:val="15"/>
          <w:szCs w:val="15"/>
          <w:color w:val="auto"/>
        </w:rPr>
      </w:pPr>
      <w:r>
        <w:rPr>
          <w:rFonts w:ascii="Arial" w:cs="Arial" w:eastAsia="Arial" w:hAnsi="Arial"/>
          <w:sz w:val="15"/>
          <w:szCs w:val="15"/>
          <w:color w:val="auto"/>
        </w:rPr>
        <w:t>The terms “</w:t>
      </w:r>
      <w:r>
        <w:rPr>
          <w:rFonts w:ascii="Arial" w:cs="Arial" w:eastAsia="Arial" w:hAnsi="Arial"/>
          <w:sz w:val="15"/>
          <w:szCs w:val="15"/>
          <w:u w:val="single" w:color="auto"/>
          <w:color w:val="auto"/>
        </w:rPr>
        <w:t>register</w:t>
      </w:r>
      <w:r>
        <w:rPr>
          <w:rFonts w:ascii="Arial" w:cs="Arial" w:eastAsia="Arial" w:hAnsi="Arial"/>
          <w:sz w:val="15"/>
          <w:szCs w:val="15"/>
          <w:color w:val="auto"/>
        </w:rPr>
        <w:t>,” “</w:t>
      </w:r>
      <w:r>
        <w:rPr>
          <w:rFonts w:ascii="Arial" w:cs="Arial" w:eastAsia="Arial" w:hAnsi="Arial"/>
          <w:sz w:val="15"/>
          <w:szCs w:val="15"/>
          <w:u w:val="single" w:color="auto"/>
          <w:color w:val="auto"/>
        </w:rPr>
        <w:t>registered</w:t>
      </w:r>
      <w:r>
        <w:rPr>
          <w:rFonts w:ascii="Arial" w:cs="Arial" w:eastAsia="Arial" w:hAnsi="Arial"/>
          <w:sz w:val="15"/>
          <w:szCs w:val="15"/>
          <w:color w:val="auto"/>
        </w:rPr>
        <w:t>,” and “</w:t>
      </w:r>
      <w:r>
        <w:rPr>
          <w:rFonts w:ascii="Arial" w:cs="Arial" w:eastAsia="Arial" w:hAnsi="Arial"/>
          <w:sz w:val="15"/>
          <w:szCs w:val="15"/>
          <w:u w:val="single" w:color="auto"/>
          <w:color w:val="auto"/>
        </w:rPr>
        <w:t>registration</w:t>
      </w:r>
      <w:r>
        <w:rPr>
          <w:rFonts w:ascii="Arial" w:cs="Arial" w:eastAsia="Arial" w:hAnsi="Arial"/>
          <w:sz w:val="15"/>
          <w:szCs w:val="15"/>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40" w:lineRule="exact"/>
        <w:rPr>
          <w:rFonts w:ascii="Arial" w:cs="Arial" w:eastAsia="Arial" w:hAnsi="Arial"/>
          <w:sz w:val="15"/>
          <w:szCs w:val="15"/>
          <w:color w:val="auto"/>
        </w:rPr>
      </w:pPr>
    </w:p>
    <w:p>
      <w:pPr>
        <w:ind w:firstLine="1104"/>
        <w:spacing w:after="0" w:line="265" w:lineRule="auto"/>
        <w:tabs>
          <w:tab w:leader="none" w:pos="1686" w:val="left"/>
        </w:tabs>
        <w:numPr>
          <w:ilvl w:val="0"/>
          <w:numId w:val="2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Registrable Securities</w:t>
      </w:r>
      <w:r>
        <w:rPr>
          <w:rFonts w:ascii="Arial" w:cs="Arial" w:eastAsia="Arial" w:hAnsi="Arial"/>
          <w:sz w:val="15"/>
          <w:szCs w:val="15"/>
          <w:color w:val="auto"/>
        </w:rPr>
        <w:t xml:space="preserve">” means (i) the Common Stock held by the Founders and their Permitted Transferees, (ii) the Common Stock issuable or issued upon conversion of the Senior Preferred Stock, (iii) the Common Stock issuable or issued upon conversion of the Series SRN Preferred Stock, and (iv) any Common Stock of the Company issued as (or issuable upon the conversion or exercise of any warrant, right, or other security which is issued as) a dividend or other distribution with respect to, or in exchange for or in replacement of, the shares referenced in (i) through (iii) above, excluding in all cases, however, any Registrable Securities sold by a person in a transaction in which the rights under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are not properly assigned.</w:t>
      </w:r>
    </w:p>
    <w:p>
      <w:pPr>
        <w:spacing w:after="0" w:line="159" w:lineRule="exact"/>
        <w:rPr>
          <w:rFonts w:ascii="Arial" w:cs="Arial" w:eastAsia="Arial" w:hAnsi="Arial"/>
          <w:sz w:val="15"/>
          <w:szCs w:val="15"/>
          <w:color w:val="auto"/>
        </w:rPr>
      </w:pPr>
    </w:p>
    <w:p>
      <w:pPr>
        <w:ind w:right="460" w:firstLine="1104"/>
        <w:spacing w:after="0" w:line="289" w:lineRule="auto"/>
        <w:tabs>
          <w:tab w:leader="none" w:pos="1675" w:val="left"/>
        </w:tabs>
        <w:numPr>
          <w:ilvl w:val="0"/>
          <w:numId w:val="2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Outstanding Registrable Securities</w:t>
      </w:r>
      <w:r>
        <w:rPr>
          <w:rFonts w:ascii="Arial" w:cs="Arial" w:eastAsia="Arial" w:hAnsi="Arial"/>
          <w:sz w:val="15"/>
          <w:szCs w:val="15"/>
          <w:color w:val="auto"/>
        </w:rPr>
        <w:t>” means the number of shares of Common Stock outstanding that are, and the number of shares of Common Stock issuable pursuant to then exercisable or convertible securities which are, Registrable Securities.</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means the U.S. Securities and Exchange Commission.</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4"/>
          <w:szCs w:val="14"/>
          <w:u w:val="single" w:color="auto"/>
          <w:color w:val="auto"/>
        </w:rPr>
        <w:t>Demand Registration</w:t>
      </w:r>
      <w:r>
        <w:rPr>
          <w:rFonts w:ascii="Arial" w:cs="Arial" w:eastAsia="Arial" w:hAnsi="Arial"/>
          <w:sz w:val="14"/>
          <w:szCs w:val="14"/>
          <w:color w:val="auto"/>
        </w:rPr>
        <w:t>.</w:t>
      </w:r>
    </w:p>
    <w:p>
      <w:pPr>
        <w:spacing w:after="0" w:line="198" w:lineRule="exact"/>
        <w:rPr>
          <w:sz w:val="20"/>
          <w:szCs w:val="20"/>
          <w:color w:val="auto"/>
        </w:rPr>
      </w:pPr>
    </w:p>
    <w:p>
      <w:pPr>
        <w:ind w:right="40" w:firstLine="1104"/>
        <w:spacing w:after="0" w:line="289" w:lineRule="auto"/>
        <w:tabs>
          <w:tab w:leader="none" w:pos="1665" w:val="left"/>
        </w:tabs>
        <w:numPr>
          <w:ilvl w:val="0"/>
          <w:numId w:val="257"/>
        </w:numPr>
        <w:rPr>
          <w:rFonts w:ascii="Arial" w:cs="Arial" w:eastAsia="Arial" w:hAnsi="Arial"/>
          <w:sz w:val="14"/>
          <w:szCs w:val="14"/>
          <w:color w:val="auto"/>
        </w:rPr>
      </w:pPr>
      <w:r>
        <w:rPr>
          <w:rFonts w:ascii="Arial" w:cs="Arial" w:eastAsia="Arial" w:hAnsi="Arial"/>
          <w:sz w:val="14"/>
          <w:szCs w:val="14"/>
          <w:color w:val="auto"/>
        </w:rPr>
        <w:t>If the Company shall receive at any time after the earlier to occur of (1) the date one hundred eighty (180) days after the initial registration of any series or class of the Company’s securities, and (2) the fourth anniversary of the date hereof, a written notice from Holders holding at least fifty percent (50%) of the Outstanding Registrable Securities then held by all Preferred Stock Holders, voting together as a single class on an as converted to Common Stock basis (determined, in the case of the Series E Preferred Stock, without regard to the special conversion ratios set forth in Section 3.3(a)(i)(1) or Section 3.3(b)(i)(2) of the Company Charter in effect on the date hereof), requesting that the Company effect a registration statement under the Act with respect to all or a part of the Registrable Securities held by such Preferred Stock Holders, then the Company shall:</w:t>
      </w:r>
    </w:p>
    <w:p>
      <w:pPr>
        <w:spacing w:after="0" w:line="142" w:lineRule="exact"/>
        <w:rPr>
          <w:rFonts w:ascii="Arial" w:cs="Arial" w:eastAsia="Arial" w:hAnsi="Arial"/>
          <w:sz w:val="14"/>
          <w:szCs w:val="14"/>
          <w:color w:val="auto"/>
        </w:rPr>
      </w:pPr>
    </w:p>
    <w:p>
      <w:pPr>
        <w:ind w:left="2360" w:hanging="700"/>
        <w:spacing w:after="0"/>
        <w:tabs>
          <w:tab w:leader="none" w:pos="2360" w:val="left"/>
        </w:tabs>
        <w:numPr>
          <w:ilvl w:val="1"/>
          <w:numId w:val="257"/>
        </w:numPr>
        <w:rPr>
          <w:rFonts w:ascii="Arial" w:cs="Arial" w:eastAsia="Arial" w:hAnsi="Arial"/>
          <w:sz w:val="15"/>
          <w:szCs w:val="15"/>
          <w:color w:val="auto"/>
        </w:rPr>
      </w:pPr>
      <w:r>
        <w:rPr>
          <w:rFonts w:ascii="Arial" w:cs="Arial" w:eastAsia="Arial" w:hAnsi="Arial"/>
          <w:sz w:val="15"/>
          <w:szCs w:val="15"/>
          <w:color w:val="auto"/>
        </w:rPr>
        <w:t>within ten (10) days of the receipt thereof, give written notice of such request to all Preferred Stock Holders; and</w:t>
      </w:r>
    </w:p>
    <w:p>
      <w:pPr>
        <w:spacing w:after="0" w:line="198" w:lineRule="exact"/>
        <w:rPr>
          <w:rFonts w:ascii="Arial" w:cs="Arial" w:eastAsia="Arial" w:hAnsi="Arial"/>
          <w:sz w:val="15"/>
          <w:szCs w:val="15"/>
          <w:color w:val="auto"/>
        </w:rPr>
      </w:pPr>
    </w:p>
    <w:p>
      <w:pPr>
        <w:ind w:left="2220" w:right="20" w:hanging="560"/>
        <w:spacing w:after="0" w:line="273" w:lineRule="auto"/>
        <w:tabs>
          <w:tab w:leader="none" w:pos="2362" w:val="left"/>
        </w:tabs>
        <w:numPr>
          <w:ilvl w:val="1"/>
          <w:numId w:val="257"/>
        </w:numPr>
        <w:rPr>
          <w:rFonts w:ascii="Arial" w:cs="Arial" w:eastAsia="Arial" w:hAnsi="Arial"/>
          <w:sz w:val="15"/>
          <w:szCs w:val="15"/>
          <w:color w:val="auto"/>
        </w:rPr>
      </w:pPr>
      <w:r>
        <w:rPr>
          <w:rFonts w:ascii="Arial" w:cs="Arial" w:eastAsia="Arial" w:hAnsi="Arial"/>
          <w:sz w:val="15"/>
          <w:szCs w:val="15"/>
          <w:color w:val="auto"/>
        </w:rPr>
        <w:t xml:space="preserve">effect as soon as practicable, and in any event within ninety (90) days of the receipt of such request, the registration under the Act of all Registrable Securities which the Preferred Stock Holders request to be registered, by notice to the Company within thirty (30) days of the mailing of the notice sent by the Company in accordance with </w:t>
      </w:r>
      <w:r>
        <w:rPr>
          <w:rFonts w:ascii="Arial" w:cs="Arial" w:eastAsia="Arial" w:hAnsi="Arial"/>
          <w:sz w:val="15"/>
          <w:szCs w:val="15"/>
          <w:u w:val="single" w:color="auto"/>
          <w:color w:val="auto"/>
        </w:rPr>
        <w:t>Section 3.2(a)(i)</w:t>
      </w:r>
      <w:r>
        <w:rPr>
          <w:rFonts w:ascii="Arial" w:cs="Arial" w:eastAsia="Arial" w:hAnsi="Arial"/>
          <w:sz w:val="15"/>
          <w:szCs w:val="15"/>
          <w:color w:val="auto"/>
        </w:rPr>
        <w:t xml:space="preserve">, subject to the limitations of </w:t>
      </w:r>
      <w:r>
        <w:rPr>
          <w:rFonts w:ascii="Arial" w:cs="Arial" w:eastAsia="Arial" w:hAnsi="Arial"/>
          <w:sz w:val="15"/>
          <w:szCs w:val="15"/>
          <w:u w:val="single" w:color="auto"/>
          <w:color w:val="auto"/>
        </w:rPr>
        <w:t>Section 3.2(b)</w:t>
      </w:r>
      <w:r>
        <w:rPr>
          <w:rFonts w:ascii="Arial" w:cs="Arial" w:eastAsia="Arial" w:hAnsi="Arial"/>
          <w:sz w:val="15"/>
          <w:szCs w:val="15"/>
          <w:color w:val="auto"/>
        </w:rPr>
        <w:t>.</w:t>
      </w:r>
    </w:p>
    <w:p>
      <w:pPr>
        <w:spacing w:after="0" w:line="152" w:lineRule="exact"/>
        <w:rPr>
          <w:rFonts w:ascii="Arial" w:cs="Arial" w:eastAsia="Arial" w:hAnsi="Arial"/>
          <w:sz w:val="15"/>
          <w:szCs w:val="15"/>
          <w:color w:val="auto"/>
        </w:rPr>
      </w:pPr>
    </w:p>
    <w:p>
      <w:pPr>
        <w:ind w:right="20" w:firstLine="1104"/>
        <w:spacing w:after="0" w:line="289" w:lineRule="auto"/>
        <w:tabs>
          <w:tab w:leader="none" w:pos="1674" w:val="left"/>
        </w:tabs>
        <w:numPr>
          <w:ilvl w:val="0"/>
          <w:numId w:val="257"/>
        </w:numPr>
        <w:rPr>
          <w:rFonts w:ascii="Arial" w:cs="Arial" w:eastAsia="Arial" w:hAnsi="Arial"/>
          <w:sz w:val="15"/>
          <w:szCs w:val="15"/>
          <w:color w:val="auto"/>
        </w:rPr>
      </w:pPr>
      <w:r>
        <w:rPr>
          <w:rFonts w:ascii="Arial" w:cs="Arial" w:eastAsia="Arial" w:hAnsi="Arial"/>
          <w:sz w:val="15"/>
          <w:szCs w:val="15"/>
          <w:color w:val="auto"/>
        </w:rPr>
        <w:t>If the Preferred Stock Holders initiating the registration request hereunder (the “</w:t>
      </w:r>
      <w:r>
        <w:rPr>
          <w:rFonts w:ascii="Arial" w:cs="Arial" w:eastAsia="Arial" w:hAnsi="Arial"/>
          <w:sz w:val="15"/>
          <w:szCs w:val="15"/>
          <w:u w:val="single" w:color="auto"/>
          <w:color w:val="auto"/>
        </w:rPr>
        <w:t>Initiating Holders</w:t>
      </w:r>
      <w:r>
        <w:rPr>
          <w:rFonts w:ascii="Arial" w:cs="Arial" w:eastAsia="Arial" w:hAnsi="Arial"/>
          <w:sz w:val="15"/>
          <w:szCs w:val="15"/>
          <w:color w:val="auto"/>
        </w:rPr>
        <w:t>”) intend to distribute the Registrable Securities covered by their request by means of an underwriting, they shall so advise the Company as a part of their request made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 xml:space="preserve">pursuant to </w:t>
      </w:r>
      <w:r>
        <w:rPr>
          <w:rFonts w:ascii="Arial" w:cs="Arial" w:eastAsia="Arial" w:hAnsi="Arial"/>
          <w:sz w:val="15"/>
          <w:szCs w:val="15"/>
          <w:u w:val="single" w:color="auto"/>
          <w:color w:val="auto"/>
        </w:rPr>
        <w:t>Section 3.2(a)</w:t>
      </w:r>
      <w:r>
        <w:rPr>
          <w:rFonts w:ascii="Arial" w:cs="Arial" w:eastAsia="Arial" w:hAnsi="Arial"/>
          <w:sz w:val="15"/>
          <w:szCs w:val="15"/>
          <w:color w:val="auto"/>
        </w:rPr>
        <w:t xml:space="preserve"> and the Company shall include such information in the written notice referred to in </w:t>
      </w:r>
      <w:r>
        <w:rPr>
          <w:rFonts w:ascii="Arial" w:cs="Arial" w:eastAsia="Arial" w:hAnsi="Arial"/>
          <w:sz w:val="15"/>
          <w:szCs w:val="15"/>
          <w:u w:val="single" w:color="auto"/>
          <w:color w:val="auto"/>
        </w:rPr>
        <w:t>Section 3.2(a)(i)</w:t>
      </w:r>
      <w:r>
        <w:rPr>
          <w:rFonts w:ascii="Arial" w:cs="Arial" w:eastAsia="Arial" w:hAnsi="Arial"/>
          <w:sz w:val="15"/>
          <w:szCs w:val="15"/>
          <w:color w:val="auto"/>
        </w:rPr>
        <w:t xml:space="preserve">. The underwriter will be selected by the Company and shall be reasonably acceptable to a majority in interest of the Initiating Holders. In such event, the right of any Preferred Stock Holder to include Registrable Securities in such registration shall be conditioned upon such Preferred Stock Holder’s participation in such underwriting and the inclusion of such Preferred Stock Holder’s Registrable Securities in the underwriting (unless otherwise mutually agreed by a majority in interest of the Initiating Holders and such Preferred Stock Holder) to the extent provided herein. All Preferred Stock Holders proposing to distribute their securities through such underwriting shall (together with the Company as provided in </w:t>
      </w:r>
      <w:r>
        <w:rPr>
          <w:rFonts w:ascii="Arial" w:cs="Arial" w:eastAsia="Arial" w:hAnsi="Arial"/>
          <w:sz w:val="15"/>
          <w:szCs w:val="15"/>
          <w:u w:val="single" w:color="auto"/>
          <w:color w:val="auto"/>
        </w:rPr>
        <w:t>Section 3.5(e)</w:t>
      </w:r>
      <w:r>
        <w:rPr>
          <w:rFonts w:ascii="Arial" w:cs="Arial" w:eastAsia="Arial" w:hAnsi="Arial"/>
          <w:sz w:val="15"/>
          <w:szCs w:val="15"/>
          <w:color w:val="auto"/>
        </w:rPr>
        <w:t xml:space="preserve">) enter into an underwriting agreement in customary form with the underwriter or underwriters selected for such underwriting. Notwithstanding any other provision of this </w:t>
      </w:r>
      <w:r>
        <w:rPr>
          <w:rFonts w:ascii="Arial" w:cs="Arial" w:eastAsia="Arial" w:hAnsi="Arial"/>
          <w:sz w:val="15"/>
          <w:szCs w:val="15"/>
          <w:u w:val="single" w:color="auto"/>
          <w:color w:val="auto"/>
        </w:rPr>
        <w:t>Section 3.2</w:t>
      </w:r>
      <w:r>
        <w:rPr>
          <w:rFonts w:ascii="Arial" w:cs="Arial" w:eastAsia="Arial" w:hAnsi="Arial"/>
          <w:sz w:val="15"/>
          <w:szCs w:val="15"/>
          <w:color w:val="auto"/>
        </w:rPr>
        <w:t>, if the underwriter advises the Initiating Holders in writing that marketing factors require a limitation of the number of shares to be underwritten, then the Initiating Holders shall so advise all Preferred Stock Holders of Registrable Securities which would otherwise be underwritten pursuant hereto, and the number of shares of Registrable Securities that may be included in the underwriting shall be allocated among all Preferred Stock Holders thereof, including the Initiating Holders, in proportion (as nearly as practicable) to the amount of Registrable Securities of the Company owned by each Preferred Stock Holder; provided, however, that the number of shares of Registrable Securities to be included in such underwriting shall not be reduced unless all other securities are first entirely excluded from the underwriting.</w:t>
      </w:r>
    </w:p>
    <w:p>
      <w:pPr>
        <w:spacing w:after="0" w:line="160" w:lineRule="exact"/>
        <w:rPr>
          <w:sz w:val="20"/>
          <w:szCs w:val="20"/>
          <w:color w:val="auto"/>
        </w:rPr>
      </w:pPr>
    </w:p>
    <w:p>
      <w:pPr>
        <w:ind w:right="100" w:firstLine="1104"/>
        <w:spacing w:after="0" w:line="265" w:lineRule="auto"/>
        <w:tabs>
          <w:tab w:leader="none" w:pos="1677" w:val="left"/>
        </w:tabs>
        <w:numPr>
          <w:ilvl w:val="0"/>
          <w:numId w:val="258"/>
        </w:numPr>
        <w:rPr>
          <w:rFonts w:ascii="Arial" w:cs="Arial" w:eastAsia="Arial" w:hAnsi="Arial"/>
          <w:sz w:val="15"/>
          <w:szCs w:val="15"/>
          <w:color w:val="auto"/>
        </w:rPr>
      </w:pPr>
      <w:r>
        <w:rPr>
          <w:rFonts w:ascii="Arial" w:cs="Arial" w:eastAsia="Arial" w:hAnsi="Arial"/>
          <w:sz w:val="15"/>
          <w:szCs w:val="15"/>
          <w:color w:val="auto"/>
        </w:rPr>
        <w:t xml:space="preserve">Notwithstanding the foregoing, if the Company shall furnish to Preferred Stock Holders requesting registration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a certificate signed by the President of the Company stating that in the good faith judgment of the Board of Directors of the Company it would be seriously detrimental to the Company and its stockholders for a registration statement to be filed and it is therefore essential to defer the filing of such registration statement, then the Company shall have the right to defer taking action with respect to such filing for a period of not more than one hundred twenty (120) days, in the aggregate (after taking into account the period of any prior delays pursuant to this </w:t>
      </w:r>
      <w:r>
        <w:rPr>
          <w:rFonts w:ascii="Arial" w:cs="Arial" w:eastAsia="Arial" w:hAnsi="Arial"/>
          <w:sz w:val="15"/>
          <w:szCs w:val="15"/>
          <w:u w:val="single" w:color="auto"/>
          <w:color w:val="auto"/>
        </w:rPr>
        <w:t>Section 3.2(c)</w:t>
      </w:r>
      <w:r>
        <w:rPr>
          <w:rFonts w:ascii="Arial" w:cs="Arial" w:eastAsia="Arial" w:hAnsi="Arial"/>
          <w:sz w:val="15"/>
          <w:szCs w:val="15"/>
          <w:color w:val="auto"/>
        </w:rPr>
        <w:t xml:space="preserve"> during any twelve (12) month period), after receipt of the request of the Initiating Holders.</w:t>
      </w:r>
    </w:p>
    <w:p>
      <w:pPr>
        <w:spacing w:after="0" w:line="159" w:lineRule="exact"/>
        <w:rPr>
          <w:rFonts w:ascii="Arial" w:cs="Arial" w:eastAsia="Arial" w:hAnsi="Arial"/>
          <w:sz w:val="15"/>
          <w:szCs w:val="15"/>
          <w:color w:val="auto"/>
        </w:rPr>
      </w:pPr>
    </w:p>
    <w:p>
      <w:pPr>
        <w:jc w:val="both"/>
        <w:ind w:right="160" w:firstLine="1104"/>
        <w:spacing w:after="0" w:line="273" w:lineRule="auto"/>
        <w:tabs>
          <w:tab w:leader="none" w:pos="1674" w:val="left"/>
        </w:tabs>
        <w:numPr>
          <w:ilvl w:val="0"/>
          <w:numId w:val="258"/>
        </w:numPr>
        <w:rPr>
          <w:rFonts w:ascii="Arial" w:cs="Arial" w:eastAsia="Arial" w:hAnsi="Arial"/>
          <w:sz w:val="15"/>
          <w:szCs w:val="15"/>
          <w:color w:val="auto"/>
        </w:rPr>
      </w:pPr>
      <w:r>
        <w:rPr>
          <w:rFonts w:ascii="Arial" w:cs="Arial" w:eastAsia="Arial" w:hAnsi="Arial"/>
          <w:sz w:val="15"/>
          <w:szCs w:val="15"/>
          <w:color w:val="auto"/>
        </w:rPr>
        <w:t xml:space="preserve">In addition, the Company shall not be obligated to effect, or to take any action to effect, any registration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after the Company has effected two (2) registrations on Form S-1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and such registration statements have been declared or ordered effective and the sales of Registrable Securities under such registration statements have closed.</w:t>
      </w:r>
    </w:p>
    <w:p>
      <w:pPr>
        <w:spacing w:after="0" w:line="152" w:lineRule="exact"/>
        <w:rPr>
          <w:rFonts w:ascii="Arial" w:cs="Arial" w:eastAsia="Arial" w:hAnsi="Arial"/>
          <w:sz w:val="15"/>
          <w:szCs w:val="15"/>
          <w:color w:val="auto"/>
        </w:rPr>
      </w:pPr>
    </w:p>
    <w:p>
      <w:pPr>
        <w:ind w:left="1660" w:hanging="556"/>
        <w:spacing w:after="0"/>
        <w:tabs>
          <w:tab w:leader="none" w:pos="166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 xml:space="preserve">No incidental right under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shall be construed to limit any registration required under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herein.</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4"/>
          <w:szCs w:val="14"/>
          <w:u w:val="single" w:color="auto"/>
          <w:color w:val="auto"/>
        </w:rPr>
        <w:t>“Piggy-Back” Registration</w:t>
      </w:r>
      <w:r>
        <w:rPr>
          <w:rFonts w:ascii="Arial" w:cs="Arial" w:eastAsia="Arial" w:hAnsi="Arial"/>
          <w:sz w:val="14"/>
          <w:szCs w:val="14"/>
          <w:color w:val="auto"/>
        </w:rPr>
        <w:t>.</w:t>
      </w:r>
    </w:p>
    <w:p>
      <w:pPr>
        <w:spacing w:after="0" w:line="198" w:lineRule="exact"/>
        <w:rPr>
          <w:sz w:val="20"/>
          <w:szCs w:val="20"/>
          <w:color w:val="auto"/>
        </w:rPr>
      </w:pPr>
    </w:p>
    <w:p>
      <w:pPr>
        <w:ind w:right="60" w:firstLine="1104"/>
        <w:spacing w:after="0" w:line="273" w:lineRule="auto"/>
        <w:tabs>
          <w:tab w:leader="none" w:pos="1665" w:val="left"/>
        </w:tabs>
        <w:numPr>
          <w:ilvl w:val="0"/>
          <w:numId w:val="259"/>
        </w:numPr>
        <w:rPr>
          <w:rFonts w:ascii="Arial" w:cs="Arial" w:eastAsia="Arial" w:hAnsi="Arial"/>
          <w:sz w:val="15"/>
          <w:szCs w:val="15"/>
          <w:color w:val="auto"/>
        </w:rPr>
      </w:pPr>
      <w:r>
        <w:rPr>
          <w:rFonts w:ascii="Arial" w:cs="Arial" w:eastAsia="Arial" w:hAnsi="Arial"/>
          <w:sz w:val="15"/>
          <w:szCs w:val="15"/>
          <w:color w:val="auto"/>
        </w:rPr>
        <w:t>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solely for cash, other than (i) the initial registration of any series or class of the Company’s securities, (ii) a registration relating solely to the sale of securities to participants in 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 xml:space="preserve">stock plan, (iii) a registration on any form which does not include substantially the same information as would be required to be included in a registration statement covering the sale of the Registrable Securities, or (iv) a registration on Form S-4 (or any successor form) relating solely to a transaction pursuant to the SEC’s Rule 145, the Company shall, at such time, promptly give each Holder written notice of such registration. Upon the written request by a Holder given to the Company within twenty (20) days after such notice by the Company provided in accordance with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the Company shall, subject to the provisions of </w:t>
      </w:r>
      <w:r>
        <w:rPr>
          <w:rFonts w:ascii="Arial" w:cs="Arial" w:eastAsia="Arial" w:hAnsi="Arial"/>
          <w:sz w:val="15"/>
          <w:szCs w:val="15"/>
          <w:u w:val="single" w:color="auto"/>
          <w:color w:val="auto"/>
        </w:rPr>
        <w:t>Section 3.3(b)</w:t>
      </w:r>
      <w:r>
        <w:rPr>
          <w:rFonts w:ascii="Arial" w:cs="Arial" w:eastAsia="Arial" w:hAnsi="Arial"/>
          <w:sz w:val="15"/>
          <w:szCs w:val="15"/>
          <w:color w:val="auto"/>
        </w:rPr>
        <w:t>, cause to be registered under the Act all of the Registrable Securities that each such Holder has requested to be registered.</w:t>
      </w:r>
    </w:p>
    <w:p>
      <w:pPr>
        <w:spacing w:after="0" w:line="160" w:lineRule="exact"/>
        <w:rPr>
          <w:sz w:val="20"/>
          <w:szCs w:val="20"/>
          <w:color w:val="auto"/>
        </w:rPr>
      </w:pPr>
    </w:p>
    <w:p>
      <w:pPr>
        <w:ind w:firstLine="1104"/>
        <w:spacing w:after="0" w:line="327" w:lineRule="auto"/>
        <w:tabs>
          <w:tab w:leader="none" w:pos="1674" w:val="left"/>
        </w:tabs>
        <w:numPr>
          <w:ilvl w:val="0"/>
          <w:numId w:val="260"/>
        </w:numPr>
        <w:rPr>
          <w:rFonts w:ascii="Arial" w:cs="Arial" w:eastAsia="Arial" w:hAnsi="Arial"/>
          <w:sz w:val="14"/>
          <w:szCs w:val="14"/>
          <w:color w:val="auto"/>
        </w:rPr>
      </w:pPr>
      <w:r>
        <w:rPr>
          <w:rFonts w:ascii="Arial" w:cs="Arial" w:eastAsia="Arial" w:hAnsi="Arial"/>
          <w:sz w:val="14"/>
          <w:szCs w:val="14"/>
          <w:color w:val="auto"/>
        </w:rPr>
        <w:t xml:space="preserve">In connection with any offering involving an underwriting of shares of the Company’s capital stock, the Company shall not be required under this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to include any of the Holders’ securities in such underwriting unless such Holders accept the terms of the underwriting as agreed upon between the Company and the underwriters</w:t>
      </w:r>
    </w:p>
    <w:p>
      <w:pPr>
        <w:sectPr>
          <w:pgSz w:w="11900" w:h="16855" w:orient="portrait"/>
          <w:cols w:equalWidth="0" w:num="1">
            <w:col w:w="11400"/>
          </w:cols>
          <w:pgMar w:left="240" w:top="314" w:right="259" w:bottom="0" w:gutter="0" w:footer="0" w:header="0"/>
        </w:sectPr>
      </w:pPr>
    </w:p>
    <w:bookmarkStart w:id="323" w:name="page324"/>
    <w:bookmarkEnd w:id="323"/>
    <w:p>
      <w:pPr>
        <w:ind w:right="40"/>
        <w:spacing w:after="0" w:line="280" w:lineRule="auto"/>
        <w:rPr>
          <w:sz w:val="20"/>
          <w:szCs w:val="20"/>
          <w:color w:val="auto"/>
        </w:rPr>
      </w:pPr>
      <w:r>
        <w:rPr>
          <w:rFonts w:ascii="Arial" w:cs="Arial" w:eastAsia="Arial" w:hAnsi="Arial"/>
          <w:sz w:val="14"/>
          <w:szCs w:val="14"/>
          <w:color w:val="auto"/>
        </w:rPr>
        <w:t>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to be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provided, however, there shall first be excluded from such registration statement all shares of Common Stock sought to be included therein by (i) any director, consultant, officer, or employee of the Company or any subsidiary other than the Founders and their Permitted Transferees and (ii) stockholders exercising any contractual or incidental registration rights subordinate and junior to the rights of the Preferred Stock Holders. If after such shares are excluded, the underwriters shall determine in their sole discretion that the number of securities which remain to be included in the offering exceeds the amount of securities to be sold that the underwriters determine is compatible with the success of the offering, then the Registrable Securities to be included, if any, shall be apportioned pro rata among the Holders providing notice of their desire to participate in the offering according to the total amount of securities entitled to be included therein owned by each selling Holder or in such other proportions as shall mutually be agreed to by such Holders. For purposes of the preceding sentence concerning apportionment, for any selling Holder which is a partnership or corporation, the partners, retired partners, and stockholders of such Holder, or the estates and family members of any such partners and retired partners and any trusts for the benefit of any of the foregoing persons shall be deemed to be a single “</w:t>
      </w:r>
      <w:r>
        <w:rPr>
          <w:rFonts w:ascii="Arial" w:cs="Arial" w:eastAsia="Arial" w:hAnsi="Arial"/>
          <w:sz w:val="14"/>
          <w:szCs w:val="14"/>
          <w:u w:val="single" w:color="auto"/>
          <w:color w:val="auto"/>
        </w:rPr>
        <w:t>selling Holder</w:t>
      </w:r>
      <w:r>
        <w:rPr>
          <w:rFonts w:ascii="Arial" w:cs="Arial" w:eastAsia="Arial" w:hAnsi="Arial"/>
          <w:sz w:val="14"/>
          <w:szCs w:val="14"/>
          <w:color w:val="auto"/>
        </w:rPr>
        <w:t>,” and any pro-rata reduction with respect to such “selling Holder” shall be based upon the aggregate amount of shares carrying registration rights owned by all entities and individuals included in such “selling Holder,” as defined in this sentence.</w:t>
      </w:r>
    </w:p>
    <w:p>
      <w:pPr>
        <w:spacing w:after="0" w:line="150" w:lineRule="exact"/>
        <w:rPr>
          <w:sz w:val="20"/>
          <w:szCs w:val="20"/>
          <w:color w:val="auto"/>
        </w:rPr>
      </w:pPr>
    </w:p>
    <w:p>
      <w:pPr>
        <w:ind w:left="1660" w:hanging="556"/>
        <w:spacing w:after="0"/>
        <w:tabs>
          <w:tab w:leader="none" w:pos="166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 xml:space="preserve">No incidental right under this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shall be construed to limit any registration required under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herein.</w:t>
      </w:r>
    </w:p>
    <w:p>
      <w:pPr>
        <w:spacing w:after="0" w:line="198" w:lineRule="exact"/>
        <w:rPr>
          <w:sz w:val="20"/>
          <w:szCs w:val="20"/>
          <w:color w:val="auto"/>
        </w:rPr>
      </w:pPr>
    </w:p>
    <w:p>
      <w:pPr>
        <w:ind w:right="100" w:firstLine="556"/>
        <w:spacing w:after="0" w:line="289"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Form S-3 Registration</w:t>
      </w:r>
      <w:r>
        <w:rPr>
          <w:rFonts w:ascii="Arial" w:cs="Arial" w:eastAsia="Arial" w:hAnsi="Arial"/>
          <w:sz w:val="15"/>
          <w:szCs w:val="15"/>
          <w:color w:val="auto"/>
        </w:rPr>
        <w:t xml:space="preserve">. In case the Company shall receive from Preferred Stock Holders a written request that the Company effect a registration on Form S-3, subject to the limitations and qualifications set forth in </w:t>
      </w:r>
      <w:r>
        <w:rPr>
          <w:rFonts w:ascii="Arial" w:cs="Arial" w:eastAsia="Arial" w:hAnsi="Arial"/>
          <w:sz w:val="15"/>
          <w:szCs w:val="15"/>
          <w:u w:val="single" w:color="auto"/>
          <w:color w:val="auto"/>
        </w:rPr>
        <w:t>Section 3.4(b)</w:t>
      </w:r>
      <w:r>
        <w:rPr>
          <w:rFonts w:ascii="Arial" w:cs="Arial" w:eastAsia="Arial" w:hAnsi="Arial"/>
          <w:sz w:val="15"/>
          <w:szCs w:val="15"/>
          <w:color w:val="auto"/>
        </w:rPr>
        <w:t>, and any related qualification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compliance with respect to all or a part of the Registrable Securities owned by such Preferred Stock Holder or Preferred Stock Holders, the Company agrees:</w:t>
      </w:r>
    </w:p>
    <w:p>
      <w:pPr>
        <w:spacing w:after="0" w:line="198" w:lineRule="exact"/>
        <w:rPr>
          <w:sz w:val="20"/>
          <w:szCs w:val="20"/>
          <w:color w:val="auto"/>
        </w:rPr>
      </w:pPr>
    </w:p>
    <w:p>
      <w:pPr>
        <w:ind w:left="1660" w:hanging="556"/>
        <w:spacing w:after="0"/>
        <w:tabs>
          <w:tab w:leader="none" w:pos="166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to promptly give written notice of the proposed registration, and any related qualification or compliance, to all other Holders; and</w:t>
      </w:r>
    </w:p>
    <w:p>
      <w:pPr>
        <w:spacing w:after="0" w:line="198" w:lineRule="exact"/>
        <w:rPr>
          <w:rFonts w:ascii="Arial" w:cs="Arial" w:eastAsia="Arial" w:hAnsi="Arial"/>
          <w:sz w:val="15"/>
          <w:szCs w:val="15"/>
          <w:color w:val="auto"/>
        </w:rPr>
      </w:pPr>
    </w:p>
    <w:p>
      <w:pPr>
        <w:ind w:firstLine="1104"/>
        <w:spacing w:after="0" w:line="281" w:lineRule="auto"/>
        <w:tabs>
          <w:tab w:leader="none" w:pos="1674" w:val="left"/>
        </w:tabs>
        <w:numPr>
          <w:ilvl w:val="0"/>
          <w:numId w:val="262"/>
        </w:numPr>
        <w:rPr>
          <w:rFonts w:ascii="Arial" w:cs="Arial" w:eastAsia="Arial" w:hAnsi="Arial"/>
          <w:sz w:val="14"/>
          <w:szCs w:val="14"/>
          <w:color w:val="auto"/>
        </w:rPr>
      </w:pPr>
      <w:r>
        <w:rPr>
          <w:rFonts w:ascii="Arial" w:cs="Arial" w:eastAsia="Arial" w:hAnsi="Arial"/>
          <w:sz w:val="14"/>
          <w:szCs w:val="14"/>
          <w:color w:val="auto"/>
        </w:rPr>
        <w:t xml:space="preserve">as soon as practicable after receiving such a request, to effect such registration and all such qualifications and compliances as may be so requested and as would permit or facilitate the sale and distribution of all or such portion of such Preferred Stock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provided, however, that the Company shall not be obligated to effect any such registration, qualification, or compliance pursuant to this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if (i) Form S-3 is not available for such offering by the Holders; (ii) the Holders, together with the holders of any other securities of the Company entitled to inclusion in such registration, propose to sell Registrable Securities and such other securities (if any) at an aggregate price to the public of less than $2,000,000; (iii) the Company furnishes to the Holders a certificate signed by the President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sixty (60) days after receipt of the request of the Preferred Stock Holders under this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provided, however, that the Company shall not utilize this right more than once in any eighteen (18) month period; or (iv) the Company has effected two (2) registrations on Form S-3 (or its then equivalent) pursuant to this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during such calendar year and such registrations have been declared or ordered effective and the sales of Registrable Securities under such registration statement have closed.</w:t>
      </w:r>
    </w:p>
    <w:p>
      <w:pPr>
        <w:spacing w:after="0" w:line="150" w:lineRule="exact"/>
        <w:rPr>
          <w:rFonts w:ascii="Arial" w:cs="Arial" w:eastAsia="Arial" w:hAnsi="Arial"/>
          <w:sz w:val="14"/>
          <w:szCs w:val="14"/>
          <w:color w:val="auto"/>
        </w:rPr>
      </w:pPr>
    </w:p>
    <w:p>
      <w:pPr>
        <w:ind w:left="1660" w:hanging="556"/>
        <w:spacing w:after="0"/>
        <w:tabs>
          <w:tab w:leader="none" w:pos="1660" w:val="left"/>
        </w:tabs>
        <w:numPr>
          <w:ilvl w:val="0"/>
          <w:numId w:val="262"/>
        </w:numPr>
        <w:rPr>
          <w:rFonts w:ascii="Arial" w:cs="Arial" w:eastAsia="Arial" w:hAnsi="Arial"/>
          <w:sz w:val="14"/>
          <w:szCs w:val="14"/>
          <w:color w:val="auto"/>
        </w:rPr>
      </w:pPr>
      <w:r>
        <w:rPr>
          <w:rFonts w:ascii="Arial" w:cs="Arial" w:eastAsia="Arial" w:hAnsi="Arial"/>
          <w:sz w:val="14"/>
          <w:szCs w:val="14"/>
          <w:color w:val="auto"/>
        </w:rPr>
        <w:t xml:space="preserve">Registrations effected pursuant to this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shall not be counted as demands for registration or registrations effected pursuant to </w:t>
      </w:r>
      <w:r>
        <w:rPr>
          <w:rFonts w:ascii="Arial" w:cs="Arial" w:eastAsia="Arial" w:hAnsi="Arial"/>
          <w:sz w:val="14"/>
          <w:szCs w:val="14"/>
          <w:u w:val="single" w:color="auto"/>
          <w:color w:val="auto"/>
        </w:rPr>
        <w:t>Sections 3.2</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3.3</w:t>
      </w:r>
      <w:r>
        <w:rPr>
          <w:rFonts w:ascii="Arial" w:cs="Arial" w:eastAsia="Arial" w:hAnsi="Arial"/>
          <w:sz w:val="14"/>
          <w:szCs w:val="14"/>
          <w:color w:val="auto"/>
        </w:rPr>
        <w:t>.</w:t>
      </w:r>
    </w:p>
    <w:p>
      <w:pPr>
        <w:spacing w:after="0" w:line="210" w:lineRule="exact"/>
        <w:rPr>
          <w:sz w:val="20"/>
          <w:szCs w:val="20"/>
          <w:color w:val="auto"/>
        </w:rPr>
      </w:pPr>
    </w:p>
    <w:p>
      <w:pPr>
        <w:ind w:right="220" w:firstLine="556"/>
        <w:spacing w:after="0" w:line="289"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Obligations of the Company</w:t>
      </w:r>
      <w:r>
        <w:rPr>
          <w:rFonts w:ascii="Arial" w:cs="Arial" w:eastAsia="Arial" w:hAnsi="Arial"/>
          <w:sz w:val="15"/>
          <w:szCs w:val="15"/>
          <w:color w:val="auto"/>
        </w:rPr>
        <w:t xml:space="preserve">. Whenever required under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to effect the registration of any Registrable Securities, the Company shall, as expeditiously as reasonably possible (but subject to providing counsel to the Holders with a reasonable opportunity to review and comment on all documents):</w:t>
      </w:r>
    </w:p>
    <w:p>
      <w:pPr>
        <w:spacing w:after="0" w:line="141" w:lineRule="exact"/>
        <w:rPr>
          <w:sz w:val="20"/>
          <w:szCs w:val="20"/>
          <w:color w:val="auto"/>
        </w:rPr>
      </w:pPr>
    </w:p>
    <w:p>
      <w:pPr>
        <w:ind w:right="20" w:firstLine="1104"/>
        <w:spacing w:after="0" w:line="264" w:lineRule="auto"/>
        <w:tabs>
          <w:tab w:leader="none" w:pos="1665" w:val="left"/>
        </w:tabs>
        <w:numPr>
          <w:ilvl w:val="0"/>
          <w:numId w:val="263"/>
        </w:numPr>
        <w:rPr>
          <w:rFonts w:ascii="Arial" w:cs="Arial" w:eastAsia="Arial" w:hAnsi="Arial"/>
          <w:sz w:val="15"/>
          <w:szCs w:val="15"/>
          <w:color w:val="auto"/>
        </w:rPr>
      </w:pPr>
      <w:r>
        <w:rPr>
          <w:rFonts w:ascii="Arial" w:cs="Arial" w:eastAsia="Arial" w:hAnsi="Arial"/>
          <w:sz w:val="15"/>
          <w:szCs w:val="15"/>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provided, however, that (i) such 120-day period shall be extended for a period of time equal to the period the Holder refrains from selling any securities included in such registration at the request of an underwriter of Common Stock (or other securities) of the Company and (ii) in the case of any registration of Registrable Securities on Form S-3 which are intended to be offered on a continuous or delayed basis, such 120-day period shall be extended,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if necessary, to keep the registration statement effective until all such Registrable Securities are sold; provided, that SEC Rule 415, or any successor rule under the Act, permits an offering on a continuous or delayed basis; and provided further that applicable rules under the Act governing the obligation to file a post-effective amendment permit, in lieu of filing a post-effective amendment which (i) includes any prospectus required by Section 10(a)(3) of the Act or (ii) reflects facts or events representing a material or fundamental change in the information set forth in the registration statement, the incorporation by reference of information required to be included in (i) and (ii) above to be contained in periodic reports filed pursuant to Section 13 or 15(d) of the 1934 Act in the registration statement.</w:t>
      </w:r>
    </w:p>
    <w:p>
      <w:pPr>
        <w:spacing w:after="0" w:line="160" w:lineRule="exact"/>
        <w:rPr>
          <w:sz w:val="20"/>
          <w:szCs w:val="20"/>
          <w:color w:val="auto"/>
        </w:rPr>
      </w:pPr>
    </w:p>
    <w:p>
      <w:pPr>
        <w:ind w:right="100" w:firstLine="1104"/>
        <w:spacing w:after="0" w:line="273" w:lineRule="auto"/>
        <w:tabs>
          <w:tab w:leader="none" w:pos="1674" w:val="left"/>
        </w:tabs>
        <w:numPr>
          <w:ilvl w:val="0"/>
          <w:numId w:val="264"/>
        </w:numPr>
        <w:rPr>
          <w:rFonts w:ascii="Arial" w:cs="Arial" w:eastAsia="Arial" w:hAnsi="Arial"/>
          <w:sz w:val="15"/>
          <w:szCs w:val="15"/>
          <w:color w:val="auto"/>
        </w:rPr>
      </w:pPr>
      <w:r>
        <w:rPr>
          <w:rFonts w:ascii="Arial" w:cs="Arial" w:eastAsia="Arial" w:hAnsi="Arial"/>
          <w:sz w:val="15"/>
          <w:szCs w:val="15"/>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 in accordance with each Holder’s intended method of disposition.</w:t>
      </w:r>
    </w:p>
    <w:p>
      <w:pPr>
        <w:spacing w:after="0" w:line="152" w:lineRule="exact"/>
        <w:rPr>
          <w:rFonts w:ascii="Arial" w:cs="Arial" w:eastAsia="Arial" w:hAnsi="Arial"/>
          <w:sz w:val="15"/>
          <w:szCs w:val="15"/>
          <w:color w:val="auto"/>
        </w:rPr>
      </w:pPr>
    </w:p>
    <w:p>
      <w:pPr>
        <w:ind w:right="100" w:firstLine="1104"/>
        <w:spacing w:after="0" w:line="289" w:lineRule="auto"/>
        <w:tabs>
          <w:tab w:leader="none" w:pos="1677" w:val="left"/>
        </w:tabs>
        <w:numPr>
          <w:ilvl w:val="0"/>
          <w:numId w:val="264"/>
        </w:numPr>
        <w:rPr>
          <w:rFonts w:ascii="Arial" w:cs="Arial" w:eastAsia="Arial" w:hAnsi="Arial"/>
          <w:sz w:val="15"/>
          <w:szCs w:val="15"/>
          <w:color w:val="auto"/>
        </w:rPr>
      </w:pPr>
      <w:r>
        <w:rPr>
          <w:rFonts w:ascii="Arial" w:cs="Arial" w:eastAsia="Arial" w:hAnsi="Arial"/>
          <w:sz w:val="15"/>
          <w:szCs w:val="15"/>
          <w:color w:val="auto"/>
        </w:rPr>
        <w:t>Furnish to the Holders such numbers of copies of a prospectus, including a preliminary prospectus, in conformity with the requirements of the Act, and such other documents as they may reasonably request in order to facilitate the disposition of Registrable Securities owned by the Holders.</w:t>
      </w:r>
    </w:p>
    <w:p>
      <w:pPr>
        <w:spacing w:after="0" w:line="140" w:lineRule="exact"/>
        <w:rPr>
          <w:rFonts w:ascii="Arial" w:cs="Arial" w:eastAsia="Arial" w:hAnsi="Arial"/>
          <w:sz w:val="15"/>
          <w:szCs w:val="15"/>
          <w:color w:val="auto"/>
        </w:rPr>
      </w:pPr>
    </w:p>
    <w:p>
      <w:pPr>
        <w:ind w:right="80" w:firstLine="1104"/>
        <w:spacing w:after="0" w:line="268" w:lineRule="auto"/>
        <w:tabs>
          <w:tab w:leader="none" w:pos="1674" w:val="left"/>
        </w:tabs>
        <w:numPr>
          <w:ilvl w:val="0"/>
          <w:numId w:val="264"/>
        </w:numPr>
        <w:rPr>
          <w:rFonts w:ascii="Arial" w:cs="Arial" w:eastAsia="Arial" w:hAnsi="Arial"/>
          <w:sz w:val="15"/>
          <w:szCs w:val="15"/>
          <w:color w:val="auto"/>
        </w:rPr>
      </w:pPr>
      <w:r>
        <w:rPr>
          <w:rFonts w:ascii="Arial" w:cs="Arial" w:eastAsia="Arial" w:hAnsi="Arial"/>
          <w:sz w:val="15"/>
          <w:szCs w:val="15"/>
          <w:color w:val="auto"/>
        </w:rPr>
        <w:t>Use its best efforts to register and qualify the securities covered by such registration statement under such other securities or Blue Sky laws of such jurisdictions as shall be reasonably requested by the Holders and any managing underwriter;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Act.</w:t>
      </w:r>
    </w:p>
    <w:p>
      <w:pPr>
        <w:spacing w:after="0" w:line="156" w:lineRule="exact"/>
        <w:rPr>
          <w:rFonts w:ascii="Arial" w:cs="Arial" w:eastAsia="Arial" w:hAnsi="Arial"/>
          <w:sz w:val="15"/>
          <w:szCs w:val="15"/>
          <w:color w:val="auto"/>
        </w:rPr>
      </w:pPr>
    </w:p>
    <w:p>
      <w:pPr>
        <w:ind w:right="160" w:firstLine="1104"/>
        <w:spacing w:after="0" w:line="327" w:lineRule="auto"/>
        <w:tabs>
          <w:tab w:leader="none" w:pos="1677" w:val="left"/>
        </w:tabs>
        <w:numPr>
          <w:ilvl w:val="0"/>
          <w:numId w:val="264"/>
        </w:numPr>
        <w:rPr>
          <w:rFonts w:ascii="Arial" w:cs="Arial" w:eastAsia="Arial" w:hAnsi="Arial"/>
          <w:sz w:val="14"/>
          <w:szCs w:val="14"/>
          <w:color w:val="auto"/>
        </w:rPr>
      </w:pPr>
      <w:r>
        <w:rPr>
          <w:rFonts w:ascii="Arial" w:cs="Arial" w:eastAsia="Arial" w:hAnsi="Arial"/>
          <w:sz w:val="14"/>
          <w:szCs w:val="14"/>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17" w:lineRule="exact"/>
        <w:rPr>
          <w:rFonts w:ascii="Arial" w:cs="Arial" w:eastAsia="Arial" w:hAnsi="Arial"/>
          <w:sz w:val="14"/>
          <w:szCs w:val="14"/>
          <w:color w:val="auto"/>
        </w:rPr>
      </w:pPr>
    </w:p>
    <w:p>
      <w:pPr>
        <w:ind w:right="40" w:firstLine="1104"/>
        <w:spacing w:after="0" w:line="268" w:lineRule="auto"/>
        <w:tabs>
          <w:tab w:leader="none" w:pos="1671" w:val="left"/>
        </w:tabs>
        <w:numPr>
          <w:ilvl w:val="0"/>
          <w:numId w:val="264"/>
        </w:numPr>
        <w:rPr>
          <w:rFonts w:ascii="Arial" w:cs="Arial" w:eastAsia="Arial" w:hAnsi="Arial"/>
          <w:sz w:val="15"/>
          <w:szCs w:val="15"/>
          <w:color w:val="auto"/>
        </w:rPr>
      </w:pPr>
      <w:r>
        <w:rPr>
          <w:rFonts w:ascii="Arial" w:cs="Arial" w:eastAsia="Arial" w:hAnsi="Arial"/>
          <w:sz w:val="15"/>
          <w:szCs w:val="15"/>
          <w:color w:val="auto"/>
        </w:rPr>
        <w:t>Promptly notify each Holder of Registrable Securities covered by such registration statement at any time when a prospectus relating thereto is required to be delivered under the Act as a result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56" w:lineRule="exact"/>
        <w:rPr>
          <w:rFonts w:ascii="Arial" w:cs="Arial" w:eastAsia="Arial" w:hAnsi="Arial"/>
          <w:sz w:val="15"/>
          <w:szCs w:val="15"/>
          <w:color w:val="auto"/>
        </w:rPr>
      </w:pPr>
    </w:p>
    <w:p>
      <w:pPr>
        <w:ind w:left="1680" w:hanging="576"/>
        <w:spacing w:after="0"/>
        <w:tabs>
          <w:tab w:leader="none" w:pos="1680" w:val="left"/>
        </w:tabs>
        <w:numPr>
          <w:ilvl w:val="0"/>
          <w:numId w:val="264"/>
        </w:numPr>
        <w:rPr>
          <w:rFonts w:ascii="Arial" w:cs="Arial" w:eastAsia="Arial" w:hAnsi="Arial"/>
          <w:sz w:val="14"/>
          <w:szCs w:val="14"/>
          <w:color w:val="auto"/>
        </w:rPr>
      </w:pPr>
      <w:r>
        <w:rPr>
          <w:rFonts w:ascii="Arial" w:cs="Arial" w:eastAsia="Arial" w:hAnsi="Arial"/>
          <w:sz w:val="14"/>
          <w:szCs w:val="14"/>
          <w:color w:val="auto"/>
        </w:rPr>
        <w:t>Cause all such Registrable Securities registered pursuant hereunder to be listed on each securities exchange on which similar securities issued by the</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Company are then listed.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20"/>
          </w:cols>
          <w:pgMar w:left="240" w:top="129" w:right="239" w:bottom="105" w:gutter="0" w:footer="0" w:header="0"/>
        </w:sectPr>
      </w:pPr>
    </w:p>
    <w:bookmarkStart w:id="324" w:name="page325"/>
    <w:bookmarkEnd w:id="324"/>
    <w:p>
      <w:pPr>
        <w:ind w:right="120" w:firstLine="1104"/>
        <w:spacing w:after="0" w:line="289" w:lineRule="auto"/>
        <w:tabs>
          <w:tab w:leader="none" w:pos="1674" w:val="left"/>
        </w:tabs>
        <w:numPr>
          <w:ilvl w:val="0"/>
          <w:numId w:val="265"/>
        </w:numPr>
        <w:rPr>
          <w:rFonts w:ascii="Arial" w:cs="Arial" w:eastAsia="Arial" w:hAnsi="Arial"/>
          <w:sz w:val="15"/>
          <w:szCs w:val="15"/>
          <w:color w:val="auto"/>
        </w:rPr>
      </w:pPr>
      <w:r>
        <w:rPr>
          <w:rFonts w:ascii="Arial" w:cs="Arial" w:eastAsia="Arial" w:hAnsi="Arial"/>
          <w:sz w:val="15"/>
          <w:szCs w:val="15"/>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140" w:lineRule="exact"/>
        <w:rPr>
          <w:rFonts w:ascii="Arial" w:cs="Arial" w:eastAsia="Arial" w:hAnsi="Arial"/>
          <w:sz w:val="15"/>
          <w:szCs w:val="15"/>
          <w:color w:val="auto"/>
        </w:rPr>
      </w:pPr>
    </w:p>
    <w:p>
      <w:pPr>
        <w:ind w:right="20" w:firstLine="1104"/>
        <w:spacing w:after="0" w:line="289" w:lineRule="auto"/>
        <w:tabs>
          <w:tab w:leader="none" w:pos="1686" w:val="left"/>
        </w:tabs>
        <w:numPr>
          <w:ilvl w:val="0"/>
          <w:numId w:val="265"/>
        </w:numPr>
        <w:rPr>
          <w:rFonts w:ascii="Arial" w:cs="Arial" w:eastAsia="Arial" w:hAnsi="Arial"/>
          <w:sz w:val="14"/>
          <w:szCs w:val="14"/>
          <w:color w:val="auto"/>
        </w:rPr>
      </w:pPr>
      <w:r>
        <w:rPr>
          <w:rFonts w:ascii="Arial" w:cs="Arial" w:eastAsia="Arial" w:hAnsi="Arial"/>
          <w:sz w:val="14"/>
          <w:szCs w:val="14"/>
          <w:color w:val="auto"/>
        </w:rPr>
        <w:t xml:space="preserve">Furnish, at the request of any Holder requesting registration of Registrable Securities pursuant to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on the date that such Registrable Securities are delivered to the underwriters for sale in connection with a registration pursuant to this </w:t>
      </w:r>
      <w:r>
        <w:rPr>
          <w:rFonts w:ascii="Arial" w:cs="Arial" w:eastAsia="Arial" w:hAnsi="Arial"/>
          <w:sz w:val="14"/>
          <w:szCs w:val="14"/>
          <w:u w:val="single" w:color="auto"/>
          <w:color w:val="auto"/>
        </w:rPr>
        <w:t>Section 3</w:t>
      </w:r>
      <w:r>
        <w:rPr>
          <w:rFonts w:ascii="Arial" w:cs="Arial" w:eastAsia="Arial" w:hAnsi="Arial"/>
          <w:sz w:val="14"/>
          <w:szCs w:val="14"/>
          <w:color w:val="auto"/>
        </w:rPr>
        <w:t>, if such securities are being sold through underwriters, copies of (i) the opinion, dated as of such date, of the counsel representing the Company for the purposes of such registration given to the underwriters in such underwritten public offering, which opinion shall be in such form as is reasonably satisfactory to counsel to the underwriters, and (ii) the letter dated as of such date, from the independent certified public accountants of the Company, to the underwriters in such underwritten public offering, addressed to the underwriters, which letter shall be in such form as is reasonably satisfactory to counsel to the underwriters.</w:t>
      </w:r>
    </w:p>
    <w:p>
      <w:pPr>
        <w:spacing w:after="0" w:line="143" w:lineRule="exact"/>
        <w:rPr>
          <w:sz w:val="20"/>
          <w:szCs w:val="20"/>
          <w:color w:val="auto"/>
        </w:rPr>
      </w:pPr>
    </w:p>
    <w:p>
      <w:pPr>
        <w:ind w:right="220" w:firstLine="556"/>
        <w:spacing w:after="0" w:line="273"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Furnish Information</w:t>
      </w:r>
      <w:r>
        <w:rPr>
          <w:rFonts w:ascii="Arial" w:cs="Arial" w:eastAsia="Arial" w:hAnsi="Arial"/>
          <w:sz w:val="15"/>
          <w:szCs w:val="15"/>
          <w:color w:val="auto"/>
        </w:rPr>
        <w:t xml:space="preserve">. It shall be a condition precedent to the obligations of the Company to take any action pursuant to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w:t>
      </w:r>
    </w:p>
    <w:p>
      <w:pPr>
        <w:spacing w:after="0" w:line="153" w:lineRule="exact"/>
        <w:rPr>
          <w:sz w:val="20"/>
          <w:szCs w:val="20"/>
          <w:color w:val="auto"/>
        </w:rPr>
      </w:pPr>
    </w:p>
    <w:p>
      <w:pPr>
        <w:ind w:firstLine="556"/>
        <w:spacing w:after="0" w:line="280" w:lineRule="auto"/>
        <w:rPr>
          <w:sz w:val="20"/>
          <w:szCs w:val="20"/>
          <w:color w:val="auto"/>
        </w:rPr>
      </w:pPr>
      <w:r>
        <w:rPr>
          <w:rFonts w:ascii="Arial" w:cs="Arial" w:eastAsia="Arial" w:hAnsi="Arial"/>
          <w:sz w:val="14"/>
          <w:szCs w:val="14"/>
          <w:color w:val="auto"/>
        </w:rPr>
        <w:t xml:space="preserve">3.7. </w:t>
      </w:r>
      <w:r>
        <w:rPr>
          <w:rFonts w:ascii="Arial" w:cs="Arial" w:eastAsia="Arial" w:hAnsi="Arial"/>
          <w:sz w:val="14"/>
          <w:szCs w:val="14"/>
          <w:u w:val="single" w:color="auto"/>
          <w:color w:val="auto"/>
        </w:rPr>
        <w:t>Expenses of Demand and S-3 Registrations</w:t>
      </w:r>
      <w:r>
        <w:rPr>
          <w:rFonts w:ascii="Arial" w:cs="Arial" w:eastAsia="Arial" w:hAnsi="Arial"/>
          <w:sz w:val="14"/>
          <w:szCs w:val="14"/>
          <w:color w:val="auto"/>
        </w:rPr>
        <w:t xml:space="preserve">. The Company shall pay all expenses other than underwriting discounts and commissions incurred in connection with registrations, filings, or qualifications pursuant to </w:t>
      </w:r>
      <w:r>
        <w:rPr>
          <w:rFonts w:ascii="Arial" w:cs="Arial" w:eastAsia="Arial" w:hAnsi="Arial"/>
          <w:sz w:val="14"/>
          <w:szCs w:val="14"/>
          <w:u w:val="single" w:color="auto"/>
          <w:color w:val="auto"/>
        </w:rPr>
        <w:t>Sections 3.2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3.4</w:t>
      </w:r>
      <w:r>
        <w:rPr>
          <w:rFonts w:ascii="Arial" w:cs="Arial" w:eastAsia="Arial" w:hAnsi="Arial"/>
          <w:sz w:val="14"/>
          <w:szCs w:val="14"/>
          <w:color w:val="auto"/>
        </w:rPr>
        <w:t>, including (a) all registration, filing, and qualification fees (including filing fees with the SEC, fees due to the Financial Industry Regulatory Authority (“</w:t>
      </w:r>
      <w:r>
        <w:rPr>
          <w:rFonts w:ascii="Arial" w:cs="Arial" w:eastAsia="Arial" w:hAnsi="Arial"/>
          <w:sz w:val="14"/>
          <w:szCs w:val="14"/>
          <w:u w:val="single" w:color="auto"/>
          <w:color w:val="auto"/>
        </w:rPr>
        <w:t>FINRA</w:t>
      </w:r>
      <w:r>
        <w:rPr>
          <w:rFonts w:ascii="Arial" w:cs="Arial" w:eastAsia="Arial" w:hAnsi="Arial"/>
          <w:sz w:val="14"/>
          <w:szCs w:val="14"/>
          <w:color w:val="auto"/>
        </w:rPr>
        <w:t xml:space="preserve">”) and fees due for listing on any stock exchange, including Nasdaq); (b) printers and accounting fees; (c) fees and disbursements of counsel for the Company; and (d) the reasonable fees and disbursements of one counsel for the selling Holders; provided, however, that the Company shall not be required to pay for any expenses of any registration proceeding begun pursuant to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3.4</w:t>
      </w:r>
      <w:r>
        <w:rPr>
          <w:rFonts w:ascii="Arial" w:cs="Arial" w:eastAsia="Arial" w:hAnsi="Arial"/>
          <w:sz w:val="14"/>
          <w:szCs w:val="14"/>
          <w:color w:val="auto"/>
        </w:rPr>
        <w:t xml:space="preserve"> if the registration request is subsequently withdrawn at the request of the holders of at least sixty-six and two-thirds percent (66 2/3%) of the Registrable Securities then held by Preferred Stock Holders to be registered (in which case all Preferred Stock Holders participating in the aborted registration shall bear such expenses), unless the holders of at least sixty-six and two-thirds percent (66 2/3%) of the Registrable Securities then held by Preferred Stock Holders agree to forfeit their rights to a registration under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provided further, however, that if at the time of such withdrawal, the Preferred Stock Holders have either (i) learned of a material adverse change in the condition, business, or prospects of the Company from that known to the Preferred Stock Holders at the time of their request or (ii) been informed by the underwriters of such registration that more than twenty percent (20%) of the Registrable Securities requested for registration shall not be includable therein due to market factors, and in either such case the Preferred Stock Holders have withdrawn the request with reasonable promptness following such disclosure, then the Preferred Stock Holders shall not be required to pay such expenses and shall retain their rights pursuant to </w:t>
      </w:r>
      <w:r>
        <w:rPr>
          <w:rFonts w:ascii="Arial" w:cs="Arial" w:eastAsia="Arial" w:hAnsi="Arial"/>
          <w:sz w:val="14"/>
          <w:szCs w:val="14"/>
          <w:u w:val="single" w:color="auto"/>
          <w:color w:val="auto"/>
        </w:rPr>
        <w:t>Sections 3.2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3.4</w:t>
      </w:r>
      <w:r>
        <w:rPr>
          <w:rFonts w:ascii="Arial" w:cs="Arial" w:eastAsia="Arial" w:hAnsi="Arial"/>
          <w:sz w:val="14"/>
          <w:szCs w:val="14"/>
          <w:color w:val="auto"/>
        </w:rPr>
        <w:t>.</w:t>
      </w:r>
    </w:p>
    <w:p>
      <w:pPr>
        <w:spacing w:after="0" w:line="155" w:lineRule="exact"/>
        <w:rPr>
          <w:sz w:val="20"/>
          <w:szCs w:val="20"/>
          <w:color w:val="auto"/>
        </w:rPr>
      </w:pPr>
    </w:p>
    <w:p>
      <w:pPr>
        <w:ind w:right="440" w:firstLine="556"/>
        <w:spacing w:after="0" w:line="289"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Expenses of “Piggy-Back” Registration</w:t>
      </w:r>
      <w:r>
        <w:rPr>
          <w:rFonts w:ascii="Arial" w:cs="Arial" w:eastAsia="Arial" w:hAnsi="Arial"/>
          <w:sz w:val="15"/>
          <w:szCs w:val="15"/>
          <w:color w:val="auto"/>
        </w:rPr>
        <w:t>. The Company shall pay all expenses incurred in connection with any registration, filing, or qualification of Registrable Securities with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 xml:space="preserve">respect to the registrations pursuant to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for each Holder, including all registration, filing, and qualification fees, printers and accounting fees relating or apportionable thereto, and the fees and disbursements of one counsel for the selling Holders selected by them, but excluding stock transfer taxes, underwriting discounts and commissions relating to the Registrable Securities.</w:t>
      </w:r>
    </w:p>
    <w:p>
      <w:pPr>
        <w:spacing w:after="0" w:line="153" w:lineRule="exact"/>
        <w:rPr>
          <w:sz w:val="20"/>
          <w:szCs w:val="20"/>
          <w:color w:val="auto"/>
        </w:rPr>
      </w:pPr>
    </w:p>
    <w:p>
      <w:pPr>
        <w:ind w:right="480" w:firstLine="556"/>
        <w:spacing w:after="0" w:line="289"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Delay of Registration</w:t>
      </w:r>
      <w:r>
        <w:rPr>
          <w:rFonts w:ascii="Arial" w:cs="Arial" w:eastAsia="Arial" w:hAnsi="Arial"/>
          <w:sz w:val="15"/>
          <w:szCs w:val="15"/>
          <w:color w:val="auto"/>
        </w:rPr>
        <w:t xml:space="preserve">. No Holder shall have any right to obtain or seek an injunction restraining or otherwise delaying any such registration as the result of any controversy that might arise with respect to the interpretation or implementation of this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141"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3.10.</w:t>
      </w:r>
      <w:r>
        <w:rPr>
          <w:sz w:val="20"/>
          <w:szCs w:val="20"/>
          <w:color w:val="auto"/>
        </w:rPr>
        <w:tab/>
      </w:r>
      <w:r>
        <w:rPr>
          <w:rFonts w:ascii="Arial" w:cs="Arial" w:eastAsia="Arial" w:hAnsi="Arial"/>
          <w:sz w:val="13"/>
          <w:szCs w:val="13"/>
          <w:u w:val="single" w:color="auto"/>
          <w:color w:val="auto"/>
        </w:rPr>
        <w:t>Indemnification</w:t>
      </w:r>
      <w:r>
        <w:rPr>
          <w:rFonts w:ascii="Arial" w:cs="Arial" w:eastAsia="Arial" w:hAnsi="Arial"/>
          <w:sz w:val="13"/>
          <w:szCs w:val="13"/>
          <w:color w:val="auto"/>
        </w:rPr>
        <w:t>. In the event any Registrable Securities are included in a registration statement under this</w:t>
      </w:r>
      <w:r>
        <w:rPr>
          <w:rFonts w:ascii="Arial" w:cs="Arial" w:eastAsia="Arial" w:hAnsi="Arial"/>
          <w:sz w:val="13"/>
          <w:szCs w:val="13"/>
          <w:u w:val="single" w:color="auto"/>
          <w:color w:val="auto"/>
        </w:rPr>
        <w:t xml:space="preserve"> Section 3</w:t>
      </w:r>
      <w:r>
        <w:rPr>
          <w:rFonts w:ascii="Arial" w:cs="Arial" w:eastAsia="Arial" w:hAnsi="Arial"/>
          <w:sz w:val="13"/>
          <w:szCs w:val="13"/>
          <w:color w:val="auto"/>
        </w:rPr>
        <w:t>:</w:t>
      </w:r>
    </w:p>
    <w:p>
      <w:pPr>
        <w:spacing w:after="0" w:line="198" w:lineRule="exact"/>
        <w:rPr>
          <w:sz w:val="20"/>
          <w:szCs w:val="20"/>
          <w:color w:val="auto"/>
        </w:rPr>
      </w:pPr>
    </w:p>
    <w:p>
      <w:pPr>
        <w:ind w:right="40" w:firstLine="1104"/>
        <w:spacing w:after="0" w:line="280" w:lineRule="auto"/>
        <w:tabs>
          <w:tab w:leader="none" w:pos="1665" w:val="left"/>
        </w:tabs>
        <w:numPr>
          <w:ilvl w:val="0"/>
          <w:numId w:val="266"/>
        </w:numPr>
        <w:rPr>
          <w:rFonts w:ascii="Arial" w:cs="Arial" w:eastAsia="Arial" w:hAnsi="Arial"/>
          <w:sz w:val="14"/>
          <w:szCs w:val="14"/>
          <w:color w:val="auto"/>
        </w:rPr>
      </w:pPr>
      <w:r>
        <w:rPr>
          <w:rFonts w:ascii="Arial" w:cs="Arial" w:eastAsia="Arial" w:hAnsi="Arial"/>
          <w:sz w:val="14"/>
          <w:szCs w:val="14"/>
          <w:color w:val="auto"/>
        </w:rPr>
        <w:t>To the extent permitted by law, the Company will indemnify and hold harmless each Holder, any underwriter (as defined in the Act) for such Holder, and each person (if any) who controls such Holder (a “</w:t>
      </w:r>
      <w:r>
        <w:rPr>
          <w:rFonts w:ascii="Arial" w:cs="Arial" w:eastAsia="Arial" w:hAnsi="Arial"/>
          <w:sz w:val="14"/>
          <w:szCs w:val="14"/>
          <w:u w:val="single" w:color="auto"/>
          <w:color w:val="auto"/>
        </w:rPr>
        <w:t>Controlling Person</w:t>
      </w:r>
      <w:r>
        <w:rPr>
          <w:rFonts w:ascii="Arial" w:cs="Arial" w:eastAsia="Arial" w:hAnsi="Arial"/>
          <w:sz w:val="14"/>
          <w:szCs w:val="14"/>
          <w:color w:val="auto"/>
        </w:rPr>
        <w:t>”) or underwriter within the meaning of the Act or the 1934 Act, against any losses, claims, damages, or liabilities joint or several) to which they may become subject under the Act, the 1934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4"/>
          <w:szCs w:val="14"/>
          <w:u w:val="single" w:color="auto"/>
          <w:color w:val="auto"/>
        </w:rPr>
        <w:t>Violation</w:t>
      </w:r>
      <w:r>
        <w:rPr>
          <w:rFonts w:ascii="Arial" w:cs="Arial" w:eastAsia="Arial" w:hAnsi="Arial"/>
          <w:sz w:val="14"/>
          <w:szCs w:val="14"/>
          <w:color w:val="auto"/>
        </w:rPr>
        <w:t xml:space="preserve">”)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Act, the 1934 Act, any state securities law, or any rule or regulation promulgated under the Act, the 1934 Act, or any state securities law; and the Company will pay to each such Holder, underwriter, or Controlling Person, as incurred, any legal or other expenses reasonably incurred by them in connection with investigating or defending any such loss, claim, damage, liability, or action; provided, however, that the indemnity agreement contained in this </w:t>
      </w:r>
      <w:r>
        <w:rPr>
          <w:rFonts w:ascii="Arial" w:cs="Arial" w:eastAsia="Arial" w:hAnsi="Arial"/>
          <w:sz w:val="14"/>
          <w:szCs w:val="14"/>
          <w:u w:val="single" w:color="auto"/>
          <w:color w:val="auto"/>
        </w:rPr>
        <w:t>Section 3.10(a)</w:t>
      </w:r>
      <w:r>
        <w:rPr>
          <w:rFonts w:ascii="Arial" w:cs="Arial" w:eastAsia="Arial" w:hAnsi="Arial"/>
          <w:sz w:val="14"/>
          <w:szCs w:val="14"/>
          <w:color w:val="auto"/>
        </w:rPr>
        <w:t xml:space="preserve">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or Controlling Person.</w:t>
      </w:r>
    </w:p>
    <w:p>
      <w:pPr>
        <w:spacing w:after="0" w:line="155" w:lineRule="exact"/>
        <w:rPr>
          <w:rFonts w:ascii="Arial" w:cs="Arial" w:eastAsia="Arial" w:hAnsi="Arial"/>
          <w:sz w:val="14"/>
          <w:szCs w:val="14"/>
          <w:color w:val="auto"/>
        </w:rPr>
      </w:pPr>
    </w:p>
    <w:p>
      <w:pPr>
        <w:ind w:right="40" w:firstLine="1104"/>
        <w:spacing w:after="0" w:line="264" w:lineRule="auto"/>
        <w:tabs>
          <w:tab w:leader="none" w:pos="1674" w:val="left"/>
        </w:tabs>
        <w:numPr>
          <w:ilvl w:val="0"/>
          <w:numId w:val="266"/>
        </w:numPr>
        <w:rPr>
          <w:rFonts w:ascii="Arial" w:cs="Arial" w:eastAsia="Arial" w:hAnsi="Arial"/>
          <w:sz w:val="15"/>
          <w:szCs w:val="15"/>
          <w:color w:val="auto"/>
        </w:rPr>
      </w:pPr>
      <w:r>
        <w:rPr>
          <w:rFonts w:ascii="Arial" w:cs="Arial" w:eastAsia="Arial" w:hAnsi="Arial"/>
          <w:sz w:val="15"/>
          <w:szCs w:val="15"/>
          <w:color w:val="auto"/>
        </w:rPr>
        <w:t>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or other federal or state law, insofar as such losses, claims, damages, or liabilities (or actions in respect thereto) arise out of or are based upon (i) any Violation, in each case to the extent (and only to the extent) that such Violation occurs in reliance upon and in conformity with written information furnished by such Holder expressly for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 xml:space="preserve">use in connection with such registration or (ii) any violation or alleged violation by such Holder of the Act, the 1934 Act, any state securities law, or any rule or regulation promulgated under the Act, the 1934 Act, or any state securities law; and each such Holder will pay, as incurred, any legal or other expenses reasonably incurred by any person intended to be indemnified pursuant to this </w:t>
      </w:r>
      <w:r>
        <w:rPr>
          <w:rFonts w:ascii="Arial" w:cs="Arial" w:eastAsia="Arial" w:hAnsi="Arial"/>
          <w:sz w:val="15"/>
          <w:szCs w:val="15"/>
          <w:u w:val="single" w:color="auto"/>
          <w:color w:val="auto"/>
        </w:rPr>
        <w:t>Section 3.10(b)</w:t>
      </w:r>
      <w:r>
        <w:rPr>
          <w:rFonts w:ascii="Arial" w:cs="Arial" w:eastAsia="Arial" w:hAnsi="Arial"/>
          <w:sz w:val="15"/>
          <w:szCs w:val="15"/>
          <w:color w:val="auto"/>
        </w:rPr>
        <w:t xml:space="preserve">, in connection with investigating or defending any such loss, claim, damage, liability, or action; provided, however, that the indemnity agreement contained in this </w:t>
      </w:r>
      <w:r>
        <w:rPr>
          <w:rFonts w:ascii="Arial" w:cs="Arial" w:eastAsia="Arial" w:hAnsi="Arial"/>
          <w:sz w:val="15"/>
          <w:szCs w:val="15"/>
          <w:u w:val="single" w:color="auto"/>
          <w:color w:val="auto"/>
        </w:rPr>
        <w:t>Section 3.10(b)</w:t>
      </w:r>
      <w:r>
        <w:rPr>
          <w:rFonts w:ascii="Arial" w:cs="Arial" w:eastAsia="Arial" w:hAnsi="Arial"/>
          <w:sz w:val="15"/>
          <w:szCs w:val="15"/>
          <w:color w:val="auto"/>
        </w:rPr>
        <w:t xml:space="preserve"> shall not apply to amounts paid in settlement of any such loss, claim, damage, liability, or action if such settlement is effected without the consent of such indemnifying Holder, which consent shall not be unreasonably withheld; and further provided that in no event shall any indemnity under this </w:t>
      </w:r>
      <w:r>
        <w:rPr>
          <w:rFonts w:ascii="Arial" w:cs="Arial" w:eastAsia="Arial" w:hAnsi="Arial"/>
          <w:sz w:val="15"/>
          <w:szCs w:val="15"/>
          <w:u w:val="single" w:color="auto"/>
          <w:color w:val="auto"/>
        </w:rPr>
        <w:t>Section 3.10(b)</w:t>
      </w:r>
      <w:r>
        <w:rPr>
          <w:rFonts w:ascii="Arial" w:cs="Arial" w:eastAsia="Arial" w:hAnsi="Arial"/>
          <w:sz w:val="15"/>
          <w:szCs w:val="15"/>
          <w:color w:val="auto"/>
        </w:rPr>
        <w:t xml:space="preserve"> exceed the net proceeds from the offering received by such indemnifying Holder.</w:t>
      </w:r>
    </w:p>
    <w:p>
      <w:pPr>
        <w:spacing w:after="0" w:line="159" w:lineRule="exact"/>
        <w:rPr>
          <w:sz w:val="20"/>
          <w:szCs w:val="20"/>
          <w:color w:val="auto"/>
        </w:rPr>
      </w:pPr>
    </w:p>
    <w:p>
      <w:pPr>
        <w:ind w:firstLine="1104"/>
        <w:spacing w:after="0" w:line="261" w:lineRule="auto"/>
        <w:tabs>
          <w:tab w:leader="none" w:pos="1677" w:val="left"/>
        </w:tabs>
        <w:numPr>
          <w:ilvl w:val="0"/>
          <w:numId w:val="267"/>
        </w:numPr>
        <w:rPr>
          <w:rFonts w:ascii="Arial" w:cs="Arial" w:eastAsia="Arial" w:hAnsi="Arial"/>
          <w:sz w:val="15"/>
          <w:szCs w:val="15"/>
          <w:color w:val="auto"/>
        </w:rPr>
      </w:pPr>
      <w:r>
        <w:rPr>
          <w:rFonts w:ascii="Arial" w:cs="Arial" w:eastAsia="Arial" w:hAnsi="Arial"/>
          <w:sz w:val="15"/>
          <w:szCs w:val="15"/>
          <w:color w:val="auto"/>
        </w:rPr>
        <w:t xml:space="preserve">Promptly after receipt by an indemnified party under this </w:t>
      </w:r>
      <w:r>
        <w:rPr>
          <w:rFonts w:ascii="Arial" w:cs="Arial" w:eastAsia="Arial" w:hAnsi="Arial"/>
          <w:sz w:val="15"/>
          <w:szCs w:val="15"/>
          <w:u w:val="single" w:color="auto"/>
          <w:color w:val="auto"/>
        </w:rPr>
        <w:t>Section 3.10</w:t>
      </w:r>
      <w:r>
        <w:rPr>
          <w:rFonts w:ascii="Arial" w:cs="Arial" w:eastAsia="Arial" w:hAnsi="Arial"/>
          <w:sz w:val="15"/>
          <w:szCs w:val="15"/>
          <w:color w:val="auto"/>
        </w:rPr>
        <w:t xml:space="preserve"> of notice of the commencement of any action (including any governmental action), such indemnified party will, if a claim in respect thereof is to be made against any indemnifying party under this </w:t>
      </w:r>
      <w:r>
        <w:rPr>
          <w:rFonts w:ascii="Arial" w:cs="Arial" w:eastAsia="Arial" w:hAnsi="Arial"/>
          <w:sz w:val="15"/>
          <w:szCs w:val="15"/>
          <w:u w:val="single" w:color="auto"/>
          <w:color w:val="auto"/>
        </w:rPr>
        <w:t>Section 3.10</w:t>
      </w:r>
      <w:r>
        <w:rPr>
          <w:rFonts w:ascii="Arial" w:cs="Arial" w:eastAsia="Arial" w:hAnsi="Arial"/>
          <w:sz w:val="15"/>
          <w:szCs w:val="15"/>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which may be represented without conflict by one counsel) shall have the right to retain one separate counsel and participate in the defense,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w:t>
      </w:r>
      <w:r>
        <w:rPr>
          <w:rFonts w:ascii="Arial" w:cs="Arial" w:eastAsia="Arial" w:hAnsi="Arial"/>
          <w:sz w:val="15"/>
          <w:szCs w:val="15"/>
          <w:u w:val="single" w:color="auto"/>
          <w:color w:val="auto"/>
        </w:rPr>
        <w:t>Section 3.10</w:t>
      </w:r>
      <w:r>
        <w:rPr>
          <w:rFonts w:ascii="Arial" w:cs="Arial" w:eastAsia="Arial" w:hAnsi="Arial"/>
          <w:sz w:val="15"/>
          <w:szCs w:val="15"/>
          <w:color w:val="auto"/>
        </w:rPr>
        <w:t xml:space="preserve">, but the omission so to deliver written notice to the indemnifying party will not relieve the indemnifying party of any liability that it may have to any indemnified party otherwise than under this </w:t>
      </w:r>
      <w:r>
        <w:rPr>
          <w:rFonts w:ascii="Arial" w:cs="Arial" w:eastAsia="Arial" w:hAnsi="Arial"/>
          <w:sz w:val="15"/>
          <w:szCs w:val="15"/>
          <w:u w:val="single" w:color="auto"/>
          <w:color w:val="auto"/>
        </w:rPr>
        <w:t>Section 3.10</w:t>
      </w:r>
      <w:r>
        <w:rPr>
          <w:rFonts w:ascii="Arial" w:cs="Arial" w:eastAsia="Arial" w:hAnsi="Arial"/>
          <w:sz w:val="15"/>
          <w:szCs w:val="15"/>
          <w:color w:val="auto"/>
        </w:rPr>
        <w:t>.</w:t>
      </w:r>
    </w:p>
    <w:p>
      <w:pPr>
        <w:spacing w:after="0" w:line="162" w:lineRule="exact"/>
        <w:rPr>
          <w:rFonts w:ascii="Arial" w:cs="Arial" w:eastAsia="Arial" w:hAnsi="Arial"/>
          <w:sz w:val="15"/>
          <w:szCs w:val="15"/>
          <w:color w:val="auto"/>
        </w:rPr>
      </w:pPr>
    </w:p>
    <w:p>
      <w:pPr>
        <w:jc w:val="both"/>
        <w:ind w:firstLine="1104"/>
        <w:spacing w:after="0" w:line="293" w:lineRule="auto"/>
        <w:tabs>
          <w:tab w:leader="none" w:pos="1674" w:val="left"/>
        </w:tabs>
        <w:numPr>
          <w:ilvl w:val="0"/>
          <w:numId w:val="267"/>
        </w:numPr>
        <w:rPr>
          <w:rFonts w:ascii="Arial" w:cs="Arial" w:eastAsia="Arial" w:hAnsi="Arial"/>
          <w:sz w:val="14"/>
          <w:szCs w:val="14"/>
          <w:color w:val="auto"/>
        </w:rPr>
      </w:pPr>
      <w:r>
        <w:rPr>
          <w:rFonts w:ascii="Arial" w:cs="Arial" w:eastAsia="Arial" w:hAnsi="Arial"/>
          <w:sz w:val="14"/>
          <w:szCs w:val="14"/>
          <w:color w:val="auto"/>
        </w:rPr>
        <w:t xml:space="preserve">If the indemnification provided for in this </w:t>
      </w:r>
      <w:r>
        <w:rPr>
          <w:rFonts w:ascii="Arial" w:cs="Arial" w:eastAsia="Arial" w:hAnsi="Arial"/>
          <w:sz w:val="14"/>
          <w:szCs w:val="14"/>
          <w:u w:val="single" w:color="auto"/>
          <w:color w:val="auto"/>
        </w:rPr>
        <w:t>Section 3.10</w:t>
      </w:r>
      <w:r>
        <w:rPr>
          <w:rFonts w:ascii="Arial" w:cs="Arial" w:eastAsia="Arial" w:hAnsi="Arial"/>
          <w:sz w:val="14"/>
          <w:szCs w:val="14"/>
          <w:color w:val="auto"/>
        </w:rPr>
        <w:t xml:space="preserve">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w:t>
      </w:r>
    </w:p>
    <w:p>
      <w:pPr>
        <w:sectPr>
          <w:pgSz w:w="11900" w:h="16838" w:orient="portrait"/>
          <w:cols w:equalWidth="0" w:num="1">
            <w:col w:w="11420"/>
          </w:cols>
          <w:pgMar w:left="240" w:top="129" w:right="239" w:bottom="0" w:gutter="0" w:footer="0" w:header="0"/>
        </w:sectPr>
      </w:pPr>
    </w:p>
    <w:bookmarkStart w:id="325" w:name="page326"/>
    <w:bookmarkEnd w:id="325"/>
    <w:p>
      <w:pPr>
        <w:ind w:left="7" w:right="20"/>
        <w:spacing w:after="0" w:line="273" w:lineRule="auto"/>
        <w:rPr>
          <w:sz w:val="20"/>
          <w:szCs w:val="20"/>
          <w:color w:val="auto"/>
        </w:rPr>
      </w:pPr>
      <w:r>
        <w:rPr>
          <w:rFonts w:ascii="Arial" w:cs="Arial" w:eastAsia="Arial" w:hAnsi="Arial"/>
          <w:sz w:val="15"/>
          <w:szCs w:val="15"/>
          <w:color w:val="auto"/>
        </w:rPr>
        <w:t>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53"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80" w:firstLine="1104"/>
        <w:spacing w:after="0" w:line="289" w:lineRule="auto"/>
        <w:tabs>
          <w:tab w:leader="none" w:pos="1684" w:val="left"/>
        </w:tabs>
        <w:numPr>
          <w:ilvl w:val="0"/>
          <w:numId w:val="268"/>
        </w:numPr>
        <w:rPr>
          <w:rFonts w:ascii="Arial" w:cs="Arial" w:eastAsia="Arial" w:hAnsi="Arial"/>
          <w:sz w:val="15"/>
          <w:szCs w:val="15"/>
          <w:color w:val="auto"/>
        </w:rPr>
      </w:pPr>
      <w:r>
        <w:rPr>
          <w:rFonts w:ascii="Arial" w:cs="Arial" w:eastAsia="Arial" w:hAnsi="Arial"/>
          <w:sz w:val="15"/>
          <w:szCs w:val="15"/>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40" w:lineRule="exact"/>
        <w:rPr>
          <w:rFonts w:ascii="Arial" w:cs="Arial" w:eastAsia="Arial" w:hAnsi="Arial"/>
          <w:sz w:val="15"/>
          <w:szCs w:val="15"/>
          <w:color w:val="auto"/>
        </w:rPr>
      </w:pPr>
    </w:p>
    <w:p>
      <w:pPr>
        <w:ind w:left="7" w:right="180" w:firstLine="1104"/>
        <w:spacing w:after="0" w:line="289" w:lineRule="auto"/>
        <w:tabs>
          <w:tab w:leader="none" w:pos="1679" w:val="left"/>
        </w:tabs>
        <w:numPr>
          <w:ilvl w:val="0"/>
          <w:numId w:val="268"/>
        </w:numPr>
        <w:rPr>
          <w:rFonts w:ascii="Arial" w:cs="Arial" w:eastAsia="Arial" w:hAnsi="Arial"/>
          <w:sz w:val="15"/>
          <w:szCs w:val="15"/>
          <w:color w:val="auto"/>
        </w:rPr>
      </w:pPr>
      <w:r>
        <w:rPr>
          <w:rFonts w:ascii="Arial" w:cs="Arial" w:eastAsia="Arial" w:hAnsi="Arial"/>
          <w:sz w:val="15"/>
          <w:szCs w:val="15"/>
          <w:color w:val="auto"/>
        </w:rPr>
        <w:t xml:space="preserve">The obligations of the Company and Holders under this </w:t>
      </w:r>
      <w:r>
        <w:rPr>
          <w:rFonts w:ascii="Arial" w:cs="Arial" w:eastAsia="Arial" w:hAnsi="Arial"/>
          <w:sz w:val="15"/>
          <w:szCs w:val="15"/>
          <w:u w:val="single" w:color="auto"/>
          <w:color w:val="auto"/>
        </w:rPr>
        <w:t>Section 3.10</w:t>
      </w:r>
      <w:r>
        <w:rPr>
          <w:rFonts w:ascii="Arial" w:cs="Arial" w:eastAsia="Arial" w:hAnsi="Arial"/>
          <w:sz w:val="15"/>
          <w:szCs w:val="15"/>
          <w:color w:val="auto"/>
        </w:rPr>
        <w:t xml:space="preserve"> shall survive the completion of any offering of Registrable Securities in a registration statement under this </w:t>
      </w:r>
      <w:r>
        <w:rPr>
          <w:rFonts w:ascii="Arial" w:cs="Arial" w:eastAsia="Arial" w:hAnsi="Arial"/>
          <w:sz w:val="15"/>
          <w:szCs w:val="15"/>
          <w:u w:val="single" w:color="auto"/>
          <w:color w:val="auto"/>
        </w:rPr>
        <w:t>Section 3</w:t>
      </w:r>
      <w:r>
        <w:rPr>
          <w:rFonts w:ascii="Arial" w:cs="Arial" w:eastAsia="Arial" w:hAnsi="Arial"/>
          <w:sz w:val="15"/>
          <w:szCs w:val="15"/>
          <w:color w:val="auto"/>
        </w:rPr>
        <w:t>, and otherwise.</w:t>
      </w:r>
    </w:p>
    <w:p>
      <w:pPr>
        <w:spacing w:after="0" w:line="141" w:lineRule="exact"/>
        <w:rPr>
          <w:sz w:val="20"/>
          <w:szCs w:val="20"/>
          <w:color w:val="auto"/>
        </w:rPr>
      </w:pPr>
    </w:p>
    <w:p>
      <w:pPr>
        <w:ind w:left="7" w:right="100" w:firstLine="556"/>
        <w:spacing w:after="0" w:line="273"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Reports Under Securities Exchange Act of 1934</w:t>
      </w:r>
      <w:r>
        <w:rPr>
          <w:rFonts w:ascii="Arial" w:cs="Arial" w:eastAsia="Arial" w:hAnsi="Arial"/>
          <w:sz w:val="15"/>
          <w:szCs w:val="15"/>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agrees to use its best efforts:</w:t>
      </w:r>
    </w:p>
    <w:p>
      <w:pPr>
        <w:spacing w:after="0" w:line="153" w:lineRule="exact"/>
        <w:rPr>
          <w:sz w:val="20"/>
          <w:szCs w:val="20"/>
          <w:color w:val="auto"/>
        </w:rPr>
      </w:pPr>
    </w:p>
    <w:p>
      <w:pPr>
        <w:ind w:left="7" w:firstLine="1104"/>
        <w:spacing w:after="0" w:line="227" w:lineRule="auto"/>
        <w:tabs>
          <w:tab w:leader="none" w:pos="1673"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to make and keep public information available, as those terms are understood and defined in SEC Rule 144, at all times from and after the ninetieth (90</w:t>
      </w:r>
      <w:r>
        <w:rPr>
          <w:rFonts w:ascii="Arial" w:cs="Arial" w:eastAsia="Arial" w:hAnsi="Arial"/>
          <w:sz w:val="20"/>
          <w:szCs w:val="20"/>
          <w:color w:val="auto"/>
          <w:vertAlign w:val="superscript"/>
        </w:rPr>
        <w:t>th</w:t>
      </w:r>
      <w:r>
        <w:rPr>
          <w:rFonts w:ascii="Arial" w:cs="Arial" w:eastAsia="Arial" w:hAnsi="Arial"/>
          <w:sz w:val="15"/>
          <w:szCs w:val="15"/>
          <w:color w:val="auto"/>
        </w:rPr>
        <w:t>) day following the effective date of the first registration statement filed by the Company for the offering of its securities to the general public;</w:t>
      </w:r>
    </w:p>
    <w:p>
      <w:pPr>
        <w:spacing w:after="0" w:line="175" w:lineRule="exact"/>
        <w:rPr>
          <w:rFonts w:ascii="Arial" w:cs="Arial" w:eastAsia="Arial" w:hAnsi="Arial"/>
          <w:sz w:val="15"/>
          <w:szCs w:val="15"/>
          <w:color w:val="auto"/>
        </w:rPr>
      </w:pPr>
    </w:p>
    <w:p>
      <w:pPr>
        <w:ind w:left="7" w:right="60" w:firstLine="1104"/>
        <w:spacing w:after="0" w:line="273" w:lineRule="auto"/>
        <w:tabs>
          <w:tab w:leader="none" w:pos="1681"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to take such action, including the voluntary registration of its Common Stock under Section 12 of the 1934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152" w:lineRule="exact"/>
        <w:rPr>
          <w:rFonts w:ascii="Arial" w:cs="Arial" w:eastAsia="Arial" w:hAnsi="Arial"/>
          <w:sz w:val="15"/>
          <w:szCs w:val="15"/>
          <w:color w:val="auto"/>
        </w:rPr>
      </w:pPr>
    </w:p>
    <w:p>
      <w:pPr>
        <w:ind w:left="1667" w:hanging="556"/>
        <w:spacing w:after="0"/>
        <w:tabs>
          <w:tab w:leader="none" w:pos="1667"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to file with the SEC in a timely manner all reports and other documents required of the Company under the Act and the 1934 Act; and</w:t>
      </w:r>
    </w:p>
    <w:p>
      <w:pPr>
        <w:spacing w:after="0" w:line="198" w:lineRule="exact"/>
        <w:rPr>
          <w:rFonts w:ascii="Arial" w:cs="Arial" w:eastAsia="Arial" w:hAnsi="Arial"/>
          <w:sz w:val="15"/>
          <w:szCs w:val="15"/>
          <w:color w:val="auto"/>
        </w:rPr>
      </w:pPr>
    </w:p>
    <w:p>
      <w:pPr>
        <w:ind w:left="7" w:right="100" w:firstLine="1104"/>
        <w:spacing w:after="0" w:line="247" w:lineRule="auto"/>
        <w:tabs>
          <w:tab w:leader="none" w:pos="1681"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to furnish to any Holder, so long as the Holder owns any Registrable Securities, forthwith upon request (i) a written statement by the Company that it has complied with the reporting requirements of SEC Rule 144 (at any time on or after the ninetieth (90</w:t>
      </w:r>
      <w:r>
        <w:rPr>
          <w:rFonts w:ascii="Arial" w:cs="Arial" w:eastAsia="Arial" w:hAnsi="Arial"/>
          <w:sz w:val="20"/>
          <w:szCs w:val="20"/>
          <w:color w:val="auto"/>
          <w:vertAlign w:val="superscript"/>
        </w:rPr>
        <w:t>th</w:t>
      </w:r>
      <w:r>
        <w:rPr>
          <w:rFonts w:ascii="Arial" w:cs="Arial" w:eastAsia="Arial" w:hAnsi="Arial"/>
          <w:sz w:val="15"/>
          <w:szCs w:val="15"/>
          <w:color w:val="auto"/>
        </w:rPr>
        <w:t>) day following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73" w:lineRule="exact"/>
        <w:rPr>
          <w:sz w:val="20"/>
          <w:szCs w:val="20"/>
          <w:color w:val="auto"/>
        </w:rPr>
      </w:pPr>
    </w:p>
    <w:p>
      <w:pPr>
        <w:ind w:left="7" w:right="40" w:firstLine="556"/>
        <w:spacing w:after="0" w:line="265"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“Market Stand-Off” Agreement</w:t>
      </w:r>
      <w:r>
        <w:rPr>
          <w:rFonts w:ascii="Arial" w:cs="Arial" w:eastAsia="Arial" w:hAnsi="Arial"/>
          <w:sz w:val="15"/>
          <w:szCs w:val="15"/>
          <w:color w:val="auto"/>
        </w:rPr>
        <w:t>. Each Holder hereby agrees that, during the period of duration (not to exceed one hundred eighty (180) days, which period may be extended upon the request of the managing underwriter, to the extent required by any FINRA rules, for an additional period of up to fifteen (15) days if the Company issues or proposes to issue an earnings or other public release within fifteen (15) days of the expiration of the 180-day lockup period) specified by the Company and an underwriter of Common Stock or other securities of the Company, following the effective date of a registration statement of the Company filed under the Act, such Holder shall not, to the extent requested by the Company and such underwriter,</w:t>
      </w:r>
    </w:p>
    <w:p>
      <w:pPr>
        <w:spacing w:after="0" w:line="16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0"/>
        <w:spacing w:after="0" w:line="293" w:lineRule="auto"/>
        <w:rPr>
          <w:sz w:val="20"/>
          <w:szCs w:val="20"/>
          <w:color w:val="auto"/>
        </w:rPr>
      </w:pPr>
      <w:r>
        <w:rPr>
          <w:rFonts w:ascii="Arial" w:cs="Arial" w:eastAsia="Arial" w:hAnsi="Arial"/>
          <w:sz w:val="14"/>
          <w:szCs w:val="14"/>
          <w:color w:val="auto"/>
        </w:rPr>
        <w:t xml:space="preserve">directly or indirectly sell, offer to sell, contract to sell (including any short sale), grant any option to purchase, or otherwise transfer or dispose of (other than to donees who agree to be similarly bound) any securities of the Company held by it at any time during such period except Common Stock included in such registration; provided, however, that all officers and directors of the Company enter into similar agreements. The Company agrees that it shall not release any Holder (or any officer or director referred to hereinabove) from the obligations imposed pursuant to this </w:t>
      </w:r>
      <w:r>
        <w:rPr>
          <w:rFonts w:ascii="Arial" w:cs="Arial" w:eastAsia="Arial" w:hAnsi="Arial"/>
          <w:sz w:val="14"/>
          <w:szCs w:val="14"/>
          <w:u w:val="single" w:color="auto"/>
          <w:color w:val="auto"/>
        </w:rPr>
        <w:t>Section 3.12</w:t>
      </w:r>
      <w:r>
        <w:rPr>
          <w:rFonts w:ascii="Arial" w:cs="Arial" w:eastAsia="Arial" w:hAnsi="Arial"/>
          <w:sz w:val="14"/>
          <w:szCs w:val="14"/>
          <w:color w:val="auto"/>
        </w:rPr>
        <w:t xml:space="preserve"> unless all Holders are so released on a proportionate basis relative to their ownership of Registrable Securities.</w:t>
      </w:r>
    </w:p>
    <w:p>
      <w:pPr>
        <w:spacing w:after="0" w:line="140" w:lineRule="exact"/>
        <w:rPr>
          <w:sz w:val="20"/>
          <w:szCs w:val="20"/>
          <w:color w:val="auto"/>
        </w:rPr>
      </w:pPr>
    </w:p>
    <w:p>
      <w:pPr>
        <w:ind w:left="7" w:right="520" w:firstLine="556"/>
        <w:spacing w:after="0" w:line="289" w:lineRule="auto"/>
        <w:rPr>
          <w:sz w:val="20"/>
          <w:szCs w:val="20"/>
          <w:color w:val="auto"/>
        </w:rPr>
      </w:pPr>
      <w:r>
        <w:rPr>
          <w:rFonts w:ascii="Arial" w:cs="Arial" w:eastAsia="Arial" w:hAnsi="Arial"/>
          <w:sz w:val="15"/>
          <w:szCs w:val="15"/>
          <w:color w:val="auto"/>
        </w:rPr>
        <w:t>In order to enforce the foregoing covenant, the Company may impose stop-transfer instructions with respect to the Registrable Securities of a Holder (and the shares or securities of every other person subject to the foregoing restriction) until the end of such period.</w:t>
      </w:r>
    </w:p>
    <w:p>
      <w:pPr>
        <w:spacing w:after="0" w:line="141" w:lineRule="exact"/>
        <w:rPr>
          <w:sz w:val="20"/>
          <w:szCs w:val="20"/>
          <w:color w:val="auto"/>
        </w:rPr>
      </w:pPr>
    </w:p>
    <w:p>
      <w:pPr>
        <w:jc w:val="both"/>
        <w:ind w:left="7" w:firstLine="556"/>
        <w:spacing w:after="0" w:line="273" w:lineRule="auto"/>
        <w:rPr>
          <w:sz w:val="20"/>
          <w:szCs w:val="20"/>
          <w:color w:val="auto"/>
        </w:rPr>
      </w:pPr>
      <w:r>
        <w:rPr>
          <w:rFonts w:ascii="Arial" w:cs="Arial" w:eastAsia="Arial" w:hAnsi="Arial"/>
          <w:sz w:val="15"/>
          <w:szCs w:val="15"/>
          <w:color w:val="auto"/>
        </w:rPr>
        <w:t xml:space="preserve">Notwithstanding the foregoing, the obligations described in this </w:t>
      </w:r>
      <w:r>
        <w:rPr>
          <w:rFonts w:ascii="Arial" w:cs="Arial" w:eastAsia="Arial" w:hAnsi="Arial"/>
          <w:sz w:val="15"/>
          <w:szCs w:val="15"/>
          <w:u w:val="single" w:color="auto"/>
          <w:color w:val="auto"/>
        </w:rPr>
        <w:t>Section 3.12</w:t>
      </w:r>
      <w:r>
        <w:rPr>
          <w:rFonts w:ascii="Arial" w:cs="Arial" w:eastAsia="Arial" w:hAnsi="Arial"/>
          <w:sz w:val="15"/>
          <w:szCs w:val="15"/>
          <w:color w:val="auto"/>
        </w:rPr>
        <w:t xml:space="preserve"> shall not apply to a registration relating solely to employee benefit plans on Form S-1 or Form S-8 or similar forms which may be promulgated in the future, or a registration relating solely to a SEC Rule 145 transaction on Form S-4 or similar forms which may be promulgated in the future.</w:t>
      </w:r>
    </w:p>
    <w:p>
      <w:pPr>
        <w:spacing w:after="0" w:line="153" w:lineRule="exact"/>
        <w:rPr>
          <w:sz w:val="20"/>
          <w:szCs w:val="20"/>
          <w:color w:val="auto"/>
        </w:rPr>
      </w:pPr>
    </w:p>
    <w:p>
      <w:pPr>
        <w:ind w:left="7" w:right="100" w:firstLine="556"/>
        <w:spacing w:after="0" w:line="268" w:lineRule="auto"/>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u w:val="single" w:color="auto"/>
          <w:color w:val="auto"/>
        </w:rPr>
        <w:t>Termination of Registration Rights</w:t>
      </w:r>
      <w:r>
        <w:rPr>
          <w:rFonts w:ascii="Arial" w:cs="Arial" w:eastAsia="Arial" w:hAnsi="Arial"/>
          <w:sz w:val="15"/>
          <w:szCs w:val="15"/>
          <w:color w:val="auto"/>
        </w:rPr>
        <w:t xml:space="preserve">. No Holder shall be entitled to exercise any right provided for in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after the earlier of (i) five (5) years following the consummation of the sale of securities pursuant to a registration statement filed by the Company under the Act in connection with the initial firm commitment underwritten offering of its securities to the general public, or (ii) when the Registrable Securities held by such Holder (together with any Affiliate of such Holder with whom such Holder must aggregate its sales under SEC Rule 144) could be sold without restriction under SEC Rule 144(b)(1) within a ninety (90) day period.</w:t>
      </w:r>
    </w:p>
    <w:p>
      <w:pPr>
        <w:spacing w:after="0" w:line="156" w:lineRule="exact"/>
        <w:rPr>
          <w:sz w:val="20"/>
          <w:szCs w:val="20"/>
          <w:color w:val="auto"/>
        </w:rPr>
      </w:pPr>
    </w:p>
    <w:p>
      <w:pPr>
        <w:ind w:left="547" w:hanging="547"/>
        <w:spacing w:after="0"/>
        <w:tabs>
          <w:tab w:leader="none" w:pos="547" w:val="left"/>
        </w:tabs>
        <w:numPr>
          <w:ilvl w:val="0"/>
          <w:numId w:val="270"/>
        </w:numPr>
        <w:rPr>
          <w:rFonts w:ascii="Arial" w:cs="Arial" w:eastAsia="Arial" w:hAnsi="Arial"/>
          <w:sz w:val="15"/>
          <w:szCs w:val="15"/>
          <w:color w:val="auto"/>
        </w:rPr>
      </w:pPr>
      <w:r>
        <w:rPr>
          <w:rFonts w:ascii="Arial" w:cs="Arial" w:eastAsia="Arial" w:hAnsi="Arial"/>
          <w:sz w:val="15"/>
          <w:szCs w:val="15"/>
          <w:u w:val="single" w:color="auto"/>
          <w:color w:val="auto"/>
        </w:rPr>
        <w:t>Transfers of Certain Rights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47"/>
        <w:spacing w:after="0"/>
        <w:rPr>
          <w:rFonts w:ascii="Arial" w:cs="Arial" w:eastAsia="Arial" w:hAnsi="Arial"/>
          <w:sz w:val="15"/>
          <w:szCs w:val="15"/>
          <w:color w:val="auto"/>
        </w:rPr>
      </w:pPr>
      <w:r>
        <w:rPr>
          <w:rFonts w:ascii="Arial" w:cs="Arial" w:eastAsia="Arial" w:hAnsi="Arial"/>
          <w:sz w:val="15"/>
          <w:szCs w:val="15"/>
          <w:color w:val="auto"/>
        </w:rPr>
        <w:t>4.1.</w:t>
      </w:r>
      <w:r>
        <w:rPr>
          <w:rFonts w:ascii="Arial" w:cs="Arial" w:eastAsia="Arial" w:hAnsi="Arial"/>
          <w:sz w:val="13"/>
          <w:szCs w:val="13"/>
          <w:u w:val="single" w:color="auto"/>
          <w:color w:val="auto"/>
        </w:rPr>
        <w:t>Permitted Transferees</w:t>
      </w:r>
      <w:r>
        <w:rPr>
          <w:rFonts w:ascii="Arial" w:cs="Arial" w:eastAsia="Arial" w:hAnsi="Arial"/>
          <w:sz w:val="13"/>
          <w:szCs w:val="13"/>
          <w:color w:val="auto"/>
        </w:rPr>
        <w:t>.</w:t>
      </w:r>
    </w:p>
    <w:p>
      <w:pPr>
        <w:spacing w:after="0" w:line="198" w:lineRule="exact"/>
        <w:rPr>
          <w:rFonts w:ascii="Arial" w:cs="Arial" w:eastAsia="Arial" w:hAnsi="Arial"/>
          <w:sz w:val="15"/>
          <w:szCs w:val="15"/>
          <w:color w:val="auto"/>
        </w:rPr>
      </w:pPr>
    </w:p>
    <w:p>
      <w:pPr>
        <w:ind w:left="7" w:right="180" w:firstLine="1104"/>
        <w:spacing w:after="0" w:line="293" w:lineRule="auto"/>
        <w:tabs>
          <w:tab w:leader="none" w:pos="1673" w:val="left"/>
        </w:tabs>
        <w:numPr>
          <w:ilvl w:val="1"/>
          <w:numId w:val="270"/>
        </w:numPr>
        <w:rPr>
          <w:rFonts w:ascii="Arial" w:cs="Arial" w:eastAsia="Arial" w:hAnsi="Arial"/>
          <w:sz w:val="14"/>
          <w:szCs w:val="14"/>
          <w:color w:val="auto"/>
        </w:rPr>
      </w:pPr>
      <w:r>
        <w:rPr>
          <w:rFonts w:ascii="Arial" w:cs="Arial" w:eastAsia="Arial" w:hAnsi="Arial"/>
          <w:sz w:val="14"/>
          <w:szCs w:val="14"/>
          <w:color w:val="auto"/>
        </w:rPr>
        <w:t>The rights granted to the Purchasers under this Agreement may be transferred to (i) any other Purchaser or any general or limited partner, affiliated fund or member thereof, officer or other affiliate of any Purchaser or any entity or person that controls, or is controlled by, or is under common control with such Purchaser (“</w:t>
      </w:r>
      <w:r>
        <w:rPr>
          <w:rFonts w:ascii="Arial" w:cs="Arial" w:eastAsia="Arial" w:hAnsi="Arial"/>
          <w:sz w:val="14"/>
          <w:szCs w:val="14"/>
          <w:u w:val="single" w:color="auto"/>
          <w:color w:val="auto"/>
        </w:rPr>
        <w:t>Affiliates</w:t>
      </w:r>
      <w:r>
        <w:rPr>
          <w:rFonts w:ascii="Arial" w:cs="Arial" w:eastAsia="Arial" w:hAnsi="Arial"/>
          <w:sz w:val="14"/>
          <w:szCs w:val="14"/>
          <w:color w:val="auto"/>
        </w:rPr>
        <w:t>”) or (ii) any other person or entity that acquires at least 600,000 shares of Senior Preferred Stock or Common Stock; provided, however, that the Company is given written notice by the transferee at the time of such transfer stating the name and address of the transferee and identifying the securities with respect to which such rights are being assigned.</w:t>
      </w:r>
    </w:p>
    <w:p>
      <w:pPr>
        <w:spacing w:after="0" w:line="140" w:lineRule="exact"/>
        <w:rPr>
          <w:rFonts w:ascii="Arial" w:cs="Arial" w:eastAsia="Arial" w:hAnsi="Arial"/>
          <w:sz w:val="14"/>
          <w:szCs w:val="14"/>
          <w:color w:val="auto"/>
        </w:rPr>
      </w:pPr>
    </w:p>
    <w:p>
      <w:pPr>
        <w:ind w:left="7" w:right="160" w:firstLine="1104"/>
        <w:spacing w:after="0" w:line="302" w:lineRule="auto"/>
        <w:tabs>
          <w:tab w:leader="none" w:pos="1681" w:val="left"/>
        </w:tabs>
        <w:numPr>
          <w:ilvl w:val="1"/>
          <w:numId w:val="270"/>
        </w:numPr>
        <w:rPr>
          <w:rFonts w:ascii="Arial" w:cs="Arial" w:eastAsia="Arial" w:hAnsi="Arial"/>
          <w:sz w:val="14"/>
          <w:szCs w:val="14"/>
          <w:color w:val="auto"/>
        </w:rPr>
      </w:pPr>
      <w:r>
        <w:rPr>
          <w:rFonts w:ascii="Arial" w:cs="Arial" w:eastAsia="Arial" w:hAnsi="Arial"/>
          <w:sz w:val="14"/>
          <w:szCs w:val="14"/>
          <w:color w:val="auto"/>
        </w:rPr>
        <w:t>All, but not less than all, of the rights granted to RUSNANO under this Agreement may be transferred to an Affiliate of RUSNANO in connection with the transfer all of the shares of capital stock of the Company held by RUSNANO to such transferee; provided, however, that the Company is given written notice by the transferee at the time of such transfer stating the name and address of the transferee and identifying the securities with respect to which such rights are being assigned.</w:t>
      </w:r>
    </w:p>
    <w:p>
      <w:pPr>
        <w:spacing w:after="0" w:line="133"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7" w:right="420" w:firstLine="1104"/>
        <w:spacing w:after="0" w:line="289" w:lineRule="auto"/>
        <w:tabs>
          <w:tab w:leader="none" w:pos="1684" w:val="left"/>
        </w:tabs>
        <w:numPr>
          <w:ilvl w:val="0"/>
          <w:numId w:val="271"/>
        </w:numPr>
        <w:rPr>
          <w:rFonts w:ascii="Arial" w:cs="Arial" w:eastAsia="Arial" w:hAnsi="Arial"/>
          <w:sz w:val="15"/>
          <w:szCs w:val="15"/>
          <w:color w:val="auto"/>
        </w:rPr>
      </w:pPr>
      <w:r>
        <w:rPr>
          <w:rFonts w:ascii="Arial" w:cs="Arial" w:eastAsia="Arial" w:hAnsi="Arial"/>
          <w:sz w:val="15"/>
          <w:szCs w:val="15"/>
          <w:color w:val="auto"/>
        </w:rPr>
        <w:t xml:space="preserve">Brigham shall be permitted to apportion its rights under this Agreement among itself and its Affiliates;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Affiliates agree in writing to become parties to this Agreement.</w:t>
      </w:r>
    </w:p>
    <w:p>
      <w:pPr>
        <w:spacing w:after="0" w:line="141" w:lineRule="exact"/>
        <w:rPr>
          <w:sz w:val="20"/>
          <w:szCs w:val="20"/>
          <w:color w:val="auto"/>
        </w:rPr>
      </w:pPr>
    </w:p>
    <w:p>
      <w:pPr>
        <w:ind w:left="7" w:right="20" w:firstLine="556"/>
        <w:spacing w:after="0" w:line="289"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Subsequent Transfers</w:t>
      </w:r>
      <w:r>
        <w:rPr>
          <w:rFonts w:ascii="Arial" w:cs="Arial" w:eastAsia="Arial" w:hAnsi="Arial"/>
          <w:sz w:val="15"/>
          <w:szCs w:val="15"/>
          <w:color w:val="auto"/>
        </w:rPr>
        <w:t xml:space="preserve">. A transferee to whom rights are transferred pursuant to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may not again transfer such rights to any other person or entity, other than as provided in </w:t>
      </w:r>
      <w:r>
        <w:rPr>
          <w:rFonts w:ascii="Arial" w:cs="Arial" w:eastAsia="Arial" w:hAnsi="Arial"/>
          <w:sz w:val="15"/>
          <w:szCs w:val="15"/>
          <w:u w:val="single" w:color="auto"/>
          <w:color w:val="auto"/>
        </w:rPr>
        <w:t>Section 4.1(a)</w:t>
      </w:r>
      <w:r>
        <w:rPr>
          <w:rFonts w:ascii="Arial" w:cs="Arial" w:eastAsia="Arial" w:hAnsi="Arial"/>
          <w:sz w:val="15"/>
          <w:szCs w:val="15"/>
          <w:color w:val="auto"/>
        </w:rPr>
        <w:t xml:space="preserve"> above.</w:t>
      </w:r>
    </w:p>
    <w:p>
      <w:pPr>
        <w:spacing w:after="0" w:line="141" w:lineRule="exact"/>
        <w:rPr>
          <w:sz w:val="20"/>
          <w:szCs w:val="20"/>
          <w:color w:val="auto"/>
        </w:rPr>
      </w:pPr>
    </w:p>
    <w:p>
      <w:pPr>
        <w:ind w:left="7" w:right="80" w:firstLine="556"/>
        <w:spacing w:after="0" w:line="289"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Legends</w:t>
      </w:r>
      <w:r>
        <w:rPr>
          <w:rFonts w:ascii="Arial" w:cs="Arial" w:eastAsia="Arial" w:hAnsi="Arial"/>
          <w:sz w:val="15"/>
          <w:szCs w:val="15"/>
          <w:color w:val="auto"/>
        </w:rPr>
        <w:t>. Each certificate representing the shares of Senior Preferred Stock or Series SRN Preferred Stock shall bear a legend indicating that any holder of such stock shall be subject to this Agreement.</w:t>
      </w:r>
    </w:p>
    <w:p>
      <w:pPr>
        <w:spacing w:after="0" w:line="141" w:lineRule="exact"/>
        <w:rPr>
          <w:sz w:val="20"/>
          <w:szCs w:val="20"/>
          <w:color w:val="auto"/>
        </w:rPr>
      </w:pPr>
    </w:p>
    <w:p>
      <w:pPr>
        <w:ind w:left="7" w:right="280" w:firstLine="556"/>
        <w:spacing w:after="0" w:line="289"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Aggregation of Stock</w:t>
      </w:r>
      <w:r>
        <w:rPr>
          <w:rFonts w:ascii="Arial" w:cs="Arial" w:eastAsia="Arial" w:hAnsi="Arial"/>
          <w:sz w:val="15"/>
          <w:szCs w:val="15"/>
          <w:color w:val="auto"/>
        </w:rPr>
        <w:t>. All shares held or acquired by Affiliates shall be aggregated together for the purpose of determining the availability of any rights under this Agreement.</w:t>
      </w:r>
    </w:p>
    <w:p>
      <w:pPr>
        <w:sectPr>
          <w:pgSz w:w="11900" w:h="16838" w:orient="portrait"/>
          <w:cols w:equalWidth="0" w:num="1">
            <w:col w:w="11407"/>
          </w:cols>
          <w:pgMar w:left="233" w:top="129" w:right="259" w:bottom="0" w:gutter="0" w:footer="0" w:header="0"/>
        </w:sectPr>
      </w:pPr>
    </w:p>
    <w:bookmarkStart w:id="326" w:name="page327"/>
    <w:bookmarkEnd w:id="326"/>
    <w:p>
      <w:pPr>
        <w:spacing w:after="0" w:line="5" w:lineRule="exact"/>
        <w:rPr>
          <w:sz w:val="20"/>
          <w:szCs w:val="20"/>
          <w:color w:val="auto"/>
        </w:rPr>
      </w:pPr>
    </w:p>
    <w:p>
      <w:pPr>
        <w:ind w:left="547" w:hanging="547"/>
        <w:spacing w:after="0"/>
        <w:tabs>
          <w:tab w:leader="none" w:pos="547" w:val="left"/>
        </w:tabs>
        <w:numPr>
          <w:ilvl w:val="0"/>
          <w:numId w:val="272"/>
        </w:numPr>
        <w:rPr>
          <w:rFonts w:ascii="Arial" w:cs="Arial" w:eastAsia="Arial" w:hAnsi="Arial"/>
          <w:sz w:val="15"/>
          <w:szCs w:val="15"/>
          <w:color w:val="auto"/>
        </w:rPr>
      </w:pPr>
      <w:r>
        <w:rPr>
          <w:rFonts w:ascii="Arial" w:cs="Arial" w:eastAsia="Arial" w:hAnsi="Arial"/>
          <w:sz w:val="15"/>
          <w:szCs w:val="15"/>
          <w:u w:val="single" w:color="auto"/>
          <w:color w:val="auto"/>
        </w:rPr>
        <w:t>Negative Covenants of the Company</w:t>
      </w:r>
      <w:r>
        <w:rPr>
          <w:rFonts w:ascii="Arial" w:cs="Arial" w:eastAsia="Arial" w:hAnsi="Arial"/>
          <w:sz w:val="15"/>
          <w:szCs w:val="15"/>
          <w:color w:val="auto"/>
        </w:rPr>
        <w:t>.</w:t>
      </w:r>
    </w:p>
    <w:p>
      <w:pPr>
        <w:spacing w:after="0" w:line="198" w:lineRule="exact"/>
        <w:rPr>
          <w:sz w:val="20"/>
          <w:szCs w:val="20"/>
          <w:color w:val="auto"/>
        </w:rPr>
      </w:pPr>
    </w:p>
    <w:p>
      <w:pPr>
        <w:ind w:left="7" w:right="420" w:firstLine="556"/>
        <w:spacing w:after="0" w:line="273" w:lineRule="auto"/>
        <w:rPr>
          <w:sz w:val="20"/>
          <w:szCs w:val="20"/>
          <w:color w:val="auto"/>
        </w:rPr>
      </w:pPr>
      <w:r>
        <w:rPr>
          <w:rFonts w:ascii="Arial" w:cs="Arial" w:eastAsia="Arial" w:hAnsi="Arial"/>
          <w:sz w:val="15"/>
          <w:szCs w:val="15"/>
          <w:color w:val="auto"/>
        </w:rPr>
        <w:t>5.1. Without limiting any other covenants and provisions hereof, the Company covenants and agrees that, until the closing of a Qualified Public Offering, it will not, without the vote or written consent of the Board of Directors, including, in all cases, the affirmative vote or consent of a majority of the Preferred Directors, and with respect to Section 5.1 (ii) below, the affirmative vote or consent of the director appointed by RUSNANO:</w:t>
      </w:r>
    </w:p>
    <w:p>
      <w:pPr>
        <w:spacing w:after="0" w:line="153" w:lineRule="exact"/>
        <w:rPr>
          <w:sz w:val="20"/>
          <w:szCs w:val="20"/>
          <w:color w:val="auto"/>
        </w:rPr>
      </w:pPr>
    </w:p>
    <w:p>
      <w:pPr>
        <w:ind w:left="2487" w:hanging="820"/>
        <w:spacing w:after="0"/>
        <w:tabs>
          <w:tab w:leader="none" w:pos="2487" w:val="left"/>
        </w:tabs>
        <w:numPr>
          <w:ilvl w:val="0"/>
          <w:numId w:val="273"/>
        </w:numPr>
        <w:rPr>
          <w:rFonts w:ascii="Arial" w:cs="Arial" w:eastAsia="Arial" w:hAnsi="Arial"/>
          <w:sz w:val="15"/>
          <w:szCs w:val="15"/>
          <w:color w:val="auto"/>
        </w:rPr>
      </w:pPr>
      <w:r>
        <w:rPr>
          <w:rFonts w:ascii="Arial" w:cs="Arial" w:eastAsia="Arial" w:hAnsi="Arial"/>
          <w:sz w:val="15"/>
          <w:szCs w:val="15"/>
          <w:color w:val="auto"/>
        </w:rPr>
        <w:t>incur any indebtedness for borrowed money, in a single or related series of transactions, in an amount in excess of $250,000;</w:t>
      </w:r>
    </w:p>
    <w:p>
      <w:pPr>
        <w:spacing w:after="0" w:line="198" w:lineRule="exact"/>
        <w:rPr>
          <w:rFonts w:ascii="Arial" w:cs="Arial" w:eastAsia="Arial" w:hAnsi="Arial"/>
          <w:sz w:val="15"/>
          <w:szCs w:val="15"/>
          <w:color w:val="auto"/>
        </w:rPr>
      </w:pPr>
    </w:p>
    <w:p>
      <w:pPr>
        <w:ind w:left="7" w:right="660" w:firstLine="1660"/>
        <w:spacing w:after="0" w:line="289" w:lineRule="auto"/>
        <w:tabs>
          <w:tab w:leader="none" w:pos="2501" w:val="left"/>
        </w:tabs>
        <w:numPr>
          <w:ilvl w:val="0"/>
          <w:numId w:val="273"/>
        </w:numPr>
        <w:rPr>
          <w:rFonts w:ascii="Arial" w:cs="Arial" w:eastAsia="Arial" w:hAnsi="Arial"/>
          <w:sz w:val="15"/>
          <w:szCs w:val="15"/>
          <w:color w:val="auto"/>
        </w:rPr>
      </w:pPr>
      <w:r>
        <w:rPr>
          <w:rFonts w:ascii="Arial" w:cs="Arial" w:eastAsia="Arial" w:hAnsi="Arial"/>
          <w:sz w:val="15"/>
          <w:szCs w:val="15"/>
          <w:color w:val="auto"/>
        </w:rPr>
        <w:t>create or authorize the creation of any debt security or incur any indebtedness for borrowed money with a final maturity date after the November 7, 2019, other than equipment leases or other trade credit incurred in the ordinary course of business;</w:t>
      </w:r>
    </w:p>
    <w:p>
      <w:pPr>
        <w:spacing w:after="0" w:line="140" w:lineRule="exact"/>
        <w:rPr>
          <w:rFonts w:ascii="Arial" w:cs="Arial" w:eastAsia="Arial" w:hAnsi="Arial"/>
          <w:sz w:val="15"/>
          <w:szCs w:val="15"/>
          <w:color w:val="auto"/>
        </w:rPr>
      </w:pPr>
    </w:p>
    <w:p>
      <w:pPr>
        <w:jc w:val="both"/>
        <w:ind w:left="7" w:firstLine="1660"/>
        <w:spacing w:after="0" w:line="273" w:lineRule="auto"/>
        <w:tabs>
          <w:tab w:leader="none" w:pos="2509" w:val="left"/>
        </w:tabs>
        <w:numPr>
          <w:ilvl w:val="0"/>
          <w:numId w:val="273"/>
        </w:numPr>
        <w:rPr>
          <w:rFonts w:ascii="Arial" w:cs="Arial" w:eastAsia="Arial" w:hAnsi="Arial"/>
          <w:sz w:val="15"/>
          <w:szCs w:val="15"/>
          <w:color w:val="auto"/>
        </w:rPr>
      </w:pPr>
      <w:r>
        <w:rPr>
          <w:rFonts w:ascii="Arial" w:cs="Arial" w:eastAsia="Arial" w:hAnsi="Arial"/>
          <w:sz w:val="15"/>
          <w:szCs w:val="15"/>
          <w:color w:val="auto"/>
        </w:rPr>
        <w:t>create or authorize the creation of any debt security or incur any aggregate indebtedness in excess of $5,000,000 that is not already included in a budget approved by the Board of Directors, other than equipment leases, lines of credit, debt financing approved by the Board of Directors, or other trade credit incurred in the ordinary course of business;</w:t>
      </w:r>
    </w:p>
    <w:p>
      <w:pPr>
        <w:spacing w:after="0" w:line="152" w:lineRule="exact"/>
        <w:rPr>
          <w:rFonts w:ascii="Arial" w:cs="Arial" w:eastAsia="Arial" w:hAnsi="Arial"/>
          <w:sz w:val="15"/>
          <w:szCs w:val="15"/>
          <w:color w:val="auto"/>
        </w:rPr>
      </w:pPr>
    </w:p>
    <w:p>
      <w:pPr>
        <w:ind w:left="7" w:right="440" w:firstLine="1660"/>
        <w:spacing w:after="0" w:line="289" w:lineRule="auto"/>
        <w:tabs>
          <w:tab w:leader="none" w:pos="2489" w:val="left"/>
        </w:tabs>
        <w:numPr>
          <w:ilvl w:val="0"/>
          <w:numId w:val="273"/>
        </w:numPr>
        <w:rPr>
          <w:rFonts w:ascii="Arial" w:cs="Arial" w:eastAsia="Arial" w:hAnsi="Arial"/>
          <w:sz w:val="15"/>
          <w:szCs w:val="15"/>
          <w:color w:val="auto"/>
        </w:rPr>
      </w:pPr>
      <w:r>
        <w:rPr>
          <w:rFonts w:ascii="Arial" w:cs="Arial" w:eastAsia="Arial" w:hAnsi="Arial"/>
          <w:sz w:val="15"/>
          <w:szCs w:val="15"/>
          <w:color w:val="auto"/>
        </w:rPr>
        <w:t xml:space="preserve">incur or make, in any fiscal year, any capital expenditures in excess of $250,000 above the amount contained in the annual operating plan (referenced in </w:t>
      </w:r>
      <w:r>
        <w:rPr>
          <w:rFonts w:ascii="Arial" w:cs="Arial" w:eastAsia="Arial" w:hAnsi="Arial"/>
          <w:sz w:val="15"/>
          <w:szCs w:val="15"/>
          <w:u w:val="single" w:color="auto"/>
          <w:color w:val="auto"/>
        </w:rPr>
        <w:t>Section 1.2</w:t>
      </w:r>
      <w:r>
        <w:rPr>
          <w:rFonts w:ascii="Arial" w:cs="Arial" w:eastAsia="Arial" w:hAnsi="Arial"/>
          <w:sz w:val="15"/>
          <w:szCs w:val="15"/>
          <w:color w:val="auto"/>
        </w:rPr>
        <w:t>) for such fiscal year; or</w:t>
      </w:r>
    </w:p>
    <w:p>
      <w:pPr>
        <w:spacing w:after="0" w:line="140" w:lineRule="exact"/>
        <w:rPr>
          <w:rFonts w:ascii="Arial" w:cs="Arial" w:eastAsia="Arial" w:hAnsi="Arial"/>
          <w:sz w:val="15"/>
          <w:szCs w:val="15"/>
          <w:color w:val="auto"/>
        </w:rPr>
      </w:pPr>
    </w:p>
    <w:p>
      <w:pPr>
        <w:ind w:left="7" w:right="160" w:firstLine="1660"/>
        <w:spacing w:after="0" w:line="289" w:lineRule="auto"/>
        <w:tabs>
          <w:tab w:leader="none" w:pos="2481" w:val="left"/>
        </w:tabs>
        <w:numPr>
          <w:ilvl w:val="0"/>
          <w:numId w:val="273"/>
        </w:numPr>
        <w:rPr>
          <w:rFonts w:ascii="Arial" w:cs="Arial" w:eastAsia="Arial" w:hAnsi="Arial"/>
          <w:sz w:val="15"/>
          <w:szCs w:val="15"/>
          <w:color w:val="auto"/>
        </w:rPr>
      </w:pPr>
      <w:r>
        <w:rPr>
          <w:rFonts w:ascii="Arial" w:cs="Arial" w:eastAsia="Arial" w:hAnsi="Arial"/>
          <w:sz w:val="15"/>
          <w:szCs w:val="15"/>
          <w:color w:val="auto"/>
        </w:rPr>
        <w:t>enter into any transactions with directors, officers, employees, consultants or five percent (5%) stockholders of the Company or their affiliates other than employment and consulting agreements in the ordinary course of business.</w:t>
      </w:r>
    </w:p>
    <w:p>
      <w:pPr>
        <w:spacing w:after="0" w:line="141"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3"/>
          <w:szCs w:val="13"/>
          <w:u w:val="single" w:color="auto"/>
          <w:color w:val="auto"/>
        </w:rPr>
        <w:t>Negative Covenants of the Company Regarding the Project Company</w:t>
      </w:r>
      <w:r>
        <w:rPr>
          <w:rFonts w:ascii="Arial" w:cs="Arial" w:eastAsia="Arial" w:hAnsi="Arial"/>
          <w:sz w:val="13"/>
          <w:szCs w:val="13"/>
          <w:color w:val="auto"/>
        </w:rPr>
        <w:t>.</w:t>
      </w:r>
    </w:p>
    <w:p>
      <w:pPr>
        <w:spacing w:after="0" w:line="198" w:lineRule="exact"/>
        <w:rPr>
          <w:sz w:val="20"/>
          <w:szCs w:val="20"/>
          <w:color w:val="auto"/>
        </w:rPr>
      </w:pPr>
    </w:p>
    <w:p>
      <w:pPr>
        <w:ind w:left="7" w:right="140" w:firstLine="1104"/>
        <w:spacing w:after="0" w:line="289" w:lineRule="auto"/>
        <w:tabs>
          <w:tab w:leader="none" w:pos="1673" w:val="left"/>
        </w:tabs>
        <w:numPr>
          <w:ilvl w:val="0"/>
          <w:numId w:val="274"/>
        </w:numPr>
        <w:rPr>
          <w:rFonts w:ascii="Arial" w:cs="Arial" w:eastAsia="Arial" w:hAnsi="Arial"/>
          <w:sz w:val="15"/>
          <w:szCs w:val="15"/>
          <w:color w:val="auto"/>
        </w:rPr>
      </w:pPr>
      <w:r>
        <w:rPr>
          <w:rFonts w:ascii="Arial" w:cs="Arial" w:eastAsia="Arial" w:hAnsi="Arial"/>
          <w:sz w:val="15"/>
          <w:szCs w:val="15"/>
          <w:color w:val="auto"/>
        </w:rPr>
        <w:t>Without limiting any other covenants and provisions hereof, the Company covenants and agrees that, until the closing of a Qualified Public Offering, it will not, directly or indirectly, without the vote or written consent of the SRN Majority Holders, if any:</w:t>
      </w:r>
    </w:p>
    <w:p>
      <w:pPr>
        <w:spacing w:after="0" w:line="140" w:lineRule="exact"/>
        <w:rPr>
          <w:rFonts w:ascii="Arial" w:cs="Arial" w:eastAsia="Arial" w:hAnsi="Arial"/>
          <w:sz w:val="15"/>
          <w:szCs w:val="15"/>
          <w:color w:val="auto"/>
        </w:rPr>
      </w:pPr>
    </w:p>
    <w:p>
      <w:pPr>
        <w:ind w:left="7" w:right="420" w:firstLine="1660"/>
        <w:spacing w:after="0" w:line="289" w:lineRule="auto"/>
        <w:tabs>
          <w:tab w:leader="none" w:pos="2527" w:val="left"/>
        </w:tabs>
        <w:numPr>
          <w:ilvl w:val="1"/>
          <w:numId w:val="274"/>
        </w:numPr>
        <w:rPr>
          <w:rFonts w:ascii="Arial" w:cs="Arial" w:eastAsia="Arial" w:hAnsi="Arial"/>
          <w:sz w:val="15"/>
          <w:szCs w:val="15"/>
          <w:color w:val="auto"/>
        </w:rPr>
      </w:pPr>
      <w:r>
        <w:rPr>
          <w:rFonts w:ascii="Arial" w:cs="Arial" w:eastAsia="Arial" w:hAnsi="Arial"/>
          <w:sz w:val="15"/>
          <w:szCs w:val="15"/>
          <w:color w:val="auto"/>
        </w:rPr>
        <w:t>amend or restate the charter or other applicable organizational document of the Project Company in effect from time to time (the “</w:t>
      </w:r>
      <w:r>
        <w:rPr>
          <w:rFonts w:ascii="Arial" w:cs="Arial" w:eastAsia="Arial" w:hAnsi="Arial"/>
          <w:sz w:val="15"/>
          <w:szCs w:val="15"/>
          <w:u w:val="single" w:color="auto"/>
          <w:color w:val="auto"/>
        </w:rPr>
        <w:t>Project</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Company Charter</w:t>
      </w:r>
      <w:r>
        <w:rPr>
          <w:rFonts w:ascii="Arial" w:cs="Arial" w:eastAsia="Arial" w:hAnsi="Arial"/>
          <w:sz w:val="15"/>
          <w:szCs w:val="15"/>
          <w:color w:val="auto"/>
        </w:rPr>
        <w:t>”), or increase or decrease the amount of charter capital of the Project Company;</w:t>
      </w:r>
    </w:p>
    <w:p>
      <w:pPr>
        <w:spacing w:after="0" w:line="140" w:lineRule="exact"/>
        <w:rPr>
          <w:rFonts w:ascii="Arial" w:cs="Arial" w:eastAsia="Arial" w:hAnsi="Arial"/>
          <w:sz w:val="15"/>
          <w:szCs w:val="15"/>
          <w:color w:val="auto"/>
        </w:rPr>
      </w:pPr>
    </w:p>
    <w:p>
      <w:pPr>
        <w:ind w:left="7" w:right="160" w:firstLine="1660"/>
        <w:spacing w:after="0" w:line="293" w:lineRule="auto"/>
        <w:tabs>
          <w:tab w:leader="none" w:pos="2536" w:val="left"/>
        </w:tabs>
        <w:numPr>
          <w:ilvl w:val="1"/>
          <w:numId w:val="274"/>
        </w:numPr>
        <w:rPr>
          <w:rFonts w:ascii="Arial" w:cs="Arial" w:eastAsia="Arial" w:hAnsi="Arial"/>
          <w:sz w:val="14"/>
          <w:szCs w:val="14"/>
          <w:color w:val="auto"/>
        </w:rPr>
      </w:pPr>
      <w:r>
        <w:rPr>
          <w:rFonts w:ascii="Arial" w:cs="Arial" w:eastAsia="Arial" w:hAnsi="Arial"/>
          <w:sz w:val="14"/>
          <w:szCs w:val="14"/>
          <w:color w:val="auto"/>
        </w:rPr>
        <w:t>subject to Section 1.3 of that certain Fifth Amended and Restated Voting Agreement, dated as of the date hereof, by and among the Company and the other parties named therein (as may be amended from time to time), (x) terminate the powers of any member of the board of directors of the Project Company designated by RUSNANO or I2BF (as defined below) prior to the expiration of such member’s term or (y) make or authorize any changes in the scope of authority and decision-making and related procedures of the board of directors of the Project Company (including any increase or decrease in the size of the board of directors of the Project Company);</w:t>
      </w:r>
    </w:p>
    <w:p>
      <w:pPr>
        <w:spacing w:after="0" w:line="140" w:lineRule="exact"/>
        <w:rPr>
          <w:rFonts w:ascii="Arial" w:cs="Arial" w:eastAsia="Arial" w:hAnsi="Arial"/>
          <w:sz w:val="14"/>
          <w:szCs w:val="14"/>
          <w:color w:val="auto"/>
        </w:rPr>
      </w:pPr>
    </w:p>
    <w:p>
      <w:pPr>
        <w:ind w:left="2527" w:hanging="860"/>
        <w:spacing w:after="0"/>
        <w:tabs>
          <w:tab w:leader="none" w:pos="2527" w:val="left"/>
        </w:tabs>
        <w:numPr>
          <w:ilvl w:val="1"/>
          <w:numId w:val="274"/>
        </w:numPr>
        <w:rPr>
          <w:rFonts w:ascii="Arial" w:cs="Arial" w:eastAsia="Arial" w:hAnsi="Arial"/>
          <w:sz w:val="15"/>
          <w:szCs w:val="15"/>
          <w:color w:val="auto"/>
        </w:rPr>
      </w:pPr>
      <w:r>
        <w:rPr>
          <w:rFonts w:ascii="Arial" w:cs="Arial" w:eastAsia="Arial" w:hAnsi="Arial"/>
          <w:sz w:val="15"/>
          <w:szCs w:val="15"/>
          <w:color w:val="auto"/>
        </w:rPr>
        <w:t>effect a restructuring, reorganization or similar change in the equity, debt or assets of the Project Company;</w:t>
      </w:r>
    </w:p>
    <w:p>
      <w:pPr>
        <w:spacing w:after="0" w:line="198" w:lineRule="exact"/>
        <w:rPr>
          <w:rFonts w:ascii="Arial" w:cs="Arial" w:eastAsia="Arial" w:hAnsi="Arial"/>
          <w:sz w:val="15"/>
          <w:szCs w:val="15"/>
          <w:color w:val="auto"/>
        </w:rPr>
      </w:pPr>
    </w:p>
    <w:p>
      <w:pPr>
        <w:ind w:left="7" w:right="80" w:firstLine="1660"/>
        <w:spacing w:after="0" w:line="273" w:lineRule="auto"/>
        <w:tabs>
          <w:tab w:leader="none" w:pos="2523" w:val="left"/>
        </w:tabs>
        <w:numPr>
          <w:ilvl w:val="1"/>
          <w:numId w:val="274"/>
        </w:numPr>
        <w:rPr>
          <w:rFonts w:ascii="Arial" w:cs="Arial" w:eastAsia="Arial" w:hAnsi="Arial"/>
          <w:sz w:val="15"/>
          <w:szCs w:val="15"/>
          <w:color w:val="auto"/>
        </w:rPr>
      </w:pPr>
      <w:r>
        <w:rPr>
          <w:rFonts w:ascii="Arial" w:cs="Arial" w:eastAsia="Arial" w:hAnsi="Arial"/>
          <w:sz w:val="15"/>
          <w:szCs w:val="15"/>
          <w:color w:val="auto"/>
        </w:rPr>
        <w:t>effect the reorganization, liquidation or bankruptcy of the Project Company (including (1) transactions aimed at prevention of bankruptcy after notification by the sole executive body of the Project Company to the Company pursuant to applicable law and (2) financial rehabilitation), except when bankruptcy is mandatorily required by Russian law to be initiated by the sole executive body of the Project Company;</w:t>
      </w:r>
    </w:p>
    <w:p>
      <w:pPr>
        <w:spacing w:after="0" w:line="152" w:lineRule="exact"/>
        <w:rPr>
          <w:rFonts w:ascii="Arial" w:cs="Arial" w:eastAsia="Arial" w:hAnsi="Arial"/>
          <w:sz w:val="15"/>
          <w:szCs w:val="15"/>
          <w:color w:val="auto"/>
        </w:rPr>
      </w:pPr>
    </w:p>
    <w:p>
      <w:pPr>
        <w:ind w:left="2507" w:hanging="840"/>
        <w:spacing w:after="0"/>
        <w:tabs>
          <w:tab w:leader="none" w:pos="2507" w:val="left"/>
        </w:tabs>
        <w:numPr>
          <w:ilvl w:val="1"/>
          <w:numId w:val="274"/>
        </w:numPr>
        <w:rPr>
          <w:rFonts w:ascii="Arial" w:cs="Arial" w:eastAsia="Arial" w:hAnsi="Arial"/>
          <w:sz w:val="15"/>
          <w:szCs w:val="15"/>
          <w:color w:val="auto"/>
        </w:rPr>
      </w:pPr>
      <w:r>
        <w:rPr>
          <w:rFonts w:ascii="Arial" w:cs="Arial" w:eastAsia="Arial" w:hAnsi="Arial"/>
          <w:sz w:val="15"/>
          <w:szCs w:val="15"/>
          <w:color w:val="auto"/>
        </w:rPr>
        <w:t>appoint a liquidating commission for the Project Company, or approve the liquidation balance sheets of the Project Company;</w:t>
      </w:r>
    </w:p>
    <w:p>
      <w:pPr>
        <w:spacing w:after="0" w:line="198" w:lineRule="exact"/>
        <w:rPr>
          <w:rFonts w:ascii="Arial" w:cs="Arial" w:eastAsia="Arial" w:hAnsi="Arial"/>
          <w:sz w:val="15"/>
          <w:szCs w:val="15"/>
          <w:color w:val="auto"/>
        </w:rPr>
      </w:pPr>
    </w:p>
    <w:p>
      <w:pPr>
        <w:ind w:left="7" w:right="20" w:firstLine="1660"/>
        <w:spacing w:after="0" w:line="293" w:lineRule="auto"/>
        <w:tabs>
          <w:tab w:leader="none" w:pos="2523" w:val="left"/>
        </w:tabs>
        <w:numPr>
          <w:ilvl w:val="1"/>
          <w:numId w:val="274"/>
        </w:numPr>
        <w:rPr>
          <w:rFonts w:ascii="Arial" w:cs="Arial" w:eastAsia="Arial" w:hAnsi="Arial"/>
          <w:sz w:val="14"/>
          <w:szCs w:val="14"/>
          <w:color w:val="auto"/>
        </w:rPr>
      </w:pPr>
      <w:r>
        <w:rPr>
          <w:rFonts w:ascii="Arial" w:cs="Arial" w:eastAsia="Arial" w:hAnsi="Arial"/>
          <w:sz w:val="14"/>
          <w:szCs w:val="14"/>
          <w:color w:val="auto"/>
        </w:rPr>
        <w:t>approve or enter into major transactions proposed by the Project Company concerning the purchase, disposal or possible disposal by the Project Company, directly or indirectly, of its assets with the value exceeding twenty-five percent (25%) of the total value of the assets of the Project Company determined based on its accounting statements prepared in accordance with Russian accounting principles and practices, as required under Russian law or regulation, as in effect from time to time and applied consistently throughout the periods involved for the last reporting period (month) preceding the date of the decision on approval of such transactions;</w:t>
      </w:r>
    </w:p>
    <w:p>
      <w:pPr>
        <w:spacing w:after="0" w:line="140" w:lineRule="exact"/>
        <w:rPr>
          <w:rFonts w:ascii="Arial" w:cs="Arial" w:eastAsia="Arial" w:hAnsi="Arial"/>
          <w:sz w:val="14"/>
          <w:szCs w:val="14"/>
          <w:color w:val="auto"/>
        </w:rPr>
      </w:pPr>
    </w:p>
    <w:p>
      <w:pPr>
        <w:ind w:left="7" w:right="240" w:firstLine="1660"/>
        <w:spacing w:after="0" w:line="273" w:lineRule="auto"/>
        <w:tabs>
          <w:tab w:leader="none" w:pos="2532" w:val="left"/>
        </w:tabs>
        <w:numPr>
          <w:ilvl w:val="1"/>
          <w:numId w:val="274"/>
        </w:numPr>
        <w:rPr>
          <w:rFonts w:ascii="Arial" w:cs="Arial" w:eastAsia="Arial" w:hAnsi="Arial"/>
          <w:sz w:val="15"/>
          <w:szCs w:val="15"/>
          <w:color w:val="auto"/>
        </w:rPr>
      </w:pPr>
      <w:r>
        <w:rPr>
          <w:rFonts w:ascii="Arial" w:cs="Arial" w:eastAsia="Arial" w:hAnsi="Arial"/>
          <w:sz w:val="15"/>
          <w:szCs w:val="15"/>
          <w:color w:val="auto"/>
        </w:rPr>
        <w:t>approve or enter into any transaction relating to directly or indirectly disposing or encumbering intellectual property assets of the Project Company, subject to Section 3.4 of that certain Intellectual Property License Agreement, dated as of November 7, 2011, by and between the Company and the Project Company (the “</w:t>
      </w:r>
      <w:r>
        <w:rPr>
          <w:rFonts w:ascii="Arial" w:cs="Arial" w:eastAsia="Arial" w:hAnsi="Arial"/>
          <w:sz w:val="15"/>
          <w:szCs w:val="15"/>
          <w:u w:val="single" w:color="auto"/>
          <w:color w:val="auto"/>
        </w:rPr>
        <w:t>License Agreement</w:t>
      </w:r>
      <w:r>
        <w:rPr>
          <w:rFonts w:ascii="Arial" w:cs="Arial" w:eastAsia="Arial" w:hAnsi="Arial"/>
          <w:sz w:val="15"/>
          <w:szCs w:val="15"/>
          <w:color w:val="auto"/>
        </w:rPr>
        <w:t>”);</w:t>
      </w:r>
    </w:p>
    <w:p>
      <w:pPr>
        <w:spacing w:after="0" w:line="152" w:lineRule="exact"/>
        <w:rPr>
          <w:rFonts w:ascii="Arial" w:cs="Arial" w:eastAsia="Arial" w:hAnsi="Arial"/>
          <w:sz w:val="15"/>
          <w:szCs w:val="15"/>
          <w:color w:val="auto"/>
        </w:rPr>
      </w:pPr>
    </w:p>
    <w:p>
      <w:pPr>
        <w:ind w:left="2527" w:hanging="860"/>
        <w:spacing w:after="0"/>
        <w:tabs>
          <w:tab w:leader="none" w:pos="2527" w:val="left"/>
        </w:tabs>
        <w:numPr>
          <w:ilvl w:val="1"/>
          <w:numId w:val="274"/>
        </w:numPr>
        <w:rPr>
          <w:rFonts w:ascii="Arial" w:cs="Arial" w:eastAsia="Arial" w:hAnsi="Arial"/>
          <w:sz w:val="14"/>
          <w:szCs w:val="14"/>
          <w:color w:val="auto"/>
        </w:rPr>
      </w:pPr>
      <w:r>
        <w:rPr>
          <w:rFonts w:ascii="Arial" w:cs="Arial" w:eastAsia="Arial" w:hAnsi="Arial"/>
          <w:sz w:val="14"/>
          <w:szCs w:val="14"/>
          <w:color w:val="auto"/>
        </w:rPr>
        <w:t>cause or permit the Project Company to approve or enter into the termination or assignment of, or amendment to, the License Agreement; or</w:t>
      </w:r>
    </w:p>
    <w:p>
      <w:pPr>
        <w:spacing w:after="0" w:line="209" w:lineRule="exact"/>
        <w:rPr>
          <w:rFonts w:ascii="Arial" w:cs="Arial" w:eastAsia="Arial" w:hAnsi="Arial"/>
          <w:sz w:val="14"/>
          <w:szCs w:val="14"/>
          <w:color w:val="auto"/>
        </w:rPr>
      </w:pPr>
    </w:p>
    <w:p>
      <w:pPr>
        <w:ind w:left="2507" w:hanging="840"/>
        <w:spacing w:after="0"/>
        <w:tabs>
          <w:tab w:leader="none" w:pos="2507" w:val="left"/>
        </w:tabs>
        <w:numPr>
          <w:ilvl w:val="1"/>
          <w:numId w:val="274"/>
        </w:numPr>
        <w:rPr>
          <w:rFonts w:ascii="Arial" w:cs="Arial" w:eastAsia="Arial" w:hAnsi="Arial"/>
          <w:sz w:val="14"/>
          <w:szCs w:val="14"/>
          <w:color w:val="auto"/>
        </w:rPr>
      </w:pPr>
      <w:r>
        <w:rPr>
          <w:rFonts w:ascii="Arial" w:cs="Arial" w:eastAsia="Arial" w:hAnsi="Arial"/>
          <w:sz w:val="14"/>
          <w:szCs w:val="14"/>
          <w:color w:val="auto"/>
        </w:rPr>
        <w:t>approve the cash valuation of any assets contributed as payment for participatory interests in the charter capital of the Project Company.</w:t>
      </w:r>
    </w:p>
    <w:p>
      <w:pPr>
        <w:spacing w:after="0" w:line="21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500" w:firstLine="1104"/>
        <w:spacing w:after="0" w:line="289" w:lineRule="auto"/>
        <w:tabs>
          <w:tab w:leader="none" w:pos="1681" w:val="left"/>
        </w:tabs>
        <w:numPr>
          <w:ilvl w:val="0"/>
          <w:numId w:val="275"/>
        </w:numPr>
        <w:rPr>
          <w:rFonts w:ascii="Arial" w:cs="Arial" w:eastAsia="Arial" w:hAnsi="Arial"/>
          <w:sz w:val="15"/>
          <w:szCs w:val="15"/>
          <w:color w:val="auto"/>
        </w:rPr>
      </w:pPr>
      <w:r>
        <w:rPr>
          <w:rFonts w:ascii="Arial" w:cs="Arial" w:eastAsia="Arial" w:hAnsi="Arial"/>
          <w:sz w:val="15"/>
          <w:szCs w:val="15"/>
          <w:color w:val="auto"/>
        </w:rPr>
        <w:t xml:space="preserve">Notwithstanding the foregoing, </w:t>
      </w:r>
      <w:r>
        <w:rPr>
          <w:rFonts w:ascii="Arial" w:cs="Arial" w:eastAsia="Arial" w:hAnsi="Arial"/>
          <w:sz w:val="15"/>
          <w:szCs w:val="15"/>
          <w:u w:val="single" w:color="auto"/>
          <w:color w:val="auto"/>
        </w:rPr>
        <w:t>Section 5.2(a)</w:t>
      </w:r>
      <w:r>
        <w:rPr>
          <w:rFonts w:ascii="Arial" w:cs="Arial" w:eastAsia="Arial" w:hAnsi="Arial"/>
          <w:sz w:val="15"/>
          <w:szCs w:val="15"/>
          <w:color w:val="auto"/>
        </w:rPr>
        <w:t xml:space="preserve"> shall not apply to any transactions regarding the assignment or licensing of intellectual property by and between the Company and the Project Company, subject to Sections 3.4 and 4.1 of the License Agreement.</w:t>
      </w:r>
    </w:p>
    <w:p>
      <w:pPr>
        <w:spacing w:after="0" w:line="140" w:lineRule="exact"/>
        <w:rPr>
          <w:rFonts w:ascii="Arial" w:cs="Arial" w:eastAsia="Arial" w:hAnsi="Arial"/>
          <w:sz w:val="15"/>
          <w:szCs w:val="15"/>
          <w:color w:val="auto"/>
        </w:rPr>
      </w:pPr>
    </w:p>
    <w:p>
      <w:pPr>
        <w:ind w:left="7" w:right="140" w:firstLine="1104"/>
        <w:spacing w:after="0" w:line="264" w:lineRule="auto"/>
        <w:tabs>
          <w:tab w:leader="none" w:pos="1684" w:val="left"/>
        </w:tabs>
        <w:numPr>
          <w:ilvl w:val="0"/>
          <w:numId w:val="275"/>
        </w:numPr>
        <w:rPr>
          <w:rFonts w:ascii="Arial" w:cs="Arial" w:eastAsia="Arial" w:hAnsi="Arial"/>
          <w:sz w:val="15"/>
          <w:szCs w:val="15"/>
          <w:color w:val="auto"/>
        </w:rPr>
      </w:pPr>
      <w:r>
        <w:rPr>
          <w:rFonts w:ascii="Arial" w:cs="Arial" w:eastAsia="Arial" w:hAnsi="Arial"/>
          <w:sz w:val="15"/>
          <w:szCs w:val="15"/>
          <w:color w:val="auto"/>
        </w:rPr>
        <w:t>The “</w:t>
      </w:r>
      <w:r>
        <w:rPr>
          <w:rFonts w:ascii="Arial" w:cs="Arial" w:eastAsia="Arial" w:hAnsi="Arial"/>
          <w:sz w:val="15"/>
          <w:szCs w:val="15"/>
          <w:u w:val="single" w:color="auto"/>
          <w:color w:val="auto"/>
        </w:rPr>
        <w:t>SRN Majority Holders</w:t>
      </w:r>
      <w:r>
        <w:rPr>
          <w:rFonts w:ascii="Arial" w:cs="Arial" w:eastAsia="Arial" w:hAnsi="Arial"/>
          <w:sz w:val="15"/>
          <w:szCs w:val="15"/>
          <w:color w:val="auto"/>
        </w:rPr>
        <w:t>” shall mean each of (i) RUSNANO, and (ii) collectively, (A) VTB Capital I2BF Netherlands B.V., a private limited liability company, organized and existing under the laws of the Netherlands, and (B) Selecta RKFN Ltd., a limited liability company organized and existing under the laws of the Russian Federation (the entities named in (A) and (B) together, “</w:t>
      </w:r>
      <w:r>
        <w:rPr>
          <w:rFonts w:ascii="Arial" w:cs="Arial" w:eastAsia="Arial" w:hAnsi="Arial"/>
          <w:sz w:val="15"/>
          <w:szCs w:val="15"/>
          <w:u w:val="single" w:color="auto"/>
          <w:color w:val="auto"/>
        </w:rPr>
        <w:t>I2BF</w:t>
      </w:r>
      <w:r>
        <w:rPr>
          <w:rFonts w:ascii="Arial" w:cs="Arial" w:eastAsia="Arial" w:hAnsi="Arial"/>
          <w:sz w:val="15"/>
          <w:szCs w:val="15"/>
          <w:color w:val="auto"/>
        </w:rPr>
        <w:t xml:space="preserve">”); provided however that if either such SRN Majority Holder ceases to hold, either directly or through one or more of its Affiliates, all of the shares of Series SRN Preferred Stock held by such SRN Majority Holder as of the date hereof, whether as a result of any transfer, sale, conversion, redemption or otherwise (other than a transfer to an Affiliate that is a permitted transferee pursuant to </w:t>
      </w:r>
      <w:r>
        <w:rPr>
          <w:rFonts w:ascii="Arial" w:cs="Arial" w:eastAsia="Arial" w:hAnsi="Arial"/>
          <w:sz w:val="15"/>
          <w:szCs w:val="15"/>
          <w:u w:val="single" w:color="auto"/>
          <w:color w:val="auto"/>
        </w:rPr>
        <w:t>Section 4.1(b)</w:t>
      </w:r>
      <w:r>
        <w:rPr>
          <w:rFonts w:ascii="Arial" w:cs="Arial" w:eastAsia="Arial" w:hAnsi="Arial"/>
          <w:sz w:val="15"/>
          <w:szCs w:val="15"/>
          <w:color w:val="auto"/>
        </w:rPr>
        <w:t>, such SRN Majority Holder shall no longer be deemed to be an SRN Majority Holder for any purpose.</w:t>
      </w:r>
    </w:p>
    <w:p>
      <w:pPr>
        <w:spacing w:after="0" w:line="158" w:lineRule="exact"/>
        <w:rPr>
          <w:rFonts w:ascii="Arial" w:cs="Arial" w:eastAsia="Arial" w:hAnsi="Arial"/>
          <w:sz w:val="15"/>
          <w:szCs w:val="15"/>
          <w:color w:val="auto"/>
        </w:rPr>
      </w:pPr>
    </w:p>
    <w:p>
      <w:pPr>
        <w:ind w:left="7" w:firstLine="1104"/>
        <w:spacing w:after="0" w:line="302" w:lineRule="auto"/>
        <w:tabs>
          <w:tab w:leader="none" w:pos="1681" w:val="left"/>
        </w:tabs>
        <w:numPr>
          <w:ilvl w:val="0"/>
          <w:numId w:val="275"/>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herein, </w:t>
      </w:r>
      <w:r>
        <w:rPr>
          <w:rFonts w:ascii="Arial" w:cs="Arial" w:eastAsia="Arial" w:hAnsi="Arial"/>
          <w:sz w:val="14"/>
          <w:szCs w:val="14"/>
          <w:u w:val="single" w:color="auto"/>
          <w:color w:val="auto"/>
        </w:rPr>
        <w:t>Section 5.2(a)</w:t>
      </w:r>
      <w:r>
        <w:rPr>
          <w:rFonts w:ascii="Arial" w:cs="Arial" w:eastAsia="Arial" w:hAnsi="Arial"/>
          <w:sz w:val="14"/>
          <w:szCs w:val="14"/>
          <w:color w:val="auto"/>
        </w:rPr>
        <w:t xml:space="preserve"> shall terminate and be of no further force and effect on the earliest date on which each of RUSNANO and I2BF (or one or more of their respective Affiliates that are a permitted transferee pursuant to </w:t>
      </w:r>
      <w:r>
        <w:rPr>
          <w:rFonts w:ascii="Arial" w:cs="Arial" w:eastAsia="Arial" w:hAnsi="Arial"/>
          <w:sz w:val="14"/>
          <w:szCs w:val="14"/>
          <w:u w:val="single" w:color="auto"/>
          <w:color w:val="auto"/>
        </w:rPr>
        <w:t>Section 4.1(b)</w:t>
      </w:r>
      <w:r>
        <w:rPr>
          <w:rFonts w:ascii="Arial" w:cs="Arial" w:eastAsia="Arial" w:hAnsi="Arial"/>
          <w:sz w:val="14"/>
          <w:szCs w:val="14"/>
          <w:color w:val="auto"/>
        </w:rPr>
        <w:t>,) no longer holds and has sole beneficial ownership of all of the shares of Series SRN Preferred Stock respectively held by it as of the date hereof, whether as a result of any transfer, sale, conversion, redemption, or otherwise.</w:t>
      </w:r>
    </w:p>
    <w:p>
      <w:pPr>
        <w:spacing w:after="0" w:line="133"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4"/>
          <w:szCs w:val="14"/>
          <w:u w:val="single" w:color="auto"/>
          <w:color w:val="auto"/>
        </w:rPr>
        <w:t>Affirmative Covenants of the Company Regarding the Project Company</w:t>
      </w:r>
      <w:r>
        <w:rPr>
          <w:rFonts w:ascii="Arial" w:cs="Arial" w:eastAsia="Arial" w:hAnsi="Arial"/>
          <w:sz w:val="14"/>
          <w:szCs w:val="14"/>
          <w:color w:val="auto"/>
        </w:rPr>
        <w:t>.</w:t>
      </w:r>
    </w:p>
    <w:p>
      <w:pPr>
        <w:spacing w:after="0" w:line="198" w:lineRule="exact"/>
        <w:rPr>
          <w:sz w:val="20"/>
          <w:szCs w:val="20"/>
          <w:color w:val="auto"/>
        </w:rPr>
      </w:pPr>
    </w:p>
    <w:p>
      <w:pPr>
        <w:ind w:left="1667" w:hanging="556"/>
        <w:spacing w:after="0"/>
        <w:tabs>
          <w:tab w:leader="none" w:pos="1667" w:val="left"/>
        </w:tabs>
        <w:numPr>
          <w:ilvl w:val="0"/>
          <w:numId w:val="276"/>
        </w:numPr>
        <w:rPr>
          <w:rFonts w:ascii="Arial" w:cs="Arial" w:eastAsia="Arial" w:hAnsi="Arial"/>
          <w:sz w:val="15"/>
          <w:szCs w:val="15"/>
          <w:color w:val="auto"/>
        </w:rPr>
      </w:pPr>
      <w:r>
        <w:rPr>
          <w:rFonts w:ascii="Arial" w:cs="Arial" w:eastAsia="Arial" w:hAnsi="Arial"/>
          <w:sz w:val="15"/>
          <w:szCs w:val="15"/>
          <w:color w:val="auto"/>
        </w:rPr>
        <w:t>Each of the Company and the SRN Majority Holders covenant and agree until the closing of a Qualified Public Offering:</w:t>
      </w:r>
    </w:p>
    <w:p>
      <w:pPr>
        <w:spacing w:after="0" w:line="198" w:lineRule="exact"/>
        <w:rPr>
          <w:rFonts w:ascii="Arial" w:cs="Arial" w:eastAsia="Arial" w:hAnsi="Arial"/>
          <w:sz w:val="15"/>
          <w:szCs w:val="15"/>
          <w:color w:val="auto"/>
        </w:rPr>
      </w:pPr>
    </w:p>
    <w:p>
      <w:pPr>
        <w:ind w:left="7" w:right="100" w:firstLine="1660"/>
        <w:spacing w:after="0" w:line="273" w:lineRule="auto"/>
        <w:tabs>
          <w:tab w:leader="none" w:pos="2527" w:val="left"/>
        </w:tabs>
        <w:numPr>
          <w:ilvl w:val="1"/>
          <w:numId w:val="276"/>
        </w:numPr>
        <w:rPr>
          <w:rFonts w:ascii="Arial" w:cs="Arial" w:eastAsia="Arial" w:hAnsi="Arial"/>
          <w:sz w:val="15"/>
          <w:szCs w:val="15"/>
          <w:color w:val="auto"/>
        </w:rPr>
      </w:pPr>
      <w:r>
        <w:rPr>
          <w:rFonts w:ascii="Arial" w:cs="Arial" w:eastAsia="Arial" w:hAnsi="Arial"/>
          <w:sz w:val="15"/>
          <w:szCs w:val="15"/>
          <w:color w:val="auto"/>
        </w:rPr>
        <w:t>Each of the SRN Majority Holders shall have the right to require one (1) independent audit of the financial statements of the Project Company per year (in addition to the annually scheduled audit of the Project Company), provided that such audit is conducted at such SRN Majority Holders’ sole expense and provided further that no more than a total of one (1) such independent audit shall be required in any twelve (12) month period.</w:t>
      </w:r>
    </w:p>
    <w:p>
      <w:pPr>
        <w:spacing w:after="0" w:line="152" w:lineRule="exact"/>
        <w:rPr>
          <w:rFonts w:ascii="Arial" w:cs="Arial" w:eastAsia="Arial" w:hAnsi="Arial"/>
          <w:sz w:val="15"/>
          <w:szCs w:val="15"/>
          <w:color w:val="auto"/>
        </w:rPr>
      </w:pPr>
    </w:p>
    <w:p>
      <w:pPr>
        <w:ind w:left="7" w:right="20" w:firstLine="1660"/>
        <w:spacing w:after="0" w:line="371" w:lineRule="auto"/>
        <w:tabs>
          <w:tab w:leader="none" w:pos="2536" w:val="left"/>
        </w:tabs>
        <w:numPr>
          <w:ilvl w:val="1"/>
          <w:numId w:val="276"/>
        </w:numPr>
        <w:rPr>
          <w:rFonts w:ascii="Arial" w:cs="Arial" w:eastAsia="Arial" w:hAnsi="Arial"/>
          <w:sz w:val="13"/>
          <w:szCs w:val="13"/>
          <w:color w:val="auto"/>
        </w:rPr>
      </w:pPr>
      <w:r>
        <w:rPr>
          <w:rFonts w:ascii="Arial" w:cs="Arial" w:eastAsia="Arial" w:hAnsi="Arial"/>
          <w:sz w:val="13"/>
          <w:szCs w:val="13"/>
          <w:color w:val="auto"/>
        </w:rPr>
        <w:t>In the event there is a Deadlock (as defined below) with respect to any resolution or decision to be made by the board of directors of the Project Company in accordance with the Project Company Charter which cannot be resolved within fifteen (15) business days of occurrence of any Deadlock Event (as defined below), the</w:t>
      </w:r>
    </w:p>
    <w:p>
      <w:pPr>
        <w:sectPr>
          <w:pgSz w:w="11900" w:h="16844" w:orient="portrait"/>
          <w:cols w:equalWidth="0" w:num="1">
            <w:col w:w="11407"/>
          </w:cols>
          <w:pgMar w:left="233" w:top="314" w:right="259" w:bottom="0" w:gutter="0" w:footer="0" w:header="0"/>
        </w:sectPr>
      </w:pPr>
    </w:p>
    <w:bookmarkStart w:id="327" w:name="page328"/>
    <w:bookmarkEnd w:id="327"/>
    <w:p>
      <w:pPr>
        <w:ind w:left="7" w:right="260"/>
        <w:spacing w:after="0" w:line="283" w:lineRule="auto"/>
        <w:rPr>
          <w:sz w:val="20"/>
          <w:szCs w:val="20"/>
          <w:color w:val="auto"/>
        </w:rPr>
      </w:pPr>
      <w:r>
        <w:rPr>
          <w:rFonts w:ascii="Arial" w:cs="Arial" w:eastAsia="Arial" w:hAnsi="Arial"/>
          <w:sz w:val="14"/>
          <w:szCs w:val="14"/>
          <w:color w:val="auto"/>
        </w:rPr>
        <w:t>SRN Majority Holders or the Company may serve notice (a “</w:t>
      </w:r>
      <w:r>
        <w:rPr>
          <w:rFonts w:ascii="Arial" w:cs="Arial" w:eastAsia="Arial" w:hAnsi="Arial"/>
          <w:sz w:val="14"/>
          <w:szCs w:val="14"/>
          <w:u w:val="single" w:color="auto"/>
          <w:color w:val="auto"/>
        </w:rPr>
        <w:t>First Level Notice</w:t>
      </w:r>
      <w:r>
        <w:rPr>
          <w:rFonts w:ascii="Arial" w:cs="Arial" w:eastAsia="Arial" w:hAnsi="Arial"/>
          <w:sz w:val="14"/>
          <w:szCs w:val="14"/>
          <w:color w:val="auto"/>
        </w:rPr>
        <w:t>”) in writing on the other party requiring the Deadlock to be referred to a representative of the SRN Majority Holders and the Company. Each of the SRN Majority Holders and the Company shall cause its respective representative to meet with the other representative within fifteen</w:t>
      </w:r>
    </w:p>
    <w:p>
      <w:pPr>
        <w:spacing w:after="0" w:line="1" w:lineRule="exact"/>
        <w:rPr>
          <w:sz w:val="20"/>
          <w:szCs w:val="20"/>
          <w:color w:val="auto"/>
        </w:rPr>
      </w:pPr>
    </w:p>
    <w:p>
      <w:pPr>
        <w:jc w:val="both"/>
        <w:ind w:left="7" w:right="220" w:hanging="7"/>
        <w:spacing w:after="0" w:line="263" w:lineRule="auto"/>
        <w:tabs>
          <w:tab w:leader="none" w:pos="303" w:val="left"/>
        </w:tabs>
        <w:numPr>
          <w:ilvl w:val="0"/>
          <w:numId w:val="277"/>
        </w:numPr>
        <w:rPr>
          <w:rFonts w:ascii="Arial" w:cs="Arial" w:eastAsia="Arial" w:hAnsi="Arial"/>
          <w:sz w:val="15"/>
          <w:szCs w:val="15"/>
          <w:color w:val="auto"/>
        </w:rPr>
      </w:pPr>
      <w:r>
        <w:rPr>
          <w:rFonts w:ascii="Arial" w:cs="Arial" w:eastAsia="Arial" w:hAnsi="Arial"/>
          <w:sz w:val="15"/>
          <w:szCs w:val="15"/>
          <w:color w:val="auto"/>
        </w:rPr>
        <w:t>business days of service of the First Level Notice for the purpose of resolving the Deadlock. If such representative s have not met or are unable to resolve the Deadlock within fifteen (15) business days of service of the First Level Notice, either party may serve notice in writing on the other party (a “</w:t>
      </w:r>
      <w:r>
        <w:rPr>
          <w:rFonts w:ascii="Arial" w:cs="Arial" w:eastAsia="Arial" w:hAnsi="Arial"/>
          <w:sz w:val="15"/>
          <w:szCs w:val="15"/>
          <w:u w:val="single" w:color="auto"/>
          <w:color w:val="auto"/>
        </w:rPr>
        <w:t>Second Level Notice</w:t>
      </w:r>
      <w:r>
        <w:rPr>
          <w:rFonts w:ascii="Arial" w:cs="Arial" w:eastAsia="Arial" w:hAnsi="Arial"/>
          <w:sz w:val="15"/>
          <w:szCs w:val="15"/>
          <w:color w:val="auto"/>
        </w:rPr>
        <w:t>”) requiring that the Deadlock be referred to a panel of third party independent experts (the “</w:t>
      </w:r>
      <w:r>
        <w:rPr>
          <w:rFonts w:ascii="Arial" w:cs="Arial" w:eastAsia="Arial" w:hAnsi="Arial"/>
          <w:sz w:val="15"/>
          <w:szCs w:val="15"/>
          <w:u w:val="single" w:color="auto"/>
          <w:color w:val="auto"/>
        </w:rPr>
        <w:t>Independent Expert Panel</w:t>
      </w:r>
      <w:r>
        <w:rPr>
          <w:rFonts w:ascii="Arial" w:cs="Arial" w:eastAsia="Arial" w:hAnsi="Arial"/>
          <w:sz w:val="15"/>
          <w:szCs w:val="15"/>
          <w:color w:val="auto"/>
        </w:rPr>
        <w:t>”). Each of the SRN Majority Holders and the Company agree that the Independent Expert Panel shall consist of one (1) nominee appointed by each party.</w:t>
      </w:r>
    </w:p>
    <w:p>
      <w:pPr>
        <w:spacing w:after="0" w:line="16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0"/>
        <w:spacing w:after="0" w:line="281" w:lineRule="auto"/>
        <w:rPr>
          <w:sz w:val="20"/>
          <w:szCs w:val="20"/>
          <w:color w:val="auto"/>
        </w:rPr>
      </w:pPr>
      <w:r>
        <w:rPr>
          <w:rFonts w:ascii="Arial" w:cs="Arial" w:eastAsia="Arial" w:hAnsi="Arial"/>
          <w:sz w:val="14"/>
          <w:szCs w:val="14"/>
          <w:color w:val="auto"/>
        </w:rPr>
        <w:t>Each of the SRN Majority Holders and the Company shall use its best efforts to appoint a suitable nominee (being an experienced global pharmaceutical executive with qualifications consistent with those of other directors of the Company) and procure that the Independent Expert Panel considers the Deadlock and delivers its determination (the “</w:t>
      </w:r>
      <w:r>
        <w:rPr>
          <w:rFonts w:ascii="Arial" w:cs="Arial" w:eastAsia="Arial" w:hAnsi="Arial"/>
          <w:sz w:val="14"/>
          <w:szCs w:val="14"/>
          <w:u w:val="single" w:color="auto"/>
          <w:color w:val="auto"/>
        </w:rPr>
        <w:t>Expert Solution</w:t>
      </w:r>
      <w:r>
        <w:rPr>
          <w:rFonts w:ascii="Arial" w:cs="Arial" w:eastAsia="Arial" w:hAnsi="Arial"/>
          <w:sz w:val="14"/>
          <w:szCs w:val="14"/>
          <w:color w:val="auto"/>
        </w:rPr>
        <w:t>”) of how to resolve the Deadlock within twenty (20) business days of service of the Second Level Notice. The SRN Majority Holders and the Company shall, acting in good faith, within ten</w:t>
      </w:r>
    </w:p>
    <w:p>
      <w:pPr>
        <w:spacing w:after="0" w:line="1" w:lineRule="exact"/>
        <w:rPr>
          <w:sz w:val="20"/>
          <w:szCs w:val="20"/>
          <w:color w:val="auto"/>
        </w:rPr>
      </w:pPr>
    </w:p>
    <w:p>
      <w:pPr>
        <w:ind w:left="7" w:hanging="7"/>
        <w:spacing w:after="0" w:line="280" w:lineRule="auto"/>
        <w:tabs>
          <w:tab w:leader="none" w:pos="303" w:val="left"/>
        </w:tabs>
        <w:numPr>
          <w:ilvl w:val="0"/>
          <w:numId w:val="278"/>
        </w:numPr>
        <w:rPr>
          <w:rFonts w:ascii="Arial" w:cs="Arial" w:eastAsia="Arial" w:hAnsi="Arial"/>
          <w:sz w:val="14"/>
          <w:szCs w:val="14"/>
          <w:color w:val="auto"/>
        </w:rPr>
      </w:pPr>
      <w:r>
        <w:rPr>
          <w:rFonts w:ascii="Arial" w:cs="Arial" w:eastAsia="Arial" w:hAnsi="Arial"/>
          <w:sz w:val="14"/>
          <w:szCs w:val="14"/>
          <w:color w:val="auto"/>
        </w:rPr>
        <w:t xml:space="preserve">business days of receipt of the Expert Solution, consult with each other and use reasonable efforts to agree to a resolution to the Deadlock based in all material respects on the Expert Solution. In the event that the Company and the SRN Majority Holders agree on such a resolution, they shall use reasonable efforts to procure that such resolution is implemented as soon as reasonably practicable. For the purpose of this </w:t>
      </w:r>
      <w:r>
        <w:rPr>
          <w:rFonts w:ascii="Arial" w:cs="Arial" w:eastAsia="Arial" w:hAnsi="Arial"/>
          <w:sz w:val="14"/>
          <w:szCs w:val="14"/>
          <w:u w:val="single" w:color="auto"/>
          <w:color w:val="auto"/>
        </w:rPr>
        <w:t>Section 5.3(a)(ii)</w:t>
      </w:r>
      <w:r>
        <w:rPr>
          <w:rFonts w:ascii="Arial" w:cs="Arial" w:eastAsia="Arial" w:hAnsi="Arial"/>
          <w:sz w:val="14"/>
          <w:szCs w:val="14"/>
          <w:color w:val="auto"/>
        </w:rPr>
        <w:t>, a “</w:t>
      </w:r>
      <w:r>
        <w:rPr>
          <w:rFonts w:ascii="Arial" w:cs="Arial" w:eastAsia="Arial" w:hAnsi="Arial"/>
          <w:sz w:val="14"/>
          <w:szCs w:val="14"/>
          <w:u w:val="single" w:color="auto"/>
          <w:color w:val="auto"/>
        </w:rPr>
        <w:t>Deadlock</w:t>
      </w:r>
      <w:r>
        <w:rPr>
          <w:rFonts w:ascii="Arial" w:cs="Arial" w:eastAsia="Arial" w:hAnsi="Arial"/>
          <w:sz w:val="14"/>
          <w:szCs w:val="14"/>
          <w:color w:val="auto"/>
        </w:rPr>
        <w:t xml:space="preserve">” shall be deemed to have occurred when (A) a resolution is proposed by the Company, in its capacity as a participant in the Project Company, in accordance with the Project Company Charter and in respect of any of the matters indicated in </w:t>
      </w:r>
      <w:r>
        <w:rPr>
          <w:rFonts w:ascii="Arial" w:cs="Arial" w:eastAsia="Arial" w:hAnsi="Arial"/>
          <w:sz w:val="14"/>
          <w:szCs w:val="14"/>
          <w:u w:val="single" w:color="auto"/>
          <w:color w:val="auto"/>
        </w:rPr>
        <w:t>Section 5.2 or 5.3</w:t>
      </w:r>
      <w:r>
        <w:rPr>
          <w:rFonts w:ascii="Arial" w:cs="Arial" w:eastAsia="Arial" w:hAnsi="Arial"/>
          <w:sz w:val="14"/>
          <w:szCs w:val="14"/>
          <w:color w:val="auto"/>
        </w:rPr>
        <w:t xml:space="preserve"> hereof, and such resolution is not approved by the SRN Majority Holders, as a holder of Series SRN Preferred Stock during at least two (2) successive duly called meetings of the board of directors of the Project Company; (B) a resolution of the Board of Directors of the Project Company is proposed by a director nominated by the Company and is not adopted by a unanimous vote in accordance with the Project Company Charter with respect to the decisions requiring a unanimous vote pursuant to Section 22 of the Project Company Charter during at least two (2) successive duly called meetings of the board of directors of the Project Company; or (C) a quorum is not present at two (2) successive duly called board meetings of the Project Company for the purpose of considering any resolution referred to in subsection (B) hereof due to the absence of a nominated director from the relevant board meeting (each of the events set forth in (A) through (C) of this </w:t>
      </w:r>
      <w:r>
        <w:rPr>
          <w:rFonts w:ascii="Arial" w:cs="Arial" w:eastAsia="Arial" w:hAnsi="Arial"/>
          <w:sz w:val="14"/>
          <w:szCs w:val="14"/>
          <w:u w:val="single" w:color="auto"/>
          <w:color w:val="auto"/>
        </w:rPr>
        <w:t>subsection 5.3(a)(ii)</w:t>
      </w:r>
      <w:r>
        <w:rPr>
          <w:rFonts w:ascii="Arial" w:cs="Arial" w:eastAsia="Arial" w:hAnsi="Arial"/>
          <w:sz w:val="14"/>
          <w:szCs w:val="14"/>
          <w:color w:val="auto"/>
        </w:rPr>
        <w:t>, a “</w:t>
      </w:r>
      <w:r>
        <w:rPr>
          <w:rFonts w:ascii="Arial" w:cs="Arial" w:eastAsia="Arial" w:hAnsi="Arial"/>
          <w:sz w:val="14"/>
          <w:szCs w:val="14"/>
          <w:u w:val="single" w:color="auto"/>
          <w:color w:val="auto"/>
        </w:rPr>
        <w:t>Deadlock Event</w:t>
      </w:r>
      <w:r>
        <w:rPr>
          <w:rFonts w:ascii="Arial" w:cs="Arial" w:eastAsia="Arial" w:hAnsi="Arial"/>
          <w:sz w:val="14"/>
          <w:szCs w:val="14"/>
          <w:color w:val="auto"/>
        </w:rPr>
        <w:t>”).</w:t>
      </w:r>
    </w:p>
    <w:p>
      <w:pPr>
        <w:spacing w:after="0" w:line="149" w:lineRule="exact"/>
        <w:rPr>
          <w:rFonts w:ascii="Arial" w:cs="Arial" w:eastAsia="Arial" w:hAnsi="Arial"/>
          <w:sz w:val="14"/>
          <w:szCs w:val="14"/>
          <w:color w:val="auto"/>
        </w:rPr>
      </w:pPr>
    </w:p>
    <w:p>
      <w:pPr>
        <w:ind w:left="7" w:right="20" w:firstLine="1104"/>
        <w:spacing w:after="0" w:line="302" w:lineRule="auto"/>
        <w:tabs>
          <w:tab w:leader="none" w:pos="1681" w:val="left"/>
        </w:tabs>
        <w:numPr>
          <w:ilvl w:val="1"/>
          <w:numId w:val="278"/>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herein, </w:t>
      </w:r>
      <w:r>
        <w:rPr>
          <w:rFonts w:ascii="Arial" w:cs="Arial" w:eastAsia="Arial" w:hAnsi="Arial"/>
          <w:sz w:val="14"/>
          <w:szCs w:val="14"/>
          <w:u w:val="single" w:color="auto"/>
          <w:color w:val="auto"/>
        </w:rPr>
        <w:t>Section 5.3(a)</w:t>
      </w:r>
      <w:r>
        <w:rPr>
          <w:rFonts w:ascii="Arial" w:cs="Arial" w:eastAsia="Arial" w:hAnsi="Arial"/>
          <w:sz w:val="14"/>
          <w:szCs w:val="14"/>
          <w:color w:val="auto"/>
        </w:rPr>
        <w:t xml:space="preserve"> shall terminate and be of no further force and effect on the earliest date on which each of RUSNANO and I2BF (or one or more of their respective Affiliates that are a permitted transferee pursuant to </w:t>
      </w:r>
      <w:r>
        <w:rPr>
          <w:rFonts w:ascii="Arial" w:cs="Arial" w:eastAsia="Arial" w:hAnsi="Arial"/>
          <w:sz w:val="14"/>
          <w:szCs w:val="14"/>
          <w:u w:val="single" w:color="auto"/>
          <w:color w:val="auto"/>
        </w:rPr>
        <w:t>Section 4.1(b)</w:t>
      </w:r>
      <w:r>
        <w:rPr>
          <w:rFonts w:ascii="Arial" w:cs="Arial" w:eastAsia="Arial" w:hAnsi="Arial"/>
          <w:sz w:val="14"/>
          <w:szCs w:val="14"/>
          <w:color w:val="auto"/>
        </w:rPr>
        <w:t>,) no longer holds and has sole beneficial ownership of all of the shares of Series SRN Preferred Stock respectively held by it as of the date hereof, whether as a result of any transfer, sale, conversion, redemption, or otherwise.</w:t>
      </w:r>
    </w:p>
    <w:p>
      <w:pPr>
        <w:spacing w:after="0" w:line="133" w:lineRule="exact"/>
        <w:rPr>
          <w:sz w:val="20"/>
          <w:szCs w:val="20"/>
          <w:color w:val="auto"/>
        </w:rPr>
      </w:pPr>
    </w:p>
    <w:p>
      <w:pPr>
        <w:ind w:left="7" w:right="220" w:firstLine="556"/>
        <w:spacing w:after="0" w:line="273"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Multi-Country Clinical Trials</w:t>
      </w:r>
      <w:r>
        <w:rPr>
          <w:rFonts w:ascii="Arial" w:cs="Arial" w:eastAsia="Arial" w:hAnsi="Arial"/>
          <w:sz w:val="15"/>
          <w:szCs w:val="15"/>
          <w:color w:val="auto"/>
        </w:rPr>
        <w:t>. The Company agrees and covenants that in any instance when any of the Company or the Project Company products reaches clinical trials in at least two (2) countries, the Company shall, or shall cause the Project Company to, as the case may be, include the Republic of Kazakhstan in such clinical trials of such products if permitted under the laws and regulations of the Republic of Kazakhstan.</w:t>
      </w:r>
    </w:p>
    <w:p>
      <w:pPr>
        <w:spacing w:after="0" w:line="153" w:lineRule="exact"/>
        <w:rPr>
          <w:sz w:val="20"/>
          <w:szCs w:val="20"/>
          <w:color w:val="auto"/>
        </w:rPr>
      </w:pPr>
    </w:p>
    <w:p>
      <w:pPr>
        <w:ind w:left="547" w:hanging="547"/>
        <w:spacing w:after="0"/>
        <w:tabs>
          <w:tab w:leader="none" w:pos="547" w:val="left"/>
        </w:tabs>
        <w:numPr>
          <w:ilvl w:val="0"/>
          <w:numId w:val="279"/>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198" w:lineRule="exact"/>
        <w:rPr>
          <w:sz w:val="20"/>
          <w:szCs w:val="20"/>
          <w:color w:val="auto"/>
        </w:rPr>
      </w:pPr>
    </w:p>
    <w:p>
      <w:pPr>
        <w:ind w:left="7" w:right="120" w:firstLine="556"/>
        <w:spacing w:after="0" w:line="289"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Severability</w:t>
      </w:r>
      <w:r>
        <w:rPr>
          <w:rFonts w:ascii="Arial" w:cs="Arial" w:eastAsia="Arial" w:hAnsi="Arial"/>
          <w:sz w:val="15"/>
          <w:szCs w:val="15"/>
          <w:color w:val="auto"/>
        </w:rPr>
        <w:t>. The provisions of this Agreement are severable, so that the invalidity or unenforceability of any provision of this Agreement shall not affect the validity or enforceability of any other term or provision of this Agreement, which shall remain in full force and effect.</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 w:firstLine="556"/>
        <w:spacing w:after="0" w:line="273"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In addition to any and all other remedies that may be available at law in the event of any breach of this Agreement, each Holder shall be entitled to specific performance of the agreements and obligations of any other Holder hereunder and to such other injunctive or other equitable relief as may be granted by a court of competent jurisdiction.</w:t>
      </w:r>
    </w:p>
    <w:p>
      <w:pPr>
        <w:spacing w:after="0" w:line="153" w:lineRule="exact"/>
        <w:rPr>
          <w:sz w:val="20"/>
          <w:szCs w:val="20"/>
          <w:color w:val="auto"/>
        </w:rPr>
      </w:pPr>
    </w:p>
    <w:p>
      <w:pPr>
        <w:ind w:left="7" w:right="240" w:firstLine="556"/>
        <w:spacing w:after="0" w:line="289"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and enforced in accordance with the internal laws of the State of New York without regard to conflict of law principles that would result in the application of any law other than the law of the State of New York.</w:t>
      </w:r>
    </w:p>
    <w:p>
      <w:pPr>
        <w:spacing w:after="0" w:line="141" w:lineRule="exact"/>
        <w:rPr>
          <w:sz w:val="20"/>
          <w:szCs w:val="20"/>
          <w:color w:val="auto"/>
        </w:rPr>
      </w:pPr>
    </w:p>
    <w:p>
      <w:pPr>
        <w:ind w:left="7" w:right="40" w:firstLine="556"/>
        <w:spacing w:after="0" w:line="268"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requests, consents, and other communications under this Agreement shall be in writing and shall be deemed delivered (a) for notices sent by the Company to addressees within the United States, two (2) business days after being sent by registered or certified mail, return receipt requested, postage prepaid, (b) three (3) business days after being sent via a reputable international courier service with expedited delivery, in each case to the intended recipient as set forth below, or (c) immediately upon being sent by facsimile, provided that the sender receives electronic confirmation of delivery, or electronic mail:</w:t>
      </w:r>
    </w:p>
    <w:p>
      <w:pPr>
        <w:spacing w:after="0" w:line="156" w:lineRule="exact"/>
        <w:rPr>
          <w:sz w:val="20"/>
          <w:szCs w:val="20"/>
          <w:color w:val="auto"/>
        </w:rPr>
      </w:pPr>
    </w:p>
    <w:p>
      <w:pPr>
        <w:ind w:left="1687" w:hanging="576"/>
        <w:spacing w:after="0"/>
        <w:tabs>
          <w:tab w:leader="none" w:pos="1687" w:val="left"/>
        </w:tabs>
        <w:numPr>
          <w:ilvl w:val="0"/>
          <w:numId w:val="280"/>
        </w:numPr>
        <w:rPr>
          <w:rFonts w:ascii="Arial" w:cs="Arial" w:eastAsia="Arial" w:hAnsi="Arial"/>
          <w:sz w:val="15"/>
          <w:szCs w:val="15"/>
          <w:color w:val="auto"/>
        </w:rPr>
      </w:pPr>
      <w:r>
        <w:rPr>
          <w:rFonts w:ascii="Arial" w:cs="Arial" w:eastAsia="Arial" w:hAnsi="Arial"/>
          <w:sz w:val="15"/>
          <w:szCs w:val="15"/>
          <w:color w:val="auto"/>
        </w:rPr>
        <w:t>If to the Company:</w:t>
      </w:r>
    </w:p>
    <w:p>
      <w:pPr>
        <w:spacing w:after="0" w:line="198" w:lineRule="exact"/>
        <w:rPr>
          <w:rFonts w:ascii="Arial" w:cs="Arial" w:eastAsia="Arial" w:hAnsi="Arial"/>
          <w:sz w:val="15"/>
          <w:szCs w:val="15"/>
          <w:color w:val="auto"/>
        </w:rPr>
      </w:pPr>
    </w:p>
    <w:p>
      <w:pPr>
        <w:ind w:left="1667"/>
        <w:spacing w:after="0"/>
        <w:rPr>
          <w:rFonts w:ascii="Arial" w:cs="Arial" w:eastAsia="Arial" w:hAnsi="Arial"/>
          <w:sz w:val="15"/>
          <w:szCs w:val="15"/>
          <w:color w:val="auto"/>
        </w:rPr>
      </w:pPr>
      <w:r>
        <w:rPr>
          <w:rFonts w:ascii="Arial" w:cs="Arial" w:eastAsia="Arial" w:hAnsi="Arial"/>
          <w:sz w:val="15"/>
          <w:szCs w:val="15"/>
          <w:color w:val="auto"/>
        </w:rPr>
        <w:t>Selecta Biosciences, Inc.</w:t>
      </w:r>
    </w:p>
    <w:p>
      <w:pPr>
        <w:spacing w:after="0" w:line="23" w:lineRule="exact"/>
        <w:rPr>
          <w:rFonts w:ascii="Arial" w:cs="Arial" w:eastAsia="Arial" w:hAnsi="Arial"/>
          <w:sz w:val="15"/>
          <w:szCs w:val="15"/>
          <w:color w:val="auto"/>
        </w:rPr>
      </w:pPr>
    </w:p>
    <w:p>
      <w:pPr>
        <w:jc w:val="both"/>
        <w:ind w:left="1667" w:right="7700"/>
        <w:spacing w:after="0" w:line="276" w:lineRule="auto"/>
        <w:rPr>
          <w:rFonts w:ascii="Arial" w:cs="Arial" w:eastAsia="Arial" w:hAnsi="Arial"/>
          <w:sz w:val="15"/>
          <w:szCs w:val="15"/>
          <w:color w:val="auto"/>
        </w:rPr>
      </w:pPr>
      <w:r>
        <w:rPr>
          <w:rFonts w:ascii="Arial" w:cs="Arial" w:eastAsia="Arial" w:hAnsi="Arial"/>
          <w:sz w:val="14"/>
          <w:szCs w:val="14"/>
          <w:color w:val="auto"/>
        </w:rPr>
        <w:t>480 Arsenal Street, Building One Watertown, Massachusetts 02472 Attn: President</w:t>
      </w:r>
    </w:p>
    <w:p>
      <w:pPr>
        <w:ind w:left="1667"/>
        <w:spacing w:after="0"/>
        <w:rPr>
          <w:rFonts w:ascii="Arial" w:cs="Arial" w:eastAsia="Arial" w:hAnsi="Arial"/>
          <w:sz w:val="15"/>
          <w:szCs w:val="15"/>
          <w:color w:val="auto"/>
        </w:rPr>
      </w:pPr>
      <w:r>
        <w:rPr>
          <w:rFonts w:ascii="Arial" w:cs="Arial" w:eastAsia="Arial" w:hAnsi="Arial"/>
          <w:sz w:val="15"/>
          <w:szCs w:val="15"/>
          <w:color w:val="auto"/>
        </w:rPr>
        <w:t>Fax: 617-924-3454</w:t>
      </w:r>
    </w:p>
    <w:p>
      <w:pPr>
        <w:spacing w:after="0" w:line="12" w:lineRule="exact"/>
        <w:rPr>
          <w:rFonts w:ascii="Arial" w:cs="Arial" w:eastAsia="Arial" w:hAnsi="Arial"/>
          <w:sz w:val="15"/>
          <w:szCs w:val="15"/>
          <w:color w:val="auto"/>
        </w:rPr>
      </w:pPr>
    </w:p>
    <w:p>
      <w:pPr>
        <w:ind w:left="1667" w:right="7540"/>
        <w:spacing w:after="0" w:line="544" w:lineRule="auto"/>
        <w:rPr>
          <w:rFonts w:ascii="Arial" w:cs="Arial" w:eastAsia="Arial" w:hAnsi="Arial"/>
          <w:sz w:val="15"/>
          <w:szCs w:val="15"/>
          <w:color w:val="auto"/>
        </w:rPr>
      </w:pPr>
      <w:r>
        <w:rPr>
          <w:rFonts w:ascii="Arial" w:cs="Arial" w:eastAsia="Arial" w:hAnsi="Arial"/>
          <w:sz w:val="14"/>
          <w:szCs w:val="14"/>
          <w:color w:val="auto"/>
        </w:rPr>
        <w:t>E-mail: wcautreels@selectabio.com with a copy to:</w:t>
      </w:r>
    </w:p>
    <w:p>
      <w:pPr>
        <w:spacing w:after="0" w:line="1" w:lineRule="exact"/>
        <w:rPr>
          <w:rFonts w:ascii="Arial" w:cs="Arial" w:eastAsia="Arial" w:hAnsi="Arial"/>
          <w:sz w:val="15"/>
          <w:szCs w:val="15"/>
          <w:color w:val="auto"/>
        </w:rPr>
      </w:pPr>
    </w:p>
    <w:p>
      <w:pPr>
        <w:ind w:left="1667" w:right="8120"/>
        <w:spacing w:after="0" w:line="264" w:lineRule="auto"/>
        <w:rPr>
          <w:rFonts w:ascii="Arial" w:cs="Arial" w:eastAsia="Arial" w:hAnsi="Arial"/>
          <w:sz w:val="15"/>
          <w:szCs w:val="15"/>
          <w:color w:val="auto"/>
        </w:rPr>
      </w:pPr>
      <w:r>
        <w:rPr>
          <w:rFonts w:ascii="Arial" w:cs="Arial" w:eastAsia="Arial" w:hAnsi="Arial"/>
          <w:sz w:val="15"/>
          <w:szCs w:val="15"/>
          <w:color w:val="auto"/>
        </w:rPr>
        <w:t>Jeffrey L. Quillen, Esquire Foley Hoag LLP</w:t>
      </w:r>
    </w:p>
    <w:p>
      <w:pPr>
        <w:spacing w:after="0" w:line="1" w:lineRule="exact"/>
        <w:rPr>
          <w:rFonts w:ascii="Arial" w:cs="Arial" w:eastAsia="Arial" w:hAnsi="Arial"/>
          <w:sz w:val="15"/>
          <w:szCs w:val="15"/>
          <w:color w:val="auto"/>
        </w:rPr>
      </w:pPr>
    </w:p>
    <w:p>
      <w:pPr>
        <w:ind w:left="1667" w:right="7680"/>
        <w:spacing w:after="0" w:line="257" w:lineRule="auto"/>
        <w:rPr>
          <w:rFonts w:ascii="Arial" w:cs="Arial" w:eastAsia="Arial" w:hAnsi="Arial"/>
          <w:sz w:val="15"/>
          <w:szCs w:val="15"/>
          <w:color w:val="auto"/>
        </w:rPr>
      </w:pPr>
      <w:r>
        <w:rPr>
          <w:rFonts w:ascii="Arial" w:cs="Arial" w:eastAsia="Arial" w:hAnsi="Arial"/>
          <w:sz w:val="15"/>
          <w:szCs w:val="15"/>
          <w:color w:val="auto"/>
        </w:rPr>
        <w:t>Seaport World Trade Center West 155 Seaport Boulevard Boston, Massachusetts 02210 Fax: 617-832-7000</w:t>
      </w:r>
    </w:p>
    <w:p>
      <w:pPr>
        <w:spacing w:after="0" w:line="2" w:lineRule="exact"/>
        <w:rPr>
          <w:rFonts w:ascii="Arial" w:cs="Arial" w:eastAsia="Arial" w:hAnsi="Arial"/>
          <w:sz w:val="15"/>
          <w:szCs w:val="15"/>
          <w:color w:val="auto"/>
        </w:rPr>
      </w:pPr>
    </w:p>
    <w:p>
      <w:pPr>
        <w:ind w:left="1667"/>
        <w:spacing w:after="0"/>
        <w:rPr>
          <w:rFonts w:ascii="Arial" w:cs="Arial" w:eastAsia="Arial" w:hAnsi="Arial"/>
          <w:sz w:val="15"/>
          <w:szCs w:val="15"/>
          <w:color w:val="auto"/>
        </w:rPr>
      </w:pPr>
      <w:r>
        <w:rPr>
          <w:rFonts w:ascii="Arial" w:cs="Arial" w:eastAsia="Arial" w:hAnsi="Arial"/>
          <w:sz w:val="15"/>
          <w:szCs w:val="15"/>
          <w:color w:val="auto"/>
        </w:rPr>
        <w:t>E-mail: jlq@foleyhoag.com</w:t>
      </w:r>
    </w:p>
    <w:p>
      <w:pPr>
        <w:spacing w:after="0" w:line="187" w:lineRule="exact"/>
        <w:rPr>
          <w:rFonts w:ascii="Arial" w:cs="Arial" w:eastAsia="Arial" w:hAnsi="Arial"/>
          <w:sz w:val="15"/>
          <w:szCs w:val="15"/>
          <w:color w:val="auto"/>
        </w:rPr>
      </w:pPr>
    </w:p>
    <w:p>
      <w:pPr>
        <w:ind w:left="1667" w:right="260" w:hanging="556"/>
        <w:spacing w:after="0" w:line="289" w:lineRule="auto"/>
        <w:tabs>
          <w:tab w:leader="none" w:pos="1661" w:val="left"/>
        </w:tabs>
        <w:numPr>
          <w:ilvl w:val="0"/>
          <w:numId w:val="280"/>
        </w:numPr>
        <w:rPr>
          <w:rFonts w:ascii="Arial" w:cs="Arial" w:eastAsia="Arial" w:hAnsi="Arial"/>
          <w:sz w:val="15"/>
          <w:szCs w:val="15"/>
          <w:color w:val="auto"/>
        </w:rPr>
      </w:pPr>
      <w:r>
        <w:rPr>
          <w:rFonts w:ascii="Arial" w:cs="Arial" w:eastAsia="Arial" w:hAnsi="Arial"/>
          <w:sz w:val="15"/>
          <w:szCs w:val="15"/>
          <w:color w:val="auto"/>
        </w:rPr>
        <w:t xml:space="preserve">If to a Purchaser, at its address set forth in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hereto, or at such other address as may have been furnished to the other parties hereto in writing by such Purchaser;</w:t>
      </w:r>
    </w:p>
    <w:p>
      <w:pPr>
        <w:spacing w:after="0" w:line="140" w:lineRule="exact"/>
        <w:rPr>
          <w:rFonts w:ascii="Arial" w:cs="Arial" w:eastAsia="Arial" w:hAnsi="Arial"/>
          <w:sz w:val="15"/>
          <w:szCs w:val="15"/>
          <w:color w:val="auto"/>
        </w:rPr>
      </w:pPr>
    </w:p>
    <w:p>
      <w:pPr>
        <w:ind w:left="1667" w:right="220" w:hanging="556"/>
        <w:spacing w:after="0" w:line="289" w:lineRule="auto"/>
        <w:tabs>
          <w:tab w:leader="none" w:pos="1671" w:val="left"/>
        </w:tabs>
        <w:numPr>
          <w:ilvl w:val="0"/>
          <w:numId w:val="280"/>
        </w:numPr>
        <w:rPr>
          <w:rFonts w:ascii="Arial" w:cs="Arial" w:eastAsia="Arial" w:hAnsi="Arial"/>
          <w:sz w:val="15"/>
          <w:szCs w:val="15"/>
          <w:color w:val="auto"/>
        </w:rPr>
      </w:pPr>
      <w:r>
        <w:rPr>
          <w:rFonts w:ascii="Arial" w:cs="Arial" w:eastAsia="Arial" w:hAnsi="Arial"/>
          <w:sz w:val="15"/>
          <w:szCs w:val="15"/>
          <w:color w:val="auto"/>
        </w:rPr>
        <w:t xml:space="preserve">If to a Licensor Shareholder, at its address set forth in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hereto, or at such other address as may have been furnished to the other parties hereto in writing by such Licensor Shareholder; and</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87" w:hanging="576"/>
        <w:spacing w:after="0"/>
        <w:tabs>
          <w:tab w:leader="none" w:pos="1687" w:val="left"/>
        </w:tabs>
        <w:numPr>
          <w:ilvl w:val="0"/>
          <w:numId w:val="281"/>
        </w:numPr>
        <w:rPr>
          <w:rFonts w:ascii="Arial" w:cs="Arial" w:eastAsia="Arial" w:hAnsi="Arial"/>
          <w:sz w:val="14"/>
          <w:szCs w:val="14"/>
          <w:color w:val="auto"/>
        </w:rPr>
      </w:pPr>
      <w:r>
        <w:rPr>
          <w:rFonts w:ascii="Arial" w:cs="Arial" w:eastAsia="Arial" w:hAnsi="Arial"/>
          <w:sz w:val="14"/>
          <w:szCs w:val="14"/>
          <w:color w:val="auto"/>
        </w:rPr>
        <w:t>If to a Founder, at the Company or at such other address or addresses as may have been furnished to the other parties hereto in writing by such Founder.</w:t>
      </w:r>
    </w:p>
    <w:p>
      <w:pPr>
        <w:spacing w:after="0" w:line="21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Any party may give any notice, request, consent or other communication under this Agreement using any other means (including, without limitation, personal delivery,</w:t>
      </w:r>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messenger service, first class mail or electronic mail), but no such notice, request, consent or other communication shall be deemed to have been duly given unless and until it is actually</w:t>
      </w:r>
    </w:p>
    <w:p>
      <w:pPr>
        <w:sectPr>
          <w:pgSz w:w="11900" w:h="16838" w:orient="portrait"/>
          <w:cols w:equalWidth="0" w:num="1">
            <w:col w:w="11427"/>
          </w:cols>
          <w:pgMar w:left="233" w:top="129" w:right="239" w:bottom="0" w:gutter="0" w:footer="0" w:header="0"/>
        </w:sectPr>
      </w:pPr>
    </w:p>
    <w:bookmarkStart w:id="328" w:name="page329"/>
    <w:bookmarkEnd w:id="328"/>
    <w:p>
      <w:pPr>
        <w:ind w:right="180"/>
        <w:spacing w:after="0" w:line="289" w:lineRule="auto"/>
        <w:rPr>
          <w:sz w:val="20"/>
          <w:szCs w:val="20"/>
          <w:color w:val="auto"/>
        </w:rPr>
      </w:pPr>
      <w:r>
        <w:rPr>
          <w:rFonts w:ascii="Arial" w:cs="Arial" w:eastAsia="Arial" w:hAnsi="Arial"/>
          <w:sz w:val="15"/>
          <w:szCs w:val="15"/>
          <w:color w:val="auto"/>
        </w:rPr>
        <w:t xml:space="preserve">received by the party for whom it is intended. Any party may change the address to which notices, requests, consents or other communications hereunder are to be delivered by giving the other parties notice in the manner set forth in this </w:t>
      </w:r>
      <w:r>
        <w:rPr>
          <w:rFonts w:ascii="Arial" w:cs="Arial" w:eastAsia="Arial" w:hAnsi="Arial"/>
          <w:sz w:val="15"/>
          <w:szCs w:val="15"/>
          <w:u w:val="single" w:color="auto"/>
          <w:color w:val="auto"/>
        </w:rPr>
        <w:t>Section 6.4</w:t>
      </w:r>
      <w:r>
        <w:rPr>
          <w:rFonts w:ascii="Arial" w:cs="Arial" w:eastAsia="Arial" w:hAnsi="Arial"/>
          <w:sz w:val="15"/>
          <w:szCs w:val="15"/>
          <w:color w:val="auto"/>
        </w:rPr>
        <w:t>.</w:t>
      </w:r>
    </w:p>
    <w:p>
      <w:pPr>
        <w:spacing w:after="0" w:line="141" w:lineRule="exact"/>
        <w:rPr>
          <w:sz w:val="20"/>
          <w:szCs w:val="20"/>
          <w:color w:val="auto"/>
        </w:rPr>
      </w:pPr>
    </w:p>
    <w:p>
      <w:pPr>
        <w:ind w:right="20" w:firstLine="556"/>
        <w:spacing w:after="0" w:line="280" w:lineRule="auto"/>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u w:val="single" w:color="auto"/>
          <w:color w:val="auto"/>
        </w:rPr>
        <w:t>Complete Agreement; Amendments</w:t>
      </w:r>
      <w:r>
        <w:rPr>
          <w:rFonts w:ascii="Arial" w:cs="Arial" w:eastAsia="Arial" w:hAnsi="Arial"/>
          <w:sz w:val="14"/>
          <w:szCs w:val="14"/>
          <w:color w:val="auto"/>
        </w:rPr>
        <w:t xml:space="preserve">. This Agreement constitutes the entire agreement and understanding of the parties hereto with respect to the subject matter hereof, and supersedes all prior agreements and understandings relating to such subject matter. No amendment, modification or termination of, or waiver under, any provision of this Agreement shall be valid unless in writing and signed by (i) the Company, (ii) the Founders holding a majority of the voting power of the shares of the Company’s capital stock then held by all of the Founders and (iii) the Purchasers holding at least 66 2/3% of the Registrable Securities then held by all of the Purchasers, and any such amendment, modification, termination or waiver shall be binding on all parties hereto; provided that any such waiver or amendment which materially adversely affects the rights, privileges, duties or obligations of a Purchaser in a manner materially different than those of all other Purchasers shall not be effective without the written consent of the affected Purchaser. Notwithstanding anything to the contrary herein, neither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nor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may be amended without the prior written consent of the SRN Majority Holders, if any. Notwithstanding anything to the contrary herein, this Agreement may be amended by the Company without the consent of any of the other parties hereto to add as a party hereto and include information regarding and otherwise accommodate an additional purchaser of shares of Series E Preferred Stock pursuant to the Purchase Agreement, as may be amended from time to time; provided that any such amendment does not materially and adversely affect the rights of any Purchaser under this Agreement (it being agreed that the issuance of additional shares of capital stock in accordance with the Purchase Agreement, as may be amended or modified from time to time in accordance with its terms, and the other Financing Agreements (as such term is defined in the Purchase Agreement), each as may be modified from time to time in accordance with its respective terms, shall not be deemed to affect the Purchasers under this Agreement).</w:t>
      </w:r>
    </w:p>
    <w:p>
      <w:pPr>
        <w:spacing w:after="0" w:line="155" w:lineRule="exact"/>
        <w:rPr>
          <w:sz w:val="20"/>
          <w:szCs w:val="20"/>
          <w:color w:val="auto"/>
        </w:rPr>
      </w:pPr>
    </w:p>
    <w:p>
      <w:pPr>
        <w:ind w:right="40" w:firstLine="556"/>
        <w:spacing w:after="0" w:line="293" w:lineRule="auto"/>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u w:val="single" w:color="auto"/>
          <w:color w:val="auto"/>
        </w:rPr>
        <w:t>Construction</w:t>
      </w:r>
      <w:r>
        <w:rPr>
          <w:rFonts w:ascii="Arial" w:cs="Arial" w:eastAsia="Arial" w:hAnsi="Arial"/>
          <w:sz w:val="14"/>
          <w:szCs w:val="14"/>
          <w:color w:val="auto"/>
        </w:rPr>
        <w:t>. A reference to a Section or Schedule shall mean a Section in or Schedule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 Whenever the context may require, any pronouns used herein shall include the corresponding masculine, feminine or neuter forms, and the singular form of names and pronouns shall include the plural and vice-versa.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20" w:firstLine="556"/>
        <w:spacing w:after="0" w:line="268"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Counterparts; Facsimile Signatures</w:t>
      </w:r>
      <w:r>
        <w:rPr>
          <w:rFonts w:ascii="Arial" w:cs="Arial" w:eastAsia="Arial" w:hAnsi="Arial"/>
          <w:sz w:val="15"/>
          <w:szCs w:val="15"/>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t>
      </w:r>
      <w:r>
        <w:rPr>
          <w:rFonts w:ascii="Arial" w:cs="Arial" w:eastAsia="Arial" w:hAnsi="Arial"/>
          <w:sz w:val="15"/>
          <w:szCs w:val="15"/>
          <w:u w:val="single" w:color="auto"/>
          <w:color w:val="auto"/>
        </w:rPr>
        <w:t>www.docusign.com</w:t>
      </w:r>
      <w:r>
        <w:rPr>
          <w:rFonts w:ascii="Arial" w:cs="Arial" w:eastAsia="Arial" w:hAnsi="Arial"/>
          <w:sz w:val="15"/>
          <w:szCs w:val="15"/>
          <w:color w:val="auto"/>
        </w:rPr>
        <w:t>) or other transmission method and any counterpart so delivered shall be deemed to have been duly and validly delivered and be valid and effective for all purposes.</w:t>
      </w:r>
    </w:p>
    <w:p>
      <w:pPr>
        <w:spacing w:after="0" w:line="156" w:lineRule="exact"/>
        <w:rPr>
          <w:sz w:val="20"/>
          <w:szCs w:val="20"/>
          <w:color w:val="auto"/>
        </w:rPr>
      </w:pPr>
    </w:p>
    <w:p>
      <w:pPr>
        <w:ind w:right="40" w:firstLine="556"/>
        <w:spacing w:after="0" w:line="283" w:lineRule="auto"/>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u w:val="single" w:color="auto"/>
          <w:color w:val="auto"/>
        </w:rPr>
        <w:t>Amended and Restated Agreement</w:t>
      </w:r>
      <w:r>
        <w:rPr>
          <w:rFonts w:ascii="Arial" w:cs="Arial" w:eastAsia="Arial" w:hAnsi="Arial"/>
          <w:sz w:val="14"/>
          <w:szCs w:val="14"/>
          <w:color w:val="auto"/>
        </w:rPr>
        <w:t>. The Former Investors’ Rights Agreement is hereby amended in its entirety and restated herein. Such amendment and restatement is effective upon the execution of this Agreement by (i) the Company; (ii) the Founders holding a majority of the voting power of the shares held by all of the Founders; and (iii) the Purchasers (as such term is defined in the Former Investors’ Rights Agreement) holding at least 66 2/3% of the voting power of the Registrable Securities (as such term is defined in the Former Investors’ Rights Agreement) held by all such Purchasers as of the date of this Agreement. Upon such execution, all provisions of, rights granted and covenants made in the Former Investors’ Rights Agreement are hereby waived, released and superseded in their entirety and shall have no further force or effect, including, without limitation, all participation rights and any notice period associated therewith otherwise applicable to the transactions contemplated by the Purchase Agreement. Each of such Founders and Purchasers acknowledge and agree that the execution and delivery by the Company of this Agreement, the Purchase Agreement and the additional Financing Agreements and the performance by the Company of its obligations thereunder do not constitute a default under the provisions of the Former Investors’ Rights Agreement.</w:t>
      </w:r>
    </w:p>
    <w:p>
      <w:pPr>
        <w:spacing w:after="0" w:line="149" w:lineRule="exact"/>
        <w:rPr>
          <w:sz w:val="20"/>
          <w:szCs w:val="20"/>
          <w:color w:val="auto"/>
        </w:rPr>
      </w:pPr>
    </w:p>
    <w:p>
      <w:pPr>
        <w:ind w:right="80" w:firstLine="556"/>
        <w:spacing w:after="0" w:line="262" w:lineRule="auto"/>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Dispute Resolution</w:t>
      </w:r>
      <w:r>
        <w:rPr>
          <w:rFonts w:ascii="Arial" w:cs="Arial" w:eastAsia="Arial" w:hAnsi="Arial"/>
          <w:sz w:val="15"/>
          <w:szCs w:val="15"/>
          <w:color w:val="auto"/>
        </w:rPr>
        <w:t>. Any dispute, controversy or claim arising out of or relating to this Agreement, including its existence, validity, interpretation, performance, non-performance, breach or termination (collectively, the “</w:t>
      </w:r>
      <w:r>
        <w:rPr>
          <w:rFonts w:ascii="Arial" w:cs="Arial" w:eastAsia="Arial" w:hAnsi="Arial"/>
          <w:sz w:val="15"/>
          <w:szCs w:val="15"/>
          <w:u w:val="single" w:color="auto"/>
          <w:color w:val="auto"/>
        </w:rPr>
        <w:t>Dispute</w:t>
      </w:r>
      <w:r>
        <w:rPr>
          <w:rFonts w:ascii="Arial" w:cs="Arial" w:eastAsia="Arial" w:hAnsi="Arial"/>
          <w:sz w:val="15"/>
          <w:szCs w:val="15"/>
          <w:color w:val="auto"/>
        </w:rPr>
        <w:t>”) shall be finally settled under the Rules of Arbitration of the International Chamber of Commerce (the “</w:t>
      </w:r>
      <w:r>
        <w:rPr>
          <w:rFonts w:ascii="Arial" w:cs="Arial" w:eastAsia="Arial" w:hAnsi="Arial"/>
          <w:sz w:val="15"/>
          <w:szCs w:val="15"/>
          <w:u w:val="single" w:color="auto"/>
          <w:color w:val="auto"/>
        </w:rPr>
        <w:t>ICC Rules</w:t>
      </w:r>
      <w:r>
        <w:rPr>
          <w:rFonts w:ascii="Arial" w:cs="Arial" w:eastAsia="Arial" w:hAnsi="Arial"/>
          <w:sz w:val="15"/>
          <w:szCs w:val="15"/>
          <w:color w:val="auto"/>
        </w:rPr>
        <w:t>”), except as they may be modified herein or by mutual agreement of the parties. The Dispute shall be resolved by three (3) arbitrators appointed in the following manner: each party shall nominate an arbitrator for confirmation as provided in the ICC Rules and following their confirmation, the third arbitrator shall be appointed by the International Court of Arbitration of the International Chamber of Commerce; provided, however, that at least one (1) of such arbitrators shall have substantive expertise in the pharmaceutical industry. The place of arbitration shall be New York, New York. The language of the arbitration shall be English. The tribunal shall determine the proportion of the costs of the arbitration which each party shall bear. The award shall be final, conclusive and binding upon the parties hereto. Judgment upon the award may be entered by any court having jurisdiction thereof or having jurisdiction over the relevant party or its assets.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[Remainder of page intentionally left blank.]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WITNESS WHEREOF, the parties hereto have executed this Fifth Amended and Restated Investors’ Rights Agreement as an instrument under seal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written.</w:t>
      </w:r>
    </w:p>
    <w:p>
      <w:pPr>
        <w:spacing w:after="0" w:line="36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SELECTA BIOSCIENCES, INC.</w:t>
      </w:r>
    </w:p>
    <w:p>
      <w:pPr>
        <w:spacing w:after="0" w:line="381" w:lineRule="exact"/>
        <w:rPr>
          <w:sz w:val="20"/>
          <w:szCs w:val="20"/>
          <w:color w:val="auto"/>
        </w:rPr>
      </w:pPr>
    </w:p>
    <w:tbl>
      <w:tblPr>
        <w:tblLayout w:type="fixed"/>
        <w:tblInd w:w="5720" w:type="dxa"/>
        <w:tblCellMar>
          <w:top w:w="0" w:type="dxa"/>
          <w:left w:w="0" w:type="dxa"/>
          <w:bottom w:w="0" w:type="dxa"/>
          <w:right w:w="0" w:type="dxa"/>
        </w:tblCellMar>
      </w:tblP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Werner Cautreels</w:t>
            </w:r>
          </w:p>
        </w:tc>
      </w:tr>
      <w:tr>
        <w:trPr>
          <w:trHeight w:val="167"/>
        </w:trPr>
        <w:tc>
          <w:tcPr>
            <w:tcW w:w="76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960" w:type="dxa"/>
            <w:vAlign w:val="bottom"/>
          </w:tcPr>
          <w:p>
            <w:pPr>
              <w:spacing w:after="0" w:line="167" w:lineRule="exact"/>
              <w:rPr>
                <w:sz w:val="20"/>
                <w:szCs w:val="20"/>
                <w:color w:val="auto"/>
              </w:rPr>
            </w:pPr>
            <w:r>
              <w:rPr>
                <w:rFonts w:ascii="Arial" w:cs="Arial" w:eastAsia="Arial" w:hAnsi="Arial"/>
                <w:sz w:val="15"/>
                <w:szCs w:val="15"/>
                <w:color w:val="auto"/>
              </w:rPr>
              <w:t>Werner Cautreels</w:t>
            </w: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4960" w:type="dxa"/>
            <w:vAlign w:val="bottom"/>
          </w:tcPr>
          <w:p>
            <w:pPr>
              <w:spacing w:after="0"/>
              <w:rPr>
                <w:sz w:val="20"/>
                <w:szCs w:val="20"/>
                <w:color w:val="auto"/>
              </w:rPr>
            </w:pPr>
            <w:r>
              <w:rPr>
                <w:rFonts w:ascii="Arial" w:cs="Arial" w:eastAsia="Arial" w:hAnsi="Arial"/>
                <w:sz w:val="15"/>
                <w:szCs w:val="15"/>
                <w:color w:val="auto"/>
              </w:rPr>
              <w:t>President and CEO</w:t>
            </w:r>
          </w:p>
        </w:tc>
      </w:tr>
    </w:tbl>
    <w:p>
      <w:pPr>
        <w:spacing w:after="0" w:line="354"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FOUNDERS:</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14605</wp:posOffset>
            </wp:positionV>
            <wp:extent cx="3625850" cy="762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Omid Farokhzad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Ulrich von Andrian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14605</wp:posOffset>
            </wp:positionV>
            <wp:extent cx="3625850" cy="762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Ulrich von Andrian</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Robert S. Langer,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14605</wp:posOffset>
            </wp:positionV>
            <wp:extent cx="3625850" cy="762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Robert S. Langer, Jr.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tabs>
          <w:tab w:leader="none" w:pos="5800" w:val="left"/>
        </w:tabs>
        <w:rPr>
          <w:sz w:val="20"/>
          <w:szCs w:val="20"/>
          <w:color w:val="auto"/>
        </w:rPr>
      </w:pPr>
      <w:r>
        <w:rPr>
          <w:rFonts w:ascii="Arial" w:cs="Arial" w:eastAsia="Arial" w:hAnsi="Arial"/>
          <w:sz w:val="15"/>
          <w:szCs w:val="15"/>
          <w:b w:val="1"/>
          <w:bCs w:val="1"/>
          <w:color w:val="auto"/>
        </w:rPr>
        <w:t>PURCHASERS:</w:t>
      </w:r>
      <w:r>
        <w:rPr>
          <w:sz w:val="20"/>
          <w:szCs w:val="20"/>
          <w:color w:val="auto"/>
        </w:rPr>
        <w:tab/>
      </w:r>
      <w:r>
        <w:rPr>
          <w:rFonts w:ascii="Arial" w:cs="Arial" w:eastAsia="Arial" w:hAnsi="Arial"/>
          <w:sz w:val="15"/>
          <w:szCs w:val="15"/>
          <w:color w:val="auto"/>
        </w:rPr>
        <w:t>POLARIS VENTURE PARTNERS V, L.P.</w:t>
      </w:r>
    </w:p>
    <w:p>
      <w:pPr>
        <w:spacing w:after="0" w:line="204" w:lineRule="exact"/>
        <w:rPr>
          <w:sz w:val="20"/>
          <w:szCs w:val="20"/>
          <w:color w:val="auto"/>
        </w:rPr>
      </w:pPr>
    </w:p>
    <w:p>
      <w:pPr>
        <w:ind w:left="5820"/>
        <w:spacing w:after="0"/>
        <w:tabs>
          <w:tab w:leader="none" w:pos="6240" w:val="left"/>
        </w:tabs>
        <w:rPr>
          <w:sz w:val="20"/>
          <w:szCs w:val="20"/>
          <w:color w:val="auto"/>
        </w:rPr>
      </w:pPr>
      <w:r>
        <w:rPr>
          <w:rFonts w:ascii="Arial" w:cs="Arial" w:eastAsia="Arial" w:hAnsi="Arial"/>
          <w:sz w:val="15"/>
          <w:szCs w:val="15"/>
          <w:color w:val="auto"/>
        </w:rPr>
        <w:t>By:</w:t>
        <w:tab/>
        <w:t>POLARIS VENTURE MANAGEMENT</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5"/>
          <w:szCs w:val="15"/>
          <w:color w:val="auto"/>
        </w:rPr>
        <w:t>CO. V, L.L.C.</w:t>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15"/>
          <w:szCs w:val="15"/>
          <w:color w:val="auto"/>
        </w:rPr>
        <w:t>its General Partner</w:t>
      </w:r>
    </w:p>
    <w:p>
      <w:pPr>
        <w:sectPr>
          <w:pgSz w:w="11900" w:h="16838" w:orient="portrait"/>
          <w:cols w:equalWidth="0" w:num="1">
            <w:col w:w="11440"/>
          </w:cols>
          <w:pgMar w:left="240" w:top="129" w:right="219" w:bottom="0" w:gutter="0" w:footer="0" w:header="0"/>
        </w:sectPr>
      </w:pPr>
    </w:p>
    <w:bookmarkStart w:id="329" w:name="page330"/>
    <w:bookmarkEnd w:id="329"/>
    <w:p>
      <w:pPr>
        <w:spacing w:after="0" w:line="27" w:lineRule="exact"/>
        <w:rPr>
          <w:sz w:val="20"/>
          <w:szCs w:val="20"/>
          <w:color w:val="auto"/>
        </w:rPr>
      </w:pPr>
    </w:p>
    <w:p>
      <w:pPr>
        <w:ind w:left="6280"/>
        <w:spacing w:after="0"/>
        <w:tabs>
          <w:tab w:leader="none" w:pos="6700" w:val="left"/>
        </w:tabs>
        <w:rPr>
          <w:sz w:val="20"/>
          <w:szCs w:val="20"/>
          <w:color w:val="auto"/>
        </w:rPr>
      </w:pPr>
      <w:r>
        <w:rPr>
          <w:rFonts w:ascii="Arial" w:cs="Arial" w:eastAsia="Arial" w:hAnsi="Arial"/>
          <w:sz w:val="15"/>
          <w:szCs w:val="15"/>
          <w:color w:val="auto"/>
        </w:rPr>
        <w:t>By:</w:t>
        <w:tab/>
        <w:t>/s/ William E.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14605</wp:posOffset>
            </wp:positionV>
            <wp:extent cx="3007995" cy="762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3007995" cy="7620"/>
                    </a:xfrm>
                    <a:prstGeom prst="rect">
                      <a:avLst/>
                    </a:prstGeom>
                    <a:noFill/>
                  </pic:spPr>
                </pic:pic>
              </a:graphicData>
            </a:graphic>
          </wp:anchor>
        </w:drawing>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William E. Bilodeau</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Attorney-in-Fact</w:t>
      </w:r>
    </w:p>
    <w:p>
      <w:pPr>
        <w:spacing w:after="0" w:line="18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POLARIS VENTURE PARTNERS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ENTREPRENEURS’ FUND V, L.P.</w:t>
      </w:r>
    </w:p>
    <w:p>
      <w:pPr>
        <w:spacing w:after="0" w:line="188"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5"/>
          <w:szCs w:val="15"/>
          <w:color w:val="auto"/>
        </w:rPr>
        <w:t>By:</w:t>
        <w:tab/>
        <w:t>POLARIS VENTURE MANAGEMENT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CO. V, L.L.C.</w:t>
      </w:r>
    </w:p>
    <w:p>
      <w:pPr>
        <w:spacing w:after="0" w:line="1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its General Partner</w:t>
      </w:r>
    </w:p>
    <w:p>
      <w:pPr>
        <w:spacing w:after="0" w:line="188" w:lineRule="exact"/>
        <w:rPr>
          <w:sz w:val="20"/>
          <w:szCs w:val="20"/>
          <w:color w:val="auto"/>
        </w:rPr>
      </w:pPr>
    </w:p>
    <w:p>
      <w:pPr>
        <w:ind w:left="6280"/>
        <w:spacing w:after="0"/>
        <w:tabs>
          <w:tab w:leader="none" w:pos="6700" w:val="left"/>
        </w:tabs>
        <w:rPr>
          <w:sz w:val="20"/>
          <w:szCs w:val="20"/>
          <w:color w:val="auto"/>
        </w:rPr>
      </w:pPr>
      <w:r>
        <w:rPr>
          <w:rFonts w:ascii="Arial" w:cs="Arial" w:eastAsia="Arial" w:hAnsi="Arial"/>
          <w:sz w:val="15"/>
          <w:szCs w:val="15"/>
          <w:color w:val="auto"/>
        </w:rPr>
        <w:t>By:</w:t>
        <w:tab/>
        <w:t>/s/ William E.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14605</wp:posOffset>
            </wp:positionV>
            <wp:extent cx="3007995" cy="762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3007995" cy="7620"/>
                    </a:xfrm>
                    <a:prstGeom prst="rect">
                      <a:avLst/>
                    </a:prstGeom>
                    <a:noFill/>
                  </pic:spPr>
                </pic:pic>
              </a:graphicData>
            </a:graphic>
          </wp:anchor>
        </w:drawing>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William E. Bilodeau</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Attorney-in-fact</w:t>
      </w:r>
    </w:p>
    <w:p>
      <w:pPr>
        <w:spacing w:after="0" w:line="18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POLARIS VENTURE PARTNERS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FOUNDERS’ FUND V, L.P.</w:t>
      </w:r>
    </w:p>
    <w:p>
      <w:pPr>
        <w:spacing w:after="0" w:line="188"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5"/>
          <w:szCs w:val="15"/>
          <w:color w:val="auto"/>
        </w:rPr>
        <w:t>By:</w:t>
        <w:tab/>
        <w:t>POLARIS VENTURE MANAGEMENT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CO. V, L.L.C.</w:t>
      </w:r>
    </w:p>
    <w:p>
      <w:pPr>
        <w:spacing w:after="0" w:line="1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its General Partner</w:t>
      </w:r>
    </w:p>
    <w:p>
      <w:pPr>
        <w:spacing w:after="0" w:line="188" w:lineRule="exact"/>
        <w:rPr>
          <w:sz w:val="20"/>
          <w:szCs w:val="20"/>
          <w:color w:val="auto"/>
        </w:rPr>
      </w:pPr>
    </w:p>
    <w:p>
      <w:pPr>
        <w:ind w:left="6280"/>
        <w:spacing w:after="0"/>
        <w:tabs>
          <w:tab w:leader="none" w:pos="6700" w:val="left"/>
        </w:tabs>
        <w:rPr>
          <w:sz w:val="20"/>
          <w:szCs w:val="20"/>
          <w:color w:val="auto"/>
        </w:rPr>
      </w:pPr>
      <w:r>
        <w:rPr>
          <w:rFonts w:ascii="Arial" w:cs="Arial" w:eastAsia="Arial" w:hAnsi="Arial"/>
          <w:sz w:val="15"/>
          <w:szCs w:val="15"/>
          <w:color w:val="auto"/>
        </w:rPr>
        <w:t>By:</w:t>
        <w:tab/>
        <w:t>/s/ William E.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14605</wp:posOffset>
            </wp:positionV>
            <wp:extent cx="3007995" cy="762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3007995" cy="7620"/>
                    </a:xfrm>
                    <a:prstGeom prst="rect">
                      <a:avLst/>
                    </a:prstGeom>
                    <a:noFill/>
                  </pic:spPr>
                </pic:pic>
              </a:graphicData>
            </a:graphic>
          </wp:anchor>
        </w:drawing>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William E. Bilodeau</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Attorney-in-fact</w:t>
      </w:r>
    </w:p>
    <w:p>
      <w:pPr>
        <w:spacing w:after="0" w:line="18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POLARIS VENTURE PARTNERS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SPECIAL FOUNDERS’ FUND V, L.P.</w:t>
      </w:r>
    </w:p>
    <w:p>
      <w:pPr>
        <w:spacing w:after="0" w:line="188"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5"/>
          <w:szCs w:val="15"/>
          <w:color w:val="auto"/>
        </w:rPr>
        <w:t>By:</w:t>
        <w:tab/>
        <w:t>POLARIS VENTURE MANAGEMENT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CO. V, L.L.C.</w:t>
      </w:r>
    </w:p>
    <w:p>
      <w:pPr>
        <w:spacing w:after="0" w:line="1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its General Partner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2"/>
          </w:tcPr>
          <w:p>
            <w:pPr>
              <w:ind w:left="60"/>
              <w:spacing w:after="0"/>
              <w:rPr>
                <w:sz w:val="20"/>
                <w:szCs w:val="20"/>
                <w:color w:val="auto"/>
              </w:rPr>
            </w:pPr>
            <w:r>
              <w:rPr>
                <w:rFonts w:ascii="Arial" w:cs="Arial" w:eastAsia="Arial" w:hAnsi="Arial"/>
                <w:sz w:val="15"/>
                <w:szCs w:val="15"/>
                <w:color w:val="auto"/>
              </w:rPr>
              <w:t>By:   /s/ William E. Bilodeau</w:t>
            </w:r>
          </w:p>
        </w:tc>
        <w:tc>
          <w:tcPr>
            <w:tcW w:w="20" w:type="dxa"/>
            <w:vAlign w:val="bottom"/>
          </w:tcPr>
          <w:p>
            <w:pPr>
              <w:spacing w:after="0"/>
              <w:rPr>
                <w:sz w:val="17"/>
                <w:szCs w:val="17"/>
                <w:color w:val="auto"/>
              </w:rPr>
            </w:pPr>
          </w:p>
        </w:tc>
      </w:tr>
      <w:tr>
        <w:trPr>
          <w:trHeight w:val="166"/>
        </w:trPr>
        <w:tc>
          <w:tcPr>
            <w:tcW w:w="2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74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William E. Bilodeau</w:t>
            </w:r>
          </w:p>
        </w:tc>
        <w:tc>
          <w:tcPr>
            <w:tcW w:w="2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5"/>
                <w:szCs w:val="15"/>
                <w:color w:val="auto"/>
              </w:rPr>
              <w:t>Attorney-in-fact</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9240" w:type="dxa"/>
            <w:vAlign w:val="bottom"/>
            <w:gridSpan w:val="4"/>
          </w:tcPr>
          <w:p>
            <w:pPr>
              <w:ind w:left="11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tc>
        <w:tc>
          <w:tcPr>
            <w:tcW w:w="20" w:type="dxa"/>
            <w:vAlign w:val="bottom"/>
          </w:tcPr>
          <w:p>
            <w:pPr>
              <w:spacing w:after="0"/>
              <w:rPr>
                <w:sz w:val="24"/>
                <w:szCs w:val="24"/>
                <w:color w:val="auto"/>
              </w:rPr>
            </w:pPr>
          </w:p>
        </w:tc>
      </w:tr>
      <w:tr>
        <w:trPr>
          <w:trHeight w:val="297"/>
        </w:trPr>
        <w:tc>
          <w:tcPr>
            <w:tcW w:w="222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gridSpan w:val="2"/>
          </w:tcPr>
          <w:p>
            <w:pPr>
              <w:spacing w:after="0"/>
              <w:rPr>
                <w:sz w:val="24"/>
                <w:szCs w:val="24"/>
                <w:color w:val="auto"/>
              </w:rPr>
            </w:pPr>
          </w:p>
        </w:tc>
        <w:tc>
          <w:tcPr>
            <w:tcW w:w="5240" w:type="dxa"/>
            <w:vAlign w:val="bottom"/>
            <w:tcBorders>
              <w:bottom w:val="single" w:sz="8" w:color="808080"/>
            </w:tcBorders>
            <w:gridSpan w:val="2"/>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667"/>
        </w:trPr>
        <w:tc>
          <w:tcPr>
            <w:tcW w:w="2220" w:type="dxa"/>
            <w:vAlign w:val="bottom"/>
          </w:tcPr>
          <w:p>
            <w:pPr>
              <w:ind w:left="20"/>
              <w:spacing w:after="0"/>
              <w:rPr>
                <w:sz w:val="20"/>
                <w:szCs w:val="20"/>
                <w:color w:val="auto"/>
              </w:rPr>
            </w:pPr>
            <w:r>
              <w:rPr>
                <w:rFonts w:ascii="Arial" w:cs="Arial" w:eastAsia="Arial" w:hAnsi="Arial"/>
                <w:sz w:val="15"/>
                <w:szCs w:val="15"/>
                <w:b w:val="1"/>
                <w:bCs w:val="1"/>
                <w:color w:val="auto"/>
              </w:rPr>
              <w:t>PURCHASER:</w:t>
            </w:r>
          </w:p>
        </w:tc>
        <w:tc>
          <w:tcPr>
            <w:tcW w:w="9240" w:type="dxa"/>
            <w:vAlign w:val="bottom"/>
            <w:gridSpan w:val="4"/>
          </w:tcPr>
          <w:p>
            <w:pPr>
              <w:ind w:left="3520"/>
              <w:spacing w:after="0"/>
              <w:rPr>
                <w:sz w:val="20"/>
                <w:szCs w:val="20"/>
                <w:color w:val="auto"/>
              </w:rPr>
            </w:pPr>
            <w:r>
              <w:rPr>
                <w:rFonts w:ascii="Arial" w:cs="Arial" w:eastAsia="Arial" w:hAnsi="Arial"/>
                <w:sz w:val="15"/>
                <w:szCs w:val="15"/>
                <w:color w:val="auto"/>
              </w:rPr>
              <w:t>FLAGSHIP VENTURES FUND 2007, L.P.</w:t>
            </w:r>
          </w:p>
        </w:tc>
        <w:tc>
          <w:tcPr>
            <w:tcW w:w="20" w:type="dxa"/>
            <w:vAlign w:val="bottom"/>
          </w:tcPr>
          <w:p>
            <w:pPr>
              <w:spacing w:after="0"/>
              <w:rPr>
                <w:sz w:val="24"/>
                <w:szCs w:val="24"/>
                <w:color w:val="auto"/>
              </w:rPr>
            </w:pPr>
          </w:p>
        </w:tc>
      </w:tr>
      <w:tr>
        <w:trPr>
          <w:trHeight w:val="360"/>
        </w:trPr>
        <w:tc>
          <w:tcPr>
            <w:tcW w:w="2220" w:type="dxa"/>
            <w:vAlign w:val="bottom"/>
          </w:tcPr>
          <w:p>
            <w:pPr>
              <w:spacing w:after="0"/>
              <w:rPr>
                <w:sz w:val="24"/>
                <w:szCs w:val="24"/>
                <w:color w:val="auto"/>
              </w:rPr>
            </w:pPr>
          </w:p>
        </w:tc>
        <w:tc>
          <w:tcPr>
            <w:tcW w:w="3900" w:type="dxa"/>
            <w:vAlign w:val="bottom"/>
          </w:tcPr>
          <w:p>
            <w:pPr>
              <w:ind w:left="3520"/>
              <w:spacing w:after="0"/>
              <w:rPr>
                <w:sz w:val="20"/>
                <w:szCs w:val="20"/>
                <w:color w:val="auto"/>
              </w:rPr>
            </w:pPr>
            <w:r>
              <w:rPr>
                <w:rFonts w:ascii="Arial" w:cs="Arial" w:eastAsia="Arial" w:hAnsi="Arial"/>
                <w:sz w:val="15"/>
                <w:szCs w:val="15"/>
                <w:color w:val="auto"/>
              </w:rPr>
              <w:t>By:</w:t>
            </w:r>
          </w:p>
        </w:tc>
        <w:tc>
          <w:tcPr>
            <w:tcW w:w="10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5"/>
                <w:szCs w:val="15"/>
                <w:color w:val="auto"/>
              </w:rPr>
              <w:t>Flagship Ventures 2007 General Partner LLC,</w:t>
            </w:r>
          </w:p>
        </w:tc>
        <w:tc>
          <w:tcPr>
            <w:tcW w:w="20" w:type="dxa"/>
            <w:vAlign w:val="bottom"/>
          </w:tcPr>
          <w:p>
            <w:pPr>
              <w:spacing w:after="0"/>
              <w:rPr>
                <w:sz w:val="24"/>
                <w:szCs w:val="2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2"/>
          </w:tcPr>
          <w:p>
            <w:pPr>
              <w:ind w:left="20"/>
              <w:spacing w:after="0"/>
              <w:rPr>
                <w:sz w:val="20"/>
                <w:szCs w:val="20"/>
                <w:color w:val="auto"/>
              </w:rPr>
            </w:pPr>
            <w:r>
              <w:rPr>
                <w:rFonts w:ascii="Arial" w:cs="Arial" w:eastAsia="Arial" w:hAnsi="Arial"/>
                <w:sz w:val="15"/>
                <w:szCs w:val="15"/>
                <w:color w:val="auto"/>
              </w:rPr>
              <w:t>its General Partner</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3900" w:type="dxa"/>
            <w:vAlign w:val="bottom"/>
          </w:tcPr>
          <w:p>
            <w:pPr>
              <w:ind w:left="3520"/>
              <w:spacing w:after="0"/>
              <w:rPr>
                <w:sz w:val="20"/>
                <w:szCs w:val="20"/>
                <w:color w:val="auto"/>
              </w:rPr>
            </w:pPr>
            <w:r>
              <w:rPr>
                <w:rFonts w:ascii="Arial" w:cs="Arial" w:eastAsia="Arial" w:hAnsi="Arial"/>
                <w:sz w:val="15"/>
                <w:szCs w:val="15"/>
                <w:color w:val="auto"/>
              </w:rPr>
              <w:t>By:</w:t>
            </w:r>
          </w:p>
        </w:tc>
        <w:tc>
          <w:tcPr>
            <w:tcW w:w="1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Edwin M. Kania, Jr.</w:t>
            </w:r>
          </w:p>
        </w:tc>
        <w:tc>
          <w:tcPr>
            <w:tcW w:w="20" w:type="dxa"/>
            <w:vAlign w:val="bottom"/>
          </w:tcPr>
          <w:p>
            <w:pPr>
              <w:spacing w:after="0"/>
              <w:rPr>
                <w:sz w:val="24"/>
                <w:szCs w:val="24"/>
                <w:color w:val="auto"/>
              </w:rPr>
            </w:pPr>
          </w:p>
        </w:tc>
      </w:tr>
      <w:tr>
        <w:trPr>
          <w:trHeight w:val="166"/>
        </w:trPr>
        <w:tc>
          <w:tcPr>
            <w:tcW w:w="2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gridSpan w:val="2"/>
          </w:tcPr>
          <w:p>
            <w:pPr>
              <w:spacing w:after="0" w:line="167" w:lineRule="exact"/>
              <w:rPr>
                <w:sz w:val="20"/>
                <w:szCs w:val="20"/>
                <w:color w:val="auto"/>
              </w:rPr>
            </w:pPr>
            <w:r>
              <w:rPr>
                <w:rFonts w:ascii="Arial" w:cs="Arial" w:eastAsia="Arial" w:hAnsi="Arial"/>
                <w:sz w:val="15"/>
                <w:szCs w:val="15"/>
                <w:color w:val="auto"/>
              </w:rPr>
              <w:t>Edwin M. Kania, Jr.</w:t>
            </w:r>
          </w:p>
        </w:tc>
        <w:tc>
          <w:tcPr>
            <w:tcW w:w="2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5"/>
                <w:szCs w:val="15"/>
                <w:color w:val="auto"/>
              </w:rPr>
              <w:t>Manager</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9240" w:type="dxa"/>
            <w:vAlign w:val="bottom"/>
            <w:gridSpan w:val="4"/>
          </w:tcPr>
          <w:p>
            <w:pPr>
              <w:ind w:left="11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tc>
        <w:tc>
          <w:tcPr>
            <w:tcW w:w="20" w:type="dxa"/>
            <w:vAlign w:val="bottom"/>
          </w:tcPr>
          <w:p>
            <w:pPr>
              <w:spacing w:after="0"/>
              <w:rPr>
                <w:sz w:val="24"/>
                <w:szCs w:val="24"/>
                <w:color w:val="auto"/>
              </w:rPr>
            </w:pPr>
          </w:p>
        </w:tc>
      </w:tr>
      <w:tr>
        <w:trPr>
          <w:trHeight w:val="297"/>
        </w:trPr>
        <w:tc>
          <w:tcPr>
            <w:tcW w:w="2220" w:type="dxa"/>
            <w:vAlign w:val="bottom"/>
            <w:tcBorders>
              <w:bottom w:val="single" w:sz="8" w:color="808080"/>
            </w:tcBorders>
          </w:tcPr>
          <w:p>
            <w:pPr>
              <w:spacing w:after="0"/>
              <w:rPr>
                <w:sz w:val="24"/>
                <w:szCs w:val="24"/>
                <w:color w:val="auto"/>
              </w:rPr>
            </w:pPr>
          </w:p>
        </w:tc>
        <w:tc>
          <w:tcPr>
            <w:tcW w:w="9240" w:type="dxa"/>
            <w:vAlign w:val="bottom"/>
            <w:tcBorders>
              <w:bottom w:val="single" w:sz="8" w:color="808080"/>
            </w:tcBorders>
            <w:gridSpan w:val="4"/>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667"/>
        </w:trPr>
        <w:tc>
          <w:tcPr>
            <w:tcW w:w="2220" w:type="dxa"/>
            <w:vAlign w:val="bottom"/>
          </w:tcPr>
          <w:p>
            <w:pPr>
              <w:ind w:left="20"/>
              <w:spacing w:after="0"/>
              <w:rPr>
                <w:sz w:val="20"/>
                <w:szCs w:val="20"/>
                <w:color w:val="auto"/>
              </w:rPr>
            </w:pPr>
            <w:r>
              <w:rPr>
                <w:rFonts w:ascii="Arial" w:cs="Arial" w:eastAsia="Arial" w:hAnsi="Arial"/>
                <w:sz w:val="15"/>
                <w:szCs w:val="15"/>
                <w:b w:val="1"/>
                <w:bCs w:val="1"/>
                <w:color w:val="auto"/>
              </w:rPr>
              <w:t>PURCHASER:</w:t>
            </w:r>
          </w:p>
        </w:tc>
        <w:tc>
          <w:tcPr>
            <w:tcW w:w="9240" w:type="dxa"/>
            <w:vAlign w:val="bottom"/>
            <w:gridSpan w:val="4"/>
          </w:tcPr>
          <w:p>
            <w:pPr>
              <w:ind w:left="3520"/>
              <w:spacing w:after="0"/>
              <w:rPr>
                <w:sz w:val="20"/>
                <w:szCs w:val="20"/>
                <w:color w:val="auto"/>
              </w:rPr>
            </w:pPr>
            <w:r>
              <w:rPr>
                <w:rFonts w:ascii="Arial" w:cs="Arial" w:eastAsia="Arial" w:hAnsi="Arial"/>
                <w:sz w:val="15"/>
                <w:szCs w:val="15"/>
                <w:color w:val="auto"/>
              </w:rPr>
              <w:t>NANODIMENSION, L.P.</w:t>
            </w:r>
          </w:p>
        </w:tc>
        <w:tc>
          <w:tcPr>
            <w:tcW w:w="20" w:type="dxa"/>
            <w:vAlign w:val="bottom"/>
          </w:tcPr>
          <w:p>
            <w:pPr>
              <w:spacing w:after="0"/>
              <w:rPr>
                <w:sz w:val="24"/>
                <w:szCs w:val="24"/>
                <w:color w:val="auto"/>
              </w:rPr>
            </w:pPr>
          </w:p>
        </w:tc>
      </w:tr>
      <w:tr>
        <w:trPr>
          <w:trHeight w:val="360"/>
        </w:trPr>
        <w:tc>
          <w:tcPr>
            <w:tcW w:w="2220" w:type="dxa"/>
            <w:vAlign w:val="bottom"/>
          </w:tcPr>
          <w:p>
            <w:pPr>
              <w:spacing w:after="0"/>
              <w:rPr>
                <w:sz w:val="24"/>
                <w:szCs w:val="24"/>
                <w:color w:val="auto"/>
              </w:rPr>
            </w:pPr>
          </w:p>
        </w:tc>
        <w:tc>
          <w:tcPr>
            <w:tcW w:w="3900" w:type="dxa"/>
            <w:vAlign w:val="bottom"/>
          </w:tcPr>
          <w:p>
            <w:pPr>
              <w:ind w:left="3520"/>
              <w:spacing w:after="0"/>
              <w:rPr>
                <w:sz w:val="20"/>
                <w:szCs w:val="20"/>
                <w:color w:val="auto"/>
              </w:rPr>
            </w:pPr>
            <w:r>
              <w:rPr>
                <w:rFonts w:ascii="Arial" w:cs="Arial" w:eastAsia="Arial" w:hAnsi="Arial"/>
                <w:sz w:val="15"/>
                <w:szCs w:val="15"/>
                <w:color w:val="auto"/>
              </w:rPr>
              <w:t>By:</w:t>
            </w:r>
          </w:p>
        </w:tc>
        <w:tc>
          <w:tcPr>
            <w:tcW w:w="10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5"/>
                <w:szCs w:val="15"/>
                <w:color w:val="auto"/>
              </w:rPr>
              <w:t>NanoDimension Management Limited, its</w:t>
            </w:r>
          </w:p>
        </w:tc>
        <w:tc>
          <w:tcPr>
            <w:tcW w:w="20" w:type="dxa"/>
            <w:vAlign w:val="bottom"/>
          </w:tcPr>
          <w:p>
            <w:pPr>
              <w:spacing w:after="0"/>
              <w:rPr>
                <w:sz w:val="24"/>
                <w:szCs w:val="2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2"/>
          </w:tcPr>
          <w:p>
            <w:pPr>
              <w:ind w:left="20"/>
              <w:spacing w:after="0"/>
              <w:rPr>
                <w:sz w:val="20"/>
                <w:szCs w:val="20"/>
                <w:color w:val="auto"/>
              </w:rPr>
            </w:pPr>
            <w:r>
              <w:rPr>
                <w:rFonts w:ascii="Arial" w:cs="Arial" w:eastAsia="Arial" w:hAnsi="Arial"/>
                <w:sz w:val="15"/>
                <w:szCs w:val="15"/>
                <w:color w:val="auto"/>
              </w:rPr>
              <w:t>General Partner</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3900" w:type="dxa"/>
            <w:vAlign w:val="bottom"/>
          </w:tcPr>
          <w:p>
            <w:pPr>
              <w:ind w:left="3520"/>
              <w:spacing w:after="0"/>
              <w:rPr>
                <w:sz w:val="20"/>
                <w:szCs w:val="20"/>
                <w:color w:val="auto"/>
              </w:rPr>
            </w:pPr>
            <w:r>
              <w:rPr>
                <w:rFonts w:ascii="Arial" w:cs="Arial" w:eastAsia="Arial" w:hAnsi="Arial"/>
                <w:sz w:val="15"/>
                <w:szCs w:val="15"/>
                <w:color w:val="auto"/>
              </w:rPr>
              <w:t>By:</w:t>
            </w:r>
          </w:p>
        </w:tc>
        <w:tc>
          <w:tcPr>
            <w:tcW w:w="1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Jonathan Nicholson</w:t>
            </w:r>
          </w:p>
        </w:tc>
        <w:tc>
          <w:tcPr>
            <w:tcW w:w="20" w:type="dxa"/>
            <w:vAlign w:val="bottom"/>
          </w:tcPr>
          <w:p>
            <w:pPr>
              <w:spacing w:after="0"/>
              <w:rPr>
                <w:sz w:val="24"/>
                <w:szCs w:val="24"/>
                <w:color w:val="auto"/>
              </w:rPr>
            </w:pPr>
          </w:p>
        </w:tc>
      </w:tr>
      <w:tr>
        <w:trPr>
          <w:trHeight w:val="166"/>
        </w:trPr>
        <w:tc>
          <w:tcPr>
            <w:tcW w:w="2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gridSpan w:val="2"/>
          </w:tcPr>
          <w:p>
            <w:pPr>
              <w:spacing w:after="0" w:line="167" w:lineRule="exact"/>
              <w:rPr>
                <w:sz w:val="20"/>
                <w:szCs w:val="20"/>
                <w:color w:val="auto"/>
              </w:rPr>
            </w:pPr>
            <w:r>
              <w:rPr>
                <w:rFonts w:ascii="Arial" w:cs="Arial" w:eastAsia="Arial" w:hAnsi="Arial"/>
                <w:sz w:val="15"/>
                <w:szCs w:val="15"/>
                <w:color w:val="auto"/>
              </w:rPr>
              <w:t>Jonathan Nicholson</w:t>
            </w:r>
          </w:p>
        </w:tc>
        <w:tc>
          <w:tcPr>
            <w:tcW w:w="2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9240" w:type="dxa"/>
            <w:vAlign w:val="bottom"/>
            <w:gridSpan w:val="4"/>
          </w:tcPr>
          <w:p>
            <w:pPr>
              <w:ind w:left="11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tc>
        <w:tc>
          <w:tcPr>
            <w:tcW w:w="20" w:type="dxa"/>
            <w:vAlign w:val="bottom"/>
          </w:tcPr>
          <w:p>
            <w:pPr>
              <w:spacing w:after="0"/>
              <w:rPr>
                <w:sz w:val="24"/>
                <w:szCs w:val="24"/>
                <w:color w:val="auto"/>
              </w:rPr>
            </w:pPr>
          </w:p>
        </w:tc>
      </w:tr>
      <w:tr>
        <w:trPr>
          <w:trHeight w:val="297"/>
        </w:trPr>
        <w:tc>
          <w:tcPr>
            <w:tcW w:w="2220" w:type="dxa"/>
            <w:vAlign w:val="bottom"/>
            <w:tcBorders>
              <w:bottom w:val="single" w:sz="8" w:color="808080"/>
            </w:tcBorders>
          </w:tcPr>
          <w:p>
            <w:pPr>
              <w:spacing w:after="0"/>
              <w:rPr>
                <w:sz w:val="24"/>
                <w:szCs w:val="24"/>
                <w:color w:val="auto"/>
              </w:rPr>
            </w:pPr>
          </w:p>
        </w:tc>
        <w:tc>
          <w:tcPr>
            <w:tcW w:w="9240" w:type="dxa"/>
            <w:vAlign w:val="bottom"/>
            <w:tcBorders>
              <w:bottom w:val="single" w:sz="8" w:color="808080"/>
            </w:tcBorders>
            <w:gridSpan w:val="4"/>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459"/>
        </w:trPr>
        <w:tc>
          <w:tcPr>
            <w:tcW w:w="22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240" w:type="dxa"/>
            <w:vAlign w:val="bottom"/>
            <w:gridSpan w:val="4"/>
          </w:tcPr>
          <w:p>
            <w:pPr>
              <w:ind w:left="3520"/>
              <w:spacing w:after="0"/>
              <w:rPr>
                <w:sz w:val="20"/>
                <w:szCs w:val="20"/>
                <w:color w:val="auto"/>
              </w:rPr>
            </w:pPr>
            <w:r>
              <w:rPr>
                <w:rFonts w:ascii="Arial" w:cs="Arial" w:eastAsia="Arial" w:hAnsi="Arial"/>
                <w:sz w:val="15"/>
                <w:szCs w:val="15"/>
                <w:color w:val="auto"/>
              </w:rPr>
              <w:t>ORBIMED ASSOCIATES III, LP</w:t>
            </w:r>
          </w:p>
        </w:tc>
        <w:tc>
          <w:tcPr>
            <w:tcW w:w="20" w:type="dxa"/>
            <w:vAlign w:val="bottom"/>
          </w:tcPr>
          <w:p>
            <w:pPr>
              <w:spacing w:after="0"/>
              <w:rPr>
                <w:sz w:val="24"/>
                <w:szCs w:val="24"/>
                <w:color w:val="auto"/>
              </w:rPr>
            </w:pPr>
          </w:p>
        </w:tc>
      </w:tr>
      <w:tr>
        <w:trPr>
          <w:trHeight w:val="360"/>
        </w:trPr>
        <w:tc>
          <w:tcPr>
            <w:tcW w:w="2220" w:type="dxa"/>
            <w:vAlign w:val="bottom"/>
          </w:tcPr>
          <w:p>
            <w:pPr>
              <w:spacing w:after="0"/>
              <w:rPr>
                <w:sz w:val="24"/>
                <w:szCs w:val="24"/>
                <w:color w:val="auto"/>
              </w:rPr>
            </w:pPr>
          </w:p>
        </w:tc>
        <w:tc>
          <w:tcPr>
            <w:tcW w:w="3900" w:type="dxa"/>
            <w:vAlign w:val="bottom"/>
          </w:tcPr>
          <w:p>
            <w:pPr>
              <w:ind w:left="3520"/>
              <w:spacing w:after="0"/>
              <w:rPr>
                <w:sz w:val="20"/>
                <w:szCs w:val="20"/>
                <w:color w:val="auto"/>
              </w:rPr>
            </w:pPr>
            <w:r>
              <w:rPr>
                <w:rFonts w:ascii="Arial" w:cs="Arial" w:eastAsia="Arial" w:hAnsi="Arial"/>
                <w:sz w:val="15"/>
                <w:szCs w:val="15"/>
                <w:color w:val="auto"/>
              </w:rPr>
              <w:t>By:</w:t>
            </w:r>
          </w:p>
        </w:tc>
        <w:tc>
          <w:tcPr>
            <w:tcW w:w="5340" w:type="dxa"/>
            <w:vAlign w:val="bottom"/>
            <w:gridSpan w:val="3"/>
          </w:tcPr>
          <w:p>
            <w:pPr>
              <w:spacing w:after="0"/>
              <w:rPr>
                <w:sz w:val="20"/>
                <w:szCs w:val="20"/>
                <w:color w:val="auto"/>
              </w:rPr>
            </w:pPr>
            <w:r>
              <w:rPr>
                <w:rFonts w:ascii="Arial" w:cs="Arial" w:eastAsia="Arial" w:hAnsi="Arial"/>
                <w:sz w:val="15"/>
                <w:szCs w:val="15"/>
                <w:color w:val="auto"/>
              </w:rPr>
              <w:t>OrbiMed Advisors LLC,</w:t>
            </w:r>
          </w:p>
        </w:tc>
        <w:tc>
          <w:tcPr>
            <w:tcW w:w="20" w:type="dxa"/>
            <w:vAlign w:val="bottom"/>
          </w:tcPr>
          <w:p>
            <w:pPr>
              <w:spacing w:after="0"/>
              <w:rPr>
                <w:sz w:val="24"/>
                <w:szCs w:val="2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340" w:type="dxa"/>
            <w:vAlign w:val="bottom"/>
            <w:gridSpan w:val="3"/>
          </w:tcPr>
          <w:p>
            <w:pPr>
              <w:spacing w:after="0"/>
              <w:rPr>
                <w:sz w:val="20"/>
                <w:szCs w:val="20"/>
                <w:color w:val="auto"/>
              </w:rPr>
            </w:pPr>
            <w:r>
              <w:rPr>
                <w:rFonts w:ascii="Arial" w:cs="Arial" w:eastAsia="Arial" w:hAnsi="Arial"/>
                <w:sz w:val="15"/>
                <w:szCs w:val="15"/>
                <w:color w:val="auto"/>
              </w:rPr>
              <w:t>its General Partner</w:t>
            </w:r>
          </w:p>
        </w:tc>
        <w:tc>
          <w:tcPr>
            <w:tcW w:w="20" w:type="dxa"/>
            <w:vAlign w:val="bottom"/>
          </w:tcPr>
          <w:p>
            <w:pPr>
              <w:spacing w:after="0"/>
              <w:rPr>
                <w:sz w:val="17"/>
                <w:szCs w:val="17"/>
                <w:color w:val="auto"/>
              </w:rPr>
            </w:pPr>
          </w:p>
        </w:tc>
      </w:tr>
      <w:tr>
        <w:trPr>
          <w:trHeight w:val="556"/>
        </w:trPr>
        <w:tc>
          <w:tcPr>
            <w:tcW w:w="2220" w:type="dxa"/>
            <w:vAlign w:val="bottom"/>
          </w:tcPr>
          <w:p>
            <w:pPr>
              <w:spacing w:after="0"/>
              <w:rPr>
                <w:sz w:val="24"/>
                <w:szCs w:val="24"/>
                <w:color w:val="auto"/>
              </w:rPr>
            </w:pPr>
          </w:p>
        </w:tc>
        <w:tc>
          <w:tcPr>
            <w:tcW w:w="3900" w:type="dxa"/>
            <w:vAlign w:val="bottom"/>
          </w:tcPr>
          <w:p>
            <w:pPr>
              <w:ind w:left="3520"/>
              <w:spacing w:after="0"/>
              <w:rPr>
                <w:sz w:val="20"/>
                <w:szCs w:val="20"/>
                <w:color w:val="auto"/>
              </w:rPr>
            </w:pPr>
            <w:r>
              <w:rPr>
                <w:rFonts w:ascii="Arial" w:cs="Arial" w:eastAsia="Arial" w:hAnsi="Arial"/>
                <w:sz w:val="15"/>
                <w:szCs w:val="15"/>
                <w:color w:val="auto"/>
              </w:rPr>
              <w:t>By:</w:t>
            </w:r>
          </w:p>
        </w:tc>
        <w:tc>
          <w:tcPr>
            <w:tcW w:w="534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Carl Gordon</w:t>
            </w:r>
          </w:p>
        </w:tc>
        <w:tc>
          <w:tcPr>
            <w:tcW w:w="20" w:type="dxa"/>
            <w:vAlign w:val="bottom"/>
          </w:tcPr>
          <w:p>
            <w:pPr>
              <w:spacing w:after="0"/>
              <w:rPr>
                <w:sz w:val="24"/>
                <w:szCs w:val="24"/>
                <w:color w:val="auto"/>
              </w:rPr>
            </w:pPr>
          </w:p>
        </w:tc>
      </w:tr>
      <w:tr>
        <w:trPr>
          <w:trHeight w:val="166"/>
        </w:trPr>
        <w:tc>
          <w:tcPr>
            <w:tcW w:w="2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340" w:type="dxa"/>
            <w:vAlign w:val="bottom"/>
            <w:gridSpan w:val="3"/>
          </w:tcPr>
          <w:p>
            <w:pPr>
              <w:spacing w:after="0" w:line="167" w:lineRule="exact"/>
              <w:rPr>
                <w:sz w:val="20"/>
                <w:szCs w:val="20"/>
                <w:color w:val="auto"/>
              </w:rPr>
            </w:pPr>
            <w:r>
              <w:rPr>
                <w:rFonts w:ascii="Arial" w:cs="Arial" w:eastAsia="Arial" w:hAnsi="Arial"/>
                <w:sz w:val="15"/>
                <w:szCs w:val="15"/>
                <w:color w:val="auto"/>
              </w:rPr>
              <w:t>Carl Gordon</w:t>
            </w:r>
          </w:p>
        </w:tc>
        <w:tc>
          <w:tcPr>
            <w:tcW w:w="2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340" w:type="dxa"/>
            <w:vAlign w:val="bottom"/>
            <w:gridSpan w:val="3"/>
          </w:tcPr>
          <w:p>
            <w:pPr>
              <w:spacing w:after="0"/>
              <w:rPr>
                <w:sz w:val="20"/>
                <w:szCs w:val="20"/>
                <w:color w:val="auto"/>
              </w:rPr>
            </w:pPr>
            <w:r>
              <w:rPr>
                <w:rFonts w:ascii="Arial" w:cs="Arial" w:eastAsia="Arial" w:hAnsi="Arial"/>
                <w:sz w:val="15"/>
                <w:szCs w:val="15"/>
                <w:color w:val="auto"/>
              </w:rPr>
              <w:t>Member</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-4649470</wp:posOffset>
            </wp:positionV>
            <wp:extent cx="12700" cy="2730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-4649470</wp:posOffset>
            </wp:positionV>
            <wp:extent cx="12700" cy="2730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7279005</wp:posOffset>
            </wp:positionH>
            <wp:positionV relativeFrom="paragraph">
              <wp:posOffset>-2958465</wp:posOffset>
            </wp:positionV>
            <wp:extent cx="12700" cy="2730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-2958465</wp:posOffset>
            </wp:positionV>
            <wp:extent cx="12700" cy="2730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7279005</wp:posOffset>
            </wp:positionH>
            <wp:positionV relativeFrom="paragraph">
              <wp:posOffset>-1266825</wp:posOffset>
            </wp:positionV>
            <wp:extent cx="12700" cy="2730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12700" cy="2730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340"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ORBIMED PRIVATE INVESTMENTS III, LP</w:t>
      </w:r>
    </w:p>
    <w:p>
      <w:pPr>
        <w:spacing w:after="0" w:line="198"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OrbiMed Capital GP III LLC,</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its General Partner</w:t>
      </w:r>
    </w:p>
    <w:p>
      <w:pPr>
        <w:spacing w:after="0" w:line="188"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OrbiMed Advisors LLC,</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its Managing Member</w:t>
      </w:r>
    </w:p>
    <w:p>
      <w:pPr>
        <w:sectPr>
          <w:pgSz w:w="11900" w:h="16865" w:orient="portrait"/>
          <w:cols w:equalWidth="0" w:num="1">
            <w:col w:w="11480"/>
          </w:cols>
          <w:pgMar w:left="220" w:top="314" w:right="199" w:bottom="0" w:gutter="0" w:footer="0" w:header="0"/>
        </w:sectPr>
      </w:pPr>
    </w:p>
    <w:bookmarkStart w:id="330" w:name="page331"/>
    <w:bookmarkEnd w:id="330"/>
    <w:p>
      <w:pPr>
        <w:ind w:left="5720"/>
        <w:spacing w:after="0"/>
        <w:tabs>
          <w:tab w:leader="none" w:pos="60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Carl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390265" cy="762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3390265" cy="7620"/>
                    </a:xfrm>
                    <a:prstGeom prst="rect">
                      <a:avLst/>
                    </a:prstGeom>
                    <a:noFill/>
                  </pic:spPr>
                </pic:pic>
              </a:graphicData>
            </a:graphic>
          </wp:anchor>
        </w:drawing>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Carl Gordon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Member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Pr>
          <w:p>
            <w:pPr>
              <w:spacing w:after="0"/>
              <w:rPr>
                <w:sz w:val="20"/>
                <w:szCs w:val="20"/>
                <w:color w:val="auto"/>
              </w:rPr>
            </w:pPr>
            <w:r>
              <w:rPr>
                <w:rFonts w:ascii="Arial" w:cs="Arial" w:eastAsia="Arial" w:hAnsi="Arial"/>
                <w:sz w:val="15"/>
                <w:szCs w:val="15"/>
                <w:b w:val="1"/>
                <w:bCs w:val="1"/>
                <w:color w:val="auto"/>
              </w:rPr>
              <w:t>PURCHASER:</w:t>
            </w:r>
          </w:p>
        </w:tc>
        <w:tc>
          <w:tcPr>
            <w:tcW w:w="8080" w:type="dxa"/>
            <w:vAlign w:val="bottom"/>
            <w:gridSpan w:val="2"/>
          </w:tcPr>
          <w:p>
            <w:pPr>
              <w:ind w:left="2360"/>
              <w:spacing w:after="0"/>
              <w:rPr>
                <w:sz w:val="20"/>
                <w:szCs w:val="20"/>
                <w:color w:val="auto"/>
              </w:rPr>
            </w:pPr>
            <w:r>
              <w:rPr>
                <w:rFonts w:ascii="Arial" w:cs="Arial" w:eastAsia="Arial" w:hAnsi="Arial"/>
                <w:sz w:val="15"/>
                <w:szCs w:val="15"/>
                <w:color w:val="auto"/>
              </w:rPr>
              <w:t>EMINENT II VENTURE CAPTIAL CORPORATION</w:t>
            </w:r>
          </w:p>
        </w:tc>
      </w:tr>
      <w:tr>
        <w:trPr>
          <w:trHeight w:val="556"/>
        </w:trPr>
        <w:tc>
          <w:tcPr>
            <w:tcW w:w="3360" w:type="dxa"/>
            <w:vAlign w:val="bottom"/>
          </w:tcPr>
          <w:p>
            <w:pPr>
              <w:spacing w:after="0"/>
              <w:rPr>
                <w:sz w:val="24"/>
                <w:szCs w:val="24"/>
                <w:color w:val="auto"/>
              </w:rPr>
            </w:pPr>
          </w:p>
        </w:tc>
        <w:tc>
          <w:tcPr>
            <w:tcW w:w="2940" w:type="dxa"/>
            <w:vAlign w:val="bottom"/>
          </w:tcPr>
          <w:p>
            <w:pPr>
              <w:ind w:left="236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Ching-Chen Huang</w:t>
            </w:r>
          </w:p>
        </w:tc>
      </w:tr>
      <w:tr>
        <w:trPr>
          <w:trHeight w:val="167"/>
        </w:trPr>
        <w:tc>
          <w:tcPr>
            <w:tcW w:w="3360" w:type="dxa"/>
            <w:vAlign w:val="bottom"/>
          </w:tcPr>
          <w:p>
            <w:pPr>
              <w:spacing w:after="0"/>
              <w:rPr>
                <w:sz w:val="14"/>
                <w:szCs w:val="14"/>
                <w:color w:val="auto"/>
              </w:rPr>
            </w:pPr>
          </w:p>
        </w:tc>
        <w:tc>
          <w:tcPr>
            <w:tcW w:w="2940" w:type="dxa"/>
            <w:vAlign w:val="bottom"/>
          </w:tcPr>
          <w:p>
            <w:pPr>
              <w:ind w:left="2360"/>
              <w:spacing w:after="0" w:line="167" w:lineRule="exact"/>
              <w:rPr>
                <w:sz w:val="20"/>
                <w:szCs w:val="20"/>
                <w:color w:val="auto"/>
              </w:rPr>
            </w:pPr>
            <w:r>
              <w:rPr>
                <w:rFonts w:ascii="Arial" w:cs="Arial" w:eastAsia="Arial" w:hAnsi="Arial"/>
                <w:sz w:val="15"/>
                <w:szCs w:val="15"/>
                <w:color w:val="auto"/>
              </w:rPr>
              <w:t>Name:</w:t>
            </w:r>
          </w:p>
        </w:tc>
        <w:tc>
          <w:tcPr>
            <w:tcW w:w="5140" w:type="dxa"/>
            <w:vAlign w:val="bottom"/>
          </w:tcPr>
          <w:p>
            <w:pPr>
              <w:spacing w:after="0" w:line="167" w:lineRule="exact"/>
              <w:rPr>
                <w:sz w:val="20"/>
                <w:szCs w:val="20"/>
                <w:color w:val="auto"/>
              </w:rPr>
            </w:pPr>
            <w:r>
              <w:rPr>
                <w:rFonts w:ascii="Arial" w:cs="Arial" w:eastAsia="Arial" w:hAnsi="Arial"/>
                <w:sz w:val="15"/>
                <w:szCs w:val="15"/>
                <w:color w:val="auto"/>
              </w:rPr>
              <w:t>Ching-Chen Huang</w:t>
            </w:r>
          </w:p>
        </w:tc>
      </w:tr>
      <w:tr>
        <w:trPr>
          <w:trHeight w:val="196"/>
        </w:trPr>
        <w:tc>
          <w:tcPr>
            <w:tcW w:w="3360" w:type="dxa"/>
            <w:vAlign w:val="bottom"/>
          </w:tcPr>
          <w:p>
            <w:pPr>
              <w:spacing w:after="0"/>
              <w:rPr>
                <w:sz w:val="17"/>
                <w:szCs w:val="17"/>
                <w:color w:val="auto"/>
              </w:rPr>
            </w:pPr>
          </w:p>
        </w:tc>
        <w:tc>
          <w:tcPr>
            <w:tcW w:w="2940" w:type="dxa"/>
            <w:vAlign w:val="bottom"/>
          </w:tcPr>
          <w:p>
            <w:pPr>
              <w:ind w:left="2360"/>
              <w:spacing w:after="0"/>
              <w:rPr>
                <w:sz w:val="20"/>
                <w:szCs w:val="20"/>
                <w:color w:val="auto"/>
              </w:rPr>
            </w:pPr>
            <w:r>
              <w:rPr>
                <w:rFonts w:ascii="Arial" w:cs="Arial" w:eastAsia="Arial" w:hAnsi="Arial"/>
                <w:sz w:val="15"/>
                <w:szCs w:val="15"/>
                <w:color w:val="auto"/>
              </w:rPr>
              <w:t>Title:</w:t>
            </w:r>
          </w:p>
        </w:tc>
        <w:tc>
          <w:tcPr>
            <w:tcW w:w="5140" w:type="dxa"/>
            <w:vAlign w:val="bottom"/>
          </w:tcPr>
          <w:p>
            <w:pPr>
              <w:spacing w:after="0"/>
              <w:rPr>
                <w:sz w:val="20"/>
                <w:szCs w:val="20"/>
                <w:color w:val="auto"/>
              </w:rPr>
            </w:pPr>
            <w:r>
              <w:rPr>
                <w:rFonts w:ascii="Arial" w:cs="Arial" w:eastAsia="Arial" w:hAnsi="Arial"/>
                <w:sz w:val="15"/>
                <w:szCs w:val="15"/>
                <w:color w:val="auto"/>
              </w:rPr>
              <w:t>President</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PURCHASERS:</w:t>
      </w:r>
      <w:r>
        <w:rPr>
          <w:sz w:val="20"/>
          <w:szCs w:val="20"/>
          <w:color w:val="auto"/>
        </w:rPr>
        <w:tab/>
      </w:r>
      <w:r>
        <w:rPr>
          <w:rFonts w:ascii="Arial" w:cs="Arial" w:eastAsia="Arial" w:hAnsi="Arial"/>
          <w:sz w:val="15"/>
          <w:szCs w:val="15"/>
          <w:color w:val="auto"/>
        </w:rPr>
        <w:t>LEUKON INVESTMENTS, LP</w:t>
      </w:r>
    </w:p>
    <w:p>
      <w:pPr>
        <w:spacing w:after="0" w:line="204"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LKST, Inc., its General Partner</w:t>
      </w:r>
    </w:p>
    <w:p>
      <w:pPr>
        <w:spacing w:after="0" w:line="198"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390265" cy="762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3390265" cy="7620"/>
                    </a:xfrm>
                    <a:prstGeom prst="rect">
                      <a:avLst/>
                    </a:prstGeom>
                    <a:noFill/>
                  </pic:spPr>
                </pic:pic>
              </a:graphicData>
            </a:graphic>
          </wp:anchor>
        </w:drawing>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Timothy A. Springer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President</w:t>
      </w:r>
    </w:p>
    <w:p>
      <w:pPr>
        <w:spacing w:after="0" w:line="37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TAS PARTNERS, LLC</w:t>
      </w:r>
    </w:p>
    <w:p>
      <w:pPr>
        <w:spacing w:after="0" w:line="383"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390265" cy="762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390265" cy="7620"/>
                    </a:xfrm>
                    <a:prstGeom prst="rect">
                      <a:avLst/>
                    </a:prstGeom>
                    <a:noFill/>
                  </pic:spPr>
                </pic:pic>
              </a:graphicData>
            </a:graphic>
          </wp:anchor>
        </w:drawing>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Timothy A. Springer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Manager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color w:val="auto"/>
        </w:rPr>
        <w:t>RUSNANO</w:t>
      </w:r>
    </w:p>
    <w:p>
      <w:pPr>
        <w:spacing w:after="0" w:line="389" w:lineRule="exact"/>
        <w:rPr>
          <w:sz w:val="20"/>
          <w:szCs w:val="20"/>
          <w:color w:val="auto"/>
        </w:rPr>
      </w:pPr>
    </w:p>
    <w:tbl>
      <w:tblPr>
        <w:tblLayout w:type="fixed"/>
        <w:tblInd w:w="5720" w:type="dxa"/>
        <w:tblCellMar>
          <w:top w:w="0" w:type="dxa"/>
          <w:left w:w="0" w:type="dxa"/>
          <w:bottom w:w="0" w:type="dxa"/>
          <w:right w:w="0" w:type="dxa"/>
        </w:tblCellMar>
      </w:tblP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Yuri Udaltsov</w:t>
            </w:r>
          </w:p>
        </w:tc>
      </w:tr>
      <w:tr>
        <w:trPr>
          <w:trHeight w:val="167"/>
        </w:trPr>
        <w:tc>
          <w:tcPr>
            <w:tcW w:w="58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5140" w:type="dxa"/>
            <w:vAlign w:val="bottom"/>
          </w:tcPr>
          <w:p>
            <w:pPr>
              <w:spacing w:after="0" w:line="167" w:lineRule="exact"/>
              <w:rPr>
                <w:sz w:val="20"/>
                <w:szCs w:val="20"/>
                <w:color w:val="auto"/>
              </w:rPr>
            </w:pPr>
            <w:r>
              <w:rPr>
                <w:rFonts w:ascii="Arial" w:cs="Arial" w:eastAsia="Arial" w:hAnsi="Arial"/>
                <w:sz w:val="15"/>
                <w:szCs w:val="15"/>
                <w:color w:val="auto"/>
              </w:rPr>
              <w:t>Yuri Udaltsov</w:t>
            </w:r>
          </w:p>
        </w:tc>
      </w:tr>
      <w:tr>
        <w:trPr>
          <w:trHeight w:val="185"/>
        </w:trPr>
        <w:tc>
          <w:tcPr>
            <w:tcW w:w="580" w:type="dxa"/>
            <w:vAlign w:val="bottom"/>
          </w:tcPr>
          <w:p>
            <w:pPr>
              <w:spacing w:after="0"/>
              <w:rPr>
                <w:sz w:val="20"/>
                <w:szCs w:val="20"/>
                <w:color w:val="auto"/>
              </w:rPr>
            </w:pPr>
            <w:r>
              <w:rPr>
                <w:rFonts w:ascii="Arial" w:cs="Arial" w:eastAsia="Arial" w:hAnsi="Arial"/>
                <w:sz w:val="15"/>
                <w:szCs w:val="15"/>
                <w:color w:val="auto"/>
              </w:rPr>
              <w:t>Title:</w:t>
            </w:r>
          </w:p>
        </w:tc>
        <w:tc>
          <w:tcPr>
            <w:tcW w:w="5140" w:type="dxa"/>
            <w:vAlign w:val="bottom"/>
          </w:tcPr>
          <w:p>
            <w:pPr>
              <w:spacing w:after="0"/>
              <w:rPr>
                <w:sz w:val="20"/>
                <w:szCs w:val="20"/>
                <w:color w:val="auto"/>
              </w:rPr>
            </w:pPr>
            <w:r>
              <w:rPr>
                <w:rFonts w:ascii="Arial" w:cs="Arial" w:eastAsia="Arial" w:hAnsi="Arial"/>
                <w:sz w:val="15"/>
                <w:szCs w:val="15"/>
                <w:color w:val="auto"/>
              </w:rPr>
              <w:t>Deputy Chairman of the Management Board of Management Company</w:t>
            </w:r>
          </w:p>
        </w:tc>
      </w:tr>
      <w:tr>
        <w:trPr>
          <w:trHeight w:val="196"/>
        </w:trPr>
        <w:tc>
          <w:tcPr>
            <w:tcW w:w="58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5"/>
                <w:szCs w:val="15"/>
                <w:color w:val="auto"/>
              </w:rPr>
              <w:t>RUSNANO LLC acting on the basis of a power of attorney</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0" w:type="dxa"/>
            <w:vAlign w:val="bottom"/>
          </w:tcPr>
          <w:p>
            <w:pPr>
              <w:spacing w:after="0"/>
              <w:rPr>
                <w:sz w:val="20"/>
                <w:szCs w:val="20"/>
                <w:color w:val="auto"/>
              </w:rPr>
            </w:pPr>
            <w:r>
              <w:rPr>
                <w:rFonts w:ascii="Arial" w:cs="Arial" w:eastAsia="Arial" w:hAnsi="Arial"/>
                <w:sz w:val="15"/>
                <w:szCs w:val="15"/>
                <w:b w:val="1"/>
                <w:bCs w:val="1"/>
                <w:color w:val="auto"/>
              </w:rPr>
              <w:t>PURCHASER:</w:t>
            </w:r>
          </w:p>
        </w:tc>
        <w:tc>
          <w:tcPr>
            <w:tcW w:w="8040" w:type="dxa"/>
            <w:vAlign w:val="bottom"/>
            <w:gridSpan w:val="2"/>
          </w:tcPr>
          <w:p>
            <w:pPr>
              <w:ind w:left="2400"/>
              <w:spacing w:after="0"/>
              <w:rPr>
                <w:sz w:val="20"/>
                <w:szCs w:val="20"/>
                <w:color w:val="auto"/>
              </w:rPr>
            </w:pPr>
            <w:r>
              <w:rPr>
                <w:rFonts w:ascii="Arial" w:cs="Arial" w:eastAsia="Arial" w:hAnsi="Arial"/>
                <w:sz w:val="15"/>
                <w:szCs w:val="15"/>
                <w:color w:val="auto"/>
              </w:rPr>
              <w:t>ALEXANDRIA EQUITIES, LLC</w:t>
            </w:r>
          </w:p>
        </w:tc>
      </w:tr>
      <w:tr>
        <w:trPr>
          <w:trHeight w:val="196"/>
        </w:trPr>
        <w:tc>
          <w:tcPr>
            <w:tcW w:w="3400" w:type="dxa"/>
            <w:vAlign w:val="bottom"/>
          </w:tcPr>
          <w:p>
            <w:pPr>
              <w:spacing w:after="0"/>
              <w:rPr>
                <w:sz w:val="17"/>
                <w:szCs w:val="17"/>
                <w:color w:val="auto"/>
              </w:rPr>
            </w:pPr>
          </w:p>
        </w:tc>
        <w:tc>
          <w:tcPr>
            <w:tcW w:w="8040" w:type="dxa"/>
            <w:vAlign w:val="bottom"/>
            <w:gridSpan w:val="2"/>
          </w:tcPr>
          <w:p>
            <w:pPr>
              <w:ind w:left="2400"/>
              <w:spacing w:after="0"/>
              <w:rPr>
                <w:sz w:val="20"/>
                <w:szCs w:val="20"/>
                <w:color w:val="auto"/>
              </w:rPr>
            </w:pPr>
            <w:r>
              <w:rPr>
                <w:rFonts w:ascii="Arial" w:cs="Arial" w:eastAsia="Arial" w:hAnsi="Arial"/>
                <w:sz w:val="15"/>
                <w:szCs w:val="15"/>
                <w:color w:val="auto"/>
              </w:rPr>
              <w:t>A Delaware limited liability company</w:t>
            </w:r>
          </w:p>
        </w:tc>
      </w:tr>
      <w:tr>
        <w:trPr>
          <w:trHeight w:val="360"/>
        </w:trPr>
        <w:tc>
          <w:tcPr>
            <w:tcW w:w="3400" w:type="dxa"/>
            <w:vAlign w:val="bottom"/>
          </w:tcPr>
          <w:p>
            <w:pPr>
              <w:spacing w:after="0"/>
              <w:rPr>
                <w:sz w:val="24"/>
                <w:szCs w:val="24"/>
                <w:color w:val="auto"/>
              </w:rPr>
            </w:pPr>
          </w:p>
        </w:tc>
        <w:tc>
          <w:tcPr>
            <w:tcW w:w="8040" w:type="dxa"/>
            <w:vAlign w:val="bottom"/>
            <w:gridSpan w:val="2"/>
          </w:tcPr>
          <w:p>
            <w:pPr>
              <w:ind w:left="2400"/>
              <w:spacing w:after="0"/>
              <w:rPr>
                <w:sz w:val="20"/>
                <w:szCs w:val="20"/>
                <w:color w:val="auto"/>
              </w:rPr>
            </w:pPr>
            <w:r>
              <w:rPr>
                <w:rFonts w:ascii="Arial" w:cs="Arial" w:eastAsia="Arial" w:hAnsi="Arial"/>
                <w:sz w:val="15"/>
                <w:szCs w:val="15"/>
                <w:color w:val="auto"/>
              </w:rPr>
              <w:t>By: ALEXANDRIA REAL ESTATE EQUITIES,</w:t>
            </w:r>
          </w:p>
        </w:tc>
      </w:tr>
      <w:tr>
        <w:trPr>
          <w:trHeight w:val="196"/>
        </w:trPr>
        <w:tc>
          <w:tcPr>
            <w:tcW w:w="3400" w:type="dxa"/>
            <w:vAlign w:val="bottom"/>
          </w:tcPr>
          <w:p>
            <w:pPr>
              <w:spacing w:after="0"/>
              <w:rPr>
                <w:sz w:val="17"/>
                <w:szCs w:val="17"/>
                <w:color w:val="auto"/>
              </w:rPr>
            </w:pPr>
          </w:p>
        </w:tc>
        <w:tc>
          <w:tcPr>
            <w:tcW w:w="8040" w:type="dxa"/>
            <w:vAlign w:val="bottom"/>
            <w:gridSpan w:val="2"/>
          </w:tcPr>
          <w:p>
            <w:pPr>
              <w:ind w:left="2400"/>
              <w:spacing w:after="0"/>
              <w:rPr>
                <w:sz w:val="20"/>
                <w:szCs w:val="20"/>
                <w:color w:val="auto"/>
              </w:rPr>
            </w:pPr>
            <w:r>
              <w:rPr>
                <w:rFonts w:ascii="Arial" w:cs="Arial" w:eastAsia="Arial" w:hAnsi="Arial"/>
                <w:sz w:val="15"/>
                <w:szCs w:val="15"/>
                <w:color w:val="auto"/>
              </w:rPr>
              <w:t>INC., a Maryland corporation, managing member</w:t>
            </w:r>
          </w:p>
        </w:tc>
      </w:tr>
      <w:tr>
        <w:trPr>
          <w:trHeight w:val="556"/>
        </w:trPr>
        <w:tc>
          <w:tcPr>
            <w:tcW w:w="3400" w:type="dxa"/>
            <w:vAlign w:val="bottom"/>
          </w:tcPr>
          <w:p>
            <w:pPr>
              <w:spacing w:after="0"/>
              <w:rPr>
                <w:sz w:val="24"/>
                <w:szCs w:val="24"/>
                <w:color w:val="auto"/>
              </w:rPr>
            </w:pPr>
          </w:p>
        </w:tc>
        <w:tc>
          <w:tcPr>
            <w:tcW w:w="3140" w:type="dxa"/>
            <w:vAlign w:val="bottom"/>
          </w:tcPr>
          <w:p>
            <w:pPr>
              <w:ind w:left="2400"/>
              <w:spacing w:after="0"/>
              <w:rPr>
                <w:sz w:val="20"/>
                <w:szCs w:val="20"/>
                <w:color w:val="auto"/>
              </w:rPr>
            </w:pPr>
            <w:r>
              <w:rPr>
                <w:rFonts w:ascii="Arial" w:cs="Arial" w:eastAsia="Arial" w:hAnsi="Arial"/>
                <w:sz w:val="15"/>
                <w:szCs w:val="15"/>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Eric S. Johnson</w:t>
            </w:r>
          </w:p>
        </w:tc>
      </w:tr>
      <w:tr>
        <w:trPr>
          <w:trHeight w:val="167"/>
        </w:trPr>
        <w:tc>
          <w:tcPr>
            <w:tcW w:w="3400" w:type="dxa"/>
            <w:vAlign w:val="bottom"/>
          </w:tcPr>
          <w:p>
            <w:pPr>
              <w:spacing w:after="0"/>
              <w:rPr>
                <w:sz w:val="14"/>
                <w:szCs w:val="14"/>
                <w:color w:val="auto"/>
              </w:rPr>
            </w:pPr>
          </w:p>
        </w:tc>
        <w:tc>
          <w:tcPr>
            <w:tcW w:w="3140" w:type="dxa"/>
            <w:vAlign w:val="bottom"/>
          </w:tcPr>
          <w:p>
            <w:pPr>
              <w:ind w:left="2400"/>
              <w:spacing w:after="0" w:line="167" w:lineRule="exact"/>
              <w:rPr>
                <w:sz w:val="20"/>
                <w:szCs w:val="20"/>
                <w:color w:val="auto"/>
              </w:rPr>
            </w:pPr>
            <w:r>
              <w:rPr>
                <w:rFonts w:ascii="Arial" w:cs="Arial" w:eastAsia="Arial" w:hAnsi="Arial"/>
                <w:sz w:val="15"/>
                <w:szCs w:val="15"/>
                <w:color w:val="auto"/>
              </w:rPr>
              <w:t>Name:</w:t>
            </w:r>
          </w:p>
        </w:tc>
        <w:tc>
          <w:tcPr>
            <w:tcW w:w="4900" w:type="dxa"/>
            <w:vAlign w:val="bottom"/>
          </w:tcPr>
          <w:p>
            <w:pPr>
              <w:spacing w:after="0" w:line="167" w:lineRule="exact"/>
              <w:rPr>
                <w:sz w:val="20"/>
                <w:szCs w:val="20"/>
                <w:color w:val="auto"/>
              </w:rPr>
            </w:pPr>
            <w:r>
              <w:rPr>
                <w:rFonts w:ascii="Arial" w:cs="Arial" w:eastAsia="Arial" w:hAnsi="Arial"/>
                <w:sz w:val="15"/>
                <w:szCs w:val="15"/>
                <w:color w:val="auto"/>
              </w:rPr>
              <w:t>Eric S. Johnson</w:t>
            </w:r>
          </w:p>
        </w:tc>
      </w:tr>
      <w:tr>
        <w:trPr>
          <w:trHeight w:val="185"/>
        </w:trPr>
        <w:tc>
          <w:tcPr>
            <w:tcW w:w="3400" w:type="dxa"/>
            <w:vAlign w:val="bottom"/>
          </w:tcPr>
          <w:p>
            <w:pPr>
              <w:spacing w:after="0"/>
              <w:rPr>
                <w:sz w:val="16"/>
                <w:szCs w:val="16"/>
                <w:color w:val="auto"/>
              </w:rPr>
            </w:pPr>
          </w:p>
        </w:tc>
        <w:tc>
          <w:tcPr>
            <w:tcW w:w="3140" w:type="dxa"/>
            <w:vAlign w:val="bottom"/>
          </w:tcPr>
          <w:p>
            <w:pPr>
              <w:ind w:left="2400"/>
              <w:spacing w:after="0"/>
              <w:rPr>
                <w:sz w:val="20"/>
                <w:szCs w:val="20"/>
                <w:color w:val="auto"/>
              </w:rPr>
            </w:pPr>
            <w:r>
              <w:rPr>
                <w:rFonts w:ascii="Arial" w:cs="Arial" w:eastAsia="Arial" w:hAnsi="Arial"/>
                <w:sz w:val="15"/>
                <w:szCs w:val="15"/>
                <w:color w:val="auto"/>
              </w:rPr>
              <w:t>Title:</w:t>
            </w:r>
          </w:p>
        </w:tc>
        <w:tc>
          <w:tcPr>
            <w:tcW w:w="4900" w:type="dxa"/>
            <w:vAlign w:val="bottom"/>
          </w:tcPr>
          <w:p>
            <w:pPr>
              <w:spacing w:after="0"/>
              <w:rPr>
                <w:sz w:val="20"/>
                <w:szCs w:val="20"/>
                <w:color w:val="auto"/>
              </w:rPr>
            </w:pPr>
            <w:r>
              <w:rPr>
                <w:rFonts w:ascii="Arial" w:cs="Arial" w:eastAsia="Arial" w:hAnsi="Arial"/>
                <w:sz w:val="15"/>
                <w:szCs w:val="15"/>
                <w:color w:val="auto"/>
              </w:rPr>
              <w:t>Senior Vice President</w:t>
            </w:r>
          </w:p>
        </w:tc>
      </w:tr>
      <w:tr>
        <w:trPr>
          <w:trHeight w:val="196"/>
        </w:trPr>
        <w:tc>
          <w:tcPr>
            <w:tcW w:w="34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RE Legal Affairs</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80" w:val="left"/>
        </w:tabs>
        <w:rPr>
          <w:sz w:val="20"/>
          <w:szCs w:val="20"/>
          <w:color w:val="auto"/>
        </w:rPr>
      </w:pPr>
      <w:r>
        <w:rPr>
          <w:rFonts w:ascii="Arial" w:cs="Arial" w:eastAsia="Arial" w:hAnsi="Arial"/>
          <w:sz w:val="15"/>
          <w:szCs w:val="15"/>
          <w:b w:val="1"/>
          <w:bCs w:val="1"/>
          <w:color w:val="auto"/>
        </w:rPr>
        <w:t>PURCHASERS:</w:t>
      </w:r>
      <w:r>
        <w:rPr>
          <w:sz w:val="20"/>
          <w:szCs w:val="20"/>
          <w:color w:val="auto"/>
        </w:rPr>
        <w:tab/>
      </w:r>
      <w:r>
        <w:rPr>
          <w:rFonts w:ascii="Arial" w:cs="Arial" w:eastAsia="Arial" w:hAnsi="Arial"/>
          <w:sz w:val="15"/>
          <w:szCs w:val="15"/>
          <w:color w:val="auto"/>
        </w:rPr>
        <w:t>BIODYNAMICS CORE, L.P.</w:t>
      </w:r>
    </w:p>
    <w:p>
      <w:pPr>
        <w:spacing w:after="0" w:line="204" w:lineRule="exact"/>
        <w:rPr>
          <w:sz w:val="20"/>
          <w:szCs w:val="20"/>
          <w:color w:val="auto"/>
        </w:rPr>
      </w:pPr>
    </w:p>
    <w:p>
      <w:pPr>
        <w:jc w:val="right"/>
        <w:ind w:right="2940"/>
        <w:spacing w:after="0"/>
        <w:rPr>
          <w:sz w:val="20"/>
          <w:szCs w:val="20"/>
          <w:color w:val="auto"/>
        </w:rPr>
      </w:pPr>
      <w:r>
        <w:rPr>
          <w:rFonts w:ascii="Arial" w:cs="Arial" w:eastAsia="Arial" w:hAnsi="Arial"/>
          <w:sz w:val="15"/>
          <w:szCs w:val="15"/>
          <w:color w:val="auto"/>
        </w:rPr>
        <w:t>By: BioDynamics, LLC, its General Partner</w:t>
      </w:r>
    </w:p>
    <w:p>
      <w:pPr>
        <w:spacing w:after="0" w:line="383" w:lineRule="exact"/>
        <w:rPr>
          <w:sz w:val="20"/>
          <w:szCs w:val="20"/>
          <w:color w:val="auto"/>
        </w:rPr>
      </w:pPr>
    </w:p>
    <w:tbl>
      <w:tblPr>
        <w:tblLayout w:type="fixed"/>
        <w:tblInd w:w="5800" w:type="dxa"/>
        <w:tblCellMar>
          <w:top w:w="0" w:type="dxa"/>
          <w:left w:w="0" w:type="dxa"/>
          <w:bottom w:w="0" w:type="dxa"/>
          <w:right w:w="0" w:type="dxa"/>
        </w:tblCellMar>
      </w:tblPr>
      <w:tr>
        <w:trPr>
          <w:trHeight w:val="196"/>
        </w:trPr>
        <w:tc>
          <w:tcPr>
            <w:tcW w:w="780" w:type="dxa"/>
            <w:vAlign w:val="bottom"/>
          </w:tcPr>
          <w:p>
            <w:pPr>
              <w:spacing w:after="0"/>
              <w:rPr>
                <w:sz w:val="20"/>
                <w:szCs w:val="20"/>
                <w:color w:val="auto"/>
              </w:rPr>
            </w:pPr>
            <w:r>
              <w:rPr>
                <w:rFonts w:ascii="Arial" w:cs="Arial" w:eastAsia="Arial" w:hAnsi="Arial"/>
                <w:sz w:val="15"/>
                <w:szCs w:val="15"/>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Omid Farokhzad, M.D.</w:t>
            </w:r>
          </w:p>
        </w:tc>
      </w:tr>
      <w:tr>
        <w:trPr>
          <w:trHeight w:val="167"/>
        </w:trPr>
        <w:tc>
          <w:tcPr>
            <w:tcW w:w="78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860" w:type="dxa"/>
            <w:vAlign w:val="bottom"/>
          </w:tcPr>
          <w:p>
            <w:pPr>
              <w:spacing w:after="0" w:line="167" w:lineRule="exact"/>
              <w:rPr>
                <w:sz w:val="20"/>
                <w:szCs w:val="20"/>
                <w:color w:val="auto"/>
              </w:rPr>
            </w:pPr>
            <w:r>
              <w:rPr>
                <w:rFonts w:ascii="Arial" w:cs="Arial" w:eastAsia="Arial" w:hAnsi="Arial"/>
                <w:sz w:val="15"/>
                <w:szCs w:val="15"/>
                <w:color w:val="auto"/>
              </w:rPr>
              <w:t>Omid Farokhzad, M.D.</w:t>
            </w:r>
          </w:p>
        </w:tc>
      </w:tr>
      <w:tr>
        <w:trPr>
          <w:trHeight w:val="196"/>
        </w:trPr>
        <w:tc>
          <w:tcPr>
            <w:tcW w:w="780" w:type="dxa"/>
            <w:vAlign w:val="bottom"/>
          </w:tcPr>
          <w:p>
            <w:pPr>
              <w:spacing w:after="0"/>
              <w:rPr>
                <w:sz w:val="20"/>
                <w:szCs w:val="20"/>
                <w:color w:val="auto"/>
              </w:rPr>
            </w:pPr>
            <w:r>
              <w:rPr>
                <w:rFonts w:ascii="Arial" w:cs="Arial" w:eastAsia="Arial" w:hAnsi="Arial"/>
                <w:sz w:val="15"/>
                <w:szCs w:val="15"/>
                <w:color w:val="auto"/>
              </w:rPr>
              <w:t>Title:</w:t>
            </w:r>
          </w:p>
        </w:tc>
        <w:tc>
          <w:tcPr>
            <w:tcW w:w="4860" w:type="dxa"/>
            <w:vAlign w:val="bottom"/>
          </w:tcPr>
          <w:p>
            <w:pPr>
              <w:spacing w:after="0"/>
              <w:rPr>
                <w:sz w:val="20"/>
                <w:szCs w:val="20"/>
                <w:color w:val="auto"/>
              </w:rPr>
            </w:pPr>
            <w:r>
              <w:rPr>
                <w:rFonts w:ascii="Arial" w:cs="Arial" w:eastAsia="Arial" w:hAnsi="Arial"/>
                <w:sz w:val="15"/>
                <w:szCs w:val="15"/>
                <w:color w:val="auto"/>
              </w:rPr>
              <w:t>Member</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PURCHASERS:</w:t>
      </w:r>
      <w:r>
        <w:rPr>
          <w:sz w:val="20"/>
          <w:szCs w:val="20"/>
          <w:color w:val="auto"/>
        </w:rPr>
        <w:tab/>
      </w:r>
      <w:r>
        <w:rPr>
          <w:rFonts w:ascii="Arial" w:cs="Arial" w:eastAsia="Arial" w:hAnsi="Arial"/>
          <w:sz w:val="15"/>
          <w:szCs w:val="15"/>
          <w:color w:val="auto"/>
        </w:rPr>
        <w:t>OSAGE UNIVERSITY PARTNERS II, L.P.</w:t>
      </w:r>
    </w:p>
    <w:p>
      <w:pPr>
        <w:sectPr>
          <w:pgSz w:w="11900" w:h="16838" w:orient="portrait"/>
          <w:cols w:equalWidth="0" w:num="1">
            <w:col w:w="11440"/>
          </w:cols>
          <w:pgMar w:left="240" w:top="314" w:right="219" w:bottom="0" w:gutter="0" w:footer="0" w:header="0"/>
        </w:sectPr>
      </w:pPr>
    </w:p>
    <w:bookmarkStart w:id="331" w:name="page332"/>
    <w:bookmarkEnd w:id="331"/>
    <w:p>
      <w:pPr>
        <w:ind w:left="5740"/>
        <w:spacing w:after="0"/>
        <w:rPr>
          <w:sz w:val="20"/>
          <w:szCs w:val="20"/>
          <w:color w:val="auto"/>
        </w:rPr>
      </w:pPr>
      <w:r>
        <w:rPr>
          <w:rFonts w:ascii="Arial" w:cs="Arial" w:eastAsia="Arial" w:hAnsi="Arial"/>
          <w:sz w:val="15"/>
          <w:szCs w:val="15"/>
          <w:color w:val="auto"/>
        </w:rPr>
        <w:t>By: OSAGE UNIVERSITY GP II, LP, its General Partner</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 OSAGE PARTNERS, LLC, its General Partner</w:t>
      </w:r>
    </w:p>
    <w:p>
      <w:pPr>
        <w:spacing w:after="0" w:line="383" w:lineRule="exact"/>
        <w:rPr>
          <w:sz w:val="20"/>
          <w:szCs w:val="20"/>
          <w:color w:val="auto"/>
        </w:rPr>
      </w:pPr>
    </w:p>
    <w:tbl>
      <w:tblPr>
        <w:tblLayout w:type="fixed"/>
        <w:tblInd w:w="5740" w:type="dxa"/>
        <w:tblCellMar>
          <w:top w:w="0" w:type="dxa"/>
          <w:left w:w="0" w:type="dxa"/>
          <w:bottom w:w="0" w:type="dxa"/>
          <w:right w:w="0" w:type="dxa"/>
        </w:tblCellMar>
      </w:tblP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Marc Singer</w:t>
            </w:r>
          </w:p>
        </w:tc>
      </w:tr>
      <w:tr>
        <w:trPr>
          <w:trHeight w:val="167"/>
        </w:trPr>
        <w:tc>
          <w:tcPr>
            <w:tcW w:w="76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960" w:type="dxa"/>
            <w:vAlign w:val="bottom"/>
          </w:tcPr>
          <w:p>
            <w:pPr>
              <w:spacing w:after="0" w:line="167" w:lineRule="exact"/>
              <w:rPr>
                <w:sz w:val="20"/>
                <w:szCs w:val="20"/>
                <w:color w:val="auto"/>
              </w:rPr>
            </w:pPr>
            <w:r>
              <w:rPr>
                <w:rFonts w:ascii="Arial" w:cs="Arial" w:eastAsia="Arial" w:hAnsi="Arial"/>
                <w:sz w:val="15"/>
                <w:szCs w:val="15"/>
                <w:color w:val="auto"/>
              </w:rPr>
              <w:t>Marc Singer</w:t>
            </w: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4960" w:type="dxa"/>
            <w:vAlign w:val="bottom"/>
          </w:tcPr>
          <w:p>
            <w:pPr>
              <w:spacing w:after="0"/>
              <w:rPr>
                <w:sz w:val="20"/>
                <w:szCs w:val="20"/>
                <w:color w:val="auto"/>
              </w:rPr>
            </w:pPr>
            <w:r>
              <w:rPr>
                <w:rFonts w:ascii="Arial" w:cs="Arial" w:eastAsia="Arial" w:hAnsi="Arial"/>
                <w:sz w:val="15"/>
                <w:szCs w:val="15"/>
                <w:color w:val="auto"/>
              </w:rPr>
              <w:t>Member</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240" w:type="dxa"/>
            <w:vAlign w:val="bottom"/>
            <w:gridSpan w:val="3"/>
          </w:tcPr>
          <w:p>
            <w:pPr>
              <w:ind w:left="3620"/>
              <w:spacing w:after="0"/>
              <w:rPr>
                <w:sz w:val="20"/>
                <w:szCs w:val="20"/>
                <w:color w:val="auto"/>
              </w:rPr>
            </w:pPr>
            <w:r>
              <w:rPr>
                <w:rFonts w:ascii="Arial" w:cs="Arial" w:eastAsia="Arial" w:hAnsi="Arial"/>
                <w:sz w:val="15"/>
                <w:szCs w:val="15"/>
                <w:color w:val="auto"/>
              </w:rPr>
              <w:t>AVENTISUB LLC</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4280" w:type="dxa"/>
            <w:vAlign w:val="bottom"/>
          </w:tcPr>
          <w:p>
            <w:pPr>
              <w:ind w:left="3620"/>
              <w:spacing w:after="0"/>
              <w:rPr>
                <w:sz w:val="20"/>
                <w:szCs w:val="20"/>
                <w:color w:val="auto"/>
              </w:rPr>
            </w:pPr>
            <w:r>
              <w:rPr>
                <w:rFonts w:ascii="Arial" w:cs="Arial" w:eastAsia="Arial" w:hAnsi="Arial"/>
                <w:sz w:val="15"/>
                <w:szCs w:val="15"/>
                <w:color w:val="auto"/>
              </w:rPr>
              <w:t>By:</w:t>
            </w:r>
          </w:p>
        </w:tc>
        <w:tc>
          <w:tcPr>
            <w:tcW w:w="10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Joseph M. Palladino</w:t>
            </w:r>
          </w:p>
        </w:tc>
        <w:tc>
          <w:tcPr>
            <w:tcW w:w="20" w:type="dxa"/>
            <w:vAlign w:val="bottom"/>
          </w:tcPr>
          <w:p>
            <w:pPr>
              <w:spacing w:after="0"/>
              <w:rPr>
                <w:sz w:val="24"/>
                <w:szCs w:val="24"/>
                <w:color w:val="auto"/>
              </w:rPr>
            </w:pPr>
          </w:p>
        </w:tc>
      </w:tr>
      <w:tr>
        <w:trPr>
          <w:trHeight w:val="167"/>
        </w:trPr>
        <w:tc>
          <w:tcPr>
            <w:tcW w:w="2220" w:type="dxa"/>
            <w:vAlign w:val="bottom"/>
          </w:tcPr>
          <w:p>
            <w:pPr>
              <w:spacing w:after="0"/>
              <w:rPr>
                <w:sz w:val="14"/>
                <w:szCs w:val="14"/>
                <w:color w:val="auto"/>
              </w:rPr>
            </w:pPr>
          </w:p>
        </w:tc>
        <w:tc>
          <w:tcPr>
            <w:tcW w:w="4280" w:type="dxa"/>
            <w:vAlign w:val="bottom"/>
          </w:tcPr>
          <w:p>
            <w:pPr>
              <w:ind w:left="3620"/>
              <w:spacing w:after="0" w:line="167" w:lineRule="exact"/>
              <w:rPr>
                <w:sz w:val="20"/>
                <w:szCs w:val="20"/>
                <w:color w:val="auto"/>
              </w:rPr>
            </w:pPr>
            <w:r>
              <w:rPr>
                <w:rFonts w:ascii="Arial" w:cs="Arial" w:eastAsia="Arial" w:hAnsi="Arial"/>
                <w:sz w:val="15"/>
                <w:szCs w:val="15"/>
                <w:color w:val="auto"/>
              </w:rPr>
              <w:t>Name:</w:t>
            </w:r>
          </w:p>
        </w:tc>
        <w:tc>
          <w:tcPr>
            <w:tcW w:w="100" w:type="dxa"/>
            <w:vAlign w:val="bottom"/>
          </w:tcPr>
          <w:p>
            <w:pPr>
              <w:spacing w:after="0"/>
              <w:rPr>
                <w:sz w:val="14"/>
                <w:szCs w:val="14"/>
                <w:color w:val="auto"/>
              </w:rPr>
            </w:pPr>
          </w:p>
        </w:tc>
        <w:tc>
          <w:tcPr>
            <w:tcW w:w="4860" w:type="dxa"/>
            <w:vAlign w:val="bottom"/>
          </w:tcPr>
          <w:p>
            <w:pPr>
              <w:spacing w:after="0" w:line="167" w:lineRule="exact"/>
              <w:rPr>
                <w:sz w:val="20"/>
                <w:szCs w:val="20"/>
                <w:color w:val="auto"/>
              </w:rPr>
            </w:pPr>
            <w:r>
              <w:rPr>
                <w:rFonts w:ascii="Arial" w:cs="Arial" w:eastAsia="Arial" w:hAnsi="Arial"/>
                <w:sz w:val="15"/>
                <w:szCs w:val="15"/>
                <w:color w:val="auto"/>
              </w:rPr>
              <w:t>Joe M. Palladino</w:t>
            </w:r>
          </w:p>
        </w:tc>
        <w:tc>
          <w:tcPr>
            <w:tcW w:w="2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4280" w:type="dxa"/>
            <w:vAlign w:val="bottom"/>
          </w:tcPr>
          <w:p>
            <w:pPr>
              <w:ind w:left="3620"/>
              <w:spacing w:after="0"/>
              <w:rPr>
                <w:sz w:val="20"/>
                <w:szCs w:val="20"/>
                <w:color w:val="auto"/>
              </w:rPr>
            </w:pPr>
            <w:r>
              <w:rPr>
                <w:rFonts w:ascii="Arial" w:cs="Arial" w:eastAsia="Arial" w:hAnsi="Arial"/>
                <w:sz w:val="15"/>
                <w:szCs w:val="15"/>
                <w:color w:val="auto"/>
              </w:rPr>
              <w:t>Title:</w:t>
            </w:r>
          </w:p>
        </w:tc>
        <w:tc>
          <w:tcPr>
            <w:tcW w:w="10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President</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9240" w:type="dxa"/>
            <w:vAlign w:val="bottom"/>
            <w:gridSpan w:val="3"/>
          </w:tcPr>
          <w:p>
            <w:pPr>
              <w:ind w:left="11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tc>
        <w:tc>
          <w:tcPr>
            <w:tcW w:w="20" w:type="dxa"/>
            <w:vAlign w:val="bottom"/>
          </w:tcPr>
          <w:p>
            <w:pPr>
              <w:spacing w:after="0"/>
              <w:rPr>
                <w:sz w:val="24"/>
                <w:szCs w:val="24"/>
                <w:color w:val="auto"/>
              </w:rPr>
            </w:pPr>
          </w:p>
        </w:tc>
      </w:tr>
      <w:tr>
        <w:trPr>
          <w:trHeight w:val="297"/>
        </w:trPr>
        <w:tc>
          <w:tcPr>
            <w:tcW w:w="2220" w:type="dxa"/>
            <w:vAlign w:val="bottom"/>
            <w:tcBorders>
              <w:bottom w:val="single" w:sz="8" w:color="808080"/>
            </w:tcBorders>
          </w:tcPr>
          <w:p>
            <w:pPr>
              <w:spacing w:after="0"/>
              <w:rPr>
                <w:sz w:val="24"/>
                <w:szCs w:val="24"/>
                <w:color w:val="auto"/>
              </w:rPr>
            </w:pPr>
          </w:p>
        </w:tc>
        <w:tc>
          <w:tcPr>
            <w:tcW w:w="9240" w:type="dxa"/>
            <w:vAlign w:val="bottom"/>
            <w:tcBorders>
              <w:bottom w:val="single" w:sz="8" w:color="808080"/>
            </w:tcBorders>
            <w:gridSpan w:val="3"/>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459"/>
        </w:trPr>
        <w:tc>
          <w:tcPr>
            <w:tcW w:w="22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240" w:type="dxa"/>
            <w:vAlign w:val="bottom"/>
            <w:gridSpan w:val="3"/>
          </w:tcPr>
          <w:p>
            <w:pPr>
              <w:ind w:left="3520"/>
              <w:spacing w:after="0"/>
              <w:rPr>
                <w:sz w:val="20"/>
                <w:szCs w:val="20"/>
                <w:color w:val="auto"/>
              </w:rPr>
            </w:pPr>
            <w:r>
              <w:rPr>
                <w:rFonts w:ascii="Arial" w:cs="Arial" w:eastAsia="Arial" w:hAnsi="Arial"/>
                <w:sz w:val="15"/>
                <w:szCs w:val="15"/>
                <w:color w:val="auto"/>
              </w:rPr>
              <w:t>SPHERA GLOBAL HEALTHCARE MASTER FUND</w:t>
            </w:r>
          </w:p>
        </w:tc>
        <w:tc>
          <w:tcPr>
            <w:tcW w:w="20" w:type="dxa"/>
            <w:vAlign w:val="bottom"/>
          </w:tcPr>
          <w:p>
            <w:pPr>
              <w:spacing w:after="0"/>
              <w:rPr>
                <w:sz w:val="24"/>
                <w:szCs w:val="24"/>
                <w:color w:val="auto"/>
              </w:rPr>
            </w:pPr>
          </w:p>
        </w:tc>
      </w:tr>
      <w:tr>
        <w:trPr>
          <w:trHeight w:val="556"/>
        </w:trPr>
        <w:tc>
          <w:tcPr>
            <w:tcW w:w="2220" w:type="dxa"/>
            <w:vAlign w:val="bottom"/>
          </w:tcPr>
          <w:p>
            <w:pPr>
              <w:spacing w:after="0"/>
              <w:rPr>
                <w:sz w:val="24"/>
                <w:szCs w:val="24"/>
                <w:color w:val="auto"/>
              </w:rPr>
            </w:pPr>
          </w:p>
        </w:tc>
        <w:tc>
          <w:tcPr>
            <w:tcW w:w="4280" w:type="dxa"/>
            <w:vAlign w:val="bottom"/>
          </w:tcPr>
          <w:p>
            <w:pPr>
              <w:ind w:left="3520"/>
              <w:spacing w:after="0"/>
              <w:rPr>
                <w:sz w:val="20"/>
                <w:szCs w:val="20"/>
                <w:color w:val="auto"/>
              </w:rPr>
            </w:pPr>
            <w:r>
              <w:rPr>
                <w:rFonts w:ascii="Arial" w:cs="Arial" w:eastAsia="Arial" w:hAnsi="Arial"/>
                <w:sz w:val="15"/>
                <w:szCs w:val="15"/>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Doron Breen</w:t>
            </w:r>
          </w:p>
        </w:tc>
        <w:tc>
          <w:tcPr>
            <w:tcW w:w="20" w:type="dxa"/>
            <w:vAlign w:val="bottom"/>
          </w:tcPr>
          <w:p>
            <w:pPr>
              <w:spacing w:after="0"/>
              <w:rPr>
                <w:sz w:val="24"/>
                <w:szCs w:val="24"/>
                <w:color w:val="auto"/>
              </w:rPr>
            </w:pPr>
          </w:p>
        </w:tc>
      </w:tr>
      <w:tr>
        <w:trPr>
          <w:trHeight w:val="167"/>
        </w:trPr>
        <w:tc>
          <w:tcPr>
            <w:tcW w:w="2220" w:type="dxa"/>
            <w:vAlign w:val="bottom"/>
          </w:tcPr>
          <w:p>
            <w:pPr>
              <w:spacing w:after="0"/>
              <w:rPr>
                <w:sz w:val="14"/>
                <w:szCs w:val="14"/>
                <w:color w:val="auto"/>
              </w:rPr>
            </w:pPr>
          </w:p>
        </w:tc>
        <w:tc>
          <w:tcPr>
            <w:tcW w:w="4280" w:type="dxa"/>
            <w:vAlign w:val="bottom"/>
          </w:tcPr>
          <w:p>
            <w:pPr>
              <w:ind w:left="3520"/>
              <w:spacing w:after="0" w:line="167" w:lineRule="exact"/>
              <w:rPr>
                <w:sz w:val="20"/>
                <w:szCs w:val="20"/>
                <w:color w:val="auto"/>
              </w:rPr>
            </w:pPr>
            <w:r>
              <w:rPr>
                <w:rFonts w:ascii="Arial" w:cs="Arial" w:eastAsia="Arial" w:hAnsi="Arial"/>
                <w:sz w:val="15"/>
                <w:szCs w:val="15"/>
                <w:color w:val="auto"/>
              </w:rPr>
              <w:t>Name:</w:t>
            </w:r>
          </w:p>
        </w:tc>
        <w:tc>
          <w:tcPr>
            <w:tcW w:w="4960" w:type="dxa"/>
            <w:vAlign w:val="bottom"/>
            <w:gridSpan w:val="2"/>
          </w:tcPr>
          <w:p>
            <w:pPr>
              <w:spacing w:after="0" w:line="167" w:lineRule="exact"/>
              <w:rPr>
                <w:sz w:val="20"/>
                <w:szCs w:val="20"/>
                <w:color w:val="auto"/>
              </w:rPr>
            </w:pPr>
            <w:r>
              <w:rPr>
                <w:rFonts w:ascii="Arial" w:cs="Arial" w:eastAsia="Arial" w:hAnsi="Arial"/>
                <w:sz w:val="15"/>
                <w:szCs w:val="15"/>
                <w:color w:val="auto"/>
              </w:rPr>
              <w:t>Doron Breen</w:t>
            </w:r>
          </w:p>
        </w:tc>
        <w:tc>
          <w:tcPr>
            <w:tcW w:w="2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4280" w:type="dxa"/>
            <w:vAlign w:val="bottom"/>
          </w:tcPr>
          <w:p>
            <w:pPr>
              <w:ind w:left="3520"/>
              <w:spacing w:after="0"/>
              <w:rPr>
                <w:sz w:val="20"/>
                <w:szCs w:val="20"/>
                <w:color w:val="auto"/>
              </w:rPr>
            </w:pPr>
            <w:r>
              <w:rPr>
                <w:rFonts w:ascii="Arial" w:cs="Arial" w:eastAsia="Arial" w:hAnsi="Arial"/>
                <w:sz w:val="15"/>
                <w:szCs w:val="15"/>
                <w:color w:val="auto"/>
              </w:rPr>
              <w:t>Title:</w:t>
            </w:r>
          </w:p>
        </w:tc>
        <w:tc>
          <w:tcPr>
            <w:tcW w:w="49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-913765</wp:posOffset>
            </wp:positionV>
            <wp:extent cx="12700" cy="2730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-913765</wp:posOffset>
            </wp:positionV>
            <wp:extent cx="12700" cy="2730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400" w:type="dxa"/>
            <w:vAlign w:val="bottom"/>
          </w:tcPr>
          <w:p>
            <w:pPr>
              <w:spacing w:after="0"/>
              <w:rPr>
                <w:sz w:val="20"/>
                <w:szCs w:val="20"/>
                <w:color w:val="auto"/>
              </w:rPr>
            </w:pPr>
            <w:r>
              <w:rPr>
                <w:rFonts w:ascii="Arial" w:cs="Arial" w:eastAsia="Arial" w:hAnsi="Arial"/>
                <w:sz w:val="15"/>
                <w:szCs w:val="15"/>
                <w:b w:val="1"/>
                <w:bCs w:val="1"/>
                <w:color w:val="auto"/>
              </w:rPr>
              <w:t>PURCHASERS:</w:t>
            </w:r>
          </w:p>
        </w:tc>
        <w:tc>
          <w:tcPr>
            <w:tcW w:w="8040" w:type="dxa"/>
            <w:vAlign w:val="bottom"/>
            <w:gridSpan w:val="2"/>
          </w:tcPr>
          <w:p>
            <w:pPr>
              <w:ind w:left="2320"/>
              <w:spacing w:after="0"/>
              <w:rPr>
                <w:sz w:val="20"/>
                <w:szCs w:val="20"/>
                <w:color w:val="auto"/>
              </w:rPr>
            </w:pPr>
            <w:r>
              <w:rPr>
                <w:rFonts w:ascii="Arial" w:cs="Arial" w:eastAsia="Arial" w:hAnsi="Arial"/>
                <w:sz w:val="15"/>
                <w:szCs w:val="15"/>
                <w:color w:val="auto"/>
              </w:rPr>
              <w:t>RIDGEBACK CAPITAL INVESTMENTS LP</w:t>
            </w:r>
          </w:p>
        </w:tc>
      </w:tr>
      <w:tr>
        <w:trPr>
          <w:trHeight w:val="556"/>
        </w:trPr>
        <w:tc>
          <w:tcPr>
            <w:tcW w:w="3400" w:type="dxa"/>
            <w:vAlign w:val="bottom"/>
          </w:tcPr>
          <w:p>
            <w:pPr>
              <w:spacing w:after="0"/>
              <w:rPr>
                <w:sz w:val="24"/>
                <w:szCs w:val="24"/>
                <w:color w:val="auto"/>
              </w:rPr>
            </w:pPr>
          </w:p>
        </w:tc>
        <w:tc>
          <w:tcPr>
            <w:tcW w:w="3080" w:type="dxa"/>
            <w:vAlign w:val="bottom"/>
          </w:tcPr>
          <w:p>
            <w:pPr>
              <w:ind w:left="2320"/>
              <w:spacing w:after="0"/>
              <w:rPr>
                <w:sz w:val="20"/>
                <w:szCs w:val="20"/>
                <w:color w:val="auto"/>
              </w:rPr>
            </w:pPr>
            <w:r>
              <w:rPr>
                <w:rFonts w:ascii="Arial" w:cs="Arial" w:eastAsia="Arial" w:hAnsi="Arial"/>
                <w:sz w:val="15"/>
                <w:szCs w:val="15"/>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Christian Sheldon</w:t>
            </w:r>
          </w:p>
        </w:tc>
      </w:tr>
      <w:tr>
        <w:trPr>
          <w:trHeight w:val="167"/>
        </w:trPr>
        <w:tc>
          <w:tcPr>
            <w:tcW w:w="3400" w:type="dxa"/>
            <w:vAlign w:val="bottom"/>
          </w:tcPr>
          <w:p>
            <w:pPr>
              <w:spacing w:after="0"/>
              <w:rPr>
                <w:sz w:val="14"/>
                <w:szCs w:val="14"/>
                <w:color w:val="auto"/>
              </w:rPr>
            </w:pPr>
          </w:p>
        </w:tc>
        <w:tc>
          <w:tcPr>
            <w:tcW w:w="3080" w:type="dxa"/>
            <w:vAlign w:val="bottom"/>
          </w:tcPr>
          <w:p>
            <w:pPr>
              <w:ind w:left="2320"/>
              <w:spacing w:after="0" w:line="167" w:lineRule="exact"/>
              <w:rPr>
                <w:sz w:val="20"/>
                <w:szCs w:val="20"/>
                <w:color w:val="auto"/>
              </w:rPr>
            </w:pPr>
            <w:r>
              <w:rPr>
                <w:rFonts w:ascii="Arial" w:cs="Arial" w:eastAsia="Arial" w:hAnsi="Arial"/>
                <w:sz w:val="15"/>
                <w:szCs w:val="15"/>
                <w:color w:val="auto"/>
              </w:rPr>
              <w:t>Name:</w:t>
            </w:r>
          </w:p>
        </w:tc>
        <w:tc>
          <w:tcPr>
            <w:tcW w:w="4960" w:type="dxa"/>
            <w:vAlign w:val="bottom"/>
          </w:tcPr>
          <w:p>
            <w:pPr>
              <w:spacing w:after="0" w:line="167" w:lineRule="exact"/>
              <w:rPr>
                <w:sz w:val="20"/>
                <w:szCs w:val="20"/>
                <w:color w:val="auto"/>
              </w:rPr>
            </w:pPr>
            <w:r>
              <w:rPr>
                <w:rFonts w:ascii="Arial" w:cs="Arial" w:eastAsia="Arial" w:hAnsi="Arial"/>
                <w:sz w:val="15"/>
                <w:szCs w:val="15"/>
                <w:color w:val="auto"/>
              </w:rPr>
              <w:t>Christian Sheldon</w:t>
            </w:r>
          </w:p>
        </w:tc>
      </w:tr>
      <w:tr>
        <w:trPr>
          <w:trHeight w:val="196"/>
        </w:trPr>
        <w:tc>
          <w:tcPr>
            <w:tcW w:w="3400" w:type="dxa"/>
            <w:vAlign w:val="bottom"/>
          </w:tcPr>
          <w:p>
            <w:pPr>
              <w:spacing w:after="0"/>
              <w:rPr>
                <w:sz w:val="17"/>
                <w:szCs w:val="17"/>
                <w:color w:val="auto"/>
              </w:rPr>
            </w:pPr>
          </w:p>
        </w:tc>
        <w:tc>
          <w:tcPr>
            <w:tcW w:w="3080" w:type="dxa"/>
            <w:vAlign w:val="bottom"/>
          </w:tcPr>
          <w:p>
            <w:pPr>
              <w:ind w:left="2320"/>
              <w:spacing w:after="0"/>
              <w:rPr>
                <w:sz w:val="20"/>
                <w:szCs w:val="20"/>
                <w:color w:val="auto"/>
              </w:rPr>
            </w:pPr>
            <w:r>
              <w:rPr>
                <w:rFonts w:ascii="Arial" w:cs="Arial" w:eastAsia="Arial" w:hAnsi="Arial"/>
                <w:sz w:val="15"/>
                <w:szCs w:val="15"/>
                <w:color w:val="auto"/>
              </w:rPr>
              <w:t>Title:</w:t>
            </w:r>
          </w:p>
        </w:tc>
        <w:tc>
          <w:tcPr>
            <w:tcW w:w="4960" w:type="dxa"/>
            <w:vAlign w:val="bottom"/>
          </w:tcPr>
          <w:p>
            <w:pPr>
              <w:spacing w:after="0"/>
              <w:rPr>
                <w:sz w:val="20"/>
                <w:szCs w:val="20"/>
                <w:color w:val="auto"/>
              </w:rPr>
            </w:pPr>
            <w:r>
              <w:rPr>
                <w:rFonts w:ascii="Arial" w:cs="Arial" w:eastAsia="Arial" w:hAnsi="Arial"/>
                <w:sz w:val="15"/>
                <w:szCs w:val="15"/>
                <w:color w:val="auto"/>
              </w:rPr>
              <w:t>C.T.O</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3400" w:type="dxa"/>
            <w:vAlign w:val="bottom"/>
          </w:tcPr>
          <w:p>
            <w:pPr>
              <w:spacing w:after="0"/>
              <w:rPr>
                <w:sz w:val="20"/>
                <w:szCs w:val="20"/>
                <w:color w:val="auto"/>
              </w:rPr>
            </w:pPr>
            <w:r>
              <w:rPr>
                <w:rFonts w:ascii="Arial" w:cs="Arial" w:eastAsia="Arial" w:hAnsi="Arial"/>
                <w:sz w:val="15"/>
                <w:szCs w:val="15"/>
                <w:b w:val="1"/>
                <w:bCs w:val="1"/>
                <w:color w:val="auto"/>
              </w:rPr>
              <w:t>PURCHASERS:</w:t>
            </w:r>
          </w:p>
        </w:tc>
        <w:tc>
          <w:tcPr>
            <w:tcW w:w="8040" w:type="dxa"/>
            <w:vAlign w:val="bottom"/>
            <w:gridSpan w:val="2"/>
          </w:tcPr>
          <w:p>
            <w:pPr>
              <w:ind w:left="2320"/>
              <w:spacing w:after="0"/>
              <w:rPr>
                <w:sz w:val="20"/>
                <w:szCs w:val="20"/>
                <w:color w:val="auto"/>
              </w:rPr>
            </w:pPr>
            <w:r>
              <w:rPr>
                <w:rFonts w:ascii="Arial" w:cs="Arial" w:eastAsia="Arial" w:hAnsi="Arial"/>
                <w:sz w:val="15"/>
                <w:szCs w:val="15"/>
                <w:color w:val="auto"/>
              </w:rPr>
              <w:t>AJU LIFE SCIENCE OVERSEAS EXPANSION</w:t>
            </w:r>
          </w:p>
        </w:tc>
      </w:tr>
      <w:tr>
        <w:trPr>
          <w:trHeight w:val="196"/>
        </w:trPr>
        <w:tc>
          <w:tcPr>
            <w:tcW w:w="3400" w:type="dxa"/>
            <w:vAlign w:val="bottom"/>
          </w:tcPr>
          <w:p>
            <w:pPr>
              <w:spacing w:after="0"/>
              <w:rPr>
                <w:sz w:val="17"/>
                <w:szCs w:val="17"/>
                <w:color w:val="auto"/>
              </w:rPr>
            </w:pPr>
          </w:p>
        </w:tc>
        <w:tc>
          <w:tcPr>
            <w:tcW w:w="8040" w:type="dxa"/>
            <w:vAlign w:val="bottom"/>
            <w:gridSpan w:val="2"/>
          </w:tcPr>
          <w:p>
            <w:pPr>
              <w:ind w:left="2320"/>
              <w:spacing w:after="0"/>
              <w:rPr>
                <w:sz w:val="20"/>
                <w:szCs w:val="20"/>
                <w:color w:val="auto"/>
              </w:rPr>
            </w:pPr>
            <w:r>
              <w:rPr>
                <w:rFonts w:ascii="Arial" w:cs="Arial" w:eastAsia="Arial" w:hAnsi="Arial"/>
                <w:sz w:val="15"/>
                <w:szCs w:val="15"/>
                <w:color w:val="auto"/>
              </w:rPr>
              <w:t>PLATFORM FUND C/O AJU IB INVESTMENT</w:t>
            </w:r>
          </w:p>
        </w:tc>
      </w:tr>
      <w:tr>
        <w:trPr>
          <w:trHeight w:val="556"/>
        </w:trPr>
        <w:tc>
          <w:tcPr>
            <w:tcW w:w="3400" w:type="dxa"/>
            <w:vAlign w:val="bottom"/>
          </w:tcPr>
          <w:p>
            <w:pPr>
              <w:spacing w:after="0"/>
              <w:rPr>
                <w:sz w:val="24"/>
                <w:szCs w:val="24"/>
                <w:color w:val="auto"/>
              </w:rPr>
            </w:pPr>
          </w:p>
        </w:tc>
        <w:tc>
          <w:tcPr>
            <w:tcW w:w="3080" w:type="dxa"/>
            <w:vAlign w:val="bottom"/>
          </w:tcPr>
          <w:p>
            <w:pPr>
              <w:ind w:left="2320"/>
              <w:spacing w:after="0"/>
              <w:rPr>
                <w:sz w:val="20"/>
                <w:szCs w:val="20"/>
                <w:color w:val="auto"/>
              </w:rPr>
            </w:pPr>
            <w:r>
              <w:rPr>
                <w:rFonts w:ascii="Arial" w:cs="Arial" w:eastAsia="Arial" w:hAnsi="Arial"/>
                <w:sz w:val="15"/>
                <w:szCs w:val="15"/>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Ji-Won Kim</w:t>
            </w:r>
          </w:p>
        </w:tc>
      </w:tr>
      <w:tr>
        <w:trPr>
          <w:trHeight w:val="167"/>
        </w:trPr>
        <w:tc>
          <w:tcPr>
            <w:tcW w:w="3400" w:type="dxa"/>
            <w:vAlign w:val="bottom"/>
          </w:tcPr>
          <w:p>
            <w:pPr>
              <w:spacing w:after="0"/>
              <w:rPr>
                <w:sz w:val="14"/>
                <w:szCs w:val="14"/>
                <w:color w:val="auto"/>
              </w:rPr>
            </w:pPr>
          </w:p>
        </w:tc>
        <w:tc>
          <w:tcPr>
            <w:tcW w:w="3080" w:type="dxa"/>
            <w:vAlign w:val="bottom"/>
          </w:tcPr>
          <w:p>
            <w:pPr>
              <w:ind w:left="2320"/>
              <w:spacing w:after="0" w:line="167" w:lineRule="exact"/>
              <w:rPr>
                <w:sz w:val="20"/>
                <w:szCs w:val="20"/>
                <w:color w:val="auto"/>
              </w:rPr>
            </w:pPr>
            <w:r>
              <w:rPr>
                <w:rFonts w:ascii="Arial" w:cs="Arial" w:eastAsia="Arial" w:hAnsi="Arial"/>
                <w:sz w:val="15"/>
                <w:szCs w:val="15"/>
                <w:color w:val="auto"/>
              </w:rPr>
              <w:t>Name:</w:t>
            </w:r>
          </w:p>
        </w:tc>
        <w:tc>
          <w:tcPr>
            <w:tcW w:w="4960" w:type="dxa"/>
            <w:vAlign w:val="bottom"/>
          </w:tcPr>
          <w:p>
            <w:pPr>
              <w:spacing w:after="0" w:line="167" w:lineRule="exact"/>
              <w:rPr>
                <w:sz w:val="20"/>
                <w:szCs w:val="20"/>
                <w:color w:val="auto"/>
              </w:rPr>
            </w:pPr>
            <w:r>
              <w:rPr>
                <w:rFonts w:ascii="Arial" w:cs="Arial" w:eastAsia="Arial" w:hAnsi="Arial"/>
                <w:sz w:val="15"/>
                <w:szCs w:val="15"/>
                <w:color w:val="auto"/>
              </w:rPr>
              <w:t>Ji-Won Kim</w:t>
            </w:r>
          </w:p>
        </w:tc>
      </w:tr>
      <w:tr>
        <w:trPr>
          <w:trHeight w:val="196"/>
        </w:trPr>
        <w:tc>
          <w:tcPr>
            <w:tcW w:w="3400" w:type="dxa"/>
            <w:vAlign w:val="bottom"/>
          </w:tcPr>
          <w:p>
            <w:pPr>
              <w:spacing w:after="0"/>
              <w:rPr>
                <w:sz w:val="17"/>
                <w:szCs w:val="17"/>
                <w:color w:val="auto"/>
              </w:rPr>
            </w:pPr>
          </w:p>
        </w:tc>
        <w:tc>
          <w:tcPr>
            <w:tcW w:w="3080" w:type="dxa"/>
            <w:vAlign w:val="bottom"/>
          </w:tcPr>
          <w:p>
            <w:pPr>
              <w:ind w:left="2320"/>
              <w:spacing w:after="0"/>
              <w:rPr>
                <w:sz w:val="20"/>
                <w:szCs w:val="20"/>
                <w:color w:val="auto"/>
              </w:rPr>
            </w:pPr>
            <w:r>
              <w:rPr>
                <w:rFonts w:ascii="Arial" w:cs="Arial" w:eastAsia="Arial" w:hAnsi="Arial"/>
                <w:sz w:val="15"/>
                <w:szCs w:val="15"/>
                <w:color w:val="auto"/>
              </w:rPr>
              <w:t>Title:</w:t>
            </w:r>
          </w:p>
        </w:tc>
        <w:tc>
          <w:tcPr>
            <w:tcW w:w="4960" w:type="dxa"/>
            <w:vAlign w:val="bottom"/>
          </w:tcPr>
          <w:p>
            <w:pPr>
              <w:spacing w:after="0"/>
              <w:rPr>
                <w:sz w:val="20"/>
                <w:szCs w:val="20"/>
                <w:color w:val="auto"/>
              </w:rPr>
            </w:pPr>
            <w:r>
              <w:rPr>
                <w:rFonts w:ascii="Arial" w:cs="Arial" w:eastAsia="Arial" w:hAnsi="Arial"/>
                <w:sz w:val="15"/>
                <w:szCs w:val="15"/>
                <w:color w:val="auto"/>
              </w:rPr>
              <w:t>CEO</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SCHEDULE A</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Purchasers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VTB Capital I2BF Netherlands B.V.</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Herikerbergweg 238, 1101 CM Amsterdam Zuidoost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Netherlands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Selecta RKFN Ltd.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123290, Russia, Moscow, 1-y</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Magistralnyy tupik, 5A</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RUSNANO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10A prospect 60-letiya Oktyabrya</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Moscow, Russia 117036</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Eminent II Venture Capital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Room A, 28th Floor, No. 7, Sec. 5</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Xinyi Rd., Xinyi District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Taipei City 110, Taiwan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Flagship Ventures Fund 2007, L.P.</w:t>
      </w:r>
    </w:p>
    <w:p>
      <w:pPr>
        <w:ind w:left="20"/>
        <w:spacing w:after="0" w:line="219" w:lineRule="auto"/>
        <w:rPr>
          <w:sz w:val="20"/>
          <w:szCs w:val="20"/>
          <w:color w:val="auto"/>
        </w:rPr>
      </w:pPr>
      <w:r>
        <w:rPr>
          <w:rFonts w:ascii="Arial" w:cs="Arial" w:eastAsia="Arial" w:hAnsi="Arial"/>
          <w:sz w:val="15"/>
          <w:szCs w:val="15"/>
          <w:color w:val="auto"/>
        </w:rPr>
        <w:t>One Memorial Drive, 7</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Floor</w:t>
      </w:r>
    </w:p>
    <w:p>
      <w:pPr>
        <w:ind w:left="20"/>
        <w:spacing w:after="0"/>
        <w:rPr>
          <w:sz w:val="20"/>
          <w:szCs w:val="20"/>
          <w:color w:val="auto"/>
        </w:rPr>
      </w:pPr>
      <w:r>
        <w:rPr>
          <w:rFonts w:ascii="Arial" w:cs="Arial" w:eastAsia="Arial" w:hAnsi="Arial"/>
          <w:sz w:val="15"/>
          <w:szCs w:val="15"/>
          <w:color w:val="auto"/>
        </w:rPr>
        <w:t>Cambridge, MA 02142</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5"/>
          <w:szCs w:val="15"/>
          <w:color w:val="auto"/>
        </w:rPr>
        <w:t>Polaris Venture Partners V, L.P.</w:t>
      </w:r>
    </w:p>
    <w:p>
      <w:pPr>
        <w:sectPr>
          <w:pgSz w:w="11900" w:h="16838" w:orient="portrait"/>
          <w:cols w:equalWidth="0" w:num="1">
            <w:col w:w="11480"/>
          </w:cols>
          <w:pgMar w:left="220" w:top="314" w:right="199" w:bottom="0" w:gutter="0" w:footer="0" w:header="0"/>
        </w:sectPr>
      </w:pPr>
    </w:p>
    <w:bookmarkStart w:id="332" w:name="page333"/>
    <w:bookmarkEnd w:id="332"/>
    <w:p>
      <w:pPr>
        <w:spacing w:after="0"/>
        <w:rPr>
          <w:sz w:val="20"/>
          <w:szCs w:val="20"/>
          <w:color w:val="auto"/>
        </w:rPr>
      </w:pPr>
      <w:r>
        <w:rPr>
          <w:rFonts w:ascii="Arial" w:cs="Arial" w:eastAsia="Arial" w:hAnsi="Arial"/>
          <w:sz w:val="15"/>
          <w:szCs w:val="15"/>
          <w:color w:val="auto"/>
        </w:rPr>
        <w:t>1000 Winter Street, Suite 3350</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Amir H. Nashat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Polaris Venture Partners Entrepreneurs’ Fund V, L.P.</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1000 Winter Street, Suite 3350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Amir H. Nashat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Polaris Venture Partners Founders’ Fund V,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1000 Winter Street, Suite 3350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Amir H. Nashat</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Polaris Venture Partners Special Founders’ Fund V, L.P.</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1000 Winter Street, Suite 3350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Amir H. Nashat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auto"/>
        </w:rPr>
        <w:t>NanoDimension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NanoDimension Management Limited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Jonathan Nicholson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Centennial Towers, Suite 306B</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2454 West Bay Road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Grand Cayman, Cayman Islands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Leukon Investments,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36 Woodman Rd.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Newton, Massachusetts 02467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Dr. Timothy A. Springer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TAS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36 Woodman Rd.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Newton, Massachusetts 02467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Dr. Timothy A. Springer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OrbiMed Private Investments III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767 Third Avenue, 30th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Carl Gordon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OrbiMed Associates III,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767 Third Avenue, 30th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Carl Gordon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Alexandria Equities, LLC</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385 E. Colorado Blvd., Suite 299, Pasadena, CA 91101</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Attn: Joel S. Marcus, CEO</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Blakeley Ventures,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60 State Street, Suite 3400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02109</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Jeffrey B. Larson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6 Arlington Street, Unit 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02116</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Samiei &amp; Morse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59 Farnham Street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Belmont, MA 02478</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Megan Kelleher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444 Far Reach Road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Westwood, MA 02090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auto"/>
        </w:rPr>
        <w:t>Dimitris Bertsimas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43 Lantern Rd.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Belmont, MA 02478</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Peter W. Doelger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144 Beacon Street, Apt. 3</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02116</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SILVER ROCK FINANCIAL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WELLWATER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ectPr>
          <w:pgSz w:w="11900" w:h="16838" w:orient="portrait"/>
          <w:cols w:equalWidth="0" w:num="1">
            <w:col w:w="10219"/>
          </w:cols>
          <w:pgMar w:left="240" w:top="129" w:right="1440" w:bottom="0" w:gutter="0" w:footer="0" w:header="0"/>
        </w:sectPr>
      </w:pPr>
    </w:p>
    <w:bookmarkStart w:id="333" w:name="page334"/>
    <w:bookmarkEnd w:id="333"/>
    <w:p>
      <w:pPr>
        <w:spacing w:after="0"/>
        <w:rPr>
          <w:sz w:val="20"/>
          <w:szCs w:val="20"/>
          <w:color w:val="auto"/>
        </w:rPr>
      </w:pPr>
      <w:r>
        <w:rPr>
          <w:rFonts w:ascii="Arial" w:cs="Arial" w:eastAsia="Arial" w:hAnsi="Arial"/>
          <w:sz w:val="15"/>
          <w:szCs w:val="15"/>
          <w:color w:val="auto"/>
        </w:rPr>
        <w:t>BAYSIDE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NP1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GENUNO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DNSMORE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GENTRACE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GENDOS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Mark Afrasiabi</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711 El Medio Ave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Pacific Palisades CA 90272</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Scott Cohen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405 Palisades Ave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auto"/>
        </w:rPr>
        <w:t>Aventisub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Sanofi</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54 rue La Boetie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75008 Paris :</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Facsimile : +33 1 53 77 44 53</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 Vice President, Legal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Sphera Fund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Sphera Funds Management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21 Ha’Arbaah Street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Platinum House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Tel Aviv 64739</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Osage University Partners II,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50 Monument Road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Suite 201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Bala Cynwyd, PA 19004</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Biodynamics Core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Biodynamics LLC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15 Laura Rd.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Waban, MA 02468</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AJU Life Science Overseas Expansion Platform Fund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AJU IB Investment Co. Ltd.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201 Teheran-ro, 5th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Gangnam-gu</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Seoul, Korea 135-978</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Mr. Ji-won Kim, CEO</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Ridgeback Capital Investments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500 South Pointe, Suite 220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Miami Beach, FL 33139</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WV Investment Trust B</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Attn. Alan Rottenberg, Trustee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Goulston &amp; Storrs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400 Atlantic Avenue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02110</w:t>
      </w:r>
    </w:p>
    <w:p>
      <w:pPr>
        <w:spacing w:after="0" w:line="188"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SCHEDULE B</w:t>
      </w:r>
    </w:p>
    <w:p>
      <w:pPr>
        <w:spacing w:after="0" w:line="192" w:lineRule="exact"/>
        <w:rPr>
          <w:sz w:val="20"/>
          <w:szCs w:val="20"/>
          <w:color w:val="auto"/>
        </w:rPr>
      </w:pPr>
    </w:p>
    <w:p>
      <w:pPr>
        <w:jc w:val="right"/>
        <w:ind w:right="3759"/>
        <w:spacing w:after="0"/>
        <w:rPr>
          <w:sz w:val="20"/>
          <w:szCs w:val="20"/>
          <w:color w:val="auto"/>
        </w:rPr>
      </w:pPr>
      <w:r>
        <w:rPr>
          <w:rFonts w:ascii="Arial" w:cs="Arial" w:eastAsia="Arial" w:hAnsi="Arial"/>
          <w:sz w:val="15"/>
          <w:szCs w:val="15"/>
          <w:b w:val="1"/>
          <w:bCs w:val="1"/>
          <w:u w:val="single" w:color="auto"/>
          <w:color w:val="auto"/>
        </w:rPr>
        <w:t>Licensor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Massachusetts Institute of Technology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Treasurer’s Office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238 Main Street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Cambridge, MA 02142</w:t>
      </w:r>
    </w:p>
    <w:p>
      <w:pPr>
        <w:sectPr>
          <w:pgSz w:w="11900" w:h="16838" w:orient="portrait"/>
          <w:cols w:equalWidth="0" w:num="1">
            <w:col w:w="10219"/>
          </w:cols>
          <w:pgMar w:left="240" w:top="128" w:right="1440" w:bottom="0" w:gutter="0" w:footer="0" w:header="0"/>
        </w:sectPr>
      </w:pPr>
    </w:p>
    <w:bookmarkStart w:id="334" w:name="page335"/>
    <w:bookmarkEnd w:id="334"/>
    <w:p>
      <w:pPr>
        <w:spacing w:after="0"/>
        <w:rPr>
          <w:sz w:val="20"/>
          <w:szCs w:val="20"/>
          <w:color w:val="auto"/>
        </w:rPr>
      </w:pPr>
      <w:r>
        <w:rPr>
          <w:rFonts w:ascii="Arial" w:cs="Arial" w:eastAsia="Arial" w:hAnsi="Arial"/>
          <w:sz w:val="15"/>
          <w:szCs w:val="15"/>
          <w:color w:val="auto"/>
        </w:rPr>
        <w:t>Attention: Philip Rotner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Fax: 617.258.6676</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President and Fellows of Harvard College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Harvard University Office of Technology Development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Michal Preminger, Senior Director of Business Development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1350 Massachusetts Ave, Suite 727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Cambridge, Massachusetts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Tel: 617-432-3896</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Fax: 617-432-2788</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Email: michal_preminger@harvard.edu</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Brigham and Women’s Hospital, Inc.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Research and Licensing</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101 Huntington Ave, 4th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02199</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Arlene Parquette, Licensing Associate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phone: 617-954-9381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fax: 617-954-9361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Children’s Medical Center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Intellectual Property Office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Children’s Hospital Boston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300 Longwood Avenue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Nurjana Bachman, PhD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Ph: (617) 919-3028</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Fax: (617) 919-3031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Nurjana.Bachman@Childrens.Harvard.edu</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Immune Disease Institute, Inc.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Office of Technology Development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800 Huntington Avenue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Ryan M. Dietz, Director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Tel: 617.278.3463</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Fax: 617.278.3395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email: dietz@idi.harvard.edu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Project Company Reporting Requirements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840" w:type="dxa"/>
            <w:vAlign w:val="bottom"/>
            <w:gridSpan w:val="3"/>
          </w:tcPr>
          <w:p>
            <w:pPr>
              <w:spacing w:after="0"/>
              <w:rPr>
                <w:sz w:val="20"/>
                <w:szCs w:val="20"/>
                <w:color w:val="auto"/>
              </w:rPr>
            </w:pPr>
            <w:r>
              <w:rPr>
                <w:rFonts w:ascii="Arial" w:cs="Arial" w:eastAsia="Arial" w:hAnsi="Arial"/>
                <w:sz w:val="12"/>
                <w:szCs w:val="12"/>
                <w:b w:val="1"/>
                <w:bCs w:val="1"/>
                <w:color w:val="auto"/>
              </w:rPr>
              <w:t>Document</w:t>
            </w:r>
          </w:p>
        </w:tc>
        <w:tc>
          <w:tcPr>
            <w:tcW w:w="1620" w:type="dxa"/>
            <w:vAlign w:val="bottom"/>
          </w:tcPr>
          <w:p>
            <w:pPr>
              <w:spacing w:after="0"/>
              <w:rPr>
                <w:sz w:val="12"/>
                <w:szCs w:val="12"/>
                <w:color w:val="auto"/>
              </w:rPr>
            </w:pPr>
          </w:p>
        </w:tc>
        <w:tc>
          <w:tcPr>
            <w:tcW w:w="3980" w:type="dxa"/>
            <w:vAlign w:val="bottom"/>
          </w:tcPr>
          <w:p>
            <w:pPr>
              <w:ind w:left="560"/>
              <w:spacing w:after="0"/>
              <w:rPr>
                <w:sz w:val="20"/>
                <w:szCs w:val="20"/>
                <w:color w:val="auto"/>
              </w:rPr>
            </w:pPr>
            <w:r>
              <w:rPr>
                <w:rFonts w:ascii="Arial" w:cs="Arial" w:eastAsia="Arial" w:hAnsi="Arial"/>
                <w:sz w:val="12"/>
                <w:szCs w:val="12"/>
                <w:b w:val="1"/>
                <w:bCs w:val="1"/>
                <w:color w:val="auto"/>
              </w:rPr>
              <w:t>Deadline for submitting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58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rPr>
              <w:t>Balance Sheet (Form № 1, approved by the Order of the Ministry of Finance of the</w:t>
            </w:r>
          </w:p>
        </w:tc>
        <w:tc>
          <w:tcPr>
            <w:tcW w:w="24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3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Russian Federation № 67n «On the forms of accounting of organizations» (onward -</w:t>
            </w:r>
          </w:p>
        </w:tc>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Quarterly, no later than 30 (thirty) days after the end of the reporting 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«Order № 67n»))</w:t>
            </w:r>
          </w:p>
        </w:tc>
        <w:tc>
          <w:tcPr>
            <w:tcW w:w="162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statement (Form № 2 approved by Order № 67n)</w:t>
            </w:r>
          </w:p>
        </w:tc>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Quarterly, no later than 30 (thirty) days after the end of the reporting quarter</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Statement of changes in the equity (form № 3, approved by Order № 67n)</w:t>
            </w:r>
          </w:p>
        </w:tc>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Annually, no later than 90 (ninety) days after the end of the reporting year</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Statement of cash flows (Form № 4, approved by Order № 67n)</w:t>
            </w: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w w:val="94"/>
              </w:rPr>
              <w:t>Annually, no later than 90</w:t>
            </w:r>
          </w:p>
        </w:tc>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(ninety) days after the end of the reporting year</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Annex to the balance sheet (Form № 5, approved by Order № 67n)</w:t>
            </w: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w w:val="94"/>
              </w:rPr>
              <w:t>Annually, no later than 90</w:t>
            </w:r>
          </w:p>
        </w:tc>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(ninety) days after the end of the reporting year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Audit report</w:t>
            </w: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w w:val="94"/>
              </w:rPr>
              <w:t>Annually, no later than 20</w:t>
            </w:r>
          </w:p>
        </w:tc>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(twenty) business days from the date of approval at the annual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820" w:type="dxa"/>
            <w:vAlign w:val="bottom"/>
            <w:gridSpan w:val="2"/>
            <w:vMerge w:val="continue"/>
            <w:shd w:val="clear" w:color="auto" w:fill="CCEEFF"/>
          </w:tcPr>
          <w:p>
            <w:pPr>
              <w:spacing w:after="0"/>
              <w:rPr>
                <w:sz w:val="8"/>
                <w:szCs w:val="8"/>
                <w:color w:val="auto"/>
              </w:rPr>
            </w:pPr>
          </w:p>
        </w:tc>
        <w:tc>
          <w:tcPr>
            <w:tcW w:w="56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shareholders’ meeting of the Russian Entity.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5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Tax returns for income tax, VAT and property tax</w:t>
            </w: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w w:val="94"/>
              </w:rPr>
              <w:t>Annually, no later than 90</w:t>
            </w:r>
          </w:p>
        </w:tc>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(ninety) days after the end of the reporting year</w:t>
            </w:r>
          </w:p>
        </w:tc>
        <w:tc>
          <w:tcPr>
            <w:tcW w:w="0" w:type="dxa"/>
            <w:vAlign w:val="bottom"/>
          </w:tcPr>
          <w:p>
            <w:pPr>
              <w:spacing w:after="0"/>
              <w:rPr>
                <w:sz w:val="1"/>
                <w:szCs w:val="1"/>
                <w:color w:val="auto"/>
              </w:rPr>
            </w:pPr>
          </w:p>
        </w:tc>
      </w:tr>
      <w:tr>
        <w:trPr>
          <w:trHeight w:val="370"/>
        </w:trPr>
        <w:tc>
          <w:tcPr>
            <w:tcW w:w="5840" w:type="dxa"/>
            <w:vAlign w:val="bottom"/>
            <w:gridSpan w:val="3"/>
          </w:tcPr>
          <w:p>
            <w:pPr>
              <w:spacing w:after="0"/>
              <w:rPr>
                <w:sz w:val="20"/>
                <w:szCs w:val="20"/>
                <w:color w:val="auto"/>
              </w:rPr>
            </w:pPr>
            <w:r>
              <w:rPr>
                <w:rFonts w:ascii="Arial" w:cs="Arial" w:eastAsia="Arial" w:hAnsi="Arial"/>
                <w:sz w:val="15"/>
                <w:szCs w:val="15"/>
                <w:color w:val="auto"/>
              </w:rPr>
              <w:t>Statistical reports (forms of The State Committee of Statistics)</w:t>
            </w:r>
          </w:p>
        </w:tc>
        <w:tc>
          <w:tcPr>
            <w:tcW w:w="16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200025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66305" cy="2000250"/>
                    </a:xfrm>
                    <a:prstGeom prst="rect">
                      <a:avLst/>
                    </a:prstGeom>
                    <a:noFill/>
                  </pic:spPr>
                </pic:pic>
              </a:graphicData>
            </a:graphic>
          </wp:anchor>
        </w:drawing>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Information about the presence and movement of fixed assets (funds) and other non-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financial assets 7/10/2009 № 132</w:t>
      </w:r>
    </w:p>
    <w:p>
      <w:pPr>
        <w:spacing w:after="0" w:line="188" w:lineRule="exact"/>
        <w:rPr>
          <w:sz w:val="20"/>
          <w:szCs w:val="20"/>
          <w:color w:val="auto"/>
        </w:rPr>
      </w:pPr>
    </w:p>
    <w:p>
      <w:pPr>
        <w:ind w:left="200" w:hanging="96"/>
        <w:spacing w:after="0"/>
        <w:tabs>
          <w:tab w:leader="none" w:pos="20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The main data of the activity of the organization 7/28/2009 № 153</w:t>
      </w:r>
    </w:p>
    <w:p>
      <w:pPr>
        <w:spacing w:after="0" w:line="198" w:lineRule="exact"/>
        <w:rPr>
          <w:rFonts w:ascii="Arial" w:cs="Arial" w:eastAsia="Arial" w:hAnsi="Arial"/>
          <w:sz w:val="15"/>
          <w:szCs w:val="15"/>
          <w:color w:val="auto"/>
        </w:rPr>
      </w:pPr>
    </w:p>
    <w:p>
      <w:pPr>
        <w:ind w:left="200" w:hanging="96"/>
        <w:spacing w:after="0"/>
        <w:tabs>
          <w:tab w:leader="none" w:pos="20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Information about the shipment of goods, works and services related to</w:t>
      </w:r>
    </w:p>
    <w:p>
      <w:pPr>
        <w:spacing w:after="0" w:line="23"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3840" w:type="dxa"/>
            <w:vAlign w:val="bottom"/>
          </w:tcPr>
          <w:p>
            <w:pPr>
              <w:spacing w:after="0"/>
              <w:rPr>
                <w:sz w:val="20"/>
                <w:szCs w:val="20"/>
                <w:color w:val="auto"/>
              </w:rPr>
            </w:pPr>
            <w:r>
              <w:rPr>
                <w:rFonts w:ascii="Arial" w:cs="Arial" w:eastAsia="Arial" w:hAnsi="Arial"/>
                <w:sz w:val="15"/>
                <w:szCs w:val="15"/>
                <w:color w:val="auto"/>
              </w:rPr>
              <w:t>nanotechnologies 2/8/2010 № 83</w:t>
            </w:r>
          </w:p>
        </w:tc>
        <w:tc>
          <w:tcPr>
            <w:tcW w:w="6360" w:type="dxa"/>
            <w:vAlign w:val="bottom"/>
          </w:tcPr>
          <w:p>
            <w:pPr>
              <w:ind w:left="1800"/>
              <w:spacing w:after="0"/>
              <w:rPr>
                <w:sz w:val="20"/>
                <w:szCs w:val="20"/>
                <w:color w:val="auto"/>
              </w:rPr>
            </w:pPr>
            <w:r>
              <w:rPr>
                <w:rFonts w:ascii="Arial" w:cs="Arial" w:eastAsia="Arial" w:hAnsi="Arial"/>
                <w:sz w:val="15"/>
                <w:szCs w:val="15"/>
                <w:color w:val="auto"/>
                <w:w w:val="93"/>
              </w:rPr>
              <w:t>Annually, no later than 90 (ninety) days after the end of the reporting year</w:t>
            </w:r>
          </w:p>
        </w:tc>
      </w:tr>
    </w:tbl>
    <w:p>
      <w:pPr>
        <w:spacing w:after="0" w:line="165" w:lineRule="exact"/>
        <w:rPr>
          <w:sz w:val="20"/>
          <w:szCs w:val="20"/>
          <w:color w:val="auto"/>
        </w:rPr>
      </w:pPr>
    </w:p>
    <w:p>
      <w:pPr>
        <w:ind w:left="200" w:right="6400" w:hanging="96"/>
        <w:spacing w:after="0" w:line="289" w:lineRule="auto"/>
        <w:tabs>
          <w:tab w:leader="none" w:pos="201" w:val="left"/>
        </w:tabs>
        <w:numPr>
          <w:ilvl w:val="0"/>
          <w:numId w:val="283"/>
        </w:numPr>
        <w:rPr>
          <w:rFonts w:ascii="Arial" w:cs="Arial" w:eastAsia="Arial" w:hAnsi="Arial"/>
          <w:sz w:val="15"/>
          <w:szCs w:val="15"/>
          <w:color w:val="auto"/>
        </w:rPr>
      </w:pPr>
      <w:r>
        <w:rPr>
          <w:rFonts w:ascii="Arial" w:cs="Arial" w:eastAsia="Arial" w:hAnsi="Arial"/>
          <w:sz w:val="15"/>
          <w:szCs w:val="15"/>
          <w:color w:val="auto"/>
        </w:rPr>
        <w:t>Data on production output by (Russian) National Classification of Products by Economic Activities (NCPEA) 1/28/2010 № 76</w:t>
      </w:r>
    </w:p>
    <w:p>
      <w:pPr>
        <w:spacing w:after="0" w:line="140" w:lineRule="exact"/>
        <w:rPr>
          <w:rFonts w:ascii="Arial" w:cs="Arial" w:eastAsia="Arial" w:hAnsi="Arial"/>
          <w:sz w:val="15"/>
          <w:szCs w:val="15"/>
          <w:color w:val="auto"/>
        </w:rPr>
      </w:pPr>
    </w:p>
    <w:p>
      <w:pPr>
        <w:ind w:left="200" w:right="6540" w:hanging="96"/>
        <w:spacing w:after="0" w:line="289" w:lineRule="auto"/>
        <w:tabs>
          <w:tab w:leader="none" w:pos="201" w:val="left"/>
        </w:tabs>
        <w:numPr>
          <w:ilvl w:val="0"/>
          <w:numId w:val="283"/>
        </w:numPr>
        <w:rPr>
          <w:rFonts w:ascii="Arial" w:cs="Arial" w:eastAsia="Arial" w:hAnsi="Arial"/>
          <w:sz w:val="15"/>
          <w:szCs w:val="15"/>
          <w:color w:val="auto"/>
        </w:rPr>
      </w:pPr>
      <w:r>
        <w:rPr>
          <w:rFonts w:ascii="Arial" w:cs="Arial" w:eastAsia="Arial" w:hAnsi="Arial"/>
          <w:sz w:val="15"/>
          <w:szCs w:val="15"/>
          <w:color w:val="auto"/>
        </w:rPr>
        <w:t>Information about creation and use of advanced manufacturing technologies 10/30/2009 № 237</w:t>
      </w:r>
    </w:p>
    <w:p>
      <w:pPr>
        <w:spacing w:after="0" w:line="140" w:lineRule="exact"/>
        <w:rPr>
          <w:rFonts w:ascii="Arial" w:cs="Arial" w:eastAsia="Arial" w:hAnsi="Arial"/>
          <w:sz w:val="15"/>
          <w:szCs w:val="15"/>
          <w:color w:val="auto"/>
        </w:rPr>
      </w:pPr>
    </w:p>
    <w:p>
      <w:pPr>
        <w:ind w:left="200" w:hanging="96"/>
        <w:spacing w:after="0"/>
        <w:tabs>
          <w:tab w:leader="none" w:pos="20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Information about the innovation activity of the organization 10/30/2009 № 237</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1" w:lineRule="exact"/>
        <w:rPr>
          <w:rFonts w:ascii="Arial" w:cs="Arial" w:eastAsia="Arial" w:hAnsi="Arial"/>
          <w:sz w:val="15"/>
          <w:szCs w:val="15"/>
          <w:color w:val="auto"/>
        </w:rPr>
      </w:pPr>
    </w:p>
    <w:p>
      <w:pPr>
        <w:ind w:left="200" w:right="5980" w:hanging="96"/>
        <w:spacing w:after="0" w:line="289" w:lineRule="auto"/>
        <w:tabs>
          <w:tab w:leader="none" w:pos="201" w:val="left"/>
        </w:tabs>
        <w:numPr>
          <w:ilvl w:val="0"/>
          <w:numId w:val="283"/>
        </w:numPr>
        <w:rPr>
          <w:rFonts w:ascii="Arial" w:cs="Arial" w:eastAsia="Arial" w:hAnsi="Arial"/>
          <w:sz w:val="15"/>
          <w:szCs w:val="15"/>
          <w:color w:val="auto"/>
        </w:rPr>
      </w:pPr>
      <w:r>
        <w:rPr>
          <w:rFonts w:ascii="Arial" w:cs="Arial" w:eastAsia="Arial" w:hAnsi="Arial"/>
          <w:sz w:val="15"/>
          <w:szCs w:val="15"/>
          <w:color w:val="auto"/>
        </w:rPr>
        <w:t>Information about commercial technology exchange with foreign countries (partners) 8/20/2008 № 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285990" cy="2730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8599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-256540</wp:posOffset>
            </wp:positionV>
            <wp:extent cx="7266305" cy="60198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66305" cy="601980"/>
                    </a:xfrm>
                    <a:prstGeom prst="rect">
                      <a:avLst/>
                    </a:prstGeom>
                    <a:noFill/>
                  </pic:spPr>
                </pic:pic>
              </a:graphicData>
            </a:graphic>
          </wp:anchor>
        </w:drawing>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Information about investments in non-financial assets 7/10/2009 № 132</w:t>
      </w:r>
    </w:p>
    <w:p>
      <w:pPr>
        <w:sectPr>
          <w:pgSz w:w="11900" w:h="16838" w:orient="portrait"/>
          <w:cols w:equalWidth="0" w:num="1">
            <w:col w:w="11440"/>
          </w:cols>
          <w:pgMar w:left="240" w:top="129" w:right="219" w:bottom="0" w:gutter="0" w:footer="0" w:header="0"/>
        </w:sectPr>
      </w:pPr>
    </w:p>
    <w:bookmarkStart w:id="335" w:name="page336"/>
    <w:bookmarkEnd w:id="335"/>
    <w:p>
      <w:pPr>
        <w:ind w:left="207" w:hanging="96"/>
        <w:spacing w:after="0"/>
        <w:tabs>
          <w:tab w:leader="none" w:pos="207" w:val="left"/>
        </w:tabs>
        <w:numPr>
          <w:ilvl w:val="0"/>
          <w:numId w:val="284"/>
        </w:numPr>
        <w:rPr>
          <w:rFonts w:ascii="Arial" w:cs="Arial" w:eastAsia="Arial" w:hAnsi="Arial"/>
          <w:sz w:val="15"/>
          <w:szCs w:val="15"/>
          <w:color w:val="auto"/>
        </w:rPr>
      </w:pPr>
      <w:r>
        <w:rPr>
          <w:rFonts w:ascii="Arial" w:cs="Arial" w:eastAsia="Arial" w:hAnsi="Arial"/>
          <w:sz w:val="15"/>
          <w:szCs w:val="15"/>
          <w:color w:val="auto"/>
        </w:rPr>
        <w:t>Information about investment activity 8/14/2008 № 189</w:t>
      </w:r>
    </w:p>
    <w:p>
      <w:pPr>
        <w:spacing w:after="0" w:line="198" w:lineRule="exact"/>
        <w:rPr>
          <w:rFonts w:ascii="Arial" w:cs="Arial" w:eastAsia="Arial" w:hAnsi="Arial"/>
          <w:sz w:val="15"/>
          <w:szCs w:val="15"/>
          <w:color w:val="auto"/>
        </w:rPr>
      </w:pPr>
    </w:p>
    <w:p>
      <w:pPr>
        <w:ind w:left="207" w:hanging="96"/>
        <w:spacing w:after="0"/>
        <w:tabs>
          <w:tab w:leader="none" w:pos="207" w:val="left"/>
        </w:tabs>
        <w:numPr>
          <w:ilvl w:val="0"/>
          <w:numId w:val="284"/>
        </w:numPr>
        <w:rPr>
          <w:rFonts w:ascii="Arial" w:cs="Arial" w:eastAsia="Arial" w:hAnsi="Arial"/>
          <w:sz w:val="15"/>
          <w:szCs w:val="15"/>
          <w:color w:val="auto"/>
        </w:rPr>
      </w:pPr>
      <w:r>
        <w:rPr>
          <w:rFonts w:ascii="Arial" w:cs="Arial" w:eastAsia="Arial" w:hAnsi="Arial"/>
          <w:sz w:val="15"/>
          <w:szCs w:val="15"/>
          <w:color w:val="auto"/>
        </w:rPr>
        <w:t>Information on the number and wages of workers 8/26/2009 № 184</w:t>
      </w:r>
    </w:p>
    <w:p>
      <w:pPr>
        <w:spacing w:after="0" w:line="198" w:lineRule="exact"/>
        <w:rPr>
          <w:rFonts w:ascii="Arial" w:cs="Arial" w:eastAsia="Arial" w:hAnsi="Arial"/>
          <w:sz w:val="15"/>
          <w:szCs w:val="15"/>
          <w:color w:val="auto"/>
        </w:rPr>
      </w:pPr>
    </w:p>
    <w:p>
      <w:pPr>
        <w:ind w:left="207" w:hanging="96"/>
        <w:spacing w:after="0"/>
        <w:tabs>
          <w:tab w:leader="none" w:pos="207" w:val="left"/>
        </w:tabs>
        <w:numPr>
          <w:ilvl w:val="0"/>
          <w:numId w:val="284"/>
        </w:numPr>
        <w:rPr>
          <w:rFonts w:ascii="Arial" w:cs="Arial" w:eastAsia="Arial" w:hAnsi="Arial"/>
          <w:sz w:val="14"/>
          <w:szCs w:val="14"/>
          <w:color w:val="auto"/>
        </w:rPr>
      </w:pPr>
      <w:r>
        <w:rPr>
          <w:rFonts w:ascii="Arial" w:cs="Arial" w:eastAsia="Arial" w:hAnsi="Arial"/>
          <w:sz w:val="14"/>
          <w:szCs w:val="14"/>
          <w:color w:val="auto"/>
        </w:rPr>
        <w:t>Information about the financial status of the organization 7/16/2009 № 139</w:t>
      </w:r>
    </w:p>
    <w:p>
      <w:pPr>
        <w:spacing w:after="0" w:line="209" w:lineRule="exact"/>
        <w:rPr>
          <w:rFonts w:ascii="Arial" w:cs="Arial" w:eastAsia="Arial" w:hAnsi="Arial"/>
          <w:sz w:val="14"/>
          <w:szCs w:val="14"/>
          <w:color w:val="auto"/>
        </w:rPr>
      </w:pPr>
    </w:p>
    <w:p>
      <w:pPr>
        <w:ind w:left="207" w:hanging="96"/>
        <w:spacing w:after="0"/>
        <w:tabs>
          <w:tab w:leader="none" w:pos="207" w:val="left"/>
        </w:tabs>
        <w:numPr>
          <w:ilvl w:val="0"/>
          <w:numId w:val="284"/>
        </w:numPr>
        <w:rPr>
          <w:rFonts w:ascii="Arial" w:cs="Arial" w:eastAsia="Arial" w:hAnsi="Arial"/>
          <w:sz w:val="15"/>
          <w:szCs w:val="15"/>
          <w:color w:val="auto"/>
        </w:rPr>
      </w:pPr>
      <w:r>
        <w:rPr>
          <w:rFonts w:ascii="Arial" w:cs="Arial" w:eastAsia="Arial" w:hAnsi="Arial"/>
          <w:sz w:val="15"/>
          <w:szCs w:val="15"/>
          <w:color w:val="auto"/>
        </w:rPr>
        <w:t>Information on financial investments 7/16/2009 №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-808355</wp:posOffset>
            </wp:positionV>
            <wp:extent cx="7266305" cy="82359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66305" cy="823595"/>
                    </a:xfrm>
                    <a:prstGeom prst="rect">
                      <a:avLst/>
                    </a:prstGeom>
                    <a:noFill/>
                  </pic:spPr>
                </pic:pic>
              </a:graphicData>
            </a:graphic>
          </wp:anchor>
        </w:drawing>
      </w:r>
    </w:p>
    <w:p>
      <w:pPr>
        <w:sectPr>
          <w:pgSz w:w="11900" w:h="16838" w:orient="portrait"/>
          <w:cols w:equalWidth="0" w:num="1">
            <w:col w:w="11447"/>
          </w:cols>
          <w:pgMar w:left="233" w:top="129" w:right="219" w:bottom="0" w:gutter="0" w:footer="0" w:header="0"/>
        </w:sectPr>
      </w:pPr>
    </w:p>
    <w:p>
      <w:pPr>
        <w:spacing w:after="0" w:line="198" w:lineRule="exact"/>
        <w:rPr>
          <w:sz w:val="20"/>
          <w:szCs w:val="20"/>
          <w:color w:val="auto"/>
        </w:rPr>
      </w:pPr>
    </w:p>
    <w:p>
      <w:pPr>
        <w:ind w:left="7" w:right="180"/>
        <w:spacing w:after="0" w:line="289" w:lineRule="auto"/>
        <w:rPr>
          <w:sz w:val="20"/>
          <w:szCs w:val="20"/>
          <w:color w:val="auto"/>
        </w:rPr>
      </w:pPr>
      <w:r>
        <w:rPr>
          <w:rFonts w:ascii="Arial" w:cs="Arial" w:eastAsia="Arial" w:hAnsi="Arial"/>
          <w:sz w:val="15"/>
          <w:szCs w:val="15"/>
          <w:color w:val="auto"/>
        </w:rPr>
        <w:t>Appendix №4 to form number P-1 approved by the Order of the (Russian) Federal State Statistics Service 2/8/2010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66305" cy="23558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121" w:lineRule="exact"/>
        <w:rPr>
          <w:sz w:val="20"/>
          <w:szCs w:val="20"/>
          <w:color w:val="auto"/>
        </w:rPr>
      </w:pPr>
    </w:p>
    <w:p>
      <w:pPr>
        <w:ind w:left="7" w:right="380"/>
        <w:spacing w:after="0" w:line="289" w:lineRule="auto"/>
        <w:rPr>
          <w:sz w:val="20"/>
          <w:szCs w:val="20"/>
          <w:color w:val="auto"/>
        </w:rPr>
      </w:pPr>
      <w:r>
        <w:rPr>
          <w:rFonts w:ascii="Arial" w:cs="Arial" w:eastAsia="Arial" w:hAnsi="Arial"/>
          <w:sz w:val="15"/>
          <w:szCs w:val="15"/>
          <w:color w:val="auto"/>
        </w:rPr>
        <w:t>Statement of cash flows (using form mutually agreeable to the Project Company and Rusnano)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66305" cy="23558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66305" cy="2355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23558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213" w:lineRule="exact"/>
        <w:rPr>
          <w:sz w:val="20"/>
          <w:szCs w:val="20"/>
          <w:color w:val="auto"/>
        </w:rPr>
      </w:pPr>
    </w:p>
    <w:p>
      <w:pPr>
        <w:ind w:left="7"/>
        <w:spacing w:after="0"/>
        <w:rPr>
          <w:sz w:val="20"/>
          <w:szCs w:val="20"/>
          <w:color w:val="auto"/>
        </w:rPr>
      </w:pPr>
      <w:r>
        <w:rPr>
          <w:rFonts w:ascii="Arial" w:cs="Arial" w:eastAsia="Arial" w:hAnsi="Arial"/>
          <w:sz w:val="14"/>
          <w:szCs w:val="14"/>
          <w:color w:val="auto"/>
        </w:rPr>
        <w:t>Income statement (using form mutually agreeable to the Project Company and Rusnano)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66305" cy="23558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375" w:lineRule="exact"/>
        <w:rPr>
          <w:sz w:val="20"/>
          <w:szCs w:val="20"/>
          <w:color w:val="auto"/>
        </w:rPr>
      </w:pPr>
    </w:p>
    <w:p>
      <w:pPr>
        <w:ind w:left="7"/>
        <w:spacing w:after="0"/>
        <w:rPr>
          <w:sz w:val="20"/>
          <w:szCs w:val="20"/>
          <w:color w:val="auto"/>
        </w:rPr>
      </w:pPr>
      <w:r>
        <w:rPr>
          <w:rFonts w:ascii="Arial" w:cs="Arial" w:eastAsia="Arial" w:hAnsi="Arial"/>
          <w:sz w:val="14"/>
          <w:szCs w:val="14"/>
          <w:color w:val="auto"/>
        </w:rPr>
        <w:t>Balance sheet (using form mutually agreeable to the Project Company and Rusnano)</w:t>
      </w:r>
    </w:p>
    <w:p>
      <w:pPr>
        <w:spacing w:after="0" w:line="302" w:lineRule="exact"/>
        <w:rPr>
          <w:sz w:val="20"/>
          <w:szCs w:val="20"/>
          <w:color w:val="auto"/>
        </w:rPr>
      </w:pPr>
    </w:p>
    <w:p>
      <w:pPr>
        <w:ind w:left="7" w:right="440"/>
        <w:spacing w:after="0" w:line="289" w:lineRule="auto"/>
        <w:rPr>
          <w:sz w:val="20"/>
          <w:szCs w:val="20"/>
          <w:color w:val="auto"/>
        </w:rPr>
      </w:pPr>
      <w:r>
        <w:rPr>
          <w:rFonts w:ascii="Arial" w:cs="Arial" w:eastAsia="Arial" w:hAnsi="Arial"/>
          <w:sz w:val="15"/>
          <w:szCs w:val="15"/>
          <w:color w:val="auto"/>
        </w:rPr>
        <w:t>Certificate of Incorporation (original / certified copy) on the last working day of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66305" cy="23558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121" w:lineRule="exact"/>
        <w:rPr>
          <w:sz w:val="20"/>
          <w:szCs w:val="20"/>
          <w:color w:val="auto"/>
        </w:rPr>
      </w:pPr>
    </w:p>
    <w:p>
      <w:pPr>
        <w:ind w:left="7" w:right="220"/>
        <w:spacing w:after="0" w:line="289" w:lineRule="auto"/>
        <w:rPr>
          <w:sz w:val="20"/>
          <w:szCs w:val="20"/>
          <w:color w:val="auto"/>
        </w:rPr>
      </w:pPr>
      <w:r>
        <w:rPr>
          <w:rFonts w:ascii="Arial" w:cs="Arial" w:eastAsia="Arial" w:hAnsi="Arial"/>
          <w:sz w:val="15"/>
          <w:szCs w:val="15"/>
          <w:color w:val="auto"/>
        </w:rPr>
        <w:t>Protocols of meetings of Russian Entity’s Board of Directors and participant(s) with all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66305" cy="23558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121" w:lineRule="exact"/>
        <w:rPr>
          <w:sz w:val="20"/>
          <w:szCs w:val="20"/>
          <w:color w:val="auto"/>
        </w:rPr>
      </w:pPr>
    </w:p>
    <w:p>
      <w:pPr>
        <w:ind w:left="7" w:right="240"/>
        <w:spacing w:after="0" w:line="327" w:lineRule="auto"/>
        <w:rPr>
          <w:sz w:val="20"/>
          <w:szCs w:val="20"/>
          <w:color w:val="auto"/>
        </w:rPr>
      </w:pPr>
      <w:r>
        <w:rPr>
          <w:rFonts w:ascii="Arial" w:cs="Arial" w:eastAsia="Arial" w:hAnsi="Arial"/>
          <w:sz w:val="14"/>
          <w:szCs w:val="14"/>
          <w:color w:val="auto"/>
        </w:rPr>
        <w:t>Statement of claim, court/arbitrage ruling determining the action with respect to the Russian Entity bankruptcy proceedings and/or the initiation of bankruptcy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266305" cy="23558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97" w:lineRule="exact"/>
        <w:rPr>
          <w:sz w:val="20"/>
          <w:szCs w:val="20"/>
          <w:color w:val="auto"/>
        </w:rPr>
      </w:pPr>
    </w:p>
    <w:p>
      <w:pPr>
        <w:ind w:left="7"/>
        <w:spacing w:after="0" w:line="302" w:lineRule="auto"/>
        <w:rPr>
          <w:sz w:val="20"/>
          <w:szCs w:val="20"/>
          <w:color w:val="auto"/>
        </w:rPr>
      </w:pPr>
      <w:r>
        <w:rPr>
          <w:rFonts w:ascii="Arial" w:cs="Arial" w:eastAsia="Arial" w:hAnsi="Arial"/>
          <w:sz w:val="14"/>
          <w:szCs w:val="14"/>
          <w:color w:val="auto"/>
        </w:rPr>
        <w:t>Statement of claim, charges against the Russian Entity, settlement of which may materially affect the financial condition or business activities of Russian Entity (a substantial impact is a claim on more than 10% of Russian Entity’s current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266305" cy="35306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66305" cy="353060"/>
                    </a:xfrm>
                    <a:prstGeom prst="rect">
                      <a:avLst/>
                    </a:prstGeom>
                    <a:noFill/>
                  </pic:spPr>
                </pic:pic>
              </a:graphicData>
            </a:graphic>
          </wp:anchor>
        </w:drawing>
      </w:r>
    </w:p>
    <w:p>
      <w:pPr>
        <w:spacing w:after="0" w:line="113" w:lineRule="exact"/>
        <w:rPr>
          <w:sz w:val="20"/>
          <w:szCs w:val="20"/>
          <w:color w:val="auto"/>
        </w:rPr>
      </w:pPr>
    </w:p>
    <w:p>
      <w:pPr>
        <w:ind w:left="7" w:right="120"/>
        <w:spacing w:after="0" w:line="289" w:lineRule="auto"/>
        <w:rPr>
          <w:sz w:val="20"/>
          <w:szCs w:val="20"/>
          <w:color w:val="auto"/>
        </w:rPr>
      </w:pPr>
      <w:r>
        <w:rPr>
          <w:rFonts w:ascii="Arial" w:cs="Arial" w:eastAsia="Arial" w:hAnsi="Arial"/>
          <w:sz w:val="15"/>
          <w:szCs w:val="15"/>
          <w:color w:val="auto"/>
        </w:rPr>
        <w:t>Information on enterprises (organizations) engaged in production activities in the field of nanoindustry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66305" cy="23558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121" w:lineRule="exact"/>
        <w:rPr>
          <w:sz w:val="20"/>
          <w:szCs w:val="20"/>
          <w:color w:val="auto"/>
        </w:rPr>
      </w:pPr>
    </w:p>
    <w:p>
      <w:pPr>
        <w:ind w:left="7"/>
        <w:spacing w:after="0" w:line="289" w:lineRule="auto"/>
        <w:rPr>
          <w:sz w:val="20"/>
          <w:szCs w:val="20"/>
          <w:color w:val="auto"/>
        </w:rPr>
      </w:pPr>
      <w:r>
        <w:rPr>
          <w:rFonts w:ascii="Arial" w:cs="Arial" w:eastAsia="Arial" w:hAnsi="Arial"/>
          <w:sz w:val="15"/>
          <w:szCs w:val="15"/>
          <w:color w:val="auto"/>
        </w:rPr>
        <w:t>List of the affiliated persons of the Russian Entity, which shall include, as relevant: (1) any member of its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66305" cy="23558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400"/>
        <w:spacing w:after="0" w:line="227" w:lineRule="auto"/>
        <w:rPr>
          <w:sz w:val="20"/>
          <w:szCs w:val="20"/>
          <w:color w:val="auto"/>
        </w:rPr>
      </w:pPr>
      <w:r>
        <w:rPr>
          <w:rFonts w:ascii="Arial" w:cs="Arial" w:eastAsia="Arial" w:hAnsi="Arial"/>
          <w:sz w:val="15"/>
          <w:szCs w:val="15"/>
          <w:color w:val="auto"/>
        </w:rPr>
        <w:t>Quarterly, no later than the 20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(twentieth) day of the month following the reporting period</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Monthly, no later than 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(fifth) business day of the month following the reporting month</w:t>
      </w:r>
    </w:p>
    <w:p>
      <w:pPr>
        <w:spacing w:after="0" w:line="256" w:lineRule="exact"/>
        <w:rPr>
          <w:sz w:val="20"/>
          <w:szCs w:val="20"/>
          <w:color w:val="auto"/>
        </w:rPr>
      </w:pPr>
    </w:p>
    <w:p>
      <w:pPr>
        <w:ind w:right="500"/>
        <w:spacing w:after="0" w:line="289" w:lineRule="auto"/>
        <w:rPr>
          <w:sz w:val="20"/>
          <w:szCs w:val="20"/>
          <w:color w:val="auto"/>
        </w:rPr>
      </w:pPr>
      <w:r>
        <w:rPr>
          <w:rFonts w:ascii="Arial" w:cs="Arial" w:eastAsia="Arial" w:hAnsi="Arial"/>
          <w:sz w:val="15"/>
          <w:szCs w:val="15"/>
          <w:color w:val="auto"/>
        </w:rPr>
        <w:t>Quarterly, within 5 (five) business days after the date of submission of the Russian Entity’s financial statements for the corresponding period</w:t>
      </w:r>
    </w:p>
    <w:p>
      <w:pPr>
        <w:spacing w:after="0" w:line="141" w:lineRule="exact"/>
        <w:rPr>
          <w:sz w:val="20"/>
          <w:szCs w:val="20"/>
          <w:color w:val="auto"/>
        </w:rPr>
      </w:pPr>
    </w:p>
    <w:p>
      <w:pPr>
        <w:ind w:right="500"/>
        <w:spacing w:after="0" w:line="289" w:lineRule="auto"/>
        <w:rPr>
          <w:sz w:val="20"/>
          <w:szCs w:val="20"/>
          <w:color w:val="auto"/>
        </w:rPr>
      </w:pPr>
      <w:r>
        <w:rPr>
          <w:rFonts w:ascii="Arial" w:cs="Arial" w:eastAsia="Arial" w:hAnsi="Arial"/>
          <w:sz w:val="15"/>
          <w:szCs w:val="15"/>
          <w:color w:val="auto"/>
        </w:rPr>
        <w:t>Quarterly, within 5 (five) business days after the date of submission of the Russian Entity’s financial statements for the corresponding period</w:t>
      </w:r>
    </w:p>
    <w:p>
      <w:pPr>
        <w:spacing w:after="0" w:line="141"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color w:val="auto"/>
        </w:rPr>
        <w:t>Annually no later than 5 (five) business days after the end of the reporting year and after applying the changes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Within 5 (five) business days after conducting the meeting</w:t>
      </w:r>
    </w:p>
    <w:p>
      <w:pPr>
        <w:spacing w:after="0" w:line="291" w:lineRule="exact"/>
        <w:rPr>
          <w:sz w:val="20"/>
          <w:szCs w:val="20"/>
          <w:color w:val="auto"/>
        </w:rPr>
      </w:pPr>
    </w:p>
    <w:p>
      <w:pPr>
        <w:ind w:right="440"/>
        <w:spacing w:after="0" w:line="289" w:lineRule="auto"/>
        <w:rPr>
          <w:sz w:val="20"/>
          <w:szCs w:val="20"/>
          <w:color w:val="auto"/>
        </w:rPr>
      </w:pPr>
      <w:r>
        <w:rPr>
          <w:rFonts w:ascii="Arial" w:cs="Arial" w:eastAsia="Arial" w:hAnsi="Arial"/>
          <w:sz w:val="15"/>
          <w:szCs w:val="15"/>
          <w:color w:val="auto"/>
        </w:rPr>
        <w:t>Within 5 (five) business days after receipt of the statement of claim or ruling by the Russian Entity</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Within 5 (five) working days after receipt of the statement of claim by the Russian Entity</w:t>
      </w:r>
    </w:p>
    <w:p>
      <w:pPr>
        <w:spacing w:after="0" w:line="395" w:lineRule="exact"/>
        <w:rPr>
          <w:sz w:val="20"/>
          <w:szCs w:val="20"/>
          <w:color w:val="auto"/>
        </w:rPr>
      </w:pPr>
    </w:p>
    <w:p>
      <w:pPr>
        <w:ind w:right="800"/>
        <w:spacing w:after="0" w:line="289" w:lineRule="auto"/>
        <w:rPr>
          <w:sz w:val="20"/>
          <w:szCs w:val="20"/>
          <w:color w:val="auto"/>
        </w:rPr>
      </w:pPr>
      <w:r>
        <w:rPr>
          <w:rFonts w:ascii="Arial" w:cs="Arial" w:eastAsia="Arial" w:hAnsi="Arial"/>
          <w:sz w:val="15"/>
          <w:szCs w:val="15"/>
          <w:color w:val="auto"/>
        </w:rPr>
        <w:t>Within a month after the beginning of the development of products, related to nanotechnologies.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Annually, no later than 5 (five) business days after the end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247650</wp:posOffset>
            </wp:positionV>
            <wp:extent cx="7285990" cy="2730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5607" w:space="240"/>
            <w:col w:w="5600"/>
          </w:cols>
          <w:pgMar w:left="233" w:top="129" w:right="219" w:bottom="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left="7" w:right="120"/>
        <w:spacing w:after="0" w:line="281" w:lineRule="auto"/>
        <w:rPr>
          <w:sz w:val="20"/>
          <w:szCs w:val="20"/>
          <w:color w:val="auto"/>
        </w:rPr>
      </w:pPr>
      <w:r>
        <w:rPr>
          <w:rFonts w:ascii="Arial" w:cs="Arial" w:eastAsia="Arial" w:hAnsi="Arial"/>
          <w:sz w:val="14"/>
          <w:szCs w:val="14"/>
          <w:color w:val="auto"/>
        </w:rPr>
        <w:t>directors, advisory board or other similar board or body; (2) any member of its executive body; (3) any person having executive authority, acting singly, on behalf of the Russian Entity; (4) persons in the same group of companies with the Russian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7266305" cy="70612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66305" cy="706120"/>
                    </a:xfrm>
                    <a:prstGeom prst="rect">
                      <a:avLst/>
                    </a:prstGeom>
                    <a:noFill/>
                  </pic:spPr>
                </pic:pic>
              </a:graphicData>
            </a:graphic>
          </wp:anchor>
        </w:drawing>
      </w:r>
    </w:p>
    <w:p>
      <w:pPr>
        <w:ind w:left="7" w:hanging="7"/>
        <w:spacing w:after="0" w:line="294" w:lineRule="auto"/>
        <w:tabs>
          <w:tab w:leader="none" w:pos="226" w:val="left"/>
        </w:tabs>
        <w:numPr>
          <w:ilvl w:val="0"/>
          <w:numId w:val="285"/>
        </w:numPr>
        <w:rPr>
          <w:rFonts w:ascii="Arial" w:cs="Arial" w:eastAsia="Arial" w:hAnsi="Arial"/>
          <w:sz w:val="14"/>
          <w:szCs w:val="14"/>
          <w:color w:val="auto"/>
        </w:rPr>
      </w:pPr>
      <w:r>
        <w:rPr>
          <w:rFonts w:ascii="Arial" w:cs="Arial" w:eastAsia="Arial" w:hAnsi="Arial"/>
          <w:sz w:val="14"/>
          <w:szCs w:val="14"/>
          <w:color w:val="auto"/>
        </w:rPr>
        <w:t>person(s) having control over 20% of the participation interests in the charter capital of the Russian Entity; and (6) person(s) in which the Russian Entity controls over 20% of its voting stock, other ownership interests or participation interests in its charter capital.</w:t>
      </w:r>
    </w:p>
    <w:p>
      <w:pPr>
        <w:spacing w:after="0" w:line="139" w:lineRule="exact"/>
        <w:rPr>
          <w:sz w:val="20"/>
          <w:szCs w:val="20"/>
          <w:color w:val="auto"/>
        </w:rPr>
      </w:pPr>
    </w:p>
    <w:p>
      <w:pPr>
        <w:ind w:left="7" w:right="60"/>
        <w:spacing w:after="0" w:line="371" w:lineRule="auto"/>
        <w:rPr>
          <w:sz w:val="20"/>
          <w:szCs w:val="20"/>
          <w:color w:val="auto"/>
        </w:rPr>
      </w:pPr>
      <w:r>
        <w:rPr>
          <w:rFonts w:ascii="Arial" w:cs="Arial" w:eastAsia="Arial" w:hAnsi="Arial"/>
          <w:sz w:val="13"/>
          <w:szCs w:val="13"/>
          <w:color w:val="auto"/>
        </w:rPr>
        <w:t>Annual report on the progress of the Project (including performance against the Business Plan and R&amp;D Plan) in the form mutually agreeable to the Project Company and Rusnano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-286385</wp:posOffset>
            </wp:positionV>
            <wp:extent cx="7266305" cy="23558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74" w:lineRule="exact"/>
        <w:rPr>
          <w:sz w:val="20"/>
          <w:szCs w:val="20"/>
          <w:color w:val="auto"/>
        </w:rPr>
      </w:pPr>
    </w:p>
    <w:p>
      <w:pPr>
        <w:ind w:left="7"/>
        <w:spacing w:after="0"/>
        <w:rPr>
          <w:sz w:val="20"/>
          <w:szCs w:val="20"/>
          <w:color w:val="auto"/>
        </w:rPr>
      </w:pPr>
      <w:r>
        <w:rPr>
          <w:rFonts w:ascii="Arial" w:cs="Arial" w:eastAsia="Arial" w:hAnsi="Arial"/>
          <w:sz w:val="14"/>
          <w:szCs w:val="14"/>
          <w:color w:val="auto"/>
        </w:rPr>
        <w:t>Accounting policies of the Russian Entity for the purposes of accounting and 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266305" cy="11747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line="190" w:lineRule="exact"/>
        <w:rPr>
          <w:sz w:val="20"/>
          <w:szCs w:val="20"/>
          <w:color w:val="auto"/>
        </w:rPr>
      </w:pPr>
    </w:p>
    <w:p>
      <w:pPr>
        <w:ind w:left="7" w:right="40"/>
        <w:spacing w:after="0" w:line="273" w:lineRule="auto"/>
        <w:rPr>
          <w:sz w:val="20"/>
          <w:szCs w:val="20"/>
          <w:color w:val="auto"/>
        </w:rPr>
      </w:pPr>
      <w:r>
        <w:rPr>
          <w:rFonts w:ascii="Arial" w:cs="Arial" w:eastAsia="Arial" w:hAnsi="Arial"/>
          <w:sz w:val="15"/>
          <w:szCs w:val="15"/>
          <w:color w:val="auto"/>
        </w:rPr>
        <w:t>Is Quarterly report on the progress of the Project (including performance against the Business Plan and R&amp;D Plan) in the form mutually agreeable to the Project Company and Rusnano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266305" cy="35306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66305" cy="353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reporting year, and after the application of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Annually, no later than 20 (twenty) business days after the end of the reporting year</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Annually, no later than 90 (ninety) days after the end of the reporting year</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Quarterly no later than 30 (thirty) days after the end of the reporting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306070</wp:posOffset>
            </wp:positionV>
            <wp:extent cx="7285990" cy="2730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430" w:lineRule="exact"/>
        <w:rPr>
          <w:sz w:val="20"/>
          <w:szCs w:val="20"/>
          <w:color w:val="auto"/>
        </w:rPr>
      </w:pPr>
    </w:p>
    <w:p>
      <w:pPr>
        <w:sectPr>
          <w:pgSz w:w="11900" w:h="16838" w:orient="portrait"/>
          <w:cols w:equalWidth="0" w:num="2">
            <w:col w:w="5607" w:space="240"/>
            <w:col w:w="5600"/>
          </w:cols>
          <w:pgMar w:left="233" w:top="129" w:right="219" w:bottom="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JOINDER AGREEMENT TO FIFTH AMENDED AND RESTATED</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INVESTORS’ RIGHTS AGREEMENT</w:t>
      </w:r>
    </w:p>
    <w:p>
      <w:pPr>
        <w:spacing w:after="0" w:line="188" w:lineRule="exact"/>
        <w:rPr>
          <w:sz w:val="20"/>
          <w:szCs w:val="20"/>
          <w:color w:val="auto"/>
        </w:rPr>
      </w:pPr>
    </w:p>
    <w:p>
      <w:pPr>
        <w:ind w:left="7" w:right="60" w:firstLine="556"/>
        <w:spacing w:after="0" w:line="327" w:lineRule="auto"/>
        <w:rPr>
          <w:sz w:val="20"/>
          <w:szCs w:val="20"/>
          <w:color w:val="auto"/>
        </w:rPr>
      </w:pPr>
      <w:r>
        <w:rPr>
          <w:rFonts w:ascii="Arial" w:cs="Arial" w:eastAsia="Arial" w:hAnsi="Arial"/>
          <w:sz w:val="14"/>
          <w:szCs w:val="14"/>
          <w:color w:val="auto"/>
        </w:rPr>
        <w:t>The undersigned is executing and delivering this Joinder Agreement pursuant to the Fifth Amended and Restated Investors’ Rights Agreement, dated as of August 17, 2015 (as the same may hereafter be amended, the “</w:t>
      </w:r>
      <w:r>
        <w:rPr>
          <w:rFonts w:ascii="Arial" w:cs="Arial" w:eastAsia="Arial" w:hAnsi="Arial"/>
          <w:sz w:val="14"/>
          <w:szCs w:val="14"/>
          <w:u w:val="single" w:color="auto"/>
          <w:color w:val="auto"/>
        </w:rPr>
        <w:t>Agreement</w:t>
      </w:r>
      <w:r>
        <w:rPr>
          <w:rFonts w:ascii="Arial" w:cs="Arial" w:eastAsia="Arial" w:hAnsi="Arial"/>
          <w:sz w:val="14"/>
          <w:szCs w:val="14"/>
          <w:color w:val="auto"/>
        </w:rPr>
        <w:t>”), by and among Selecta Biosciences,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the other parties named therein.</w:t>
      </w:r>
    </w:p>
    <w:p>
      <w:pPr>
        <w:spacing w:after="0" w:line="117" w:lineRule="exact"/>
        <w:rPr>
          <w:sz w:val="20"/>
          <w:szCs w:val="20"/>
          <w:color w:val="auto"/>
        </w:rPr>
      </w:pPr>
    </w:p>
    <w:p>
      <w:pPr>
        <w:ind w:left="7" w:firstLine="556"/>
        <w:spacing w:after="0" w:line="273" w:lineRule="auto"/>
        <w:rPr>
          <w:sz w:val="20"/>
          <w:szCs w:val="20"/>
          <w:color w:val="auto"/>
        </w:rPr>
      </w:pPr>
      <w:r>
        <w:rPr>
          <w:rFonts w:ascii="Arial" w:cs="Arial" w:eastAsia="Arial" w:hAnsi="Arial"/>
          <w:sz w:val="15"/>
          <w:szCs w:val="15"/>
          <w:color w:val="auto"/>
        </w:rPr>
        <w:t>By executing and delivering to the Company this Joinder Agreement, the undersigned hereby (a) agrees that it is a “Purchaser”, as defined in the Agreement; (b) agrees that it is a party to the Agreement for all purposes; and (c) adopts the Agreement with the same force and effect as if the undersigned were originally a party thereto. Any notice required or permitted by the Agreement shall be given to the undersigned at the address listed below its signature hereto.</w:t>
      </w:r>
    </w:p>
    <w:p>
      <w:pPr>
        <w:spacing w:after="0" w:line="153" w:lineRule="exact"/>
        <w:rPr>
          <w:sz w:val="20"/>
          <w:szCs w:val="20"/>
          <w:color w:val="auto"/>
        </w:rPr>
      </w:pPr>
    </w:p>
    <w:p>
      <w:pPr>
        <w:ind w:left="547"/>
        <w:spacing w:after="0"/>
        <w:rPr>
          <w:sz w:val="20"/>
          <w:szCs w:val="20"/>
          <w:color w:val="auto"/>
        </w:rPr>
      </w:pPr>
      <w:r>
        <w:rPr>
          <w:rFonts w:ascii="Arial" w:cs="Arial" w:eastAsia="Arial" w:hAnsi="Arial"/>
          <w:sz w:val="15"/>
          <w:szCs w:val="15"/>
          <w:color w:val="auto"/>
        </w:rPr>
        <w:t>Accordingly, the undersigned has executed and delivered this Joinder Agreement as of the 16 day of September, 2015.</w:t>
      </w:r>
    </w:p>
    <w:p>
      <w:pPr>
        <w:spacing w:after="0" w:line="198"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WV INVESTMENT TRUST B</w:t>
      </w:r>
    </w:p>
    <w:p>
      <w:pPr>
        <w:spacing w:after="0" w:line="198" w:lineRule="exact"/>
        <w:rPr>
          <w:sz w:val="20"/>
          <w:szCs w:val="20"/>
          <w:color w:val="auto"/>
        </w:rPr>
      </w:pPr>
    </w:p>
    <w:p>
      <w:pPr>
        <w:ind w:left="5747"/>
        <w:spacing w:after="0"/>
        <w:tabs>
          <w:tab w:leader="none" w:pos="6207" w:val="left"/>
        </w:tabs>
        <w:rPr>
          <w:sz w:val="20"/>
          <w:szCs w:val="20"/>
          <w:color w:val="auto"/>
        </w:rPr>
      </w:pPr>
      <w:r>
        <w:rPr>
          <w:rFonts w:ascii="Arial" w:cs="Arial" w:eastAsia="Arial" w:hAnsi="Arial"/>
          <w:sz w:val="15"/>
          <w:szCs w:val="15"/>
          <w:color w:val="auto"/>
        </w:rPr>
        <w:t>By:</w:t>
        <w:tab/>
        <w:t>/s/ Alan W. Rottenberg</w:t>
      </w:r>
    </w:p>
    <w:p>
      <w:pPr>
        <w:spacing w:after="0" w:line="23"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Alan W. Rottenberg, as trustee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-108585</wp:posOffset>
            </wp:positionV>
            <wp:extent cx="3316605" cy="762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3316605" cy="7620"/>
                    </a:xfrm>
                    <a:prstGeom prst="rect">
                      <a:avLst/>
                    </a:prstGeom>
                    <a:noFill/>
                  </pic:spPr>
                </pic:pic>
              </a:graphicData>
            </a:graphic>
          </wp:anchor>
        </w:drawing>
      </w:r>
    </w:p>
    <w:p>
      <w:pPr>
        <w:ind w:left="5747"/>
        <w:spacing w:after="0"/>
        <w:rPr>
          <w:sz w:val="20"/>
          <w:szCs w:val="20"/>
          <w:color w:val="auto"/>
        </w:rPr>
      </w:pPr>
      <w:r>
        <w:rPr>
          <w:rFonts w:ascii="Arial" w:cs="Arial" w:eastAsia="Arial" w:hAnsi="Arial"/>
          <w:sz w:val="15"/>
          <w:szCs w:val="15"/>
          <w:color w:val="auto"/>
        </w:rPr>
        <w:t>not individually</w:t>
      </w:r>
    </w:p>
    <w:p>
      <w:pPr>
        <w:spacing w:after="0" w:line="188"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Address:</w:t>
      </w:r>
    </w:p>
    <w:p>
      <w:pPr>
        <w:spacing w:after="0" w:line="23"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Attn. Alan W. Rottenberg, Trustee</w:t>
      </w:r>
    </w:p>
    <w:p>
      <w:pPr>
        <w:spacing w:after="0" w:line="13"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Goulston &amp; Storrs</w:t>
      </w:r>
    </w:p>
    <w:p>
      <w:pPr>
        <w:spacing w:after="0" w:line="13"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400 Atlantic Avenue</w:t>
      </w:r>
    </w:p>
    <w:p>
      <w:pPr>
        <w:spacing w:after="0" w:line="13"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Boston, MA 02110</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5"/>
          <w:szCs w:val="15"/>
          <w:color w:val="auto"/>
        </w:rPr>
        <w:t>Accepted and agreed:</w:t>
      </w:r>
    </w:p>
    <w:p>
      <w:pPr>
        <w:sectPr>
          <w:pgSz w:w="11900" w:h="16838" w:orient="portrait"/>
          <w:cols w:equalWidth="0" w:num="1">
            <w:col w:w="11447"/>
          </w:cols>
          <w:pgMar w:left="233" w:top="129" w:right="219" w:bottom="0" w:gutter="0" w:footer="0" w:header="0"/>
          <w:type w:val="continuous"/>
        </w:sectPr>
      </w:pPr>
    </w:p>
    <w:bookmarkStart w:id="336" w:name="page337"/>
    <w:bookmarkEnd w:id="336"/>
    <w:p>
      <w:pPr>
        <w:ind w:left="7"/>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ind w:left="7"/>
        <w:spacing w:after="0"/>
        <w:tabs>
          <w:tab w:leader="none" w:pos="467"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Name: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-108585</wp:posOffset>
            </wp:positionV>
            <wp:extent cx="3324225" cy="762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ind w:left="7"/>
        <w:spacing w:after="0"/>
        <w:rPr>
          <w:sz w:val="20"/>
          <w:szCs w:val="20"/>
          <w:color w:val="auto"/>
        </w:rPr>
      </w:pPr>
      <w:r>
        <w:rPr>
          <w:rFonts w:ascii="Arial" w:cs="Arial" w:eastAsia="Arial" w:hAnsi="Arial"/>
          <w:sz w:val="15"/>
          <w:szCs w:val="15"/>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7285990" cy="2730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AMENDMENT NO. 1</w:t>
      </w:r>
    </w:p>
    <w:p>
      <w:pPr>
        <w:spacing w:after="0" w:line="29"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TO</w:t>
      </w:r>
    </w:p>
    <w:p>
      <w:pPr>
        <w:spacing w:after="0" w:line="13"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FIFTH AMENDED AND RESTATED INVESTORS’ RIGHTS AGREEMENT</w:t>
      </w:r>
    </w:p>
    <w:p>
      <w:pPr>
        <w:spacing w:after="0" w:line="182" w:lineRule="exact"/>
        <w:rPr>
          <w:sz w:val="20"/>
          <w:szCs w:val="20"/>
          <w:color w:val="auto"/>
        </w:rPr>
      </w:pPr>
    </w:p>
    <w:p>
      <w:pPr>
        <w:jc w:val="both"/>
        <w:ind w:left="7" w:right="300" w:firstLine="556"/>
        <w:spacing w:after="0" w:line="278" w:lineRule="auto"/>
        <w:rPr>
          <w:sz w:val="20"/>
          <w:szCs w:val="20"/>
          <w:color w:val="auto"/>
        </w:rPr>
      </w:pPr>
      <w:r>
        <w:rPr>
          <w:rFonts w:ascii="Arial" w:cs="Arial" w:eastAsia="Arial" w:hAnsi="Arial"/>
          <w:sz w:val="15"/>
          <w:szCs w:val="15"/>
          <w:b w:val="1"/>
          <w:bCs w:val="1"/>
          <w:color w:val="auto"/>
        </w:rPr>
        <w:t xml:space="preserve">THIS AMENDMENT NO. 1 TO FIFTH AMENDED AND RESTATED INVESTORS’ RIGHTS AGREEMENT </w:t>
      </w:r>
      <w:r>
        <w:rPr>
          <w:rFonts w:ascii="Arial" w:cs="Arial" w:eastAsia="Arial" w:hAnsi="Arial"/>
          <w:sz w:val="15"/>
          <w:szCs w:val="15"/>
          <w:color w:val="auto"/>
        </w:rPr>
        <w:t>(this “</w:t>
      </w:r>
      <w:r>
        <w:rPr>
          <w:rFonts w:ascii="Arial" w:cs="Arial" w:eastAsia="Arial" w:hAnsi="Arial"/>
          <w:sz w:val="15"/>
          <w:szCs w:val="15"/>
          <w:u w:val="single" w:color="auto"/>
          <w:color w:val="auto"/>
        </w:rPr>
        <w:t>Amendment</w:t>
      </w:r>
      <w:r>
        <w:rPr>
          <w:rFonts w:ascii="Arial" w:cs="Arial" w:eastAsia="Arial" w:hAnsi="Arial"/>
          <w:sz w:val="15"/>
          <w:szCs w:val="15"/>
          <w:color w:val="auto"/>
        </w:rPr>
        <w:t>”) is made and entered into as of</w:t>
      </w:r>
      <w:r>
        <w:rPr>
          <w:rFonts w:ascii="Arial" w:cs="Arial" w:eastAsia="Arial" w:hAnsi="Arial"/>
          <w:sz w:val="15"/>
          <w:szCs w:val="15"/>
          <w:b w:val="1"/>
          <w:bCs w:val="1"/>
          <w:color w:val="auto"/>
        </w:rPr>
        <w:t xml:space="preserve"> </w:t>
      </w:r>
      <w:r>
        <w:rPr>
          <w:rFonts w:ascii="Arial" w:cs="Arial" w:eastAsia="Arial" w:hAnsi="Arial"/>
          <w:sz w:val="15"/>
          <w:szCs w:val="15"/>
          <w:color w:val="auto"/>
        </w:rPr>
        <w:t>June 7, 2016, by and among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the undersigned parties to that certain Fifth Amended and Restated Investors’ Rights Agreement, dated as of August 26, 2015 (as amended, the “</w:t>
      </w:r>
      <w:r>
        <w:rPr>
          <w:rFonts w:ascii="Arial" w:cs="Arial" w:eastAsia="Arial" w:hAnsi="Arial"/>
          <w:sz w:val="15"/>
          <w:szCs w:val="15"/>
          <w:u w:val="single" w:color="auto"/>
          <w:color w:val="auto"/>
        </w:rPr>
        <w:t>Agreement</w:t>
      </w:r>
      <w:r>
        <w:rPr>
          <w:rFonts w:ascii="Arial" w:cs="Arial" w:eastAsia="Arial" w:hAnsi="Arial"/>
          <w:sz w:val="15"/>
          <w:szCs w:val="15"/>
          <w:color w:val="auto"/>
        </w:rPr>
        <w:t>”);</w:t>
      </w:r>
    </w:p>
    <w:p>
      <w:pPr>
        <w:spacing w:after="0" w:line="142" w:lineRule="exact"/>
        <w:rPr>
          <w:sz w:val="20"/>
          <w:szCs w:val="20"/>
          <w:color w:val="auto"/>
        </w:rPr>
      </w:pPr>
    </w:p>
    <w:p>
      <w:pPr>
        <w:ind w:left="7" w:right="140" w:firstLine="556"/>
        <w:spacing w:after="0" w:line="278"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pursuant to Section 6.5 of the Agreement, the Agreement may be amended by written agreement of (i) the Company, (ii) the Founders holding a majority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capital stock then held by all of the Founders and (iii) Purchasers holding at least 66 2/3% of the Registrable Securities then held by all of the Purchasers (collectively, the “</w:t>
      </w:r>
      <w:r>
        <w:rPr>
          <w:rFonts w:ascii="Arial" w:cs="Arial" w:eastAsia="Arial" w:hAnsi="Arial"/>
          <w:sz w:val="15"/>
          <w:szCs w:val="15"/>
          <w:u w:val="single" w:color="auto"/>
          <w:color w:val="auto"/>
        </w:rPr>
        <w:t>Requisite Parties</w:t>
      </w:r>
      <w:r>
        <w:rPr>
          <w:rFonts w:ascii="Arial" w:cs="Arial" w:eastAsia="Arial" w:hAnsi="Arial"/>
          <w:sz w:val="15"/>
          <w:szCs w:val="15"/>
          <w:color w:val="auto"/>
        </w:rPr>
        <w:t>”);</w:t>
      </w:r>
    </w:p>
    <w:p>
      <w:pPr>
        <w:spacing w:after="0" w:line="142" w:lineRule="exact"/>
        <w:rPr>
          <w:sz w:val="20"/>
          <w:szCs w:val="20"/>
          <w:color w:val="auto"/>
        </w:rPr>
      </w:pPr>
    </w:p>
    <w:p>
      <w:pPr>
        <w:ind w:left="547"/>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and the undersigned parties to the Agreement constitute the Requisite Parties; and</w:t>
      </w:r>
    </w:p>
    <w:p>
      <w:pPr>
        <w:spacing w:after="0" w:line="198" w:lineRule="exact"/>
        <w:rPr>
          <w:sz w:val="20"/>
          <w:szCs w:val="20"/>
          <w:color w:val="auto"/>
        </w:rPr>
      </w:pPr>
    </w:p>
    <w:p>
      <w:pPr>
        <w:ind w:left="547"/>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parties hereto desire to amend the Agreement as set forth herein.</w:t>
      </w:r>
    </w:p>
    <w:p>
      <w:pPr>
        <w:spacing w:after="0" w:line="198" w:lineRule="exact"/>
        <w:rPr>
          <w:sz w:val="20"/>
          <w:szCs w:val="20"/>
          <w:color w:val="auto"/>
        </w:rPr>
      </w:pPr>
    </w:p>
    <w:p>
      <w:pPr>
        <w:ind w:left="7" w:right="160" w:firstLine="556"/>
        <w:spacing w:after="0" w:line="298"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for good and valuable consideration, the receipt and adequacy of which are hereby acknowledged, the parties hereto hereby covenant and agree to be</w:t>
      </w:r>
      <w:r>
        <w:rPr>
          <w:rFonts w:ascii="Arial" w:cs="Arial" w:eastAsia="Arial" w:hAnsi="Arial"/>
          <w:sz w:val="15"/>
          <w:szCs w:val="15"/>
          <w:b w:val="1"/>
          <w:bCs w:val="1"/>
          <w:color w:val="auto"/>
        </w:rPr>
        <w:t xml:space="preserve"> </w:t>
      </w:r>
      <w:r>
        <w:rPr>
          <w:rFonts w:ascii="Arial" w:cs="Arial" w:eastAsia="Arial" w:hAnsi="Arial"/>
          <w:sz w:val="15"/>
          <w:szCs w:val="15"/>
          <w:color w:val="auto"/>
        </w:rPr>
        <w:t>bound as follows:</w:t>
      </w:r>
    </w:p>
    <w:p>
      <w:pPr>
        <w:spacing w:after="0" w:line="134" w:lineRule="exact"/>
        <w:rPr>
          <w:sz w:val="20"/>
          <w:szCs w:val="20"/>
          <w:color w:val="auto"/>
        </w:rPr>
      </w:pPr>
    </w:p>
    <w:p>
      <w:pPr>
        <w:ind w:left="1107"/>
        <w:spacing w:after="0"/>
        <w:tabs>
          <w:tab w:leader="none" w:pos="2247"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3"/>
          <w:szCs w:val="13"/>
          <w:u w:val="single" w:color="auto"/>
          <w:color w:val="auto"/>
        </w:rPr>
        <w:t>Capitalized Terms</w:t>
      </w:r>
      <w:r>
        <w:rPr>
          <w:rFonts w:ascii="Arial" w:cs="Arial" w:eastAsia="Arial" w:hAnsi="Arial"/>
          <w:sz w:val="13"/>
          <w:szCs w:val="13"/>
          <w:color w:val="auto"/>
        </w:rPr>
        <w:t>. Capitalized terms used herein and not otherwise defined herein shall have the respective meanings assigned to them in the</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Agreement.</w:t>
      </w:r>
    </w:p>
    <w:p>
      <w:pPr>
        <w:spacing w:after="0" w:line="188" w:lineRule="exact"/>
        <w:rPr>
          <w:sz w:val="20"/>
          <w:szCs w:val="20"/>
          <w:color w:val="auto"/>
        </w:rPr>
      </w:pPr>
    </w:p>
    <w:p>
      <w:pPr>
        <w:ind w:left="1107"/>
        <w:spacing w:after="0"/>
        <w:tabs>
          <w:tab w:leader="none" w:pos="2247" w:val="left"/>
        </w:tabs>
        <w:rPr>
          <w:sz w:val="20"/>
          <w:szCs w:val="20"/>
          <w:color w:val="auto"/>
        </w:rPr>
      </w:pPr>
      <w:r>
        <w:rPr>
          <w:rFonts w:ascii="Arial" w:cs="Arial" w:eastAsia="Arial" w:hAnsi="Arial"/>
          <w:sz w:val="15"/>
          <w:szCs w:val="15"/>
          <w:color w:val="auto"/>
        </w:rPr>
        <w:t>Section 2.</w:t>
      </w:r>
      <w:r>
        <w:rPr>
          <w:sz w:val="20"/>
          <w:szCs w:val="20"/>
          <w:color w:val="auto"/>
        </w:rPr>
        <w:tab/>
      </w:r>
      <w:r>
        <w:rPr>
          <w:rFonts w:ascii="Arial" w:cs="Arial" w:eastAsia="Arial" w:hAnsi="Arial"/>
          <w:sz w:val="13"/>
          <w:szCs w:val="13"/>
          <w:u w:val="single" w:color="auto"/>
          <w:color w:val="auto"/>
        </w:rPr>
        <w:t>Amendments</w:t>
      </w:r>
      <w:r>
        <w:rPr>
          <w:rFonts w:ascii="Arial" w:cs="Arial" w:eastAsia="Arial" w:hAnsi="Arial"/>
          <w:sz w:val="13"/>
          <w:szCs w:val="13"/>
          <w:color w:val="auto"/>
        </w:rPr>
        <w:t>.</w:t>
      </w:r>
    </w:p>
    <w:p>
      <w:pPr>
        <w:spacing w:after="0" w:line="198" w:lineRule="exact"/>
        <w:rPr>
          <w:sz w:val="20"/>
          <w:szCs w:val="20"/>
          <w:color w:val="auto"/>
        </w:rPr>
      </w:pPr>
    </w:p>
    <w:p>
      <w:pPr>
        <w:ind w:left="7" w:right="220" w:firstLine="1104"/>
        <w:spacing w:after="0" w:line="289" w:lineRule="auto"/>
        <w:tabs>
          <w:tab w:leader="none" w:pos="1715" w:val="left"/>
        </w:tabs>
        <w:numPr>
          <w:ilvl w:val="0"/>
          <w:numId w:val="286"/>
        </w:numPr>
        <w:rPr>
          <w:rFonts w:ascii="Arial" w:cs="Arial" w:eastAsia="Arial" w:hAnsi="Arial"/>
          <w:sz w:val="15"/>
          <w:szCs w:val="15"/>
          <w:color w:val="auto"/>
        </w:rPr>
      </w:pPr>
      <w:r>
        <w:rPr>
          <w:rFonts w:ascii="Arial" w:cs="Arial" w:eastAsia="Arial" w:hAnsi="Arial"/>
          <w:sz w:val="15"/>
          <w:szCs w:val="15"/>
          <w:color w:val="auto"/>
        </w:rPr>
        <w:t>Notwithstanding the terms of Section 1.11, Section 1.14 shall continue in full force and effect after the Company shall become subject to Section 13(a) or 15(d) of the Securities Exchange Act of 1934, as amended.</w:t>
      </w:r>
    </w:p>
    <w:p>
      <w:pPr>
        <w:spacing w:after="0" w:line="140" w:lineRule="exact"/>
        <w:rPr>
          <w:rFonts w:ascii="Arial" w:cs="Arial" w:eastAsia="Arial" w:hAnsi="Arial"/>
          <w:sz w:val="15"/>
          <w:szCs w:val="15"/>
          <w:color w:val="auto"/>
        </w:rPr>
      </w:pPr>
    </w:p>
    <w:p>
      <w:pPr>
        <w:ind w:left="1707" w:hanging="596"/>
        <w:spacing w:after="0"/>
        <w:tabs>
          <w:tab w:leader="none" w:pos="1707" w:val="left"/>
        </w:tabs>
        <w:numPr>
          <w:ilvl w:val="0"/>
          <w:numId w:val="286"/>
        </w:numPr>
        <w:rPr>
          <w:rFonts w:ascii="Arial" w:cs="Arial" w:eastAsia="Arial" w:hAnsi="Arial"/>
          <w:sz w:val="15"/>
          <w:szCs w:val="15"/>
          <w:color w:val="auto"/>
        </w:rPr>
      </w:pPr>
      <w:r>
        <w:rPr>
          <w:rFonts w:ascii="Arial" w:cs="Arial" w:eastAsia="Arial" w:hAnsi="Arial"/>
          <w:sz w:val="15"/>
          <w:szCs w:val="15"/>
          <w:color w:val="auto"/>
        </w:rPr>
        <w:t>Section 3.1(i) of the Agreement is hereby amended and restated in its entirety to read as follows:</w:t>
      </w:r>
    </w:p>
    <w:p>
      <w:pPr>
        <w:spacing w:after="0" w:line="198" w:lineRule="exact"/>
        <w:rPr>
          <w:sz w:val="20"/>
          <w:szCs w:val="20"/>
          <w:color w:val="auto"/>
        </w:rPr>
      </w:pPr>
    </w:p>
    <w:p>
      <w:pPr>
        <w:ind w:left="1107" w:right="120"/>
        <w:spacing w:after="0" w:line="263" w:lineRule="auto"/>
        <w:rPr>
          <w:sz w:val="20"/>
          <w:szCs w:val="20"/>
          <w:color w:val="auto"/>
        </w:rPr>
      </w:pPr>
      <w:r>
        <w:rPr>
          <w:rFonts w:ascii="Arial" w:cs="Arial" w:eastAsia="Arial" w:hAnsi="Arial"/>
          <w:sz w:val="15"/>
          <w:szCs w:val="15"/>
          <w:color w:val="auto"/>
        </w:rPr>
        <w:t>“(i) “</w:t>
      </w:r>
      <w:r>
        <w:rPr>
          <w:rFonts w:ascii="Arial" w:cs="Arial" w:eastAsia="Arial" w:hAnsi="Arial"/>
          <w:sz w:val="15"/>
          <w:szCs w:val="15"/>
          <w:u w:val="single" w:color="auto"/>
          <w:color w:val="auto"/>
        </w:rPr>
        <w:t>Registrable Securities</w:t>
      </w:r>
      <w:r>
        <w:rPr>
          <w:rFonts w:ascii="Arial" w:cs="Arial" w:eastAsia="Arial" w:hAnsi="Arial"/>
          <w:sz w:val="15"/>
          <w:szCs w:val="15"/>
          <w:color w:val="auto"/>
        </w:rPr>
        <w:t xml:space="preserve">” means (i) the Common Stock held by the Founders and their Permitted Transferees as of the effectiveness of the Company’s Registration Statement on Form S-1 (Reg. No. 333-211555) filed by the Company under the Act, (ii) the Common Stock issuable or issued upon conversion of the Senior Preferred Stock, (iii) the Common Stock issuable or issued upon conversion of the Series SRN Preferred Stock, and (iv) any Common Stock of the Company issued as (or issuable upon the conversion or exercise of any warrant, right, or other security which is issued as) a dividend or other distribution with respect to, or in exchange for or in replacement of, the shares referenced in (i) through (iii) above, excluding in all cases, however, any Registrable Securities sold by a person in a transaction in which the rights under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are not properly assigned, and excluding any shares for which registration rights have terminated pursuant to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of this Agreement.”</w:t>
      </w:r>
    </w:p>
    <w:p>
      <w:pPr>
        <w:spacing w:after="0" w:line="163" w:lineRule="exact"/>
        <w:rPr>
          <w:sz w:val="20"/>
          <w:szCs w:val="20"/>
          <w:color w:val="auto"/>
        </w:rPr>
      </w:pPr>
    </w:p>
    <w:p>
      <w:pPr>
        <w:ind w:left="1707" w:hanging="596"/>
        <w:spacing w:after="0"/>
        <w:tabs>
          <w:tab w:leader="none" w:pos="1707" w:val="left"/>
        </w:tabs>
        <w:numPr>
          <w:ilvl w:val="0"/>
          <w:numId w:val="287"/>
        </w:numPr>
        <w:rPr>
          <w:rFonts w:ascii="Arial" w:cs="Arial" w:eastAsia="Arial" w:hAnsi="Arial"/>
          <w:sz w:val="15"/>
          <w:szCs w:val="15"/>
          <w:color w:val="auto"/>
        </w:rPr>
      </w:pPr>
      <w:r>
        <w:rPr>
          <w:rFonts w:ascii="Arial" w:cs="Arial" w:eastAsia="Arial" w:hAnsi="Arial"/>
          <w:sz w:val="15"/>
          <w:szCs w:val="15"/>
          <w:color w:val="auto"/>
        </w:rPr>
        <w:t>Section 5.4 of the Agreement shall terminate upon the Closing of a Qualified Public Offering.</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8" w:lineRule="exact"/>
        <w:rPr>
          <w:rFonts w:ascii="Arial" w:cs="Arial" w:eastAsia="Arial" w:hAnsi="Arial"/>
          <w:sz w:val="15"/>
          <w:szCs w:val="15"/>
          <w:color w:val="auto"/>
        </w:rPr>
      </w:pPr>
    </w:p>
    <w:p>
      <w:pPr>
        <w:ind w:left="1707" w:hanging="596"/>
        <w:spacing w:after="0"/>
        <w:tabs>
          <w:tab w:leader="none" w:pos="1707" w:val="left"/>
        </w:tabs>
        <w:numPr>
          <w:ilvl w:val="0"/>
          <w:numId w:val="287"/>
        </w:numPr>
        <w:rPr>
          <w:rFonts w:ascii="Arial" w:cs="Arial" w:eastAsia="Arial" w:hAnsi="Arial"/>
          <w:sz w:val="15"/>
          <w:szCs w:val="15"/>
          <w:color w:val="auto"/>
        </w:rPr>
      </w:pPr>
      <w:r>
        <w:rPr>
          <w:rFonts w:ascii="Arial" w:cs="Arial" w:eastAsia="Arial" w:hAnsi="Arial"/>
          <w:sz w:val="15"/>
          <w:szCs w:val="15"/>
          <w:color w:val="auto"/>
        </w:rPr>
        <w:t>The second sentence of Section 6.5 of the Agreement is hereby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-435610</wp:posOffset>
            </wp:positionV>
            <wp:extent cx="7285990" cy="2730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78" w:lineRule="exact"/>
        <w:rPr>
          <w:sz w:val="20"/>
          <w:szCs w:val="20"/>
          <w:color w:val="auto"/>
        </w:rPr>
      </w:pPr>
    </w:p>
    <w:p>
      <w:pPr>
        <w:ind w:left="1107"/>
        <w:spacing w:after="0"/>
        <w:rPr>
          <w:sz w:val="20"/>
          <w:szCs w:val="20"/>
          <w:color w:val="auto"/>
        </w:rPr>
      </w:pPr>
      <w:r>
        <w:rPr>
          <w:rFonts w:ascii="Arial" w:cs="Arial" w:eastAsia="Arial" w:hAnsi="Arial"/>
          <w:sz w:val="14"/>
          <w:szCs w:val="14"/>
          <w:color w:val="auto"/>
        </w:rPr>
        <w:t>“No amendment, modification or termination of, or waiver under, any provision of this Agreement shall be valid unless in writing and signed by (i) the Company and</w:t>
      </w:r>
    </w:p>
    <w:p>
      <w:pPr>
        <w:spacing w:after="0" w:line="35" w:lineRule="exact"/>
        <w:rPr>
          <w:sz w:val="20"/>
          <w:szCs w:val="20"/>
          <w:color w:val="auto"/>
        </w:rPr>
      </w:pPr>
    </w:p>
    <w:p>
      <w:pPr>
        <w:ind w:left="7" w:right="80" w:hanging="7"/>
        <w:spacing w:after="0" w:line="285" w:lineRule="auto"/>
        <w:tabs>
          <w:tab w:leader="none" w:pos="235" w:val="left"/>
        </w:tabs>
        <w:numPr>
          <w:ilvl w:val="0"/>
          <w:numId w:val="288"/>
        </w:numPr>
        <w:rPr>
          <w:rFonts w:ascii="Arial" w:cs="Arial" w:eastAsia="Arial" w:hAnsi="Arial"/>
          <w:sz w:val="14"/>
          <w:szCs w:val="14"/>
          <w:color w:val="auto"/>
        </w:rPr>
      </w:pPr>
      <w:r>
        <w:rPr>
          <w:rFonts w:ascii="Arial" w:cs="Arial" w:eastAsia="Arial" w:hAnsi="Arial"/>
          <w:sz w:val="14"/>
          <w:szCs w:val="14"/>
          <w:color w:val="auto"/>
        </w:rPr>
        <w:t>the Purchasers and/or the Founders, voting together as a single class, holding a majority of the Outstanding Registrable Securities then held by a Purchaser or Founder (other than a Purchaser or Founder who could sell all Registrable Securities held by such Purchaser or Founder, together with any Affiliate thereof with whom such Purchaser or Founder must aggregate its sales under SEC Rule 144, without restriction under SEC Rule 144(b)(1) within a ninety (90) day period), and any such amendment, modification, termination or waiver shall be binding on all parties hereto; provided that any such waiver or amendment which materially adversely affects the rights, privileges, duties or obligations of a Purchaser in a manner materially different than those of all other Purchasers shall not be effective without the written consent of the affected Purchaser.”</w:t>
      </w:r>
    </w:p>
    <w:p>
      <w:pPr>
        <w:spacing w:after="0" w:line="146" w:lineRule="exact"/>
        <w:rPr>
          <w:sz w:val="20"/>
          <w:szCs w:val="20"/>
          <w:color w:val="auto"/>
        </w:rPr>
      </w:pPr>
    </w:p>
    <w:p>
      <w:pPr>
        <w:jc w:val="both"/>
        <w:ind w:left="7" w:right="20" w:firstLine="1112"/>
        <w:spacing w:after="0" w:line="273"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No Other Amendments; Conflicts</w:t>
      </w:r>
      <w:r>
        <w:rPr>
          <w:rFonts w:ascii="Arial" w:cs="Arial" w:eastAsia="Arial" w:hAnsi="Arial"/>
          <w:sz w:val="15"/>
          <w:szCs w:val="15"/>
          <w:color w:val="auto"/>
        </w:rPr>
        <w:t>. No term or provision of the Agreement shall be affected by this Amendment, unless specifically set forth herein and any term or provision not affected by this Amendment shall remain in full force and effect following the date hereof. In the event of a conflict between the terms of the Agreement and the terms of this Amendment, the terms of this Amendment shall control.</w:t>
      </w:r>
    </w:p>
    <w:p>
      <w:pPr>
        <w:spacing w:after="0" w:line="153" w:lineRule="exact"/>
        <w:rPr>
          <w:sz w:val="20"/>
          <w:szCs w:val="20"/>
          <w:color w:val="auto"/>
        </w:rPr>
      </w:pPr>
    </w:p>
    <w:p>
      <w:pPr>
        <w:ind w:left="7" w:right="300" w:firstLine="1112"/>
        <w:spacing w:after="0" w:line="289"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shall be governed by, and construed and enforced in accordance with, the internal laws of the State of New York, without regard to conflict of law principles that would result in the application of any law other than the law of the State of New York.</w:t>
      </w:r>
    </w:p>
    <w:p>
      <w:pPr>
        <w:spacing w:after="0" w:line="141" w:lineRule="exact"/>
        <w:rPr>
          <w:sz w:val="20"/>
          <w:szCs w:val="20"/>
          <w:color w:val="auto"/>
        </w:rPr>
      </w:pPr>
    </w:p>
    <w:p>
      <w:pPr>
        <w:jc w:val="both"/>
        <w:ind w:left="7" w:firstLine="1112"/>
        <w:spacing w:after="0" w:line="273"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Captions; Pronouns</w:t>
      </w:r>
      <w:r>
        <w:rPr>
          <w:rFonts w:ascii="Arial" w:cs="Arial" w:eastAsia="Arial" w:hAnsi="Arial"/>
          <w:sz w:val="15"/>
          <w:szCs w:val="15"/>
          <w:color w:val="auto"/>
        </w:rPr>
        <w:t>. All articles and section headings or captions contained in this Amendment are inserted only as a matter of convenience and for reference and in no way define, limit, extend or describe the scope of this Amendment or the intent of any provision thereof. References in the Agreement to the Agreement shall mean the Agreement, as amended by this Amendment.</w:t>
      </w:r>
    </w:p>
    <w:p>
      <w:pPr>
        <w:spacing w:after="0" w:line="153" w:lineRule="exact"/>
        <w:rPr>
          <w:sz w:val="20"/>
          <w:szCs w:val="20"/>
          <w:color w:val="auto"/>
        </w:rPr>
      </w:pPr>
    </w:p>
    <w:p>
      <w:pPr>
        <w:ind w:left="7" w:right="100" w:firstLine="1112"/>
        <w:spacing w:after="0" w:line="273"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Amendment or application to any party or circumstance shall be determined by any court of competent jurisdiction to be invalid or unenforceable to any extent, the remainder of this Amendment or the application of such provision to any other party or circumstances shall not be affected thereby, and each provision shall be valid and shall be enforced to the fullest extent permitted by law.</w:t>
      </w:r>
    </w:p>
    <w:p>
      <w:pPr>
        <w:spacing w:after="0" w:line="153" w:lineRule="exact"/>
        <w:rPr>
          <w:sz w:val="20"/>
          <w:szCs w:val="20"/>
          <w:color w:val="auto"/>
        </w:rPr>
      </w:pPr>
    </w:p>
    <w:p>
      <w:pPr>
        <w:ind w:left="7" w:right="340" w:firstLine="1112"/>
        <w:spacing w:after="0" w:line="273"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Counterparts</w:t>
      </w:r>
      <w:r>
        <w:rPr>
          <w:rFonts w:ascii="Arial" w:cs="Arial" w:eastAsia="Arial" w:hAnsi="Arial"/>
          <w:sz w:val="15"/>
          <w:szCs w:val="15"/>
          <w:color w:val="auto"/>
        </w:rPr>
        <w:t>. This Amendment may be executed in multiple counterparts, each of which shall be deemed an original, but all of which taken together shall constitute one and the same instrument. The exchange of copies of this Amendment and of signature pages by facsimile transmission or other electronic means shall constitute effective execution and delivery of this Amendment as to the parties and may be used in lieu of the original Amendment for all purposes.</w:t>
      </w:r>
    </w:p>
    <w:p>
      <w:pPr>
        <w:spacing w:after="0" w:line="153"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285990" cy="2730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7"/>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hereto have caused this Amendment to be executed as of the date first written above.</w:t>
      </w:r>
    </w:p>
    <w:p>
      <w:pPr>
        <w:sectPr>
          <w:pgSz w:w="11900" w:h="16838" w:orient="portrait"/>
          <w:cols w:equalWidth="0" w:num="1">
            <w:col w:w="11407"/>
          </w:cols>
          <w:pgMar w:left="233" w:top="314" w:right="259" w:bottom="76" w:gutter="0" w:footer="0" w:header="0"/>
        </w:sectPr>
      </w:pPr>
    </w:p>
    <w:bookmarkStart w:id="337" w:name="page338"/>
    <w:bookmarkEnd w:id="337"/>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-108585</wp:posOffset>
            </wp:positionV>
            <wp:extent cx="3295015" cy="762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3295015" cy="7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Title: President and Chief Executive Officer</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20" w:type="dxa"/>
            <w:vAlign w:val="bottom"/>
          </w:tcPr>
          <w:p>
            <w:pPr>
              <w:ind w:left="20"/>
              <w:spacing w:after="0"/>
              <w:rPr>
                <w:sz w:val="20"/>
                <w:szCs w:val="20"/>
                <w:color w:val="auto"/>
              </w:rPr>
            </w:pPr>
            <w:r>
              <w:rPr>
                <w:rFonts w:ascii="Arial" w:cs="Arial" w:eastAsia="Arial" w:hAnsi="Arial"/>
                <w:sz w:val="15"/>
                <w:szCs w:val="15"/>
                <w:b w:val="1"/>
                <w:bCs w:val="1"/>
                <w:color w:val="auto"/>
              </w:rPr>
              <w:t>FOUNDERS:</w:t>
            </w:r>
          </w:p>
        </w:tc>
        <w:tc>
          <w:tcPr>
            <w:tcW w:w="3920" w:type="dxa"/>
            <w:vAlign w:val="bottom"/>
          </w:tcPr>
          <w:p>
            <w:pPr>
              <w:spacing w:after="0"/>
              <w:rPr>
                <w:sz w:val="17"/>
                <w:szCs w:val="17"/>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Omid Farokhzad</w:t>
            </w:r>
          </w:p>
        </w:tc>
        <w:tc>
          <w:tcPr>
            <w:tcW w:w="20" w:type="dxa"/>
            <w:vAlign w:val="bottom"/>
          </w:tcPr>
          <w:p>
            <w:pPr>
              <w:spacing w:after="0"/>
              <w:rPr>
                <w:sz w:val="17"/>
                <w:szCs w:val="17"/>
                <w:color w:val="auto"/>
              </w:rPr>
            </w:pPr>
          </w:p>
        </w:tc>
      </w:tr>
      <w:tr>
        <w:trPr>
          <w:trHeight w:val="187"/>
        </w:trPr>
        <w:tc>
          <w:tcPr>
            <w:tcW w:w="18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Omid Farokhzad</w:t>
            </w:r>
          </w:p>
        </w:tc>
        <w:tc>
          <w:tcPr>
            <w:tcW w:w="20" w:type="dxa"/>
            <w:vAlign w:val="bottom"/>
          </w:tcPr>
          <w:p>
            <w:pPr>
              <w:spacing w:after="0"/>
              <w:rPr>
                <w:sz w:val="16"/>
                <w:szCs w:val="16"/>
                <w:color w:val="auto"/>
              </w:rPr>
            </w:pPr>
          </w:p>
        </w:tc>
      </w:tr>
      <w:tr>
        <w:trPr>
          <w:trHeight w:val="546"/>
        </w:trPr>
        <w:tc>
          <w:tcPr>
            <w:tcW w:w="18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Robert S. Langer, Jr.</w:t>
            </w:r>
          </w:p>
        </w:tc>
        <w:tc>
          <w:tcPr>
            <w:tcW w:w="20" w:type="dxa"/>
            <w:vAlign w:val="bottom"/>
          </w:tcPr>
          <w:p>
            <w:pPr>
              <w:spacing w:after="0"/>
              <w:rPr>
                <w:sz w:val="24"/>
                <w:szCs w:val="24"/>
                <w:color w:val="auto"/>
              </w:rPr>
            </w:pPr>
          </w:p>
        </w:tc>
      </w:tr>
      <w:tr>
        <w:trPr>
          <w:trHeight w:val="187"/>
        </w:trPr>
        <w:tc>
          <w:tcPr>
            <w:tcW w:w="18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Robert S. Langer, Jr.</w:t>
            </w:r>
          </w:p>
        </w:tc>
        <w:tc>
          <w:tcPr>
            <w:tcW w:w="20" w:type="dxa"/>
            <w:vAlign w:val="bottom"/>
          </w:tcPr>
          <w:p>
            <w:pPr>
              <w:spacing w:after="0"/>
              <w:rPr>
                <w:sz w:val="16"/>
                <w:szCs w:val="16"/>
                <w:color w:val="auto"/>
              </w:rPr>
            </w:pPr>
          </w:p>
        </w:tc>
      </w:tr>
      <w:tr>
        <w:trPr>
          <w:trHeight w:val="546"/>
        </w:trPr>
        <w:tc>
          <w:tcPr>
            <w:tcW w:w="18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Ulrich von Andrian</w:t>
            </w:r>
          </w:p>
        </w:tc>
        <w:tc>
          <w:tcPr>
            <w:tcW w:w="20" w:type="dxa"/>
            <w:vAlign w:val="bottom"/>
          </w:tcPr>
          <w:p>
            <w:pPr>
              <w:spacing w:after="0"/>
              <w:rPr>
                <w:sz w:val="24"/>
                <w:szCs w:val="24"/>
                <w:color w:val="auto"/>
              </w:rPr>
            </w:pPr>
          </w:p>
        </w:tc>
      </w:tr>
      <w:tr>
        <w:trPr>
          <w:trHeight w:val="187"/>
        </w:trPr>
        <w:tc>
          <w:tcPr>
            <w:tcW w:w="18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Ulrich von Andrian</w:t>
            </w:r>
          </w:p>
        </w:tc>
        <w:tc>
          <w:tcPr>
            <w:tcW w:w="20" w:type="dxa"/>
            <w:vAlign w:val="bottom"/>
          </w:tcPr>
          <w:p>
            <w:pPr>
              <w:spacing w:after="0"/>
              <w:rPr>
                <w:sz w:val="16"/>
                <w:szCs w:val="16"/>
                <w:color w:val="auto"/>
              </w:rPr>
            </w:pPr>
          </w:p>
        </w:tc>
      </w:tr>
      <w:tr>
        <w:trPr>
          <w:trHeight w:val="360"/>
        </w:trPr>
        <w:tc>
          <w:tcPr>
            <w:tcW w:w="1820" w:type="dxa"/>
            <w:vAlign w:val="bottom"/>
          </w:tcPr>
          <w:p>
            <w:pPr>
              <w:spacing w:after="0"/>
              <w:rPr>
                <w:sz w:val="24"/>
                <w:szCs w:val="24"/>
                <w:color w:val="auto"/>
              </w:rPr>
            </w:pPr>
          </w:p>
        </w:tc>
        <w:tc>
          <w:tcPr>
            <w:tcW w:w="9640" w:type="dxa"/>
            <w:vAlign w:val="bottom"/>
            <w:gridSpan w:val="2"/>
          </w:tcPr>
          <w:p>
            <w:pPr>
              <w:ind w:left="920"/>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tc>
        <w:tc>
          <w:tcPr>
            <w:tcW w:w="20" w:type="dxa"/>
            <w:vAlign w:val="bottom"/>
          </w:tcPr>
          <w:p>
            <w:pPr>
              <w:spacing w:after="0"/>
              <w:rPr>
                <w:sz w:val="24"/>
                <w:szCs w:val="24"/>
                <w:color w:val="auto"/>
              </w:rPr>
            </w:pPr>
          </w:p>
        </w:tc>
      </w:tr>
      <w:tr>
        <w:trPr>
          <w:trHeight w:val="297"/>
        </w:trPr>
        <w:tc>
          <w:tcPr>
            <w:tcW w:w="182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400" w:type="dxa"/>
            <w:vAlign w:val="bottom"/>
          </w:tcPr>
          <w:p>
            <w:pPr>
              <w:spacing w:after="0"/>
              <w:rPr>
                <w:sz w:val="20"/>
                <w:szCs w:val="20"/>
                <w:color w:val="auto"/>
              </w:rPr>
            </w:pPr>
            <w:r>
              <w:rPr>
                <w:rFonts w:ascii="Arial" w:cs="Arial" w:eastAsia="Arial" w:hAnsi="Arial"/>
                <w:sz w:val="15"/>
                <w:szCs w:val="15"/>
                <w:b w:val="1"/>
                <w:bCs w:val="1"/>
                <w:color w:val="auto"/>
              </w:rPr>
              <w:t>PURCHASERS:</w:t>
            </w:r>
          </w:p>
        </w:tc>
        <w:tc>
          <w:tcPr>
            <w:tcW w:w="8040" w:type="dxa"/>
            <w:vAlign w:val="bottom"/>
            <w:gridSpan w:val="3"/>
          </w:tcPr>
          <w:p>
            <w:pPr>
              <w:ind w:left="2320"/>
              <w:spacing w:after="0"/>
              <w:rPr>
                <w:sz w:val="20"/>
                <w:szCs w:val="20"/>
                <w:color w:val="auto"/>
              </w:rPr>
            </w:pPr>
            <w:r>
              <w:rPr>
                <w:rFonts w:ascii="Arial" w:cs="Arial" w:eastAsia="Arial" w:hAnsi="Arial"/>
                <w:sz w:val="15"/>
                <w:szCs w:val="15"/>
                <w:b w:val="1"/>
                <w:bCs w:val="1"/>
                <w:color w:val="auto"/>
              </w:rPr>
              <w:t>POLARIS VENTURE PARTNERS V, L.P.</w:t>
            </w:r>
          </w:p>
        </w:tc>
      </w:tr>
      <w:tr>
        <w:trPr>
          <w:trHeight w:val="371"/>
        </w:trPr>
        <w:tc>
          <w:tcPr>
            <w:tcW w:w="3400" w:type="dxa"/>
            <w:vAlign w:val="bottom"/>
          </w:tcPr>
          <w:p>
            <w:pPr>
              <w:spacing w:after="0"/>
              <w:rPr>
                <w:sz w:val="24"/>
                <w:szCs w:val="24"/>
                <w:color w:val="auto"/>
              </w:rPr>
            </w:pPr>
          </w:p>
        </w:tc>
        <w:tc>
          <w:tcPr>
            <w:tcW w:w="2720" w:type="dxa"/>
            <w:vAlign w:val="bottom"/>
          </w:tcPr>
          <w:p>
            <w:pPr>
              <w:ind w:left="2320"/>
              <w:spacing w:after="0"/>
              <w:rPr>
                <w:sz w:val="20"/>
                <w:szCs w:val="20"/>
                <w:color w:val="auto"/>
              </w:rPr>
            </w:pPr>
            <w:r>
              <w:rPr>
                <w:rFonts w:ascii="Arial" w:cs="Arial" w:eastAsia="Arial" w:hAnsi="Arial"/>
                <w:sz w:val="15"/>
                <w:szCs w:val="15"/>
                <w:color w:val="auto"/>
              </w:rPr>
              <w:t>By:</w:t>
            </w: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Polaris Venture Management Co. V, L.L.C., its General Partner</w:t>
            </w:r>
          </w:p>
        </w:tc>
      </w:tr>
      <w:tr>
        <w:trPr>
          <w:trHeight w:val="556"/>
        </w:trPr>
        <w:tc>
          <w:tcPr>
            <w:tcW w:w="34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5"/>
                <w:szCs w:val="15"/>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Mary Blair</w:t>
            </w:r>
          </w:p>
        </w:tc>
      </w:tr>
      <w:tr>
        <w:trPr>
          <w:trHeight w:val="155"/>
        </w:trPr>
        <w:tc>
          <w:tcPr>
            <w:tcW w:w="34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320" w:type="dxa"/>
            <w:vAlign w:val="bottom"/>
            <w:gridSpan w:val="2"/>
          </w:tcPr>
          <w:p>
            <w:pPr>
              <w:ind w:left="180"/>
              <w:spacing w:after="0" w:line="155" w:lineRule="exact"/>
              <w:rPr>
                <w:sz w:val="20"/>
                <w:szCs w:val="20"/>
                <w:color w:val="auto"/>
              </w:rPr>
            </w:pPr>
            <w:r>
              <w:rPr>
                <w:rFonts w:ascii="Arial" w:cs="Arial" w:eastAsia="Arial" w:hAnsi="Arial"/>
                <w:sz w:val="15"/>
                <w:szCs w:val="15"/>
                <w:color w:val="auto"/>
              </w:rPr>
              <w:t>Name: Mary Blair</w:t>
            </w:r>
          </w:p>
        </w:tc>
      </w:tr>
      <w:tr>
        <w:trPr>
          <w:trHeight w:val="196"/>
        </w:trPr>
        <w:tc>
          <w:tcPr>
            <w:tcW w:w="3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Title: Attorney-In-Fact</w:t>
            </w:r>
          </w:p>
        </w:tc>
      </w:tr>
    </w:tbl>
    <w:p>
      <w:pPr>
        <w:spacing w:after="0" w:line="354" w:lineRule="exact"/>
        <w:rPr>
          <w:sz w:val="20"/>
          <w:szCs w:val="20"/>
          <w:color w:val="auto"/>
        </w:rPr>
      </w:pPr>
    </w:p>
    <w:p>
      <w:pPr>
        <w:jc w:val="right"/>
        <w:ind w:right="1020"/>
        <w:spacing w:after="0"/>
        <w:rPr>
          <w:sz w:val="20"/>
          <w:szCs w:val="20"/>
          <w:color w:val="auto"/>
        </w:rPr>
      </w:pPr>
      <w:r>
        <w:rPr>
          <w:rFonts w:ascii="Arial" w:cs="Arial" w:eastAsia="Arial" w:hAnsi="Arial"/>
          <w:sz w:val="15"/>
          <w:szCs w:val="15"/>
          <w:b w:val="1"/>
          <w:bCs w:val="1"/>
          <w:color w:val="auto"/>
        </w:rPr>
        <w:t>POLARIS VENTURE PARTNERS ENTREPRENEURS’ FUND V, L.P.</w:t>
      </w:r>
    </w:p>
    <w:p>
      <w:pPr>
        <w:spacing w:after="0" w:line="204" w:lineRule="exact"/>
        <w:rPr>
          <w:sz w:val="20"/>
          <w:szCs w:val="20"/>
          <w:color w:val="auto"/>
        </w:rPr>
      </w:pPr>
    </w:p>
    <w:tbl>
      <w:tblPr>
        <w:tblLayout w:type="fixed"/>
        <w:tblInd w:w="5740" w:type="dxa"/>
        <w:tblCellMar>
          <w:top w:w="0" w:type="dxa"/>
          <w:left w:w="0" w:type="dxa"/>
          <w:bottom w:w="0" w:type="dxa"/>
          <w:right w:w="0" w:type="dxa"/>
        </w:tblCellMar>
      </w:tblPr>
      <w:tr>
        <w:trPr>
          <w:trHeight w:val="196"/>
        </w:trPr>
        <w:tc>
          <w:tcPr>
            <w:tcW w:w="400" w:type="dxa"/>
            <w:vAlign w:val="bottom"/>
          </w:tcPr>
          <w:p>
            <w:pPr>
              <w:spacing w:after="0"/>
              <w:rPr>
                <w:sz w:val="20"/>
                <w:szCs w:val="20"/>
                <w:color w:val="auto"/>
              </w:rPr>
            </w:pPr>
            <w:r>
              <w:rPr>
                <w:rFonts w:ascii="Arial" w:cs="Arial" w:eastAsia="Arial" w:hAnsi="Arial"/>
                <w:sz w:val="15"/>
                <w:szCs w:val="15"/>
                <w:color w:val="auto"/>
              </w:rPr>
              <w:t>By:</w:t>
            </w: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Polaris Venture Management Co. V, L.L.C., its General Partner</w:t>
            </w:r>
          </w:p>
        </w:tc>
      </w:tr>
      <w:tr>
        <w:trPr>
          <w:trHeight w:val="556"/>
        </w:trPr>
        <w:tc>
          <w:tcPr>
            <w:tcW w:w="4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5"/>
                <w:szCs w:val="15"/>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Mary Blair</w:t>
            </w:r>
          </w:p>
        </w:tc>
      </w:tr>
      <w:tr>
        <w:trPr>
          <w:trHeight w:val="155"/>
        </w:trPr>
        <w:tc>
          <w:tcPr>
            <w:tcW w:w="400" w:type="dxa"/>
            <w:vAlign w:val="bottom"/>
          </w:tcPr>
          <w:p>
            <w:pPr>
              <w:spacing w:after="0"/>
              <w:rPr>
                <w:sz w:val="13"/>
                <w:szCs w:val="13"/>
                <w:color w:val="auto"/>
              </w:rPr>
            </w:pPr>
          </w:p>
        </w:tc>
        <w:tc>
          <w:tcPr>
            <w:tcW w:w="5320" w:type="dxa"/>
            <w:vAlign w:val="bottom"/>
            <w:gridSpan w:val="2"/>
          </w:tcPr>
          <w:p>
            <w:pPr>
              <w:ind w:left="180"/>
              <w:spacing w:after="0" w:line="155" w:lineRule="exact"/>
              <w:rPr>
                <w:sz w:val="20"/>
                <w:szCs w:val="20"/>
                <w:color w:val="auto"/>
              </w:rPr>
            </w:pPr>
            <w:r>
              <w:rPr>
                <w:rFonts w:ascii="Arial" w:cs="Arial" w:eastAsia="Arial" w:hAnsi="Arial"/>
                <w:sz w:val="15"/>
                <w:szCs w:val="15"/>
                <w:color w:val="auto"/>
              </w:rPr>
              <w:t>Name: Mary Blair</w:t>
            </w:r>
          </w:p>
        </w:tc>
      </w:tr>
      <w:tr>
        <w:trPr>
          <w:trHeight w:val="196"/>
        </w:trPr>
        <w:tc>
          <w:tcPr>
            <w:tcW w:w="400" w:type="dxa"/>
            <w:vAlign w:val="bottom"/>
          </w:tcPr>
          <w:p>
            <w:pPr>
              <w:spacing w:after="0"/>
              <w:rPr>
                <w:sz w:val="17"/>
                <w:szCs w:val="17"/>
                <w:color w:val="auto"/>
              </w:rPr>
            </w:pP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Title: Attorney-In-Fact</w:t>
            </w:r>
          </w:p>
        </w:tc>
      </w:tr>
      <w:tr>
        <w:trPr>
          <w:trHeight w:val="556"/>
        </w:trPr>
        <w:tc>
          <w:tcPr>
            <w:tcW w:w="5720" w:type="dxa"/>
            <w:vAlign w:val="bottom"/>
            <w:gridSpan w:val="3"/>
          </w:tcPr>
          <w:p>
            <w:pPr>
              <w:spacing w:after="0"/>
              <w:rPr>
                <w:sz w:val="20"/>
                <w:szCs w:val="20"/>
                <w:color w:val="auto"/>
              </w:rPr>
            </w:pPr>
            <w:r>
              <w:rPr>
                <w:rFonts w:ascii="Arial" w:cs="Arial" w:eastAsia="Arial" w:hAnsi="Arial"/>
                <w:sz w:val="15"/>
                <w:szCs w:val="15"/>
                <w:b w:val="1"/>
                <w:bCs w:val="1"/>
                <w:color w:val="auto"/>
              </w:rPr>
              <w:t>POLARIS VENTURE PARTNERS FOUNDERS’ FUND V, L.P.</w:t>
            </w:r>
          </w:p>
        </w:tc>
      </w:tr>
      <w:tr>
        <w:trPr>
          <w:trHeight w:val="371"/>
        </w:trPr>
        <w:tc>
          <w:tcPr>
            <w:tcW w:w="400" w:type="dxa"/>
            <w:vAlign w:val="bottom"/>
          </w:tcPr>
          <w:p>
            <w:pPr>
              <w:spacing w:after="0"/>
              <w:rPr>
                <w:sz w:val="20"/>
                <w:szCs w:val="20"/>
                <w:color w:val="auto"/>
              </w:rPr>
            </w:pPr>
            <w:r>
              <w:rPr>
                <w:rFonts w:ascii="Arial" w:cs="Arial" w:eastAsia="Arial" w:hAnsi="Arial"/>
                <w:sz w:val="15"/>
                <w:szCs w:val="15"/>
                <w:color w:val="auto"/>
              </w:rPr>
              <w:t>By:</w:t>
            </w: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Polaris Venture Management Co. V, L.L.C., its General Partner</w:t>
            </w:r>
          </w:p>
        </w:tc>
      </w:tr>
      <w:tr>
        <w:trPr>
          <w:trHeight w:val="556"/>
        </w:trPr>
        <w:tc>
          <w:tcPr>
            <w:tcW w:w="4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5"/>
                <w:szCs w:val="15"/>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Mary Blair</w:t>
            </w:r>
          </w:p>
        </w:tc>
      </w:tr>
      <w:tr>
        <w:trPr>
          <w:trHeight w:val="155"/>
        </w:trPr>
        <w:tc>
          <w:tcPr>
            <w:tcW w:w="400" w:type="dxa"/>
            <w:vAlign w:val="bottom"/>
          </w:tcPr>
          <w:p>
            <w:pPr>
              <w:spacing w:after="0"/>
              <w:rPr>
                <w:sz w:val="13"/>
                <w:szCs w:val="13"/>
                <w:color w:val="auto"/>
              </w:rPr>
            </w:pPr>
          </w:p>
        </w:tc>
        <w:tc>
          <w:tcPr>
            <w:tcW w:w="5320" w:type="dxa"/>
            <w:vAlign w:val="bottom"/>
            <w:gridSpan w:val="2"/>
          </w:tcPr>
          <w:p>
            <w:pPr>
              <w:ind w:left="180"/>
              <w:spacing w:after="0" w:line="155" w:lineRule="exact"/>
              <w:rPr>
                <w:sz w:val="20"/>
                <w:szCs w:val="20"/>
                <w:color w:val="auto"/>
              </w:rPr>
            </w:pPr>
            <w:r>
              <w:rPr>
                <w:rFonts w:ascii="Arial" w:cs="Arial" w:eastAsia="Arial" w:hAnsi="Arial"/>
                <w:sz w:val="15"/>
                <w:szCs w:val="15"/>
                <w:color w:val="auto"/>
              </w:rPr>
              <w:t>Name: Mary Blair</w:t>
            </w:r>
          </w:p>
        </w:tc>
      </w:tr>
      <w:tr>
        <w:trPr>
          <w:trHeight w:val="196"/>
        </w:trPr>
        <w:tc>
          <w:tcPr>
            <w:tcW w:w="400" w:type="dxa"/>
            <w:vAlign w:val="bottom"/>
          </w:tcPr>
          <w:p>
            <w:pPr>
              <w:spacing w:after="0"/>
              <w:rPr>
                <w:sz w:val="17"/>
                <w:szCs w:val="17"/>
                <w:color w:val="auto"/>
              </w:rPr>
            </w:pP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Title: Attorney-In-Fact</w:t>
            </w:r>
          </w:p>
        </w:tc>
      </w:tr>
      <w:tr>
        <w:trPr>
          <w:trHeight w:val="371"/>
        </w:trPr>
        <w:tc>
          <w:tcPr>
            <w:tcW w:w="5720" w:type="dxa"/>
            <w:vAlign w:val="bottom"/>
            <w:gridSpan w:val="3"/>
          </w:tcPr>
          <w:p>
            <w:pPr>
              <w:spacing w:after="0"/>
              <w:rPr>
                <w:sz w:val="20"/>
                <w:szCs w:val="20"/>
                <w:color w:val="auto"/>
              </w:rPr>
            </w:pPr>
            <w:r>
              <w:rPr>
                <w:rFonts w:ascii="Arial" w:cs="Arial" w:eastAsia="Arial" w:hAnsi="Arial"/>
                <w:sz w:val="15"/>
                <w:szCs w:val="15"/>
                <w:b w:val="1"/>
                <w:bCs w:val="1"/>
                <w:color w:val="auto"/>
              </w:rPr>
              <w:t>POLARIS VENTURE PARTNERS SPECIAL FOUNDERS’ FUND V, L.P.</w:t>
            </w:r>
          </w:p>
        </w:tc>
      </w:tr>
      <w:tr>
        <w:trPr>
          <w:trHeight w:val="371"/>
        </w:trPr>
        <w:tc>
          <w:tcPr>
            <w:tcW w:w="400" w:type="dxa"/>
            <w:vAlign w:val="bottom"/>
          </w:tcPr>
          <w:p>
            <w:pPr>
              <w:spacing w:after="0"/>
              <w:rPr>
                <w:sz w:val="20"/>
                <w:szCs w:val="20"/>
                <w:color w:val="auto"/>
              </w:rPr>
            </w:pPr>
            <w:r>
              <w:rPr>
                <w:rFonts w:ascii="Arial" w:cs="Arial" w:eastAsia="Arial" w:hAnsi="Arial"/>
                <w:sz w:val="15"/>
                <w:szCs w:val="15"/>
                <w:color w:val="auto"/>
              </w:rPr>
              <w:t>By:</w:t>
            </w: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Polaris Venture Management Co. V, L.L.C., its General Partner</w:t>
            </w:r>
          </w:p>
        </w:tc>
      </w:tr>
      <w:tr>
        <w:trPr>
          <w:trHeight w:val="556"/>
        </w:trPr>
        <w:tc>
          <w:tcPr>
            <w:tcW w:w="4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5"/>
                <w:szCs w:val="15"/>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Mary Blair</w:t>
            </w:r>
          </w:p>
        </w:tc>
      </w:tr>
      <w:tr>
        <w:trPr>
          <w:trHeight w:val="155"/>
        </w:trPr>
        <w:tc>
          <w:tcPr>
            <w:tcW w:w="400" w:type="dxa"/>
            <w:vAlign w:val="bottom"/>
          </w:tcPr>
          <w:p>
            <w:pPr>
              <w:spacing w:after="0"/>
              <w:rPr>
                <w:sz w:val="13"/>
                <w:szCs w:val="13"/>
                <w:color w:val="auto"/>
              </w:rPr>
            </w:pPr>
          </w:p>
        </w:tc>
        <w:tc>
          <w:tcPr>
            <w:tcW w:w="5320" w:type="dxa"/>
            <w:vAlign w:val="bottom"/>
            <w:gridSpan w:val="2"/>
          </w:tcPr>
          <w:p>
            <w:pPr>
              <w:ind w:left="180"/>
              <w:spacing w:after="0" w:line="155" w:lineRule="exact"/>
              <w:rPr>
                <w:sz w:val="20"/>
                <w:szCs w:val="20"/>
                <w:color w:val="auto"/>
              </w:rPr>
            </w:pPr>
            <w:r>
              <w:rPr>
                <w:rFonts w:ascii="Arial" w:cs="Arial" w:eastAsia="Arial" w:hAnsi="Arial"/>
                <w:sz w:val="15"/>
                <w:szCs w:val="15"/>
                <w:color w:val="auto"/>
              </w:rPr>
              <w:t>Name: Mary Blair</w:t>
            </w:r>
          </w:p>
        </w:tc>
      </w:tr>
      <w:tr>
        <w:trPr>
          <w:trHeight w:val="196"/>
        </w:trPr>
        <w:tc>
          <w:tcPr>
            <w:tcW w:w="400" w:type="dxa"/>
            <w:vAlign w:val="bottom"/>
          </w:tcPr>
          <w:p>
            <w:pPr>
              <w:spacing w:after="0"/>
              <w:rPr>
                <w:sz w:val="17"/>
                <w:szCs w:val="17"/>
                <w:color w:val="auto"/>
              </w:rPr>
            </w:pP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Title: Attorney-In-Fact</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360" w:type="dxa"/>
            <w:vAlign w:val="bottom"/>
          </w:tcPr>
          <w:p>
            <w:pPr>
              <w:spacing w:after="0"/>
              <w:rPr>
                <w:sz w:val="20"/>
                <w:szCs w:val="20"/>
                <w:color w:val="auto"/>
              </w:rPr>
            </w:pPr>
            <w:r>
              <w:rPr>
                <w:rFonts w:ascii="Arial" w:cs="Arial" w:eastAsia="Arial" w:hAnsi="Arial"/>
                <w:sz w:val="15"/>
                <w:szCs w:val="15"/>
                <w:b w:val="1"/>
                <w:bCs w:val="1"/>
                <w:color w:val="auto"/>
              </w:rPr>
              <w:t>PURCHASER:</w:t>
            </w:r>
          </w:p>
        </w:tc>
        <w:tc>
          <w:tcPr>
            <w:tcW w:w="8080" w:type="dxa"/>
            <w:vAlign w:val="bottom"/>
            <w:gridSpan w:val="3"/>
          </w:tcPr>
          <w:p>
            <w:pPr>
              <w:ind w:left="2360"/>
              <w:spacing w:after="0"/>
              <w:rPr>
                <w:sz w:val="20"/>
                <w:szCs w:val="20"/>
                <w:color w:val="auto"/>
              </w:rPr>
            </w:pPr>
            <w:r>
              <w:rPr>
                <w:rFonts w:ascii="Arial" w:cs="Arial" w:eastAsia="Arial" w:hAnsi="Arial"/>
                <w:sz w:val="15"/>
                <w:szCs w:val="15"/>
                <w:b w:val="1"/>
                <w:bCs w:val="1"/>
                <w:color w:val="auto"/>
              </w:rPr>
              <w:t>FLAGSHIP VENTURES FUND 2007, L.P.</w:t>
            </w:r>
          </w:p>
        </w:tc>
      </w:tr>
      <w:tr>
        <w:trPr>
          <w:trHeight w:val="371"/>
        </w:trPr>
        <w:tc>
          <w:tcPr>
            <w:tcW w:w="3360" w:type="dxa"/>
            <w:vAlign w:val="bottom"/>
          </w:tcPr>
          <w:p>
            <w:pPr>
              <w:spacing w:after="0"/>
              <w:rPr>
                <w:sz w:val="24"/>
                <w:szCs w:val="24"/>
                <w:color w:val="auto"/>
              </w:rPr>
            </w:pPr>
          </w:p>
        </w:tc>
        <w:tc>
          <w:tcPr>
            <w:tcW w:w="2760" w:type="dxa"/>
            <w:vAlign w:val="bottom"/>
          </w:tcPr>
          <w:p>
            <w:pPr>
              <w:ind w:left="2360"/>
              <w:spacing w:after="0"/>
              <w:rPr>
                <w:sz w:val="20"/>
                <w:szCs w:val="20"/>
                <w:color w:val="auto"/>
              </w:rPr>
            </w:pPr>
            <w:r>
              <w:rPr>
                <w:rFonts w:ascii="Arial" w:cs="Arial" w:eastAsia="Arial" w:hAnsi="Arial"/>
                <w:sz w:val="15"/>
                <w:szCs w:val="15"/>
                <w:color w:val="auto"/>
              </w:rPr>
              <w:t>By:</w:t>
            </w: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Flagship Ventures 2007 General Partner LLC, its General Partner</w:t>
            </w:r>
          </w:p>
        </w:tc>
      </w:tr>
      <w:tr>
        <w:trPr>
          <w:trHeight w:val="556"/>
        </w:trPr>
        <w:tc>
          <w:tcPr>
            <w:tcW w:w="3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5"/>
                <w:szCs w:val="15"/>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Edwin M. Kania, Jr.</w:t>
            </w:r>
          </w:p>
        </w:tc>
      </w:tr>
      <w:tr>
        <w:trPr>
          <w:trHeight w:val="155"/>
        </w:trPr>
        <w:tc>
          <w:tcPr>
            <w:tcW w:w="33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320" w:type="dxa"/>
            <w:vAlign w:val="bottom"/>
            <w:gridSpan w:val="2"/>
          </w:tcPr>
          <w:p>
            <w:pPr>
              <w:ind w:left="180"/>
              <w:spacing w:after="0" w:line="155" w:lineRule="exact"/>
              <w:rPr>
                <w:sz w:val="20"/>
                <w:szCs w:val="20"/>
                <w:color w:val="auto"/>
              </w:rPr>
            </w:pPr>
            <w:r>
              <w:rPr>
                <w:rFonts w:ascii="Arial" w:cs="Arial" w:eastAsia="Arial" w:hAnsi="Arial"/>
                <w:sz w:val="15"/>
                <w:szCs w:val="15"/>
                <w:color w:val="auto"/>
              </w:rPr>
              <w:t>Name: Edwin M. Kania, Jr.</w:t>
            </w:r>
          </w:p>
        </w:tc>
      </w:tr>
      <w:tr>
        <w:trPr>
          <w:trHeight w:val="196"/>
        </w:trPr>
        <w:tc>
          <w:tcPr>
            <w:tcW w:w="33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Title: Managing Member</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b w:val="1"/>
          <w:bCs w:val="1"/>
          <w:color w:val="auto"/>
        </w:rPr>
        <w:t>NANODIMENSION, L.P.</w:t>
      </w:r>
    </w:p>
    <w:p>
      <w:pPr>
        <w:spacing w:after="0" w:line="204"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NanoDimension Management Limited, its General Partner</w:t>
      </w:r>
    </w:p>
    <w:p>
      <w:pPr>
        <w:sectPr>
          <w:pgSz w:w="11900" w:h="16890" w:orient="portrait"/>
          <w:cols w:equalWidth="0" w:num="1">
            <w:col w:w="11480"/>
          </w:cols>
          <w:pgMar w:left="220" w:top="128" w:right="199" w:bottom="0" w:gutter="0" w:footer="0" w:header="0"/>
        </w:sectPr>
      </w:pPr>
    </w:p>
    <w:bookmarkStart w:id="338" w:name="page339"/>
    <w:bookmarkEnd w:id="338"/>
    <w:tbl>
      <w:tblPr>
        <w:tblLayout w:type="fixed"/>
        <w:tblInd w:w="6300" w:type="dxa"/>
        <w:tblCellMar>
          <w:top w:w="0" w:type="dxa"/>
          <w:left w:w="0" w:type="dxa"/>
          <w:bottom w:w="0" w:type="dxa"/>
          <w:right w:w="0" w:type="dxa"/>
        </w:tblCellMar>
      </w:tblP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Jonathan Nicholson</w:t>
            </w:r>
          </w:p>
        </w:tc>
      </w:tr>
      <w:tr>
        <w:trPr>
          <w:trHeight w:val="167"/>
        </w:trPr>
        <w:tc>
          <w:tcPr>
            <w:tcW w:w="76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380" w:type="dxa"/>
            <w:vAlign w:val="bottom"/>
          </w:tcPr>
          <w:p>
            <w:pPr>
              <w:spacing w:after="0" w:line="167" w:lineRule="exact"/>
              <w:rPr>
                <w:sz w:val="20"/>
                <w:szCs w:val="20"/>
                <w:color w:val="auto"/>
              </w:rPr>
            </w:pPr>
            <w:r>
              <w:rPr>
                <w:rFonts w:ascii="Arial" w:cs="Arial" w:eastAsia="Arial" w:hAnsi="Arial"/>
                <w:sz w:val="15"/>
                <w:szCs w:val="15"/>
                <w:color w:val="auto"/>
              </w:rPr>
              <w:t>Jonathan Nicholson</w:t>
            </w: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438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00" w:type="dxa"/>
            <w:vAlign w:val="bottom"/>
          </w:tcPr>
          <w:p>
            <w:pPr>
              <w:spacing w:after="0"/>
              <w:rPr>
                <w:sz w:val="20"/>
                <w:szCs w:val="20"/>
                <w:color w:val="auto"/>
              </w:rPr>
            </w:pPr>
            <w:r>
              <w:rPr>
                <w:rFonts w:ascii="Arial" w:cs="Arial" w:eastAsia="Arial" w:hAnsi="Arial"/>
                <w:sz w:val="15"/>
                <w:szCs w:val="15"/>
                <w:b w:val="1"/>
                <w:bCs w:val="1"/>
                <w:color w:val="auto"/>
              </w:rPr>
              <w:t>PURCHASERS:</w:t>
            </w:r>
          </w:p>
        </w:tc>
        <w:tc>
          <w:tcPr>
            <w:tcW w:w="8040" w:type="dxa"/>
            <w:vAlign w:val="bottom"/>
            <w:gridSpan w:val="3"/>
          </w:tcPr>
          <w:p>
            <w:pPr>
              <w:ind w:left="2320"/>
              <w:spacing w:after="0"/>
              <w:rPr>
                <w:sz w:val="20"/>
                <w:szCs w:val="20"/>
                <w:color w:val="auto"/>
              </w:rPr>
            </w:pPr>
            <w:r>
              <w:rPr>
                <w:rFonts w:ascii="Arial" w:cs="Arial" w:eastAsia="Arial" w:hAnsi="Arial"/>
                <w:sz w:val="15"/>
                <w:szCs w:val="15"/>
                <w:b w:val="1"/>
                <w:bCs w:val="1"/>
                <w:color w:val="auto"/>
              </w:rPr>
              <w:t>ORBIMED ASSOCIATES III, LP</w:t>
            </w:r>
          </w:p>
        </w:tc>
      </w:tr>
      <w:tr>
        <w:trPr>
          <w:trHeight w:val="371"/>
        </w:trPr>
        <w:tc>
          <w:tcPr>
            <w:tcW w:w="3400" w:type="dxa"/>
            <w:vAlign w:val="bottom"/>
          </w:tcPr>
          <w:p>
            <w:pPr>
              <w:spacing w:after="0"/>
              <w:rPr>
                <w:sz w:val="24"/>
                <w:szCs w:val="24"/>
                <w:color w:val="auto"/>
              </w:rPr>
            </w:pPr>
          </w:p>
        </w:tc>
        <w:tc>
          <w:tcPr>
            <w:tcW w:w="2720" w:type="dxa"/>
            <w:vAlign w:val="bottom"/>
          </w:tcPr>
          <w:p>
            <w:pPr>
              <w:ind w:left="2320"/>
              <w:spacing w:after="0"/>
              <w:rPr>
                <w:sz w:val="20"/>
                <w:szCs w:val="20"/>
                <w:color w:val="auto"/>
              </w:rPr>
            </w:pPr>
            <w:r>
              <w:rPr>
                <w:rFonts w:ascii="Arial" w:cs="Arial" w:eastAsia="Arial" w:hAnsi="Arial"/>
                <w:sz w:val="15"/>
                <w:szCs w:val="15"/>
                <w:color w:val="auto"/>
              </w:rPr>
              <w:t>By:</w:t>
            </w:r>
          </w:p>
        </w:tc>
        <w:tc>
          <w:tcPr>
            <w:tcW w:w="5320" w:type="dxa"/>
            <w:vAlign w:val="bottom"/>
            <w:gridSpan w:val="2"/>
          </w:tcPr>
          <w:p>
            <w:pPr>
              <w:ind w:left="160"/>
              <w:spacing w:after="0"/>
              <w:rPr>
                <w:sz w:val="20"/>
                <w:szCs w:val="20"/>
                <w:color w:val="auto"/>
              </w:rPr>
            </w:pPr>
            <w:r>
              <w:rPr>
                <w:rFonts w:ascii="Arial" w:cs="Arial" w:eastAsia="Arial" w:hAnsi="Arial"/>
                <w:sz w:val="15"/>
                <w:szCs w:val="15"/>
                <w:color w:val="auto"/>
              </w:rPr>
              <w:t>OrbiMed Advisors LLC, its General Partner</w:t>
            </w:r>
          </w:p>
        </w:tc>
      </w:tr>
      <w:tr>
        <w:trPr>
          <w:trHeight w:val="556"/>
        </w:trPr>
        <w:tc>
          <w:tcPr>
            <w:tcW w:w="34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15"/>
                <w:szCs w:val="15"/>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Carl Gordon</w:t>
            </w:r>
          </w:p>
        </w:tc>
      </w:tr>
      <w:tr>
        <w:trPr>
          <w:trHeight w:val="167"/>
        </w:trPr>
        <w:tc>
          <w:tcPr>
            <w:tcW w:w="34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60" w:type="dxa"/>
            <w:vAlign w:val="bottom"/>
          </w:tcPr>
          <w:p>
            <w:pPr>
              <w:ind w:left="160"/>
              <w:spacing w:after="0" w:line="167" w:lineRule="exact"/>
              <w:rPr>
                <w:sz w:val="20"/>
                <w:szCs w:val="20"/>
                <w:color w:val="auto"/>
              </w:rPr>
            </w:pPr>
            <w:r>
              <w:rPr>
                <w:rFonts w:ascii="Arial" w:cs="Arial" w:eastAsia="Arial" w:hAnsi="Arial"/>
                <w:sz w:val="15"/>
                <w:szCs w:val="15"/>
                <w:color w:val="auto"/>
              </w:rPr>
              <w:t>Name:</w:t>
            </w:r>
          </w:p>
        </w:tc>
        <w:tc>
          <w:tcPr>
            <w:tcW w:w="4360" w:type="dxa"/>
            <w:vAlign w:val="bottom"/>
          </w:tcPr>
          <w:p>
            <w:pPr>
              <w:spacing w:after="0" w:line="167" w:lineRule="exact"/>
              <w:rPr>
                <w:sz w:val="20"/>
                <w:szCs w:val="20"/>
                <w:color w:val="auto"/>
              </w:rPr>
            </w:pPr>
            <w:r>
              <w:rPr>
                <w:rFonts w:ascii="Arial" w:cs="Arial" w:eastAsia="Arial" w:hAnsi="Arial"/>
                <w:sz w:val="15"/>
                <w:szCs w:val="15"/>
                <w:color w:val="auto"/>
              </w:rPr>
              <w:t>Carl Gordon</w:t>
            </w:r>
          </w:p>
        </w:tc>
      </w:tr>
      <w:tr>
        <w:trPr>
          <w:trHeight w:val="196"/>
        </w:trPr>
        <w:tc>
          <w:tcPr>
            <w:tcW w:w="3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60" w:type="dxa"/>
            <w:vAlign w:val="bottom"/>
          </w:tcPr>
          <w:p>
            <w:pPr>
              <w:ind w:left="160"/>
              <w:spacing w:after="0"/>
              <w:rPr>
                <w:sz w:val="20"/>
                <w:szCs w:val="20"/>
                <w:color w:val="auto"/>
              </w:rPr>
            </w:pPr>
            <w:r>
              <w:rPr>
                <w:rFonts w:ascii="Arial" w:cs="Arial" w:eastAsia="Arial" w:hAnsi="Arial"/>
                <w:sz w:val="15"/>
                <w:szCs w:val="15"/>
                <w:color w:val="auto"/>
              </w:rPr>
              <w:t>Title:</w:t>
            </w:r>
          </w:p>
        </w:tc>
        <w:tc>
          <w:tcPr>
            <w:tcW w:w="4360" w:type="dxa"/>
            <w:vAlign w:val="bottom"/>
          </w:tcPr>
          <w:p>
            <w:pPr>
              <w:spacing w:after="0"/>
              <w:rPr>
                <w:sz w:val="20"/>
                <w:szCs w:val="20"/>
                <w:color w:val="auto"/>
              </w:rPr>
            </w:pPr>
            <w:r>
              <w:rPr>
                <w:rFonts w:ascii="Arial" w:cs="Arial" w:eastAsia="Arial" w:hAnsi="Arial"/>
                <w:sz w:val="15"/>
                <w:szCs w:val="15"/>
                <w:color w:val="auto"/>
              </w:rPr>
              <w:t>Member</w:t>
            </w:r>
          </w:p>
        </w:tc>
      </w:tr>
      <w:tr>
        <w:trPr>
          <w:trHeight w:val="556"/>
        </w:trPr>
        <w:tc>
          <w:tcPr>
            <w:tcW w:w="3400" w:type="dxa"/>
            <w:vAlign w:val="bottom"/>
          </w:tcPr>
          <w:p>
            <w:pPr>
              <w:spacing w:after="0"/>
              <w:rPr>
                <w:sz w:val="24"/>
                <w:szCs w:val="24"/>
                <w:color w:val="auto"/>
              </w:rPr>
            </w:pPr>
          </w:p>
        </w:tc>
        <w:tc>
          <w:tcPr>
            <w:tcW w:w="8040" w:type="dxa"/>
            <w:vAlign w:val="bottom"/>
            <w:gridSpan w:val="3"/>
          </w:tcPr>
          <w:p>
            <w:pPr>
              <w:ind w:left="2320"/>
              <w:spacing w:after="0"/>
              <w:rPr>
                <w:sz w:val="20"/>
                <w:szCs w:val="20"/>
                <w:color w:val="auto"/>
              </w:rPr>
            </w:pPr>
            <w:r>
              <w:rPr>
                <w:rFonts w:ascii="Arial" w:cs="Arial" w:eastAsia="Arial" w:hAnsi="Arial"/>
                <w:sz w:val="15"/>
                <w:szCs w:val="15"/>
                <w:b w:val="1"/>
                <w:bCs w:val="1"/>
                <w:color w:val="auto"/>
              </w:rPr>
              <w:t>ORBIMED PRIVATE INVESTMENTS III, LP</w:t>
            </w:r>
          </w:p>
        </w:tc>
      </w:tr>
      <w:tr>
        <w:trPr>
          <w:trHeight w:val="360"/>
        </w:trPr>
        <w:tc>
          <w:tcPr>
            <w:tcW w:w="3400" w:type="dxa"/>
            <w:vAlign w:val="bottom"/>
          </w:tcPr>
          <w:p>
            <w:pPr>
              <w:spacing w:after="0"/>
              <w:rPr>
                <w:sz w:val="24"/>
                <w:szCs w:val="24"/>
                <w:color w:val="auto"/>
              </w:rPr>
            </w:pPr>
          </w:p>
        </w:tc>
        <w:tc>
          <w:tcPr>
            <w:tcW w:w="2720" w:type="dxa"/>
            <w:vAlign w:val="bottom"/>
          </w:tcPr>
          <w:p>
            <w:pPr>
              <w:ind w:left="2320"/>
              <w:spacing w:after="0"/>
              <w:rPr>
                <w:sz w:val="20"/>
                <w:szCs w:val="20"/>
                <w:color w:val="auto"/>
              </w:rPr>
            </w:pPr>
            <w:r>
              <w:rPr>
                <w:rFonts w:ascii="Arial" w:cs="Arial" w:eastAsia="Arial" w:hAnsi="Arial"/>
                <w:sz w:val="15"/>
                <w:szCs w:val="15"/>
                <w:color w:val="auto"/>
              </w:rPr>
              <w:t>By:</w:t>
            </w:r>
          </w:p>
        </w:tc>
        <w:tc>
          <w:tcPr>
            <w:tcW w:w="5320" w:type="dxa"/>
            <w:vAlign w:val="bottom"/>
            <w:gridSpan w:val="2"/>
          </w:tcPr>
          <w:p>
            <w:pPr>
              <w:ind w:left="160"/>
              <w:spacing w:after="0"/>
              <w:rPr>
                <w:sz w:val="20"/>
                <w:szCs w:val="20"/>
                <w:color w:val="auto"/>
              </w:rPr>
            </w:pPr>
            <w:r>
              <w:rPr>
                <w:rFonts w:ascii="Arial" w:cs="Arial" w:eastAsia="Arial" w:hAnsi="Arial"/>
                <w:sz w:val="15"/>
                <w:szCs w:val="15"/>
                <w:color w:val="auto"/>
              </w:rPr>
              <w:t>OrbiMed Capital GP III LLC, its General Partner</w:t>
            </w:r>
          </w:p>
        </w:tc>
      </w:tr>
      <w:tr>
        <w:trPr>
          <w:trHeight w:val="196"/>
        </w:trPr>
        <w:tc>
          <w:tcPr>
            <w:tcW w:w="3400" w:type="dxa"/>
            <w:vAlign w:val="bottom"/>
          </w:tcPr>
          <w:p>
            <w:pPr>
              <w:spacing w:after="0"/>
              <w:rPr>
                <w:sz w:val="17"/>
                <w:szCs w:val="17"/>
                <w:color w:val="auto"/>
              </w:rPr>
            </w:pPr>
          </w:p>
        </w:tc>
        <w:tc>
          <w:tcPr>
            <w:tcW w:w="2720" w:type="dxa"/>
            <w:vAlign w:val="bottom"/>
          </w:tcPr>
          <w:p>
            <w:pPr>
              <w:ind w:left="2320"/>
              <w:spacing w:after="0"/>
              <w:rPr>
                <w:sz w:val="20"/>
                <w:szCs w:val="20"/>
                <w:color w:val="auto"/>
              </w:rPr>
            </w:pPr>
            <w:r>
              <w:rPr>
                <w:rFonts w:ascii="Arial" w:cs="Arial" w:eastAsia="Arial" w:hAnsi="Arial"/>
                <w:sz w:val="15"/>
                <w:szCs w:val="15"/>
                <w:color w:val="auto"/>
              </w:rPr>
              <w:t>By:</w:t>
            </w:r>
          </w:p>
        </w:tc>
        <w:tc>
          <w:tcPr>
            <w:tcW w:w="5320" w:type="dxa"/>
            <w:vAlign w:val="bottom"/>
            <w:gridSpan w:val="2"/>
          </w:tcPr>
          <w:p>
            <w:pPr>
              <w:ind w:left="160"/>
              <w:spacing w:after="0"/>
              <w:rPr>
                <w:sz w:val="20"/>
                <w:szCs w:val="20"/>
                <w:color w:val="auto"/>
              </w:rPr>
            </w:pPr>
            <w:r>
              <w:rPr>
                <w:rFonts w:ascii="Arial" w:cs="Arial" w:eastAsia="Arial" w:hAnsi="Arial"/>
                <w:sz w:val="15"/>
                <w:szCs w:val="15"/>
                <w:color w:val="auto"/>
              </w:rPr>
              <w:t>OrbiMed Advisors LLC, its Managing Member</w:t>
            </w:r>
          </w:p>
        </w:tc>
      </w:tr>
      <w:tr>
        <w:trPr>
          <w:trHeight w:val="371"/>
        </w:trPr>
        <w:tc>
          <w:tcPr>
            <w:tcW w:w="34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15"/>
                <w:szCs w:val="15"/>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Carl Gordon</w:t>
            </w:r>
          </w:p>
        </w:tc>
      </w:tr>
      <w:tr>
        <w:trPr>
          <w:trHeight w:val="167"/>
        </w:trPr>
        <w:tc>
          <w:tcPr>
            <w:tcW w:w="34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60" w:type="dxa"/>
            <w:vAlign w:val="bottom"/>
          </w:tcPr>
          <w:p>
            <w:pPr>
              <w:ind w:left="160"/>
              <w:spacing w:after="0" w:line="167" w:lineRule="exact"/>
              <w:rPr>
                <w:sz w:val="20"/>
                <w:szCs w:val="20"/>
                <w:color w:val="auto"/>
              </w:rPr>
            </w:pPr>
            <w:r>
              <w:rPr>
                <w:rFonts w:ascii="Arial" w:cs="Arial" w:eastAsia="Arial" w:hAnsi="Arial"/>
                <w:sz w:val="15"/>
                <w:szCs w:val="15"/>
                <w:color w:val="auto"/>
              </w:rPr>
              <w:t>Name:</w:t>
            </w:r>
          </w:p>
        </w:tc>
        <w:tc>
          <w:tcPr>
            <w:tcW w:w="4360" w:type="dxa"/>
            <w:vAlign w:val="bottom"/>
          </w:tcPr>
          <w:p>
            <w:pPr>
              <w:spacing w:after="0" w:line="167" w:lineRule="exact"/>
              <w:rPr>
                <w:sz w:val="20"/>
                <w:szCs w:val="20"/>
                <w:color w:val="auto"/>
              </w:rPr>
            </w:pPr>
            <w:r>
              <w:rPr>
                <w:rFonts w:ascii="Arial" w:cs="Arial" w:eastAsia="Arial" w:hAnsi="Arial"/>
                <w:sz w:val="15"/>
                <w:szCs w:val="15"/>
                <w:color w:val="auto"/>
              </w:rPr>
              <w:t>Carl Gordon</w:t>
            </w:r>
          </w:p>
        </w:tc>
      </w:tr>
      <w:tr>
        <w:trPr>
          <w:trHeight w:val="196"/>
        </w:trPr>
        <w:tc>
          <w:tcPr>
            <w:tcW w:w="3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60" w:type="dxa"/>
            <w:vAlign w:val="bottom"/>
          </w:tcPr>
          <w:p>
            <w:pPr>
              <w:ind w:left="160"/>
              <w:spacing w:after="0"/>
              <w:rPr>
                <w:sz w:val="20"/>
                <w:szCs w:val="20"/>
                <w:color w:val="auto"/>
              </w:rPr>
            </w:pPr>
            <w:r>
              <w:rPr>
                <w:rFonts w:ascii="Arial" w:cs="Arial" w:eastAsia="Arial" w:hAnsi="Arial"/>
                <w:sz w:val="15"/>
                <w:szCs w:val="15"/>
                <w:color w:val="auto"/>
              </w:rPr>
              <w:t>Title:</w:t>
            </w:r>
          </w:p>
        </w:tc>
        <w:tc>
          <w:tcPr>
            <w:tcW w:w="4360" w:type="dxa"/>
            <w:vAlign w:val="bottom"/>
          </w:tcPr>
          <w:p>
            <w:pPr>
              <w:spacing w:after="0"/>
              <w:rPr>
                <w:sz w:val="20"/>
                <w:szCs w:val="20"/>
                <w:color w:val="auto"/>
              </w:rPr>
            </w:pPr>
            <w:r>
              <w:rPr>
                <w:rFonts w:ascii="Arial" w:cs="Arial" w:eastAsia="Arial" w:hAnsi="Arial"/>
                <w:sz w:val="15"/>
                <w:szCs w:val="15"/>
                <w:color w:val="auto"/>
              </w:rPr>
              <w:t>Member</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00" w:type="dxa"/>
            <w:vAlign w:val="bottom"/>
          </w:tcPr>
          <w:p>
            <w:pPr>
              <w:spacing w:after="0"/>
              <w:rPr>
                <w:sz w:val="20"/>
                <w:szCs w:val="20"/>
                <w:color w:val="auto"/>
              </w:rPr>
            </w:pPr>
            <w:r>
              <w:rPr>
                <w:rFonts w:ascii="Arial" w:cs="Arial" w:eastAsia="Arial" w:hAnsi="Arial"/>
                <w:sz w:val="15"/>
                <w:szCs w:val="15"/>
                <w:b w:val="1"/>
                <w:bCs w:val="1"/>
                <w:color w:val="auto"/>
              </w:rPr>
              <w:t>PURCHASERS:</w:t>
            </w:r>
          </w:p>
        </w:tc>
        <w:tc>
          <w:tcPr>
            <w:tcW w:w="8040" w:type="dxa"/>
            <w:vAlign w:val="bottom"/>
            <w:gridSpan w:val="3"/>
          </w:tcPr>
          <w:p>
            <w:pPr>
              <w:ind w:left="2320"/>
              <w:spacing w:after="0"/>
              <w:rPr>
                <w:sz w:val="20"/>
                <w:szCs w:val="20"/>
                <w:color w:val="auto"/>
              </w:rPr>
            </w:pPr>
            <w:r>
              <w:rPr>
                <w:rFonts w:ascii="Arial" w:cs="Arial" w:eastAsia="Arial" w:hAnsi="Arial"/>
                <w:sz w:val="15"/>
                <w:szCs w:val="15"/>
                <w:b w:val="1"/>
                <w:bCs w:val="1"/>
                <w:color w:val="auto"/>
              </w:rPr>
              <w:t>LEUKON INVESTMENTS, LP</w:t>
            </w:r>
          </w:p>
        </w:tc>
      </w:tr>
      <w:tr>
        <w:trPr>
          <w:trHeight w:val="371"/>
        </w:trPr>
        <w:tc>
          <w:tcPr>
            <w:tcW w:w="3400" w:type="dxa"/>
            <w:vAlign w:val="bottom"/>
          </w:tcPr>
          <w:p>
            <w:pPr>
              <w:spacing w:after="0"/>
              <w:rPr>
                <w:sz w:val="24"/>
                <w:szCs w:val="24"/>
                <w:color w:val="auto"/>
              </w:rPr>
            </w:pPr>
          </w:p>
        </w:tc>
        <w:tc>
          <w:tcPr>
            <w:tcW w:w="3120" w:type="dxa"/>
            <w:vAlign w:val="bottom"/>
          </w:tcPr>
          <w:p>
            <w:pPr>
              <w:ind w:left="2320"/>
              <w:spacing w:after="0"/>
              <w:rPr>
                <w:sz w:val="20"/>
                <w:szCs w:val="20"/>
                <w:color w:val="auto"/>
              </w:rPr>
            </w:pPr>
            <w:r>
              <w:rPr>
                <w:rFonts w:ascii="Arial" w:cs="Arial" w:eastAsia="Arial" w:hAnsi="Arial"/>
                <w:sz w:val="15"/>
                <w:szCs w:val="15"/>
                <w:color w:val="auto"/>
              </w:rPr>
              <w:t>By:</w:t>
            </w:r>
          </w:p>
        </w:tc>
        <w:tc>
          <w:tcPr>
            <w:tcW w:w="4920" w:type="dxa"/>
            <w:vAlign w:val="bottom"/>
            <w:gridSpan w:val="2"/>
          </w:tcPr>
          <w:p>
            <w:pPr>
              <w:spacing w:after="0"/>
              <w:rPr>
                <w:sz w:val="20"/>
                <w:szCs w:val="20"/>
                <w:color w:val="auto"/>
              </w:rPr>
            </w:pPr>
            <w:r>
              <w:rPr>
                <w:rFonts w:ascii="Arial" w:cs="Arial" w:eastAsia="Arial" w:hAnsi="Arial"/>
                <w:sz w:val="15"/>
                <w:szCs w:val="15"/>
                <w:color w:val="auto"/>
              </w:rPr>
              <w:t>LKST, Inc., its General Partner</w:t>
            </w:r>
          </w:p>
        </w:tc>
      </w:tr>
      <w:tr>
        <w:trPr>
          <w:trHeight w:val="556"/>
        </w:trPr>
        <w:tc>
          <w:tcPr>
            <w:tcW w:w="3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Timothy Springer</w:t>
            </w:r>
          </w:p>
        </w:tc>
      </w:tr>
      <w:tr>
        <w:trPr>
          <w:trHeight w:val="167"/>
        </w:trPr>
        <w:tc>
          <w:tcPr>
            <w:tcW w:w="3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120" w:type="dxa"/>
            <w:vAlign w:val="bottom"/>
          </w:tcPr>
          <w:p>
            <w:pPr>
              <w:spacing w:after="0" w:line="167" w:lineRule="exact"/>
              <w:rPr>
                <w:sz w:val="20"/>
                <w:szCs w:val="20"/>
                <w:color w:val="auto"/>
              </w:rPr>
            </w:pPr>
            <w:r>
              <w:rPr>
                <w:rFonts w:ascii="Arial" w:cs="Arial" w:eastAsia="Arial" w:hAnsi="Arial"/>
                <w:sz w:val="15"/>
                <w:szCs w:val="15"/>
                <w:color w:val="auto"/>
              </w:rPr>
              <w:t>Timothy Springer</w:t>
            </w:r>
          </w:p>
        </w:tc>
      </w:tr>
      <w:tr>
        <w:trPr>
          <w:trHeight w:val="196"/>
        </w:trPr>
        <w:tc>
          <w:tcPr>
            <w:tcW w:w="34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Title:</w:t>
            </w:r>
          </w:p>
        </w:tc>
        <w:tc>
          <w:tcPr>
            <w:tcW w:w="4120" w:type="dxa"/>
            <w:vAlign w:val="bottom"/>
          </w:tcPr>
          <w:p>
            <w:pPr>
              <w:spacing w:after="0"/>
              <w:rPr>
                <w:sz w:val="20"/>
                <w:szCs w:val="20"/>
                <w:color w:val="auto"/>
              </w:rPr>
            </w:pPr>
            <w:r>
              <w:rPr>
                <w:rFonts w:ascii="Arial" w:cs="Arial" w:eastAsia="Arial" w:hAnsi="Arial"/>
                <w:sz w:val="15"/>
                <w:szCs w:val="15"/>
                <w:color w:val="auto"/>
              </w:rPr>
              <w:t>President</w:t>
            </w:r>
          </w:p>
        </w:tc>
      </w:tr>
      <w:tr>
        <w:trPr>
          <w:trHeight w:val="371"/>
        </w:trPr>
        <w:tc>
          <w:tcPr>
            <w:tcW w:w="3400" w:type="dxa"/>
            <w:vAlign w:val="bottom"/>
          </w:tcPr>
          <w:p>
            <w:pPr>
              <w:spacing w:after="0"/>
              <w:rPr>
                <w:sz w:val="24"/>
                <w:szCs w:val="24"/>
                <w:color w:val="auto"/>
              </w:rPr>
            </w:pPr>
          </w:p>
        </w:tc>
        <w:tc>
          <w:tcPr>
            <w:tcW w:w="3920" w:type="dxa"/>
            <w:vAlign w:val="bottom"/>
            <w:gridSpan w:val="2"/>
          </w:tcPr>
          <w:p>
            <w:pPr>
              <w:ind w:left="2320"/>
              <w:spacing w:after="0"/>
              <w:rPr>
                <w:sz w:val="20"/>
                <w:szCs w:val="20"/>
                <w:color w:val="auto"/>
              </w:rPr>
            </w:pPr>
            <w:r>
              <w:rPr>
                <w:rFonts w:ascii="Arial" w:cs="Arial" w:eastAsia="Arial" w:hAnsi="Arial"/>
                <w:sz w:val="15"/>
                <w:szCs w:val="15"/>
                <w:b w:val="1"/>
                <w:bCs w:val="1"/>
                <w:color w:val="auto"/>
              </w:rPr>
              <w:t>TAS PARTNERS, LLC</w:t>
            </w:r>
          </w:p>
        </w:tc>
        <w:tc>
          <w:tcPr>
            <w:tcW w:w="4120" w:type="dxa"/>
            <w:vAlign w:val="bottom"/>
          </w:tcPr>
          <w:p>
            <w:pPr>
              <w:spacing w:after="0"/>
              <w:rPr>
                <w:sz w:val="24"/>
                <w:szCs w:val="24"/>
                <w:color w:val="auto"/>
              </w:rPr>
            </w:pPr>
          </w:p>
        </w:tc>
      </w:tr>
      <w:tr>
        <w:trPr>
          <w:trHeight w:val="556"/>
        </w:trPr>
        <w:tc>
          <w:tcPr>
            <w:tcW w:w="3400" w:type="dxa"/>
            <w:vAlign w:val="bottom"/>
          </w:tcPr>
          <w:p>
            <w:pPr>
              <w:spacing w:after="0"/>
              <w:rPr>
                <w:sz w:val="24"/>
                <w:szCs w:val="24"/>
                <w:color w:val="auto"/>
              </w:rPr>
            </w:pPr>
          </w:p>
        </w:tc>
        <w:tc>
          <w:tcPr>
            <w:tcW w:w="3120" w:type="dxa"/>
            <w:vAlign w:val="bottom"/>
          </w:tcPr>
          <w:p>
            <w:pPr>
              <w:ind w:left="2320"/>
              <w:spacing w:after="0"/>
              <w:rPr>
                <w:sz w:val="20"/>
                <w:szCs w:val="20"/>
                <w:color w:val="auto"/>
              </w:rPr>
            </w:pPr>
            <w:r>
              <w:rPr>
                <w:rFonts w:ascii="Arial" w:cs="Arial" w:eastAsia="Arial" w:hAnsi="Arial"/>
                <w:sz w:val="15"/>
                <w:szCs w:val="15"/>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Timothy Springer</w:t>
            </w:r>
          </w:p>
        </w:tc>
      </w:tr>
      <w:tr>
        <w:trPr>
          <w:trHeight w:val="167"/>
        </w:trPr>
        <w:tc>
          <w:tcPr>
            <w:tcW w:w="3400" w:type="dxa"/>
            <w:vAlign w:val="bottom"/>
          </w:tcPr>
          <w:p>
            <w:pPr>
              <w:spacing w:after="0"/>
              <w:rPr>
                <w:sz w:val="14"/>
                <w:szCs w:val="14"/>
                <w:color w:val="auto"/>
              </w:rPr>
            </w:pPr>
          </w:p>
        </w:tc>
        <w:tc>
          <w:tcPr>
            <w:tcW w:w="3120" w:type="dxa"/>
            <w:vAlign w:val="bottom"/>
          </w:tcPr>
          <w:p>
            <w:pPr>
              <w:ind w:left="2320"/>
              <w:spacing w:after="0" w:line="167" w:lineRule="exact"/>
              <w:rPr>
                <w:sz w:val="20"/>
                <w:szCs w:val="20"/>
                <w:color w:val="auto"/>
              </w:rPr>
            </w:pPr>
            <w:r>
              <w:rPr>
                <w:rFonts w:ascii="Arial" w:cs="Arial" w:eastAsia="Arial" w:hAnsi="Arial"/>
                <w:sz w:val="15"/>
                <w:szCs w:val="15"/>
                <w:color w:val="auto"/>
              </w:rPr>
              <w:t>Name:</w:t>
            </w:r>
          </w:p>
        </w:tc>
        <w:tc>
          <w:tcPr>
            <w:tcW w:w="4920" w:type="dxa"/>
            <w:vAlign w:val="bottom"/>
            <w:gridSpan w:val="2"/>
          </w:tcPr>
          <w:p>
            <w:pPr>
              <w:spacing w:after="0" w:line="167" w:lineRule="exact"/>
              <w:rPr>
                <w:sz w:val="20"/>
                <w:szCs w:val="20"/>
                <w:color w:val="auto"/>
              </w:rPr>
            </w:pPr>
            <w:r>
              <w:rPr>
                <w:rFonts w:ascii="Arial" w:cs="Arial" w:eastAsia="Arial" w:hAnsi="Arial"/>
                <w:sz w:val="15"/>
                <w:szCs w:val="15"/>
                <w:color w:val="auto"/>
              </w:rPr>
              <w:t>Timothy Springer</w:t>
            </w:r>
          </w:p>
        </w:tc>
      </w:tr>
      <w:tr>
        <w:trPr>
          <w:trHeight w:val="196"/>
        </w:trPr>
        <w:tc>
          <w:tcPr>
            <w:tcW w:w="3400" w:type="dxa"/>
            <w:vAlign w:val="bottom"/>
          </w:tcPr>
          <w:p>
            <w:pPr>
              <w:spacing w:after="0"/>
              <w:rPr>
                <w:sz w:val="17"/>
                <w:szCs w:val="17"/>
                <w:color w:val="auto"/>
              </w:rPr>
            </w:pPr>
          </w:p>
        </w:tc>
        <w:tc>
          <w:tcPr>
            <w:tcW w:w="3120" w:type="dxa"/>
            <w:vAlign w:val="bottom"/>
          </w:tcPr>
          <w:p>
            <w:pPr>
              <w:ind w:left="2320"/>
              <w:spacing w:after="0"/>
              <w:rPr>
                <w:sz w:val="20"/>
                <w:szCs w:val="20"/>
                <w:color w:val="auto"/>
              </w:rPr>
            </w:pPr>
            <w:r>
              <w:rPr>
                <w:rFonts w:ascii="Arial" w:cs="Arial" w:eastAsia="Arial" w:hAnsi="Arial"/>
                <w:sz w:val="15"/>
                <w:szCs w:val="15"/>
                <w:color w:val="auto"/>
              </w:rPr>
              <w:t>Title:</w:t>
            </w:r>
          </w:p>
        </w:tc>
        <w:tc>
          <w:tcPr>
            <w:tcW w:w="800" w:type="dxa"/>
            <w:vAlign w:val="bottom"/>
          </w:tcPr>
          <w:p>
            <w:pPr>
              <w:spacing w:after="0"/>
              <w:rPr>
                <w:sz w:val="20"/>
                <w:szCs w:val="20"/>
                <w:color w:val="auto"/>
              </w:rPr>
            </w:pPr>
            <w:r>
              <w:rPr>
                <w:rFonts w:ascii="Arial" w:cs="Arial" w:eastAsia="Arial" w:hAnsi="Arial"/>
                <w:sz w:val="15"/>
                <w:szCs w:val="15"/>
                <w:color w:val="auto"/>
              </w:rPr>
              <w:t>Manager</w:t>
            </w:r>
          </w:p>
        </w:tc>
        <w:tc>
          <w:tcPr>
            <w:tcW w:w="4120" w:type="dxa"/>
            <w:vAlign w:val="bottom"/>
          </w:tcPr>
          <w:p>
            <w:pPr>
              <w:spacing w:after="0"/>
              <w:rPr>
                <w:sz w:val="17"/>
                <w:szCs w:val="17"/>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b w:val="1"/>
          <w:bCs w:val="1"/>
          <w:color w:val="auto"/>
        </w:rPr>
        <w:t>EMINENT II VENTURE CAPITAL CORPORATION</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4135755</wp:posOffset>
            </wp:positionH>
            <wp:positionV relativeFrom="paragraph">
              <wp:posOffset>-108585</wp:posOffset>
            </wp:positionV>
            <wp:extent cx="3125470" cy="762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3125470" cy="762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b w:val="1"/>
          <w:bCs w:val="1"/>
          <w:color w:val="auto"/>
        </w:rPr>
        <w:t>RUSNANO</w:t>
      </w:r>
    </w:p>
    <w:p>
      <w:pPr>
        <w:spacing w:after="0" w:line="389" w:lineRule="exact"/>
        <w:rPr>
          <w:sz w:val="20"/>
          <w:szCs w:val="20"/>
          <w:color w:val="auto"/>
        </w:rPr>
      </w:pPr>
    </w:p>
    <w:tbl>
      <w:tblPr>
        <w:tblLayout w:type="fixed"/>
        <w:tblInd w:w="5720" w:type="dxa"/>
        <w:tblCellMar>
          <w:top w:w="0" w:type="dxa"/>
          <w:left w:w="0" w:type="dxa"/>
          <w:bottom w:w="0" w:type="dxa"/>
          <w:right w:w="0" w:type="dxa"/>
        </w:tblCellMar>
      </w:tblPr>
      <w:tr>
        <w:trPr>
          <w:trHeight w:val="196"/>
        </w:trPr>
        <w:tc>
          <w:tcPr>
            <w:tcW w:w="840" w:type="dxa"/>
            <w:vAlign w:val="bottom"/>
          </w:tcPr>
          <w:p>
            <w:pPr>
              <w:spacing w:after="0"/>
              <w:rPr>
                <w:sz w:val="20"/>
                <w:szCs w:val="20"/>
                <w:color w:val="auto"/>
              </w:rPr>
            </w:pPr>
            <w:r>
              <w:rPr>
                <w:rFonts w:ascii="Arial" w:cs="Arial" w:eastAsia="Arial" w:hAnsi="Arial"/>
                <w:sz w:val="15"/>
                <w:szCs w:val="15"/>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Yuri Udaltsov</w:t>
            </w:r>
          </w:p>
        </w:tc>
      </w:tr>
      <w:tr>
        <w:trPr>
          <w:trHeight w:val="167"/>
        </w:trPr>
        <w:tc>
          <w:tcPr>
            <w:tcW w:w="84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880" w:type="dxa"/>
            <w:vAlign w:val="bottom"/>
          </w:tcPr>
          <w:p>
            <w:pPr>
              <w:spacing w:after="0" w:line="167" w:lineRule="exact"/>
              <w:rPr>
                <w:sz w:val="20"/>
                <w:szCs w:val="20"/>
                <w:color w:val="auto"/>
              </w:rPr>
            </w:pPr>
            <w:r>
              <w:rPr>
                <w:rFonts w:ascii="Arial" w:cs="Arial" w:eastAsia="Arial" w:hAnsi="Arial"/>
                <w:sz w:val="15"/>
                <w:szCs w:val="15"/>
                <w:color w:val="auto"/>
              </w:rPr>
              <w:t>Yuri Udaltsov</w:t>
            </w:r>
          </w:p>
        </w:tc>
      </w:tr>
      <w:tr>
        <w:trPr>
          <w:trHeight w:val="185"/>
        </w:trPr>
        <w:tc>
          <w:tcPr>
            <w:tcW w:w="840" w:type="dxa"/>
            <w:vAlign w:val="bottom"/>
          </w:tcPr>
          <w:p>
            <w:pPr>
              <w:spacing w:after="0"/>
              <w:rPr>
                <w:sz w:val="20"/>
                <w:szCs w:val="20"/>
                <w:color w:val="auto"/>
              </w:rPr>
            </w:pPr>
            <w:r>
              <w:rPr>
                <w:rFonts w:ascii="Arial" w:cs="Arial" w:eastAsia="Arial" w:hAnsi="Arial"/>
                <w:sz w:val="15"/>
                <w:szCs w:val="15"/>
                <w:color w:val="auto"/>
              </w:rPr>
              <w:t>Title:</w:t>
            </w:r>
          </w:p>
        </w:tc>
        <w:tc>
          <w:tcPr>
            <w:tcW w:w="4880" w:type="dxa"/>
            <w:vAlign w:val="bottom"/>
          </w:tcPr>
          <w:p>
            <w:pPr>
              <w:spacing w:after="0"/>
              <w:rPr>
                <w:sz w:val="20"/>
                <w:szCs w:val="20"/>
                <w:color w:val="auto"/>
              </w:rPr>
            </w:pPr>
            <w:r>
              <w:rPr>
                <w:rFonts w:ascii="Arial" w:cs="Arial" w:eastAsia="Arial" w:hAnsi="Arial"/>
                <w:sz w:val="15"/>
                <w:szCs w:val="15"/>
                <w:color w:val="auto"/>
              </w:rPr>
              <w:t>Deputy Chairman of the Management Board of Management Company</w:t>
            </w:r>
          </w:p>
        </w:tc>
      </w:tr>
      <w:tr>
        <w:trPr>
          <w:trHeight w:val="196"/>
        </w:trPr>
        <w:tc>
          <w:tcPr>
            <w:tcW w:w="84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RUSNANO LLC acting on the basis of a power of attorney</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PURCHASERS:</w:t>
      </w:r>
      <w:r>
        <w:rPr>
          <w:sz w:val="20"/>
          <w:szCs w:val="20"/>
          <w:color w:val="auto"/>
        </w:rPr>
        <w:tab/>
      </w:r>
      <w:r>
        <w:rPr>
          <w:rFonts w:ascii="Arial" w:cs="Arial" w:eastAsia="Arial" w:hAnsi="Arial"/>
          <w:sz w:val="15"/>
          <w:szCs w:val="15"/>
          <w:b w:val="1"/>
          <w:bCs w:val="1"/>
          <w:color w:val="auto"/>
        </w:rPr>
        <w:t>VTB CAPITAL I2BF NETHERLANDS B.V.</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-108585</wp:posOffset>
            </wp:positionV>
            <wp:extent cx="3103245" cy="762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310324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and</w:t>
      </w:r>
    </w:p>
    <w:p>
      <w:pPr>
        <w:sectPr>
          <w:pgSz w:w="11900" w:h="16838" w:orient="portrait"/>
          <w:cols w:equalWidth="0" w:num="1">
            <w:col w:w="11440"/>
          </w:cols>
          <w:pgMar w:left="240" w:top="499" w:right="219" w:bottom="0" w:gutter="0" w:footer="0" w:header="0"/>
        </w:sectPr>
      </w:pPr>
    </w:p>
    <w:bookmarkStart w:id="339" w:name="page340"/>
    <w:bookmarkEnd w:id="339"/>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-108585</wp:posOffset>
            </wp:positionV>
            <wp:extent cx="3103245" cy="762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103245" cy="762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5"/>
          <w:szCs w:val="15"/>
          <w:color w:val="auto"/>
        </w:rPr>
        <w:t>Title:</w:t>
      </w:r>
    </w:p>
    <w:p>
      <w:pPr>
        <w:spacing w:after="0" w:line="367"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SELECTA RKFN LTD.</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-108585</wp:posOffset>
            </wp:positionV>
            <wp:extent cx="3103245" cy="762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3103245" cy="762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60" w:type="dxa"/>
            <w:vAlign w:val="bottom"/>
          </w:tcPr>
          <w:p>
            <w:pPr>
              <w:spacing w:after="0"/>
              <w:rPr>
                <w:sz w:val="20"/>
                <w:szCs w:val="20"/>
                <w:color w:val="auto"/>
              </w:rPr>
            </w:pPr>
            <w:r>
              <w:rPr>
                <w:rFonts w:ascii="Arial" w:cs="Arial" w:eastAsia="Arial" w:hAnsi="Arial"/>
                <w:sz w:val="15"/>
                <w:szCs w:val="15"/>
                <w:b w:val="1"/>
                <w:bCs w:val="1"/>
                <w:color w:val="auto"/>
              </w:rPr>
              <w:t>PURCHASER:</w:t>
            </w:r>
          </w:p>
        </w:tc>
        <w:tc>
          <w:tcPr>
            <w:tcW w:w="8080" w:type="dxa"/>
            <w:vAlign w:val="bottom"/>
            <w:gridSpan w:val="2"/>
          </w:tcPr>
          <w:p>
            <w:pPr>
              <w:ind w:left="2360"/>
              <w:spacing w:after="0"/>
              <w:rPr>
                <w:sz w:val="20"/>
                <w:szCs w:val="20"/>
                <w:color w:val="auto"/>
              </w:rPr>
            </w:pPr>
            <w:r>
              <w:rPr>
                <w:rFonts w:ascii="Arial" w:cs="Arial" w:eastAsia="Arial" w:hAnsi="Arial"/>
                <w:sz w:val="15"/>
                <w:szCs w:val="15"/>
                <w:b w:val="1"/>
                <w:bCs w:val="1"/>
                <w:color w:val="auto"/>
              </w:rPr>
              <w:t>ALEXANDRIA EQUITIES, LLC</w:t>
            </w:r>
          </w:p>
        </w:tc>
      </w:tr>
      <w:tr>
        <w:trPr>
          <w:trHeight w:val="196"/>
        </w:trPr>
        <w:tc>
          <w:tcPr>
            <w:tcW w:w="3360" w:type="dxa"/>
            <w:vAlign w:val="bottom"/>
          </w:tcPr>
          <w:p>
            <w:pPr>
              <w:spacing w:after="0"/>
              <w:rPr>
                <w:sz w:val="17"/>
                <w:szCs w:val="17"/>
                <w:color w:val="auto"/>
              </w:rPr>
            </w:pPr>
          </w:p>
        </w:tc>
        <w:tc>
          <w:tcPr>
            <w:tcW w:w="8080" w:type="dxa"/>
            <w:vAlign w:val="bottom"/>
            <w:gridSpan w:val="2"/>
          </w:tcPr>
          <w:p>
            <w:pPr>
              <w:ind w:left="2360"/>
              <w:spacing w:after="0"/>
              <w:rPr>
                <w:sz w:val="20"/>
                <w:szCs w:val="20"/>
                <w:color w:val="auto"/>
              </w:rPr>
            </w:pPr>
            <w:r>
              <w:rPr>
                <w:rFonts w:ascii="Arial" w:cs="Arial" w:eastAsia="Arial" w:hAnsi="Arial"/>
                <w:sz w:val="15"/>
                <w:szCs w:val="15"/>
                <w:color w:val="auto"/>
              </w:rPr>
              <w:t>A Delaware limited libability company</w:t>
            </w:r>
          </w:p>
        </w:tc>
      </w:tr>
      <w:tr>
        <w:trPr>
          <w:trHeight w:val="360"/>
        </w:trPr>
        <w:tc>
          <w:tcPr>
            <w:tcW w:w="3360" w:type="dxa"/>
            <w:vAlign w:val="bottom"/>
          </w:tcPr>
          <w:p>
            <w:pPr>
              <w:spacing w:after="0"/>
              <w:rPr>
                <w:sz w:val="24"/>
                <w:szCs w:val="24"/>
                <w:color w:val="auto"/>
              </w:rPr>
            </w:pPr>
          </w:p>
        </w:tc>
        <w:tc>
          <w:tcPr>
            <w:tcW w:w="8080" w:type="dxa"/>
            <w:vAlign w:val="bottom"/>
            <w:gridSpan w:val="2"/>
          </w:tcPr>
          <w:p>
            <w:pPr>
              <w:ind w:left="2360"/>
              <w:spacing w:after="0"/>
              <w:rPr>
                <w:sz w:val="20"/>
                <w:szCs w:val="20"/>
                <w:color w:val="auto"/>
              </w:rPr>
            </w:pPr>
            <w:r>
              <w:rPr>
                <w:rFonts w:ascii="Arial" w:cs="Arial" w:eastAsia="Arial" w:hAnsi="Arial"/>
                <w:sz w:val="15"/>
                <w:szCs w:val="15"/>
                <w:color w:val="auto"/>
                <w:w w:val="98"/>
              </w:rPr>
              <w:t>By:ALEXANDRIA REAL ESTATE EQUITIES, INC., a Maryland corporation,</w:t>
            </w:r>
          </w:p>
        </w:tc>
      </w:tr>
      <w:tr>
        <w:trPr>
          <w:trHeight w:val="196"/>
        </w:trPr>
        <w:tc>
          <w:tcPr>
            <w:tcW w:w="3360" w:type="dxa"/>
            <w:vAlign w:val="bottom"/>
          </w:tcPr>
          <w:p>
            <w:pPr>
              <w:spacing w:after="0"/>
              <w:rPr>
                <w:sz w:val="17"/>
                <w:szCs w:val="17"/>
                <w:color w:val="auto"/>
              </w:rPr>
            </w:pPr>
          </w:p>
        </w:tc>
        <w:tc>
          <w:tcPr>
            <w:tcW w:w="8080" w:type="dxa"/>
            <w:vAlign w:val="bottom"/>
            <w:gridSpan w:val="2"/>
          </w:tcPr>
          <w:p>
            <w:pPr>
              <w:ind w:left="2880"/>
              <w:spacing w:after="0"/>
              <w:rPr>
                <w:sz w:val="20"/>
                <w:szCs w:val="20"/>
                <w:color w:val="auto"/>
              </w:rPr>
            </w:pPr>
            <w:r>
              <w:rPr>
                <w:rFonts w:ascii="Arial" w:cs="Arial" w:eastAsia="Arial" w:hAnsi="Arial"/>
                <w:sz w:val="15"/>
                <w:szCs w:val="15"/>
                <w:color w:val="auto"/>
              </w:rPr>
              <w:t>managing member</w:t>
            </w:r>
          </w:p>
        </w:tc>
      </w:tr>
      <w:tr>
        <w:trPr>
          <w:trHeight w:val="556"/>
        </w:trPr>
        <w:tc>
          <w:tcPr>
            <w:tcW w:w="3360" w:type="dxa"/>
            <w:vAlign w:val="bottom"/>
          </w:tcPr>
          <w:p>
            <w:pPr>
              <w:spacing w:after="0"/>
              <w:rPr>
                <w:sz w:val="24"/>
                <w:szCs w:val="24"/>
                <w:color w:val="auto"/>
              </w:rPr>
            </w:pPr>
          </w:p>
        </w:tc>
        <w:tc>
          <w:tcPr>
            <w:tcW w:w="3760" w:type="dxa"/>
            <w:vAlign w:val="bottom"/>
          </w:tcPr>
          <w:p>
            <w:pPr>
              <w:ind w:left="2880"/>
              <w:spacing w:after="0"/>
              <w:rPr>
                <w:sz w:val="20"/>
                <w:szCs w:val="20"/>
                <w:color w:val="auto"/>
              </w:rPr>
            </w:pPr>
            <w:r>
              <w:rPr>
                <w:rFonts w:ascii="Arial" w:cs="Arial" w:eastAsia="Arial" w:hAnsi="Arial"/>
                <w:sz w:val="15"/>
                <w:szCs w:val="15"/>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Gary Dean</w:t>
            </w:r>
          </w:p>
        </w:tc>
      </w:tr>
      <w:tr>
        <w:trPr>
          <w:trHeight w:val="167"/>
        </w:trPr>
        <w:tc>
          <w:tcPr>
            <w:tcW w:w="3360" w:type="dxa"/>
            <w:vAlign w:val="bottom"/>
          </w:tcPr>
          <w:p>
            <w:pPr>
              <w:spacing w:after="0"/>
              <w:rPr>
                <w:sz w:val="14"/>
                <w:szCs w:val="14"/>
                <w:color w:val="auto"/>
              </w:rPr>
            </w:pPr>
          </w:p>
        </w:tc>
        <w:tc>
          <w:tcPr>
            <w:tcW w:w="3760" w:type="dxa"/>
            <w:vAlign w:val="bottom"/>
          </w:tcPr>
          <w:p>
            <w:pPr>
              <w:ind w:left="2880"/>
              <w:spacing w:after="0" w:line="167" w:lineRule="exact"/>
              <w:rPr>
                <w:sz w:val="20"/>
                <w:szCs w:val="20"/>
                <w:color w:val="auto"/>
              </w:rPr>
            </w:pPr>
            <w:r>
              <w:rPr>
                <w:rFonts w:ascii="Arial" w:cs="Arial" w:eastAsia="Arial" w:hAnsi="Arial"/>
                <w:sz w:val="15"/>
                <w:szCs w:val="15"/>
                <w:color w:val="auto"/>
              </w:rPr>
              <w:t>Name:</w:t>
            </w:r>
          </w:p>
        </w:tc>
        <w:tc>
          <w:tcPr>
            <w:tcW w:w="4320" w:type="dxa"/>
            <w:vAlign w:val="bottom"/>
          </w:tcPr>
          <w:p>
            <w:pPr>
              <w:spacing w:after="0" w:line="167" w:lineRule="exact"/>
              <w:rPr>
                <w:sz w:val="20"/>
                <w:szCs w:val="20"/>
                <w:color w:val="auto"/>
              </w:rPr>
            </w:pPr>
            <w:r>
              <w:rPr>
                <w:rFonts w:ascii="Arial" w:cs="Arial" w:eastAsia="Arial" w:hAnsi="Arial"/>
                <w:sz w:val="15"/>
                <w:szCs w:val="15"/>
                <w:color w:val="auto"/>
              </w:rPr>
              <w:t>Gary Dean</w:t>
            </w:r>
          </w:p>
        </w:tc>
      </w:tr>
      <w:tr>
        <w:trPr>
          <w:trHeight w:val="185"/>
        </w:trPr>
        <w:tc>
          <w:tcPr>
            <w:tcW w:w="3360" w:type="dxa"/>
            <w:vAlign w:val="bottom"/>
          </w:tcPr>
          <w:p>
            <w:pPr>
              <w:spacing w:after="0"/>
              <w:rPr>
                <w:sz w:val="16"/>
                <w:szCs w:val="16"/>
                <w:color w:val="auto"/>
              </w:rPr>
            </w:pPr>
          </w:p>
        </w:tc>
        <w:tc>
          <w:tcPr>
            <w:tcW w:w="3760" w:type="dxa"/>
            <w:vAlign w:val="bottom"/>
          </w:tcPr>
          <w:p>
            <w:pPr>
              <w:ind w:left="2880"/>
              <w:spacing w:after="0"/>
              <w:rPr>
                <w:sz w:val="20"/>
                <w:szCs w:val="20"/>
                <w:color w:val="auto"/>
              </w:rPr>
            </w:pPr>
            <w:r>
              <w:rPr>
                <w:rFonts w:ascii="Arial" w:cs="Arial" w:eastAsia="Arial" w:hAnsi="Arial"/>
                <w:sz w:val="15"/>
                <w:szCs w:val="15"/>
                <w:color w:val="auto"/>
              </w:rPr>
              <w:t>Title:</w:t>
            </w:r>
          </w:p>
        </w:tc>
        <w:tc>
          <w:tcPr>
            <w:tcW w:w="4320" w:type="dxa"/>
            <w:vAlign w:val="bottom"/>
          </w:tcPr>
          <w:p>
            <w:pPr>
              <w:spacing w:after="0"/>
              <w:rPr>
                <w:sz w:val="20"/>
                <w:szCs w:val="20"/>
                <w:color w:val="auto"/>
              </w:rPr>
            </w:pPr>
            <w:r>
              <w:rPr>
                <w:rFonts w:ascii="Arial" w:cs="Arial" w:eastAsia="Arial" w:hAnsi="Arial"/>
                <w:sz w:val="15"/>
                <w:szCs w:val="15"/>
                <w:color w:val="auto"/>
              </w:rPr>
              <w:t>Senior Vice President</w:t>
            </w:r>
          </w:p>
        </w:tc>
      </w:tr>
      <w:tr>
        <w:trPr>
          <w:trHeight w:val="196"/>
        </w:trPr>
        <w:tc>
          <w:tcPr>
            <w:tcW w:w="33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5"/>
                <w:szCs w:val="15"/>
                <w:color w:val="auto"/>
              </w:rPr>
              <w:t>RE Legal Affairs</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Pr>
          <w:p>
            <w:pPr>
              <w:spacing w:after="0"/>
              <w:rPr>
                <w:sz w:val="20"/>
                <w:szCs w:val="20"/>
                <w:color w:val="auto"/>
              </w:rPr>
            </w:pPr>
            <w:r>
              <w:rPr>
                <w:rFonts w:ascii="Arial" w:cs="Arial" w:eastAsia="Arial" w:hAnsi="Arial"/>
                <w:sz w:val="15"/>
                <w:szCs w:val="15"/>
                <w:b w:val="1"/>
                <w:bCs w:val="1"/>
                <w:color w:val="auto"/>
              </w:rPr>
              <w:t>PURCHASER:</w:t>
            </w:r>
          </w:p>
        </w:tc>
        <w:tc>
          <w:tcPr>
            <w:tcW w:w="8080" w:type="dxa"/>
            <w:vAlign w:val="bottom"/>
            <w:gridSpan w:val="3"/>
          </w:tcPr>
          <w:p>
            <w:pPr>
              <w:ind w:left="2360"/>
              <w:spacing w:after="0"/>
              <w:rPr>
                <w:sz w:val="20"/>
                <w:szCs w:val="20"/>
                <w:color w:val="auto"/>
              </w:rPr>
            </w:pPr>
            <w:r>
              <w:rPr>
                <w:rFonts w:ascii="Arial" w:cs="Arial" w:eastAsia="Arial" w:hAnsi="Arial"/>
                <w:sz w:val="15"/>
                <w:szCs w:val="15"/>
                <w:b w:val="1"/>
                <w:bCs w:val="1"/>
                <w:color w:val="auto"/>
              </w:rPr>
              <w:t>BIODYNAMICS CORE, L.P.</w:t>
            </w:r>
          </w:p>
        </w:tc>
      </w:tr>
      <w:tr>
        <w:trPr>
          <w:trHeight w:val="371"/>
        </w:trPr>
        <w:tc>
          <w:tcPr>
            <w:tcW w:w="3360" w:type="dxa"/>
            <w:vAlign w:val="bottom"/>
          </w:tcPr>
          <w:p>
            <w:pPr>
              <w:spacing w:after="0"/>
              <w:rPr>
                <w:sz w:val="24"/>
                <w:szCs w:val="24"/>
                <w:color w:val="auto"/>
              </w:rPr>
            </w:pPr>
          </w:p>
        </w:tc>
        <w:tc>
          <w:tcPr>
            <w:tcW w:w="2780" w:type="dxa"/>
            <w:vAlign w:val="bottom"/>
          </w:tcPr>
          <w:p>
            <w:pPr>
              <w:ind w:left="2360"/>
              <w:spacing w:after="0"/>
              <w:rPr>
                <w:sz w:val="20"/>
                <w:szCs w:val="20"/>
                <w:color w:val="auto"/>
              </w:rPr>
            </w:pPr>
            <w:r>
              <w:rPr>
                <w:rFonts w:ascii="Arial" w:cs="Arial" w:eastAsia="Arial" w:hAnsi="Arial"/>
                <w:sz w:val="15"/>
                <w:szCs w:val="15"/>
                <w:color w:val="auto"/>
              </w:rPr>
              <w:t>By:</w:t>
            </w:r>
          </w:p>
        </w:tc>
        <w:tc>
          <w:tcPr>
            <w:tcW w:w="5300" w:type="dxa"/>
            <w:vAlign w:val="bottom"/>
            <w:gridSpan w:val="2"/>
          </w:tcPr>
          <w:p>
            <w:pPr>
              <w:ind w:left="180"/>
              <w:spacing w:after="0"/>
              <w:rPr>
                <w:sz w:val="20"/>
                <w:szCs w:val="20"/>
                <w:color w:val="auto"/>
              </w:rPr>
            </w:pPr>
            <w:r>
              <w:rPr>
                <w:rFonts w:ascii="Arial" w:cs="Arial" w:eastAsia="Arial" w:hAnsi="Arial"/>
                <w:sz w:val="15"/>
                <w:szCs w:val="15"/>
                <w:color w:val="auto"/>
              </w:rPr>
              <w:t>BioDynamics, LLC, its General Partner</w:t>
            </w:r>
          </w:p>
        </w:tc>
      </w:tr>
      <w:tr>
        <w:trPr>
          <w:trHeight w:val="556"/>
        </w:trPr>
        <w:tc>
          <w:tcPr>
            <w:tcW w:w="3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5"/>
                <w:szCs w:val="15"/>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Omid Farokhzad</w:t>
            </w:r>
          </w:p>
        </w:tc>
      </w:tr>
      <w:tr>
        <w:trPr>
          <w:trHeight w:val="167"/>
        </w:trPr>
        <w:tc>
          <w:tcPr>
            <w:tcW w:w="3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80" w:type="dxa"/>
            <w:vAlign w:val="bottom"/>
          </w:tcPr>
          <w:p>
            <w:pPr>
              <w:ind w:left="180"/>
              <w:spacing w:after="0" w:line="167" w:lineRule="exact"/>
              <w:rPr>
                <w:sz w:val="20"/>
                <w:szCs w:val="20"/>
                <w:color w:val="auto"/>
              </w:rPr>
            </w:pPr>
            <w:r>
              <w:rPr>
                <w:rFonts w:ascii="Arial" w:cs="Arial" w:eastAsia="Arial" w:hAnsi="Arial"/>
                <w:sz w:val="15"/>
                <w:szCs w:val="15"/>
                <w:color w:val="auto"/>
              </w:rPr>
              <w:t>Name:</w:t>
            </w:r>
          </w:p>
        </w:tc>
        <w:tc>
          <w:tcPr>
            <w:tcW w:w="4320" w:type="dxa"/>
            <w:vAlign w:val="bottom"/>
          </w:tcPr>
          <w:p>
            <w:pPr>
              <w:spacing w:after="0" w:line="167" w:lineRule="exact"/>
              <w:rPr>
                <w:sz w:val="20"/>
                <w:szCs w:val="20"/>
                <w:color w:val="auto"/>
              </w:rPr>
            </w:pPr>
            <w:r>
              <w:rPr>
                <w:rFonts w:ascii="Arial" w:cs="Arial" w:eastAsia="Arial" w:hAnsi="Arial"/>
                <w:sz w:val="15"/>
                <w:szCs w:val="15"/>
                <w:color w:val="auto"/>
              </w:rPr>
              <w:t>Omid Farokhzad</w:t>
            </w:r>
          </w:p>
        </w:tc>
      </w:tr>
      <w:tr>
        <w:trPr>
          <w:trHeight w:val="196"/>
        </w:trPr>
        <w:tc>
          <w:tcPr>
            <w:tcW w:w="33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80" w:type="dxa"/>
            <w:vAlign w:val="bottom"/>
          </w:tcPr>
          <w:p>
            <w:pPr>
              <w:ind w:left="180"/>
              <w:spacing w:after="0"/>
              <w:rPr>
                <w:sz w:val="20"/>
                <w:szCs w:val="20"/>
                <w:color w:val="auto"/>
              </w:rPr>
            </w:pPr>
            <w:r>
              <w:rPr>
                <w:rFonts w:ascii="Arial" w:cs="Arial" w:eastAsia="Arial" w:hAnsi="Arial"/>
                <w:sz w:val="15"/>
                <w:szCs w:val="15"/>
                <w:color w:val="auto"/>
              </w:rPr>
              <w:t>Title:</w:t>
            </w:r>
          </w:p>
        </w:tc>
        <w:tc>
          <w:tcPr>
            <w:tcW w:w="4320" w:type="dxa"/>
            <w:vAlign w:val="bottom"/>
          </w:tcPr>
          <w:p>
            <w:pPr>
              <w:spacing w:after="0"/>
              <w:rPr>
                <w:sz w:val="20"/>
                <w:szCs w:val="20"/>
                <w:color w:val="auto"/>
              </w:rPr>
            </w:pPr>
            <w:r>
              <w:rPr>
                <w:rFonts w:ascii="Arial" w:cs="Arial" w:eastAsia="Arial" w:hAnsi="Arial"/>
                <w:sz w:val="15"/>
                <w:szCs w:val="15"/>
                <w:color w:val="auto"/>
              </w:rPr>
              <w:t>Member</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Pr>
          <w:p>
            <w:pPr>
              <w:spacing w:after="0"/>
              <w:rPr>
                <w:sz w:val="20"/>
                <w:szCs w:val="20"/>
                <w:color w:val="auto"/>
              </w:rPr>
            </w:pPr>
            <w:r>
              <w:rPr>
                <w:rFonts w:ascii="Arial" w:cs="Arial" w:eastAsia="Arial" w:hAnsi="Arial"/>
                <w:sz w:val="15"/>
                <w:szCs w:val="15"/>
                <w:b w:val="1"/>
                <w:bCs w:val="1"/>
                <w:color w:val="auto"/>
              </w:rPr>
              <w:t>PURCHASER:</w:t>
            </w:r>
          </w:p>
        </w:tc>
        <w:tc>
          <w:tcPr>
            <w:tcW w:w="8080" w:type="dxa"/>
            <w:vAlign w:val="bottom"/>
            <w:gridSpan w:val="3"/>
          </w:tcPr>
          <w:p>
            <w:pPr>
              <w:ind w:left="2360"/>
              <w:spacing w:after="0"/>
              <w:rPr>
                <w:sz w:val="20"/>
                <w:szCs w:val="20"/>
                <w:color w:val="auto"/>
              </w:rPr>
            </w:pPr>
            <w:r>
              <w:rPr>
                <w:rFonts w:ascii="Arial" w:cs="Arial" w:eastAsia="Arial" w:hAnsi="Arial"/>
                <w:sz w:val="15"/>
                <w:szCs w:val="15"/>
                <w:b w:val="1"/>
                <w:bCs w:val="1"/>
                <w:color w:val="auto"/>
              </w:rPr>
              <w:t>OSAGE UNIVERSITY PARTNERS II, L.P.</w:t>
            </w:r>
          </w:p>
        </w:tc>
      </w:tr>
      <w:tr>
        <w:trPr>
          <w:trHeight w:val="371"/>
        </w:trPr>
        <w:tc>
          <w:tcPr>
            <w:tcW w:w="3360" w:type="dxa"/>
            <w:vAlign w:val="bottom"/>
          </w:tcPr>
          <w:p>
            <w:pPr>
              <w:spacing w:after="0"/>
              <w:rPr>
                <w:sz w:val="24"/>
                <w:szCs w:val="24"/>
                <w:color w:val="auto"/>
              </w:rPr>
            </w:pPr>
          </w:p>
        </w:tc>
        <w:tc>
          <w:tcPr>
            <w:tcW w:w="2760" w:type="dxa"/>
            <w:vAlign w:val="bottom"/>
          </w:tcPr>
          <w:p>
            <w:pPr>
              <w:ind w:left="2360"/>
              <w:spacing w:after="0"/>
              <w:rPr>
                <w:sz w:val="20"/>
                <w:szCs w:val="20"/>
                <w:color w:val="auto"/>
              </w:rPr>
            </w:pPr>
            <w:r>
              <w:rPr>
                <w:rFonts w:ascii="Arial" w:cs="Arial" w:eastAsia="Arial" w:hAnsi="Arial"/>
                <w:sz w:val="15"/>
                <w:szCs w:val="15"/>
                <w:color w:val="auto"/>
              </w:rPr>
              <w:t>By:</w:t>
            </w: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OSAGE UNIVERSITY GP II, LP, its General Partner</w:t>
            </w:r>
          </w:p>
        </w:tc>
      </w:tr>
      <w:tr>
        <w:trPr>
          <w:trHeight w:val="371"/>
        </w:trPr>
        <w:tc>
          <w:tcPr>
            <w:tcW w:w="3360" w:type="dxa"/>
            <w:vAlign w:val="bottom"/>
          </w:tcPr>
          <w:p>
            <w:pPr>
              <w:spacing w:after="0"/>
              <w:rPr>
                <w:sz w:val="24"/>
                <w:szCs w:val="24"/>
                <w:color w:val="auto"/>
              </w:rPr>
            </w:pPr>
          </w:p>
        </w:tc>
        <w:tc>
          <w:tcPr>
            <w:tcW w:w="2760" w:type="dxa"/>
            <w:vAlign w:val="bottom"/>
          </w:tcPr>
          <w:p>
            <w:pPr>
              <w:ind w:left="2360"/>
              <w:spacing w:after="0"/>
              <w:rPr>
                <w:sz w:val="20"/>
                <w:szCs w:val="20"/>
                <w:color w:val="auto"/>
              </w:rPr>
            </w:pPr>
            <w:r>
              <w:rPr>
                <w:rFonts w:ascii="Arial" w:cs="Arial" w:eastAsia="Arial" w:hAnsi="Arial"/>
                <w:sz w:val="15"/>
                <w:szCs w:val="15"/>
                <w:color w:val="auto"/>
              </w:rPr>
              <w:t>By:</w:t>
            </w:r>
          </w:p>
        </w:tc>
        <w:tc>
          <w:tcPr>
            <w:tcW w:w="5320" w:type="dxa"/>
            <w:vAlign w:val="bottom"/>
            <w:gridSpan w:val="2"/>
          </w:tcPr>
          <w:p>
            <w:pPr>
              <w:ind w:left="180"/>
              <w:spacing w:after="0"/>
              <w:rPr>
                <w:sz w:val="20"/>
                <w:szCs w:val="20"/>
                <w:color w:val="auto"/>
              </w:rPr>
            </w:pPr>
            <w:r>
              <w:rPr>
                <w:rFonts w:ascii="Arial" w:cs="Arial" w:eastAsia="Arial" w:hAnsi="Arial"/>
                <w:sz w:val="15"/>
                <w:szCs w:val="15"/>
                <w:color w:val="auto"/>
              </w:rPr>
              <w:t>OSAGE PARTNERS, LLC, its General Partner</w:t>
            </w:r>
          </w:p>
        </w:tc>
      </w:tr>
      <w:tr>
        <w:trPr>
          <w:trHeight w:val="556"/>
        </w:trPr>
        <w:tc>
          <w:tcPr>
            <w:tcW w:w="3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5"/>
                <w:szCs w:val="15"/>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William Harrington</w:t>
            </w:r>
          </w:p>
        </w:tc>
      </w:tr>
      <w:tr>
        <w:trPr>
          <w:trHeight w:val="167"/>
        </w:trPr>
        <w:tc>
          <w:tcPr>
            <w:tcW w:w="3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0" w:type="dxa"/>
            <w:vAlign w:val="bottom"/>
          </w:tcPr>
          <w:p>
            <w:pPr>
              <w:ind w:left="180"/>
              <w:spacing w:after="0" w:line="167" w:lineRule="exact"/>
              <w:rPr>
                <w:sz w:val="20"/>
                <w:szCs w:val="20"/>
                <w:color w:val="auto"/>
              </w:rPr>
            </w:pPr>
            <w:r>
              <w:rPr>
                <w:rFonts w:ascii="Arial" w:cs="Arial" w:eastAsia="Arial" w:hAnsi="Arial"/>
                <w:sz w:val="15"/>
                <w:szCs w:val="15"/>
                <w:color w:val="auto"/>
              </w:rPr>
              <w:t>Name:</w:t>
            </w:r>
          </w:p>
        </w:tc>
        <w:tc>
          <w:tcPr>
            <w:tcW w:w="4320" w:type="dxa"/>
            <w:vAlign w:val="bottom"/>
          </w:tcPr>
          <w:p>
            <w:pPr>
              <w:spacing w:after="0" w:line="167" w:lineRule="exact"/>
              <w:rPr>
                <w:sz w:val="20"/>
                <w:szCs w:val="20"/>
                <w:color w:val="auto"/>
              </w:rPr>
            </w:pPr>
            <w:r>
              <w:rPr>
                <w:rFonts w:ascii="Arial" w:cs="Arial" w:eastAsia="Arial" w:hAnsi="Arial"/>
                <w:sz w:val="15"/>
                <w:szCs w:val="15"/>
                <w:color w:val="auto"/>
              </w:rPr>
              <w:t>William Harrington</w:t>
            </w:r>
          </w:p>
        </w:tc>
      </w:tr>
      <w:tr>
        <w:trPr>
          <w:trHeight w:val="196"/>
        </w:trPr>
        <w:tc>
          <w:tcPr>
            <w:tcW w:w="33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0" w:type="dxa"/>
            <w:vAlign w:val="bottom"/>
          </w:tcPr>
          <w:p>
            <w:pPr>
              <w:ind w:left="180"/>
              <w:spacing w:after="0"/>
              <w:rPr>
                <w:sz w:val="20"/>
                <w:szCs w:val="20"/>
                <w:color w:val="auto"/>
              </w:rPr>
            </w:pPr>
            <w:r>
              <w:rPr>
                <w:rFonts w:ascii="Arial" w:cs="Arial" w:eastAsia="Arial" w:hAnsi="Arial"/>
                <w:sz w:val="15"/>
                <w:szCs w:val="15"/>
                <w:color w:val="auto"/>
              </w:rPr>
              <w:t>Title:</w:t>
            </w:r>
          </w:p>
        </w:tc>
        <w:tc>
          <w:tcPr>
            <w:tcW w:w="4320" w:type="dxa"/>
            <w:vAlign w:val="bottom"/>
          </w:tcPr>
          <w:p>
            <w:pPr>
              <w:spacing w:after="0"/>
              <w:rPr>
                <w:sz w:val="20"/>
                <w:szCs w:val="20"/>
                <w:color w:val="auto"/>
              </w:rPr>
            </w:pPr>
            <w:r>
              <w:rPr>
                <w:rFonts w:ascii="Arial" w:cs="Arial" w:eastAsia="Arial" w:hAnsi="Arial"/>
                <w:sz w:val="15"/>
                <w:szCs w:val="15"/>
                <w:color w:val="auto"/>
              </w:rPr>
              <w:t>Member</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b w:val="1"/>
          <w:bCs w:val="1"/>
          <w:color w:val="auto"/>
        </w:rPr>
        <w:t>AVENTISUB, LLC</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-108585</wp:posOffset>
            </wp:positionV>
            <wp:extent cx="3118485" cy="762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3118485" cy="762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b w:val="1"/>
          <w:bCs w:val="1"/>
          <w:color w:val="auto"/>
        </w:rPr>
        <w:t>RIDGEBACK CAPITAL INVESTMENTS, LP</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-108585</wp:posOffset>
            </wp:positionV>
            <wp:extent cx="3265170" cy="762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3265170" cy="762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314" w:right="219" w:bottom="105" w:gutter="0" w:footer="0" w:header="0"/>
        </w:sectPr>
      </w:pPr>
    </w:p>
    <w:bookmarkStart w:id="340" w:name="page341"/>
    <w:bookmarkEnd w:id="340"/>
    <w:p>
      <w:pPr>
        <w:spacing w:after="0"/>
        <w:tabs>
          <w:tab w:leader="none" w:pos="570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b w:val="1"/>
          <w:bCs w:val="1"/>
          <w:color w:val="auto"/>
        </w:rPr>
        <w:t>BLAKELEY VENTURES, LLC</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-108585</wp:posOffset>
            </wp:positionV>
            <wp:extent cx="3265170" cy="762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3265170"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3"/>
          <w:szCs w:val="13"/>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285990" cy="2730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b w:val="1"/>
          <w:bCs w:val="1"/>
          <w:color w:val="auto"/>
        </w:rPr>
        <w:t>SAMIEI &amp; MORSE PARTNERSHIP</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4010660</wp:posOffset>
            </wp:positionH>
            <wp:positionV relativeFrom="paragraph">
              <wp:posOffset>-108585</wp:posOffset>
            </wp:positionV>
            <wp:extent cx="3250565" cy="762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325056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3"/>
          <w:szCs w:val="13"/>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285990" cy="2730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98" w:lineRule="auto"/>
        <w:rPr>
          <w:sz w:val="20"/>
          <w:szCs w:val="20"/>
          <w:color w:val="auto"/>
        </w:rPr>
      </w:pPr>
      <w:r>
        <w:rPr>
          <w:rFonts w:ascii="Arial" w:cs="Arial" w:eastAsia="Arial" w:hAnsi="Arial"/>
          <w:sz w:val="15"/>
          <w:szCs w:val="15"/>
          <w:b w:val="1"/>
          <w:bCs w:val="1"/>
          <w:color w:val="auto"/>
        </w:rPr>
        <w:t>AJU LIFE SCIENCE OVERSEAS EXPANSION PLATFORM FUND C/O AJU IB INVESTMENT</w:t>
      </w:r>
    </w:p>
    <w:p>
      <w:pPr>
        <w:spacing w:after="0" w:line="200" w:lineRule="exact"/>
        <w:rPr>
          <w:sz w:val="20"/>
          <w:szCs w:val="20"/>
          <w:color w:val="auto"/>
        </w:rPr>
      </w:pPr>
    </w:p>
    <w:p>
      <w:pPr>
        <w:sectPr>
          <w:pgSz w:w="11900" w:h="16838" w:orient="portrait"/>
          <w:cols w:equalWidth="0" w:num="2">
            <w:col w:w="5000" w:space="720"/>
            <w:col w:w="5460"/>
          </w:cols>
          <w:pgMar w:left="240" w:top="517" w:right="479" w:bottom="0" w:gutter="0" w:footer="0" w:header="0"/>
          <w:type w:val="continuous"/>
        </w:sectPr>
      </w:pPr>
    </w:p>
    <w:p>
      <w:pPr>
        <w:spacing w:after="0" w:line="119"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Ji-Won Kim</w:t>
      </w:r>
    </w:p>
    <w:p>
      <w:pPr>
        <w:sectPr>
          <w:pgSz w:w="11900" w:h="16838" w:orient="portrait"/>
          <w:cols w:equalWidth="0" w:num="1">
            <w:col w:w="11180"/>
          </w:cols>
          <w:pgMar w:left="240" w:top="517" w:right="479" w:bottom="0" w:gutter="0" w:footer="0" w:header="0"/>
          <w:type w:val="continuous"/>
        </w:sectPr>
      </w:pPr>
    </w:p>
    <w:p>
      <w:pPr>
        <w:spacing w:after="0" w:line="35"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 Ji-Won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4010660</wp:posOffset>
            </wp:positionH>
            <wp:positionV relativeFrom="paragraph">
              <wp:posOffset>-108585</wp:posOffset>
            </wp:positionV>
            <wp:extent cx="3250565" cy="762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325056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 Chief Executive Officer</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b w:val="1"/>
          <w:bCs w:val="1"/>
          <w:color w:val="auto"/>
        </w:rPr>
        <w:t>SPHERA GLOBAL HEALTHCARE MASTER FUND</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-108585</wp:posOffset>
            </wp:positionV>
            <wp:extent cx="3265170" cy="762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3265170"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b w:val="1"/>
          <w:bCs w:val="1"/>
          <w:color w:val="auto"/>
        </w:rPr>
        <w:t>WV INVESTMENT TRUST B</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-108585</wp:posOffset>
            </wp:positionV>
            <wp:extent cx="3279775" cy="762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327977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PURCHASERS:</w:t>
      </w:r>
      <w:r>
        <w:rPr>
          <w:sz w:val="20"/>
          <w:szCs w:val="20"/>
          <w:color w:val="auto"/>
        </w:rPr>
        <w:tab/>
      </w:r>
      <w:r>
        <w:rPr>
          <w:rFonts w:ascii="Arial" w:cs="Arial" w:eastAsia="Arial" w:hAnsi="Arial"/>
          <w:sz w:val="15"/>
          <w:szCs w:val="15"/>
          <w:b w:val="1"/>
          <w:bCs w:val="1"/>
          <w:color w:val="auto"/>
        </w:rPr>
        <w:t>GENTRACE LLC</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-108585</wp:posOffset>
            </wp:positionV>
            <wp:extent cx="3258185" cy="762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325818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w:t>
      </w:r>
    </w:p>
    <w:p>
      <w:pPr>
        <w:spacing w:after="0" w:line="182"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GENDOS LLC</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-108585</wp:posOffset>
            </wp:positionV>
            <wp:extent cx="3258185" cy="762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325818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b w:val="1"/>
          <w:bCs w:val="1"/>
          <w:color w:val="auto"/>
        </w:rPr>
        <w:t>BAYSIDE PARTNERS LLC</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-108585</wp:posOffset>
            </wp:positionV>
            <wp:extent cx="3279775" cy="762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327977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1180"/>
          </w:cols>
          <w:pgMar w:left="240" w:top="517" w:right="479" w:bottom="0" w:gutter="0" w:footer="0" w:header="0"/>
          <w:type w:val="continuous"/>
        </w:sectPr>
      </w:pPr>
    </w:p>
    <w:bookmarkStart w:id="341" w:name="page342"/>
    <w:bookmarkEnd w:id="341"/>
    <w:p>
      <w:pPr>
        <w:jc w:val="center"/>
        <w:ind w:right="20"/>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5"/>
          <w:szCs w:val="15"/>
          <w:b w:val="1"/>
          <w:bCs w:val="1"/>
          <w:color w:val="auto"/>
        </w:rPr>
        <w:t>PURCHASERS:</w:t>
      </w:r>
      <w:r>
        <w:rPr>
          <w:sz w:val="20"/>
          <w:szCs w:val="20"/>
          <w:color w:val="auto"/>
        </w:rPr>
        <w:tab/>
      </w:r>
      <w:r>
        <w:rPr>
          <w:rFonts w:ascii="Arial" w:cs="Arial" w:eastAsia="Arial" w:hAnsi="Arial"/>
          <w:sz w:val="15"/>
          <w:szCs w:val="15"/>
          <w:b w:val="1"/>
          <w:bCs w:val="1"/>
          <w:color w:val="auto"/>
        </w:rPr>
        <w:t>SILVER ROCK FINANCIAL LLC</w:t>
      </w: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-108585</wp:posOffset>
            </wp:positionV>
            <wp:extent cx="3265170" cy="762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3265170" cy="762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5"/>
          <w:szCs w:val="15"/>
          <w:color w:val="auto"/>
        </w:rPr>
        <w:t>Title:</w:t>
      </w:r>
    </w:p>
    <w:p>
      <w:pPr>
        <w:spacing w:after="0" w:line="182"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WELLWATER LLC</w:t>
      </w: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-108585</wp:posOffset>
            </wp:positionV>
            <wp:extent cx="3265170" cy="762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3265170" cy="762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5"/>
          <w:szCs w:val="15"/>
          <w:color w:val="auto"/>
        </w:rPr>
        <w:t>Title:</w:t>
      </w:r>
    </w:p>
    <w:p>
      <w:pPr>
        <w:spacing w:after="0" w:line="182"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NP1 LLC</w:t>
      </w: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-108585</wp:posOffset>
            </wp:positionV>
            <wp:extent cx="3265170" cy="762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3265170" cy="762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5"/>
          <w:szCs w:val="15"/>
          <w:color w:val="auto"/>
        </w:rPr>
        <w:t>Title:</w:t>
      </w:r>
    </w:p>
    <w:p>
      <w:pPr>
        <w:spacing w:after="0" w:line="182"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GENUNO LLC</w:t>
      </w: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-108585</wp:posOffset>
            </wp:positionV>
            <wp:extent cx="3265170" cy="762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3265170" cy="762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5"/>
          <w:szCs w:val="15"/>
          <w:color w:val="auto"/>
        </w:rPr>
        <w:t>Title:</w:t>
      </w:r>
    </w:p>
    <w:p>
      <w:pPr>
        <w:spacing w:after="0" w:line="182"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DNSMORE LLC</w:t>
      </w: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-108585</wp:posOffset>
            </wp:positionV>
            <wp:extent cx="3265170" cy="762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3265170" cy="762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18415</wp:posOffset>
            </wp:positionV>
            <wp:extent cx="3632835" cy="762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Mark Afrasiabi</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80" w:type="dxa"/>
            <w:vAlign w:val="bottom"/>
          </w:tcPr>
          <w:p>
            <w:pPr>
              <w:ind w:left="20"/>
              <w:spacing w:after="0"/>
              <w:rPr>
                <w:sz w:val="20"/>
                <w:szCs w:val="20"/>
                <w:color w:val="auto"/>
              </w:rPr>
            </w:pPr>
            <w:r>
              <w:rPr>
                <w:rFonts w:ascii="Arial" w:cs="Arial" w:eastAsia="Arial" w:hAnsi="Arial"/>
                <w:sz w:val="15"/>
                <w:szCs w:val="15"/>
                <w:b w:val="1"/>
                <w:bCs w:val="1"/>
                <w:color w:val="auto"/>
              </w:rPr>
              <w:t>PURCHASER:</w:t>
            </w:r>
          </w:p>
        </w:tc>
        <w:tc>
          <w:tcPr>
            <w:tcW w:w="3860" w:type="dxa"/>
            <w:vAlign w:val="bottom"/>
          </w:tcPr>
          <w:p>
            <w:pPr>
              <w:spacing w:after="0"/>
              <w:rPr>
                <w:sz w:val="17"/>
                <w:szCs w:val="17"/>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Scott Cohen</w:t>
            </w:r>
          </w:p>
        </w:tc>
        <w:tc>
          <w:tcPr>
            <w:tcW w:w="20" w:type="dxa"/>
            <w:vAlign w:val="bottom"/>
          </w:tcPr>
          <w:p>
            <w:pPr>
              <w:spacing w:after="0"/>
              <w:rPr>
                <w:sz w:val="17"/>
                <w:szCs w:val="17"/>
                <w:color w:val="auto"/>
              </w:rPr>
            </w:pPr>
          </w:p>
        </w:tc>
      </w:tr>
      <w:tr>
        <w:trPr>
          <w:trHeight w:val="187"/>
        </w:trPr>
        <w:tc>
          <w:tcPr>
            <w:tcW w:w="18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Scott Cohen</w:t>
            </w:r>
          </w:p>
        </w:tc>
        <w:tc>
          <w:tcPr>
            <w:tcW w:w="20" w:type="dxa"/>
            <w:vAlign w:val="bottom"/>
          </w:tcPr>
          <w:p>
            <w:pPr>
              <w:spacing w:after="0"/>
              <w:rPr>
                <w:sz w:val="16"/>
                <w:szCs w:val="16"/>
                <w:color w:val="auto"/>
              </w:rPr>
            </w:pPr>
          </w:p>
        </w:tc>
      </w:tr>
      <w:tr>
        <w:trPr>
          <w:trHeight w:val="360"/>
        </w:trPr>
        <w:tc>
          <w:tcPr>
            <w:tcW w:w="1880" w:type="dxa"/>
            <w:vAlign w:val="bottom"/>
          </w:tcPr>
          <w:p>
            <w:pPr>
              <w:spacing w:after="0"/>
              <w:rPr>
                <w:sz w:val="24"/>
                <w:szCs w:val="24"/>
                <w:color w:val="auto"/>
              </w:rPr>
            </w:pPr>
          </w:p>
        </w:tc>
        <w:tc>
          <w:tcPr>
            <w:tcW w:w="9580" w:type="dxa"/>
            <w:vAlign w:val="bottom"/>
            <w:gridSpan w:val="2"/>
          </w:tcPr>
          <w:p>
            <w:pPr>
              <w:ind w:left="860"/>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tc>
        <w:tc>
          <w:tcPr>
            <w:tcW w:w="20" w:type="dxa"/>
            <w:vAlign w:val="bottom"/>
          </w:tcPr>
          <w:p>
            <w:pPr>
              <w:spacing w:after="0"/>
              <w:rPr>
                <w:sz w:val="24"/>
                <w:szCs w:val="24"/>
                <w:color w:val="auto"/>
              </w:rPr>
            </w:pPr>
          </w:p>
        </w:tc>
      </w:tr>
      <w:tr>
        <w:trPr>
          <w:trHeight w:val="297"/>
        </w:trPr>
        <w:tc>
          <w:tcPr>
            <w:tcW w:w="188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80" w:type="dxa"/>
            <w:vAlign w:val="bottom"/>
          </w:tcPr>
          <w:p>
            <w:pPr>
              <w:ind w:left="20"/>
              <w:spacing w:after="0"/>
              <w:rPr>
                <w:sz w:val="20"/>
                <w:szCs w:val="20"/>
                <w:color w:val="auto"/>
              </w:rPr>
            </w:pPr>
            <w:r>
              <w:rPr>
                <w:rFonts w:ascii="Arial" w:cs="Arial" w:eastAsia="Arial" w:hAnsi="Arial"/>
                <w:sz w:val="15"/>
                <w:szCs w:val="15"/>
                <w:b w:val="1"/>
                <w:bCs w:val="1"/>
                <w:color w:val="auto"/>
              </w:rPr>
              <w:t>PURCHASER:</w:t>
            </w:r>
          </w:p>
        </w:tc>
        <w:tc>
          <w:tcPr>
            <w:tcW w:w="3860" w:type="dxa"/>
            <w:vAlign w:val="bottom"/>
          </w:tcPr>
          <w:p>
            <w:pPr>
              <w:spacing w:after="0"/>
              <w:rPr>
                <w:sz w:val="17"/>
                <w:szCs w:val="17"/>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Jeffrey B. Larson</w:t>
            </w:r>
          </w:p>
        </w:tc>
        <w:tc>
          <w:tcPr>
            <w:tcW w:w="20" w:type="dxa"/>
            <w:vAlign w:val="bottom"/>
          </w:tcPr>
          <w:p>
            <w:pPr>
              <w:spacing w:after="0"/>
              <w:rPr>
                <w:sz w:val="17"/>
                <w:szCs w:val="17"/>
                <w:color w:val="auto"/>
              </w:rPr>
            </w:pPr>
          </w:p>
        </w:tc>
      </w:tr>
      <w:tr>
        <w:trPr>
          <w:trHeight w:val="187"/>
        </w:trPr>
        <w:tc>
          <w:tcPr>
            <w:tcW w:w="18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Jeffrey B. Larson</w:t>
            </w:r>
          </w:p>
        </w:tc>
        <w:tc>
          <w:tcPr>
            <w:tcW w:w="20" w:type="dxa"/>
            <w:vAlign w:val="bottom"/>
          </w:tcPr>
          <w:p>
            <w:pPr>
              <w:spacing w:after="0"/>
              <w:rPr>
                <w:sz w:val="16"/>
                <w:szCs w:val="16"/>
                <w:color w:val="auto"/>
              </w:rPr>
            </w:pPr>
          </w:p>
        </w:tc>
      </w:tr>
      <w:tr>
        <w:trPr>
          <w:trHeight w:val="360"/>
        </w:trPr>
        <w:tc>
          <w:tcPr>
            <w:tcW w:w="1880" w:type="dxa"/>
            <w:vAlign w:val="bottom"/>
          </w:tcPr>
          <w:p>
            <w:pPr>
              <w:spacing w:after="0"/>
              <w:rPr>
                <w:sz w:val="24"/>
                <w:szCs w:val="24"/>
                <w:color w:val="auto"/>
              </w:rPr>
            </w:pPr>
          </w:p>
        </w:tc>
        <w:tc>
          <w:tcPr>
            <w:tcW w:w="9580" w:type="dxa"/>
            <w:vAlign w:val="bottom"/>
            <w:gridSpan w:val="2"/>
          </w:tcPr>
          <w:p>
            <w:pPr>
              <w:ind w:left="860"/>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tc>
        <w:tc>
          <w:tcPr>
            <w:tcW w:w="20" w:type="dxa"/>
            <w:vAlign w:val="bottom"/>
          </w:tcPr>
          <w:p>
            <w:pPr>
              <w:spacing w:after="0"/>
              <w:rPr>
                <w:sz w:val="24"/>
                <w:szCs w:val="24"/>
                <w:color w:val="auto"/>
              </w:rPr>
            </w:pPr>
          </w:p>
        </w:tc>
      </w:tr>
      <w:tr>
        <w:trPr>
          <w:trHeight w:val="297"/>
        </w:trPr>
        <w:tc>
          <w:tcPr>
            <w:tcW w:w="188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80" w:type="dxa"/>
            <w:vAlign w:val="bottom"/>
          </w:tcPr>
          <w:p>
            <w:pPr>
              <w:ind w:left="20"/>
              <w:spacing w:after="0"/>
              <w:rPr>
                <w:sz w:val="20"/>
                <w:szCs w:val="20"/>
                <w:color w:val="auto"/>
              </w:rPr>
            </w:pPr>
            <w:r>
              <w:rPr>
                <w:rFonts w:ascii="Arial" w:cs="Arial" w:eastAsia="Arial" w:hAnsi="Arial"/>
                <w:sz w:val="15"/>
                <w:szCs w:val="15"/>
                <w:b w:val="1"/>
                <w:bCs w:val="1"/>
                <w:color w:val="auto"/>
              </w:rPr>
              <w:t>PURCHASER:</w:t>
            </w:r>
          </w:p>
        </w:tc>
        <w:tc>
          <w:tcPr>
            <w:tcW w:w="3860" w:type="dxa"/>
            <w:vAlign w:val="bottom"/>
          </w:tcPr>
          <w:p>
            <w:pPr>
              <w:spacing w:after="0"/>
              <w:rPr>
                <w:sz w:val="17"/>
                <w:szCs w:val="17"/>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Megan Kelleher</w:t>
            </w:r>
          </w:p>
        </w:tc>
        <w:tc>
          <w:tcPr>
            <w:tcW w:w="20" w:type="dxa"/>
            <w:vAlign w:val="bottom"/>
          </w:tcPr>
          <w:p>
            <w:pPr>
              <w:spacing w:after="0"/>
              <w:rPr>
                <w:sz w:val="17"/>
                <w:szCs w:val="17"/>
                <w:color w:val="auto"/>
              </w:rPr>
            </w:pPr>
          </w:p>
        </w:tc>
      </w:tr>
      <w:tr>
        <w:trPr>
          <w:trHeight w:val="187"/>
        </w:trPr>
        <w:tc>
          <w:tcPr>
            <w:tcW w:w="18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Megan Kelleher</w:t>
            </w:r>
          </w:p>
        </w:tc>
        <w:tc>
          <w:tcPr>
            <w:tcW w:w="20" w:type="dxa"/>
            <w:vAlign w:val="bottom"/>
          </w:tcPr>
          <w:p>
            <w:pPr>
              <w:spacing w:after="0"/>
              <w:rPr>
                <w:sz w:val="16"/>
                <w:szCs w:val="16"/>
                <w:color w:val="auto"/>
              </w:rPr>
            </w:pPr>
          </w:p>
        </w:tc>
      </w:tr>
      <w:tr>
        <w:trPr>
          <w:trHeight w:val="360"/>
        </w:trPr>
        <w:tc>
          <w:tcPr>
            <w:tcW w:w="1880" w:type="dxa"/>
            <w:vAlign w:val="bottom"/>
          </w:tcPr>
          <w:p>
            <w:pPr>
              <w:spacing w:after="0"/>
              <w:rPr>
                <w:sz w:val="24"/>
                <w:szCs w:val="24"/>
                <w:color w:val="auto"/>
              </w:rPr>
            </w:pPr>
          </w:p>
        </w:tc>
        <w:tc>
          <w:tcPr>
            <w:tcW w:w="9580" w:type="dxa"/>
            <w:vAlign w:val="bottom"/>
            <w:gridSpan w:val="2"/>
          </w:tcPr>
          <w:p>
            <w:pPr>
              <w:ind w:left="860"/>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tc>
        <w:tc>
          <w:tcPr>
            <w:tcW w:w="20" w:type="dxa"/>
            <w:vAlign w:val="bottom"/>
          </w:tcPr>
          <w:p>
            <w:pPr>
              <w:spacing w:after="0"/>
              <w:rPr>
                <w:sz w:val="24"/>
                <w:szCs w:val="24"/>
                <w:color w:val="auto"/>
              </w:rPr>
            </w:pPr>
          </w:p>
        </w:tc>
      </w:tr>
      <w:tr>
        <w:trPr>
          <w:trHeight w:val="297"/>
        </w:trPr>
        <w:tc>
          <w:tcPr>
            <w:tcW w:w="188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136525</wp:posOffset>
            </wp:positionV>
            <wp:extent cx="3632835" cy="762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spacing w:after="0" w:line="19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Dimitris Bertsimas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80"/>
          </w:cols>
          <w:pgMar w:left="220" w:top="314" w:right="199" w:bottom="372" w:gutter="0" w:footer="0" w:header="0"/>
        </w:sectPr>
      </w:pPr>
    </w:p>
    <w:bookmarkStart w:id="342" w:name="page343"/>
    <w:bookmarkEnd w:id="342"/>
    <w:p>
      <w:pPr>
        <w:spacing w:after="0"/>
        <w:rPr>
          <w:sz w:val="20"/>
          <w:szCs w:val="20"/>
          <w:color w:val="auto"/>
        </w:rPr>
      </w:pPr>
      <w:r>
        <w:rPr>
          <w:rFonts w:ascii="Arial" w:cs="Arial" w:eastAsia="Arial" w:hAnsi="Arial"/>
          <w:sz w:val="15"/>
          <w:szCs w:val="15"/>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136525</wp:posOffset>
            </wp:positionV>
            <wp:extent cx="3632835" cy="762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spacing w:after="0" w:line="19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Peter Doelger</w:t>
      </w:r>
    </w:p>
    <w:p>
      <w:pPr>
        <w:spacing w:after="0" w:line="198" w:lineRule="exact"/>
        <w:rPr>
          <w:sz w:val="20"/>
          <w:szCs w:val="20"/>
          <w:color w:val="auto"/>
        </w:rPr>
      </w:pPr>
    </w:p>
    <w:p>
      <w:pPr>
        <w:jc w:val="right"/>
        <w:ind w:right="1519"/>
        <w:spacing w:after="0"/>
        <w:rPr>
          <w:sz w:val="20"/>
          <w:szCs w:val="20"/>
          <w:color w:val="auto"/>
        </w:rPr>
      </w:pPr>
      <w:r>
        <w:rPr>
          <w:rFonts w:ascii="Arial" w:cs="Arial" w:eastAsia="Arial" w:hAnsi="Arial"/>
          <w:sz w:val="15"/>
          <w:szCs w:val="15"/>
          <w:i w:val="1"/>
          <w:iCs w:val="1"/>
          <w:color w:val="auto"/>
        </w:rPr>
        <w:t>Signature Page to Amendment No. 1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0219"/>
          </w:cols>
          <w:pgMar w:left="240" w:top="308" w:right="1440" w:bottom="1440" w:gutter="0" w:footer="0" w:header="0"/>
        </w:sectPr>
      </w:pPr>
    </w:p>
    <w:bookmarkStart w:id="343" w:name="page344"/>
    <w:bookmarkEnd w:id="343"/>
    <w:p>
      <w:pPr>
        <w:jc w:val="right"/>
        <w:spacing w:after="0"/>
        <w:rPr>
          <w:sz w:val="20"/>
          <w:szCs w:val="20"/>
          <w:color w:val="auto"/>
        </w:rPr>
      </w:pPr>
      <w:r>
        <w:rPr>
          <w:rFonts w:ascii="Arial" w:cs="Arial" w:eastAsia="Arial" w:hAnsi="Arial"/>
          <w:sz w:val="15"/>
          <w:szCs w:val="15"/>
          <w:b w:val="1"/>
          <w:bCs w:val="1"/>
          <w:color w:val="auto"/>
        </w:rPr>
        <w:t>Exhibit 5.1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Pr>
          <w:p>
            <w:pPr>
              <w:spacing w:after="0"/>
              <w:rPr>
                <w:sz w:val="16"/>
                <w:szCs w:val="16"/>
                <w:color w:val="auto"/>
              </w:rPr>
            </w:pPr>
          </w:p>
        </w:tc>
        <w:tc>
          <w:tcPr>
            <w:tcW w:w="9060" w:type="dxa"/>
            <w:vAlign w:val="bottom"/>
            <w:gridSpan w:val="2"/>
          </w:tcPr>
          <w:p>
            <w:pPr>
              <w:ind w:left="6300"/>
              <w:spacing w:after="0"/>
              <w:rPr>
                <w:sz w:val="20"/>
                <w:szCs w:val="20"/>
                <w:color w:val="auto"/>
              </w:rPr>
            </w:pPr>
            <w:r>
              <w:rPr>
                <w:rFonts w:ascii="Arial" w:cs="Arial" w:eastAsia="Arial" w:hAnsi="Arial"/>
                <w:sz w:val="15"/>
                <w:szCs w:val="15"/>
                <w:color w:val="auto"/>
              </w:rPr>
              <w:t>John Hancock Tower, 27th Floor</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w w:val="96"/>
              </w:rPr>
              <w:t>200 Clarendon Street</w:t>
            </w:r>
          </w:p>
        </w:tc>
        <w:tc>
          <w:tcPr>
            <w:tcW w:w="1360" w:type="dxa"/>
            <w:vAlign w:val="bottom"/>
          </w:tcPr>
          <w:p>
            <w:pPr>
              <w:spacing w:after="0"/>
              <w:rPr>
                <w:sz w:val="16"/>
                <w:szCs w:val="16"/>
                <w:color w:val="auto"/>
              </w:rPr>
            </w:pP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w w:val="88"/>
              </w:rPr>
              <w:t>Boston, Massachusetts</w:t>
            </w:r>
          </w:p>
        </w:tc>
        <w:tc>
          <w:tcPr>
            <w:tcW w:w="1360" w:type="dxa"/>
            <w:vAlign w:val="bottom"/>
          </w:tcPr>
          <w:p>
            <w:pPr>
              <w:ind w:left="80"/>
              <w:spacing w:after="0"/>
              <w:rPr>
                <w:sz w:val="20"/>
                <w:szCs w:val="20"/>
                <w:color w:val="auto"/>
              </w:rPr>
            </w:pPr>
            <w:r>
              <w:rPr>
                <w:rFonts w:ascii="Arial" w:cs="Arial" w:eastAsia="Arial" w:hAnsi="Arial"/>
                <w:sz w:val="15"/>
                <w:szCs w:val="15"/>
                <w:color w:val="auto"/>
              </w:rPr>
              <w:t>02116</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w w:val="97"/>
              </w:rPr>
              <w:t>Tel: +1.617.948.6000</w:t>
            </w:r>
          </w:p>
        </w:tc>
        <w:tc>
          <w:tcPr>
            <w:tcW w:w="1360" w:type="dxa"/>
            <w:vAlign w:val="bottom"/>
          </w:tcPr>
          <w:p>
            <w:pPr>
              <w:spacing w:after="0"/>
              <w:rPr>
                <w:sz w:val="20"/>
                <w:szCs w:val="20"/>
                <w:color w:val="auto"/>
              </w:rPr>
            </w:pPr>
            <w:r>
              <w:rPr>
                <w:rFonts w:ascii="Arial" w:cs="Arial" w:eastAsia="Arial" w:hAnsi="Arial"/>
                <w:sz w:val="15"/>
                <w:szCs w:val="15"/>
                <w:color w:val="auto"/>
                <w:w w:val="91"/>
              </w:rPr>
              <w:t>Fax: +1.617.948.6001</w:t>
            </w:r>
          </w:p>
        </w:tc>
      </w:tr>
      <w:tr>
        <w:trPr>
          <w:trHeight w:val="196"/>
        </w:trPr>
        <w:tc>
          <w:tcPr>
            <w:tcW w:w="940" w:type="dxa"/>
            <w:vAlign w:val="bottom"/>
          </w:tcPr>
          <w:p>
            <w:pPr>
              <w:spacing w:after="0"/>
              <w:rPr>
                <w:sz w:val="17"/>
                <w:szCs w:val="17"/>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www.lw.com</w:t>
            </w:r>
          </w:p>
        </w:tc>
        <w:tc>
          <w:tcPr>
            <w:tcW w:w="1360" w:type="dxa"/>
            <w:vAlign w:val="bottom"/>
          </w:tcPr>
          <w:p>
            <w:pPr>
              <w:spacing w:after="0"/>
              <w:rPr>
                <w:sz w:val="17"/>
                <w:szCs w:val="17"/>
                <w:color w:val="auto"/>
              </w:rPr>
            </w:pPr>
          </w:p>
        </w:tc>
      </w:tr>
      <w:tr>
        <w:trPr>
          <w:trHeight w:val="360"/>
        </w:trPr>
        <w:tc>
          <w:tcPr>
            <w:tcW w:w="940" w:type="dxa"/>
            <w:vAlign w:val="bottom"/>
          </w:tcPr>
          <w:p>
            <w:pPr>
              <w:spacing w:after="0"/>
              <w:rPr>
                <w:sz w:val="24"/>
                <w:szCs w:val="24"/>
                <w:color w:val="auto"/>
              </w:rPr>
            </w:pPr>
          </w:p>
        </w:tc>
        <w:tc>
          <w:tcPr>
            <w:tcW w:w="9060" w:type="dxa"/>
            <w:vAlign w:val="bottom"/>
            <w:gridSpan w:val="2"/>
          </w:tcPr>
          <w:p>
            <w:pPr>
              <w:ind w:left="6300"/>
              <w:spacing w:after="0"/>
              <w:rPr>
                <w:sz w:val="20"/>
                <w:szCs w:val="20"/>
                <w:color w:val="auto"/>
              </w:rPr>
            </w:pPr>
            <w:r>
              <w:rPr>
                <w:rFonts w:ascii="Arial" w:cs="Arial" w:eastAsia="Arial" w:hAnsi="Arial"/>
                <w:sz w:val="15"/>
                <w:szCs w:val="15"/>
                <w:color w:val="auto"/>
              </w:rPr>
              <w:t>FIRM / AFFILIATE OFFICES</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Barcelona</w:t>
            </w:r>
          </w:p>
        </w:tc>
        <w:tc>
          <w:tcPr>
            <w:tcW w:w="1360" w:type="dxa"/>
            <w:vAlign w:val="bottom"/>
          </w:tcPr>
          <w:p>
            <w:pPr>
              <w:ind w:left="160"/>
              <w:spacing w:after="0"/>
              <w:rPr>
                <w:sz w:val="20"/>
                <w:szCs w:val="20"/>
                <w:color w:val="auto"/>
              </w:rPr>
            </w:pPr>
            <w:r>
              <w:rPr>
                <w:rFonts w:ascii="Arial" w:cs="Arial" w:eastAsia="Arial" w:hAnsi="Arial"/>
                <w:sz w:val="15"/>
                <w:szCs w:val="15"/>
                <w:color w:val="auto"/>
              </w:rPr>
              <w:t>Moscow</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Beijing</w:t>
            </w:r>
          </w:p>
        </w:tc>
        <w:tc>
          <w:tcPr>
            <w:tcW w:w="1360" w:type="dxa"/>
            <w:vAlign w:val="bottom"/>
          </w:tcPr>
          <w:p>
            <w:pPr>
              <w:ind w:left="160"/>
              <w:spacing w:after="0"/>
              <w:rPr>
                <w:sz w:val="20"/>
                <w:szCs w:val="20"/>
                <w:color w:val="auto"/>
              </w:rPr>
            </w:pPr>
            <w:r>
              <w:rPr>
                <w:rFonts w:ascii="Arial" w:cs="Arial" w:eastAsia="Arial" w:hAnsi="Arial"/>
                <w:sz w:val="15"/>
                <w:szCs w:val="15"/>
                <w:color w:val="auto"/>
              </w:rPr>
              <w:t>Munich</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Boston</w:t>
            </w:r>
          </w:p>
        </w:tc>
        <w:tc>
          <w:tcPr>
            <w:tcW w:w="1360" w:type="dxa"/>
            <w:vAlign w:val="bottom"/>
          </w:tcPr>
          <w:p>
            <w:pPr>
              <w:ind w:left="160"/>
              <w:spacing w:after="0"/>
              <w:rPr>
                <w:sz w:val="20"/>
                <w:szCs w:val="20"/>
                <w:color w:val="auto"/>
              </w:rPr>
            </w:pPr>
            <w:r>
              <w:rPr>
                <w:rFonts w:ascii="Arial" w:cs="Arial" w:eastAsia="Arial" w:hAnsi="Arial"/>
                <w:sz w:val="15"/>
                <w:szCs w:val="15"/>
                <w:color w:val="auto"/>
              </w:rPr>
              <w:t>New Jersey</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Brussels</w:t>
            </w:r>
          </w:p>
        </w:tc>
        <w:tc>
          <w:tcPr>
            <w:tcW w:w="1360" w:type="dxa"/>
            <w:vAlign w:val="bottom"/>
          </w:tcPr>
          <w:p>
            <w:pPr>
              <w:ind w:left="160"/>
              <w:spacing w:after="0"/>
              <w:rPr>
                <w:sz w:val="20"/>
                <w:szCs w:val="20"/>
                <w:color w:val="auto"/>
              </w:rPr>
            </w:pPr>
            <w:r>
              <w:rPr>
                <w:rFonts w:ascii="Arial" w:cs="Arial" w:eastAsia="Arial" w:hAnsi="Arial"/>
                <w:sz w:val="15"/>
                <w:szCs w:val="15"/>
                <w:color w:val="auto"/>
              </w:rPr>
              <w:t>New York</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Century City</w:t>
            </w:r>
          </w:p>
        </w:tc>
        <w:tc>
          <w:tcPr>
            <w:tcW w:w="1360" w:type="dxa"/>
            <w:vAlign w:val="bottom"/>
          </w:tcPr>
          <w:p>
            <w:pPr>
              <w:ind w:left="160"/>
              <w:spacing w:after="0"/>
              <w:rPr>
                <w:sz w:val="20"/>
                <w:szCs w:val="20"/>
                <w:color w:val="auto"/>
              </w:rPr>
            </w:pPr>
            <w:r>
              <w:rPr>
                <w:rFonts w:ascii="Arial" w:cs="Arial" w:eastAsia="Arial" w:hAnsi="Arial"/>
                <w:sz w:val="15"/>
                <w:szCs w:val="15"/>
                <w:color w:val="auto"/>
              </w:rPr>
              <w:t>Orange County</w:t>
            </w:r>
          </w:p>
        </w:tc>
      </w:tr>
      <w:tr>
        <w:trPr>
          <w:trHeight w:val="185"/>
        </w:trPr>
        <w:tc>
          <w:tcPr>
            <w:tcW w:w="940" w:type="dxa"/>
            <w:vAlign w:val="bottom"/>
          </w:tcPr>
          <w:p>
            <w:pPr>
              <w:spacing w:after="0"/>
              <w:rPr>
                <w:sz w:val="20"/>
                <w:szCs w:val="20"/>
                <w:color w:val="auto"/>
              </w:rPr>
            </w:pPr>
            <w:r>
              <w:rPr>
                <w:rFonts w:ascii="Arial" w:cs="Arial" w:eastAsia="Arial" w:hAnsi="Arial"/>
                <w:sz w:val="15"/>
                <w:szCs w:val="15"/>
                <w:color w:val="auto"/>
              </w:rPr>
              <w:t>June 8, 2016</w:t>
            </w:r>
          </w:p>
        </w:tc>
        <w:tc>
          <w:tcPr>
            <w:tcW w:w="7700" w:type="dxa"/>
            <w:vAlign w:val="bottom"/>
          </w:tcPr>
          <w:p>
            <w:pPr>
              <w:ind w:left="6300"/>
              <w:spacing w:after="0"/>
              <w:rPr>
                <w:sz w:val="20"/>
                <w:szCs w:val="20"/>
                <w:color w:val="auto"/>
              </w:rPr>
            </w:pPr>
            <w:r>
              <w:rPr>
                <w:rFonts w:ascii="Arial" w:cs="Arial" w:eastAsia="Arial" w:hAnsi="Arial"/>
                <w:sz w:val="15"/>
                <w:szCs w:val="15"/>
                <w:color w:val="auto"/>
              </w:rPr>
              <w:t>Chicago</w:t>
            </w:r>
          </w:p>
        </w:tc>
        <w:tc>
          <w:tcPr>
            <w:tcW w:w="1360" w:type="dxa"/>
            <w:vAlign w:val="bottom"/>
          </w:tcPr>
          <w:p>
            <w:pPr>
              <w:ind w:left="160"/>
              <w:spacing w:after="0"/>
              <w:rPr>
                <w:sz w:val="20"/>
                <w:szCs w:val="20"/>
                <w:color w:val="auto"/>
              </w:rPr>
            </w:pPr>
            <w:r>
              <w:rPr>
                <w:rFonts w:ascii="Arial" w:cs="Arial" w:eastAsia="Arial" w:hAnsi="Arial"/>
                <w:sz w:val="15"/>
                <w:szCs w:val="15"/>
                <w:color w:val="auto"/>
              </w:rPr>
              <w:t>Paris</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Dubai</w:t>
            </w:r>
          </w:p>
        </w:tc>
        <w:tc>
          <w:tcPr>
            <w:tcW w:w="1360" w:type="dxa"/>
            <w:vAlign w:val="bottom"/>
          </w:tcPr>
          <w:p>
            <w:pPr>
              <w:ind w:left="160"/>
              <w:spacing w:after="0"/>
              <w:rPr>
                <w:sz w:val="20"/>
                <w:szCs w:val="20"/>
                <w:color w:val="auto"/>
              </w:rPr>
            </w:pPr>
            <w:r>
              <w:rPr>
                <w:rFonts w:ascii="Arial" w:cs="Arial" w:eastAsia="Arial" w:hAnsi="Arial"/>
                <w:sz w:val="15"/>
                <w:szCs w:val="15"/>
                <w:color w:val="auto"/>
              </w:rPr>
              <w:t>Riyadh</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Düsseldorf</w:t>
            </w:r>
          </w:p>
        </w:tc>
        <w:tc>
          <w:tcPr>
            <w:tcW w:w="1360" w:type="dxa"/>
            <w:vAlign w:val="bottom"/>
          </w:tcPr>
          <w:p>
            <w:pPr>
              <w:ind w:left="160"/>
              <w:spacing w:after="0"/>
              <w:rPr>
                <w:sz w:val="20"/>
                <w:szCs w:val="20"/>
                <w:color w:val="auto"/>
              </w:rPr>
            </w:pPr>
            <w:r>
              <w:rPr>
                <w:rFonts w:ascii="Arial" w:cs="Arial" w:eastAsia="Arial" w:hAnsi="Arial"/>
                <w:sz w:val="15"/>
                <w:szCs w:val="15"/>
                <w:color w:val="auto"/>
              </w:rPr>
              <w:t>Rome</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Frankfurt</w:t>
            </w:r>
          </w:p>
        </w:tc>
        <w:tc>
          <w:tcPr>
            <w:tcW w:w="1360" w:type="dxa"/>
            <w:vAlign w:val="bottom"/>
          </w:tcPr>
          <w:p>
            <w:pPr>
              <w:ind w:left="160"/>
              <w:spacing w:after="0"/>
              <w:rPr>
                <w:sz w:val="20"/>
                <w:szCs w:val="20"/>
                <w:color w:val="auto"/>
              </w:rPr>
            </w:pPr>
            <w:r>
              <w:rPr>
                <w:rFonts w:ascii="Arial" w:cs="Arial" w:eastAsia="Arial" w:hAnsi="Arial"/>
                <w:sz w:val="15"/>
                <w:szCs w:val="15"/>
                <w:color w:val="auto"/>
              </w:rPr>
              <w:t>San Diego</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Hamburg</w:t>
            </w:r>
          </w:p>
        </w:tc>
        <w:tc>
          <w:tcPr>
            <w:tcW w:w="1360" w:type="dxa"/>
            <w:vAlign w:val="bottom"/>
          </w:tcPr>
          <w:p>
            <w:pPr>
              <w:ind w:left="160"/>
              <w:spacing w:after="0"/>
              <w:rPr>
                <w:sz w:val="20"/>
                <w:szCs w:val="20"/>
                <w:color w:val="auto"/>
              </w:rPr>
            </w:pPr>
            <w:r>
              <w:rPr>
                <w:rFonts w:ascii="Arial" w:cs="Arial" w:eastAsia="Arial" w:hAnsi="Arial"/>
                <w:sz w:val="15"/>
                <w:szCs w:val="15"/>
                <w:color w:val="auto"/>
              </w:rPr>
              <w:t>San Francisco</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Hong Kong</w:t>
            </w:r>
          </w:p>
        </w:tc>
        <w:tc>
          <w:tcPr>
            <w:tcW w:w="1360" w:type="dxa"/>
            <w:vAlign w:val="bottom"/>
          </w:tcPr>
          <w:p>
            <w:pPr>
              <w:ind w:left="160"/>
              <w:spacing w:after="0"/>
              <w:rPr>
                <w:sz w:val="20"/>
                <w:szCs w:val="20"/>
                <w:color w:val="auto"/>
              </w:rPr>
            </w:pPr>
            <w:r>
              <w:rPr>
                <w:rFonts w:ascii="Arial" w:cs="Arial" w:eastAsia="Arial" w:hAnsi="Arial"/>
                <w:sz w:val="15"/>
                <w:szCs w:val="15"/>
                <w:color w:val="auto"/>
              </w:rPr>
              <w:t>Shanghai</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Houston</w:t>
            </w:r>
          </w:p>
        </w:tc>
        <w:tc>
          <w:tcPr>
            <w:tcW w:w="1360" w:type="dxa"/>
            <w:vAlign w:val="bottom"/>
          </w:tcPr>
          <w:p>
            <w:pPr>
              <w:ind w:left="160"/>
              <w:spacing w:after="0"/>
              <w:rPr>
                <w:sz w:val="20"/>
                <w:szCs w:val="20"/>
                <w:color w:val="auto"/>
              </w:rPr>
            </w:pPr>
            <w:r>
              <w:rPr>
                <w:rFonts w:ascii="Arial" w:cs="Arial" w:eastAsia="Arial" w:hAnsi="Arial"/>
                <w:sz w:val="15"/>
                <w:szCs w:val="15"/>
                <w:color w:val="auto"/>
              </w:rPr>
              <w:t>Silicon Valley</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London</w:t>
            </w:r>
          </w:p>
        </w:tc>
        <w:tc>
          <w:tcPr>
            <w:tcW w:w="1360" w:type="dxa"/>
            <w:vAlign w:val="bottom"/>
          </w:tcPr>
          <w:p>
            <w:pPr>
              <w:ind w:left="160"/>
              <w:spacing w:after="0"/>
              <w:rPr>
                <w:sz w:val="20"/>
                <w:szCs w:val="20"/>
                <w:color w:val="auto"/>
              </w:rPr>
            </w:pPr>
            <w:r>
              <w:rPr>
                <w:rFonts w:ascii="Arial" w:cs="Arial" w:eastAsia="Arial" w:hAnsi="Arial"/>
                <w:sz w:val="15"/>
                <w:szCs w:val="15"/>
                <w:color w:val="auto"/>
              </w:rPr>
              <w:t>Singapore</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Los Angeles</w:t>
            </w:r>
          </w:p>
        </w:tc>
        <w:tc>
          <w:tcPr>
            <w:tcW w:w="1360" w:type="dxa"/>
            <w:vAlign w:val="bottom"/>
          </w:tcPr>
          <w:p>
            <w:pPr>
              <w:ind w:left="160"/>
              <w:spacing w:after="0"/>
              <w:rPr>
                <w:sz w:val="20"/>
                <w:szCs w:val="20"/>
                <w:color w:val="auto"/>
              </w:rPr>
            </w:pPr>
            <w:r>
              <w:rPr>
                <w:rFonts w:ascii="Arial" w:cs="Arial" w:eastAsia="Arial" w:hAnsi="Arial"/>
                <w:sz w:val="15"/>
                <w:szCs w:val="15"/>
                <w:color w:val="auto"/>
              </w:rPr>
              <w:t>Tokyo</w:t>
            </w:r>
          </w:p>
        </w:tc>
      </w:tr>
      <w:tr>
        <w:trPr>
          <w:trHeight w:val="185"/>
        </w:trPr>
        <w:tc>
          <w:tcPr>
            <w:tcW w:w="940" w:type="dxa"/>
            <w:vAlign w:val="bottom"/>
          </w:tcPr>
          <w:p>
            <w:pPr>
              <w:spacing w:after="0"/>
              <w:rPr>
                <w:sz w:val="16"/>
                <w:szCs w:val="16"/>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Madrid</w:t>
            </w:r>
          </w:p>
        </w:tc>
        <w:tc>
          <w:tcPr>
            <w:tcW w:w="1360" w:type="dxa"/>
            <w:vAlign w:val="bottom"/>
          </w:tcPr>
          <w:p>
            <w:pPr>
              <w:ind w:left="160"/>
              <w:spacing w:after="0"/>
              <w:rPr>
                <w:sz w:val="20"/>
                <w:szCs w:val="20"/>
                <w:color w:val="auto"/>
              </w:rPr>
            </w:pPr>
            <w:r>
              <w:rPr>
                <w:rFonts w:ascii="Arial" w:cs="Arial" w:eastAsia="Arial" w:hAnsi="Arial"/>
                <w:sz w:val="15"/>
                <w:szCs w:val="15"/>
                <w:color w:val="auto"/>
              </w:rPr>
              <w:t>Washington, D.C.</w:t>
            </w:r>
          </w:p>
        </w:tc>
      </w:tr>
      <w:tr>
        <w:trPr>
          <w:trHeight w:val="196"/>
        </w:trPr>
        <w:tc>
          <w:tcPr>
            <w:tcW w:w="940" w:type="dxa"/>
            <w:vAlign w:val="bottom"/>
          </w:tcPr>
          <w:p>
            <w:pPr>
              <w:spacing w:after="0"/>
              <w:rPr>
                <w:sz w:val="17"/>
                <w:szCs w:val="17"/>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rPr>
              <w:t>Milan</w:t>
            </w:r>
          </w:p>
        </w:tc>
        <w:tc>
          <w:tcPr>
            <w:tcW w:w="1360" w:type="dxa"/>
            <w:vAlign w:val="bottom"/>
          </w:tcPr>
          <w:p>
            <w:pPr>
              <w:spacing w:after="0"/>
              <w:rPr>
                <w:sz w:val="17"/>
                <w:szCs w:val="17"/>
                <w:color w:val="auto"/>
              </w:rPr>
            </w:pPr>
          </w:p>
        </w:tc>
      </w:tr>
      <w:tr>
        <w:trPr>
          <w:trHeight w:val="371"/>
        </w:trPr>
        <w:tc>
          <w:tcPr>
            <w:tcW w:w="940" w:type="dxa"/>
            <w:vAlign w:val="bottom"/>
          </w:tcPr>
          <w:p>
            <w:pPr>
              <w:spacing w:after="0"/>
              <w:rPr>
                <w:sz w:val="24"/>
                <w:szCs w:val="24"/>
                <w:color w:val="auto"/>
              </w:rPr>
            </w:pPr>
          </w:p>
        </w:tc>
        <w:tc>
          <w:tcPr>
            <w:tcW w:w="7700" w:type="dxa"/>
            <w:vAlign w:val="bottom"/>
          </w:tcPr>
          <w:p>
            <w:pPr>
              <w:ind w:left="6300"/>
              <w:spacing w:after="0"/>
              <w:rPr>
                <w:sz w:val="20"/>
                <w:szCs w:val="20"/>
                <w:color w:val="auto"/>
              </w:rPr>
            </w:pPr>
            <w:r>
              <w:rPr>
                <w:rFonts w:ascii="Arial" w:cs="Arial" w:eastAsia="Arial" w:hAnsi="Arial"/>
                <w:sz w:val="15"/>
                <w:szCs w:val="15"/>
                <w:color w:val="auto"/>
                <w:w w:val="95"/>
              </w:rPr>
              <w:t>File No. 049821-0008</w:t>
            </w:r>
          </w:p>
        </w:tc>
        <w:tc>
          <w:tcPr>
            <w:tcW w:w="1360" w:type="dxa"/>
            <w:vAlign w:val="bottom"/>
          </w:tcPr>
          <w:p>
            <w:pPr>
              <w:spacing w:after="0"/>
              <w:rPr>
                <w:sz w:val="24"/>
                <w:szCs w:val="24"/>
                <w:color w:val="auto"/>
              </w:rPr>
            </w:pPr>
          </w:p>
        </w:tc>
      </w:tr>
      <w:tr>
        <w:trPr>
          <w:trHeight w:val="360"/>
        </w:trPr>
        <w:tc>
          <w:tcPr>
            <w:tcW w:w="8640" w:type="dxa"/>
            <w:vAlign w:val="bottom"/>
            <w:gridSpan w:val="2"/>
          </w:tcPr>
          <w:p>
            <w:pPr>
              <w:spacing w:after="0"/>
              <w:rPr>
                <w:sz w:val="20"/>
                <w:szCs w:val="20"/>
                <w:color w:val="auto"/>
              </w:rPr>
            </w:pPr>
            <w:r>
              <w:rPr>
                <w:rFonts w:ascii="Arial" w:cs="Arial" w:eastAsia="Arial" w:hAnsi="Arial"/>
                <w:sz w:val="15"/>
                <w:szCs w:val="15"/>
                <w:color w:val="auto"/>
              </w:rPr>
              <w:t>Selecta Biosciences, Inc.</w:t>
            </w:r>
          </w:p>
        </w:tc>
        <w:tc>
          <w:tcPr>
            <w:tcW w:w="1360" w:type="dxa"/>
            <w:vAlign w:val="bottom"/>
          </w:tcPr>
          <w:p>
            <w:pPr>
              <w:spacing w:after="0"/>
              <w:rPr>
                <w:sz w:val="24"/>
                <w:szCs w:val="24"/>
                <w:color w:val="auto"/>
              </w:rPr>
            </w:pPr>
          </w:p>
        </w:tc>
      </w:tr>
      <w:tr>
        <w:trPr>
          <w:trHeight w:val="185"/>
        </w:trPr>
        <w:tc>
          <w:tcPr>
            <w:tcW w:w="8640" w:type="dxa"/>
            <w:vAlign w:val="bottom"/>
            <w:gridSpan w:val="2"/>
          </w:tcPr>
          <w:p>
            <w:pPr>
              <w:spacing w:after="0"/>
              <w:rPr>
                <w:sz w:val="20"/>
                <w:szCs w:val="20"/>
                <w:color w:val="auto"/>
              </w:rPr>
            </w:pPr>
            <w:r>
              <w:rPr>
                <w:rFonts w:ascii="Arial" w:cs="Arial" w:eastAsia="Arial" w:hAnsi="Arial"/>
                <w:sz w:val="15"/>
                <w:szCs w:val="15"/>
                <w:color w:val="auto"/>
              </w:rPr>
              <w:t>480 Arsenal Street, Building One</w:t>
            </w:r>
          </w:p>
        </w:tc>
        <w:tc>
          <w:tcPr>
            <w:tcW w:w="1360" w:type="dxa"/>
            <w:vAlign w:val="bottom"/>
          </w:tcPr>
          <w:p>
            <w:pPr>
              <w:spacing w:after="0"/>
              <w:rPr>
                <w:sz w:val="16"/>
                <w:szCs w:val="16"/>
                <w:color w:val="auto"/>
              </w:rPr>
            </w:pPr>
          </w:p>
        </w:tc>
      </w:tr>
      <w:tr>
        <w:trPr>
          <w:trHeight w:val="196"/>
        </w:trPr>
        <w:tc>
          <w:tcPr>
            <w:tcW w:w="8640" w:type="dxa"/>
            <w:vAlign w:val="bottom"/>
            <w:gridSpan w:val="2"/>
          </w:tcPr>
          <w:p>
            <w:pPr>
              <w:spacing w:after="0"/>
              <w:rPr>
                <w:sz w:val="20"/>
                <w:szCs w:val="20"/>
                <w:color w:val="auto"/>
              </w:rPr>
            </w:pPr>
            <w:r>
              <w:rPr>
                <w:rFonts w:ascii="Arial" w:cs="Arial" w:eastAsia="Arial" w:hAnsi="Arial"/>
                <w:sz w:val="15"/>
                <w:szCs w:val="15"/>
                <w:color w:val="auto"/>
              </w:rPr>
              <w:t>Watertown, MA 02472</w:t>
            </w:r>
          </w:p>
        </w:tc>
        <w:tc>
          <w:tcPr>
            <w:tcW w:w="1360" w:type="dxa"/>
            <w:vAlign w:val="bottom"/>
          </w:tcPr>
          <w:p>
            <w:pPr>
              <w:spacing w:after="0"/>
              <w:rPr>
                <w:sz w:val="17"/>
                <w:szCs w:val="17"/>
                <w:color w:val="auto"/>
              </w:rPr>
            </w:pPr>
          </w:p>
        </w:tc>
      </w:tr>
      <w:tr>
        <w:trPr>
          <w:trHeight w:val="360"/>
        </w:trPr>
        <w:tc>
          <w:tcPr>
            <w:tcW w:w="940" w:type="dxa"/>
            <w:vAlign w:val="bottom"/>
          </w:tcPr>
          <w:p>
            <w:pPr>
              <w:ind w:left="540"/>
              <w:spacing w:after="0"/>
              <w:rPr>
                <w:sz w:val="20"/>
                <w:szCs w:val="20"/>
                <w:color w:val="auto"/>
              </w:rPr>
            </w:pPr>
            <w:r>
              <w:rPr>
                <w:rFonts w:ascii="Arial" w:cs="Arial" w:eastAsia="Arial" w:hAnsi="Arial"/>
                <w:sz w:val="15"/>
                <w:szCs w:val="15"/>
                <w:color w:val="auto"/>
              </w:rPr>
              <w:t>Re:</w:t>
            </w:r>
          </w:p>
        </w:tc>
        <w:tc>
          <w:tcPr>
            <w:tcW w:w="7700" w:type="dxa"/>
            <w:vAlign w:val="bottom"/>
          </w:tcPr>
          <w:p>
            <w:pPr>
              <w:ind w:left="160"/>
              <w:spacing w:after="0"/>
              <w:rPr>
                <w:sz w:val="20"/>
                <w:szCs w:val="20"/>
                <w:color w:val="auto"/>
              </w:rPr>
            </w:pPr>
            <w:r>
              <w:rPr>
                <w:rFonts w:ascii="Arial" w:cs="Arial" w:eastAsia="Arial" w:hAnsi="Arial"/>
                <w:sz w:val="15"/>
                <w:szCs w:val="15"/>
                <w:color w:val="auto"/>
              </w:rPr>
              <w:t>Registration Statement No. 333-211555;</w:t>
            </w:r>
          </w:p>
        </w:tc>
        <w:tc>
          <w:tcPr>
            <w:tcW w:w="13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7700" w:type="dxa"/>
            <w:vAlign w:val="bottom"/>
          </w:tcPr>
          <w:p>
            <w:pPr>
              <w:ind w:left="160"/>
              <w:spacing w:after="0"/>
              <w:rPr>
                <w:sz w:val="20"/>
                <w:szCs w:val="20"/>
                <w:color w:val="auto"/>
              </w:rPr>
            </w:pPr>
            <w:r>
              <w:rPr>
                <w:rFonts w:ascii="Arial" w:cs="Arial" w:eastAsia="Arial" w:hAnsi="Arial"/>
                <w:sz w:val="15"/>
                <w:szCs w:val="15"/>
                <w:color w:val="auto"/>
              </w:rPr>
              <w:t>4,887,500 shares of Common Stock, $0.0001 par value per share</w:t>
            </w:r>
          </w:p>
        </w:tc>
        <w:tc>
          <w:tcPr>
            <w:tcW w:w="13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-3058795</wp:posOffset>
            </wp:positionV>
            <wp:extent cx="1743075" cy="11747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743075" cy="1174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98" w:lineRule="exact"/>
        <w:rPr>
          <w:sz w:val="20"/>
          <w:szCs w:val="20"/>
          <w:color w:val="auto"/>
        </w:rPr>
      </w:pPr>
    </w:p>
    <w:p>
      <w:pPr>
        <w:ind w:right="100" w:firstLine="556"/>
        <w:spacing w:after="0" w:line="263" w:lineRule="auto"/>
        <w:rPr>
          <w:sz w:val="20"/>
          <w:szCs w:val="20"/>
          <w:color w:val="auto"/>
        </w:rPr>
      </w:pPr>
      <w:r>
        <w:rPr>
          <w:rFonts w:ascii="Arial" w:cs="Arial" w:eastAsia="Arial" w:hAnsi="Arial"/>
          <w:sz w:val="15"/>
          <w:szCs w:val="15"/>
          <w:color w:val="auto"/>
        </w:rPr>
        <w:t>We have acted as special counsel to Selecta Biosciences,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in connection with the proposed issuance of up to 4,887,500 shares (including shares subject to the underwriters’ option to purchase additional shares) of common stock, $0.0001 par value per share (the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The Shares are included in a registration statement on Form S—1 under the Securities Act of 1933, as amended (the “Act”), filed with the Securities and Exchange Commission (the “</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on May 24, 2016 (Registration No. 333-211555) (as amended,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59" w:lineRule="exact"/>
        <w:rPr>
          <w:sz w:val="20"/>
          <w:szCs w:val="20"/>
          <w:color w:val="auto"/>
        </w:rPr>
      </w:pPr>
    </w:p>
    <w:p>
      <w:pPr>
        <w:jc w:val="both"/>
        <w:ind w:right="120" w:firstLine="556"/>
        <w:spacing w:after="0" w:line="273" w:lineRule="auto"/>
        <w:rPr>
          <w:sz w:val="20"/>
          <w:szCs w:val="20"/>
          <w:color w:val="auto"/>
        </w:rPr>
      </w:pPr>
      <w:r>
        <w:rPr>
          <w:rFonts w:ascii="Arial" w:cs="Arial" w:eastAsia="Arial" w:hAnsi="Arial"/>
          <w:sz w:val="15"/>
          <w:szCs w:val="15"/>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285990" cy="2730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 w:firstLine="556"/>
        <w:spacing w:after="0" w:line="264" w:lineRule="auto"/>
        <w:rPr>
          <w:sz w:val="20"/>
          <w:szCs w:val="20"/>
          <w:color w:val="auto"/>
        </w:rPr>
      </w:pPr>
      <w:r>
        <w:rPr>
          <w:rFonts w:ascii="Arial" w:cs="Arial" w:eastAsia="Arial" w:hAnsi="Arial"/>
          <w:sz w:val="15"/>
          <w:szCs w:val="15"/>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in total numbers that do not exceed the total number of shares available under the Company’s certificate of incorporation and in the circumstances contemplated by the form of underwriting agreement most recently filed as an exhibit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59" w:lineRule="exact"/>
        <w:rPr>
          <w:sz w:val="20"/>
          <w:szCs w:val="20"/>
          <w:color w:val="auto"/>
        </w:rPr>
      </w:pPr>
    </w:p>
    <w:p>
      <w:pPr>
        <w:ind w:right="60" w:firstLine="556"/>
        <w:spacing w:after="0" w:line="265" w:lineRule="auto"/>
        <w:rPr>
          <w:sz w:val="20"/>
          <w:szCs w:val="20"/>
          <w:color w:val="auto"/>
        </w:rPr>
      </w:pPr>
      <w:r>
        <w:rPr>
          <w:rFonts w:ascii="Arial" w:cs="Arial" w:eastAsia="Arial" w:hAnsi="Arial"/>
          <w:sz w:val="15"/>
          <w:szCs w:val="15"/>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6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Very truly yours,</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Latham &amp; Watkins LLP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344" w:name="page345"/>
    <w:bookmarkEnd w:id="344"/>
    <w:p>
      <w:pPr>
        <w:jc w:val="right"/>
        <w:spacing w:after="0"/>
        <w:rPr>
          <w:sz w:val="20"/>
          <w:szCs w:val="20"/>
          <w:color w:val="auto"/>
        </w:rPr>
      </w:pPr>
      <w:r>
        <w:rPr>
          <w:rFonts w:ascii="Arial" w:cs="Arial" w:eastAsia="Arial" w:hAnsi="Arial"/>
          <w:sz w:val="15"/>
          <w:szCs w:val="15"/>
          <w:b w:val="1"/>
          <w:bCs w:val="1"/>
          <w:color w:val="auto"/>
        </w:rPr>
        <w:t>Exhibit 10.2</w:t>
      </w:r>
    </w:p>
    <w:p>
      <w:pPr>
        <w:spacing w:after="0" w:line="198"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SELECTA BIOSCIENCES, INC.</w:t>
      </w:r>
    </w:p>
    <w:p>
      <w:pPr>
        <w:spacing w:after="0" w:line="29"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2016 INCENTIVE AWARD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PURPOSE</w:t>
      </w:r>
    </w:p>
    <w:p>
      <w:pPr>
        <w:spacing w:after="0" w:line="188" w:lineRule="exact"/>
        <w:rPr>
          <w:sz w:val="20"/>
          <w:szCs w:val="20"/>
          <w:color w:val="auto"/>
        </w:rPr>
      </w:pPr>
    </w:p>
    <w:p>
      <w:pPr>
        <w:jc w:val="both"/>
        <w:ind w:right="100" w:firstLine="556"/>
        <w:spacing w:after="0" w:line="289" w:lineRule="auto"/>
        <w:rPr>
          <w:sz w:val="20"/>
          <w:szCs w:val="20"/>
          <w:color w:val="auto"/>
        </w:rPr>
      </w:pPr>
      <w:r>
        <w:rPr>
          <w:rFonts w:ascii="Arial" w:cs="Arial" w:eastAsia="Arial" w:hAnsi="Arial"/>
          <w:sz w:val="15"/>
          <w:szCs w:val="15"/>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Article XI.</w:t>
      </w:r>
    </w:p>
    <w:p>
      <w:pPr>
        <w:spacing w:after="0" w:line="135"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ARTICLE II.</w:t>
      </w:r>
    </w:p>
    <w:p>
      <w:pPr>
        <w:spacing w:after="0" w:line="29"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ELIGIBILITY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Service Providers are eligible to be granted Awards under the Plan, subject to the limitations described herein.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ADMINISTRATION AND DELEGATION</w:t>
      </w:r>
    </w:p>
    <w:p>
      <w:pPr>
        <w:spacing w:after="0" w:line="188" w:lineRule="exact"/>
        <w:rPr>
          <w:sz w:val="20"/>
          <w:szCs w:val="20"/>
          <w:color w:val="auto"/>
        </w:rPr>
      </w:pPr>
    </w:p>
    <w:p>
      <w:pPr>
        <w:ind w:right="100" w:firstLine="556"/>
        <w:spacing w:after="0" w:line="289"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Administration</w:t>
      </w:r>
      <w:r>
        <w:rPr>
          <w:rFonts w:ascii="Arial" w:cs="Arial" w:eastAsia="Arial" w:hAnsi="Arial"/>
          <w:sz w:val="14"/>
          <w:szCs w:val="14"/>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43" w:lineRule="exact"/>
        <w:rPr>
          <w:sz w:val="20"/>
          <w:szCs w:val="20"/>
          <w:color w:val="auto"/>
        </w:rPr>
      </w:pPr>
    </w:p>
    <w:p>
      <w:pPr>
        <w:ind w:right="320" w:firstLine="556"/>
        <w:spacing w:after="0" w:line="327"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Appointment of Committees</w:t>
      </w:r>
      <w:r>
        <w:rPr>
          <w:rFonts w:ascii="Arial" w:cs="Arial" w:eastAsia="Arial" w:hAnsi="Arial"/>
          <w:sz w:val="14"/>
          <w:szCs w:val="14"/>
          <w:color w:val="auto"/>
        </w:rPr>
        <w:t>.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AVAILABLE FOR AWARDS</w:t>
      </w:r>
    </w:p>
    <w:p>
      <w:pPr>
        <w:spacing w:after="0" w:line="188" w:lineRule="exact"/>
        <w:rPr>
          <w:sz w:val="20"/>
          <w:szCs w:val="20"/>
          <w:color w:val="auto"/>
        </w:rPr>
      </w:pPr>
    </w:p>
    <w:p>
      <w:pPr>
        <w:ind w:right="40" w:firstLine="556"/>
        <w:spacing w:after="0" w:line="302"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Number of Shares</w:t>
      </w:r>
      <w:r>
        <w:rPr>
          <w:rFonts w:ascii="Arial" w:cs="Arial" w:eastAsia="Arial" w:hAnsi="Arial"/>
          <w:sz w:val="14"/>
          <w:szCs w:val="14"/>
          <w:color w:val="auto"/>
        </w:rPr>
        <w:t>. Subject to adjustment under Article VIII and the terms of this Article IV, Awards may be made under the Plan covering up to the Overall Share Limit. As of the Plan’s effective date under Section 10.3, the Company will cease granting awards under the Prior Plans; however, Prior Plan Awards will remain subject to the terms of the applicable Prior Plan. Shares issued under the Plan may consist of authorized but unissued Shares, Shares purchased on the open market or treasury Shares.</w:t>
      </w:r>
    </w:p>
    <w:p>
      <w:pPr>
        <w:spacing w:after="0" w:line="133" w:lineRule="exact"/>
        <w:rPr>
          <w:sz w:val="20"/>
          <w:szCs w:val="20"/>
          <w:color w:val="auto"/>
        </w:rPr>
      </w:pPr>
    </w:p>
    <w:p>
      <w:pPr>
        <w:jc w:val="both"/>
        <w:ind w:right="120" w:firstLine="556"/>
        <w:spacing w:after="0" w:line="273"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Share Recycling</w:t>
      </w:r>
      <w:r>
        <w:rPr>
          <w:rFonts w:ascii="Arial" w:cs="Arial" w:eastAsia="Arial" w:hAnsi="Arial"/>
          <w:sz w:val="15"/>
          <w:szCs w:val="15"/>
          <w:color w:val="auto"/>
        </w:rPr>
        <w:t>. If all or any part of an Award or Prior Plan Award expires, lapses or is terminated,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285990" cy="2730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60"/>
        <w:spacing w:after="0" w:line="289" w:lineRule="auto"/>
        <w:rPr>
          <w:sz w:val="20"/>
          <w:szCs w:val="20"/>
          <w:color w:val="auto"/>
        </w:rPr>
      </w:pPr>
      <w:r>
        <w:rPr>
          <w:rFonts w:ascii="Arial" w:cs="Arial" w:eastAsia="Arial" w:hAnsi="Arial"/>
          <w:sz w:val="14"/>
          <w:szCs w:val="14"/>
          <w:color w:val="auto"/>
        </w:rPr>
        <w:t>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w:t>
      </w:r>
    </w:p>
    <w:p>
      <w:pPr>
        <w:spacing w:after="0" w:line="143" w:lineRule="exact"/>
        <w:rPr>
          <w:sz w:val="20"/>
          <w:szCs w:val="20"/>
          <w:color w:val="auto"/>
        </w:rPr>
      </w:pPr>
    </w:p>
    <w:p>
      <w:pPr>
        <w:ind w:right="520" w:firstLine="556"/>
        <w:spacing w:after="0" w:line="289"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Incentive Stock Option Limitations</w:t>
      </w:r>
      <w:r>
        <w:rPr>
          <w:rFonts w:ascii="Arial" w:cs="Arial" w:eastAsia="Arial" w:hAnsi="Arial"/>
          <w:sz w:val="15"/>
          <w:szCs w:val="15"/>
          <w:color w:val="auto"/>
        </w:rPr>
        <w:t>. Notwithstanding anything to the contrary herein, no more than 8,133,333 Shares may be issued pursuant to the exercise of Incentive Stock Options.</w:t>
      </w:r>
    </w:p>
    <w:p>
      <w:pPr>
        <w:spacing w:after="0" w:line="141" w:lineRule="exact"/>
        <w:rPr>
          <w:sz w:val="20"/>
          <w:szCs w:val="20"/>
          <w:color w:val="auto"/>
        </w:rPr>
      </w:pPr>
    </w:p>
    <w:p>
      <w:pPr>
        <w:ind w:right="40" w:firstLine="556"/>
        <w:spacing w:after="0" w:line="280"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Substitute Awards</w:t>
      </w:r>
      <w:r>
        <w:rPr>
          <w:rFonts w:ascii="Arial" w:cs="Arial" w:eastAsia="Arial" w:hAnsi="Arial"/>
          <w:sz w:val="14"/>
          <w:szCs w:val="14"/>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55" w:lineRule="exact"/>
        <w:rPr>
          <w:sz w:val="20"/>
          <w:szCs w:val="20"/>
          <w:color w:val="auto"/>
        </w:rPr>
      </w:pPr>
    </w:p>
    <w:p>
      <w:pPr>
        <w:ind w:firstLine="556"/>
        <w:spacing w:after="0" w:line="282"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u w:val="single" w:color="auto"/>
          <w:color w:val="auto"/>
        </w:rPr>
        <w:t>Non-Employee Director Compensation</w:t>
      </w:r>
      <w:r>
        <w:rPr>
          <w:rFonts w:ascii="Arial" w:cs="Arial" w:eastAsia="Arial" w:hAnsi="Arial"/>
          <w:sz w:val="14"/>
          <w:szCs w:val="14"/>
          <w:color w:val="auto"/>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$1,000,000 in the fiscal year of a non-employee Director’s initial service as a non-employee Director or $750,000 in any subsequent fiscal year.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OPTIONS AND STOCK APPRECIATION RIGHTS</w:t>
      </w:r>
    </w:p>
    <w:p>
      <w:pPr>
        <w:spacing w:after="0" w:line="188" w:lineRule="exact"/>
        <w:rPr>
          <w:sz w:val="20"/>
          <w:szCs w:val="20"/>
          <w:color w:val="auto"/>
        </w:rPr>
      </w:pPr>
    </w:p>
    <w:p>
      <w:pPr>
        <w:ind w:right="20" w:firstLine="556"/>
        <w:spacing w:after="0" w:line="289"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General</w:t>
      </w:r>
      <w:r>
        <w:rPr>
          <w:rFonts w:ascii="Arial" w:cs="Arial" w:eastAsia="Arial" w:hAnsi="Arial"/>
          <w:sz w:val="14"/>
          <w:szCs w:val="14"/>
          <w:color w:val="auto"/>
        </w:rPr>
        <w:t>. The Administrator may grant Options or Stock Appreciation Rights to Service Providers subject to the limitations in the Plan, including any limitations in the Plan that apply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w:t>
      </w:r>
    </w:p>
    <w:p>
      <w:pPr>
        <w:sectPr>
          <w:pgSz w:w="11900" w:h="16838" w:orient="portrait"/>
          <w:cols w:equalWidth="0" w:num="1">
            <w:col w:w="11440"/>
          </w:cols>
          <w:pgMar w:left="240" w:top="332" w:right="219" w:bottom="0" w:gutter="0" w:footer="0" w:header="0"/>
        </w:sectPr>
      </w:pPr>
    </w:p>
    <w:bookmarkStart w:id="345" w:name="page346"/>
    <w:bookmarkEnd w:id="345"/>
    <w:p>
      <w:pPr>
        <w:ind w:right="340"/>
        <w:spacing w:after="0" w:line="289" w:lineRule="auto"/>
        <w:rPr>
          <w:sz w:val="20"/>
          <w:szCs w:val="20"/>
          <w:color w:val="auto"/>
        </w:rPr>
      </w:pPr>
      <w:r>
        <w:rPr>
          <w:rFonts w:ascii="Arial" w:cs="Arial" w:eastAsia="Arial" w:hAnsi="Arial"/>
          <w:sz w:val="15"/>
          <w:szCs w:val="15"/>
          <w:color w:val="auto"/>
        </w:rPr>
        <w:t>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41"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4"/>
          <w:szCs w:val="14"/>
          <w:u w:val="single" w:color="auto"/>
          <w:color w:val="auto"/>
        </w:rPr>
        <w:t>Exercise Price</w:t>
      </w:r>
      <w:r>
        <w:rPr>
          <w:rFonts w:ascii="Arial" w:cs="Arial" w:eastAsia="Arial" w:hAnsi="Arial"/>
          <w:sz w:val="14"/>
          <w:szCs w:val="14"/>
          <w:color w:val="auto"/>
        </w:rPr>
        <w:t>. The Administrator will establish each Option’s and Stock Appreciation Right’s exercise price and specify the exercise price in the Award Agreement.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The exercise price will not be less than 100% of the Fair Market Value on the grant date of the Option or Stock Appreciation Right.</w:t>
      </w:r>
    </w:p>
    <w:p>
      <w:pPr>
        <w:spacing w:after="0" w:line="188" w:lineRule="exact"/>
        <w:rPr>
          <w:sz w:val="20"/>
          <w:szCs w:val="20"/>
          <w:color w:val="auto"/>
        </w:rPr>
      </w:pPr>
    </w:p>
    <w:p>
      <w:pPr>
        <w:ind w:right="40" w:firstLine="556"/>
        <w:spacing w:after="0" w:line="279"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Duration</w:t>
      </w:r>
      <w:r>
        <w:rPr>
          <w:rFonts w:ascii="Arial" w:cs="Arial" w:eastAsia="Arial" w:hAnsi="Arial"/>
          <w:sz w:val="14"/>
          <w:szCs w:val="14"/>
          <w:color w:val="auto"/>
        </w:rPr>
        <w:t>.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0" w:firstLine="556"/>
        <w:spacing w:after="0" w:line="268"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Exercise</w:t>
      </w:r>
      <w:r>
        <w:rPr>
          <w:rFonts w:ascii="Arial" w:cs="Arial" w:eastAsia="Arial" w:hAnsi="Arial"/>
          <w:sz w:val="15"/>
          <w:szCs w:val="15"/>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56"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5.5</w:t>
      </w:r>
      <w:r>
        <w:rPr>
          <w:sz w:val="20"/>
          <w:szCs w:val="20"/>
          <w:color w:val="auto"/>
        </w:rPr>
        <w:tab/>
      </w:r>
      <w:r>
        <w:rPr>
          <w:rFonts w:ascii="Arial" w:cs="Arial" w:eastAsia="Arial" w:hAnsi="Arial"/>
          <w:sz w:val="14"/>
          <w:szCs w:val="14"/>
          <w:u w:val="single" w:color="auto"/>
          <w:color w:val="auto"/>
        </w:rPr>
        <w:t>Payment Upon Exercise</w:t>
      </w:r>
      <w:r>
        <w:rPr>
          <w:rFonts w:ascii="Arial" w:cs="Arial" w:eastAsia="Arial" w:hAnsi="Arial"/>
          <w:sz w:val="14"/>
          <w:szCs w:val="14"/>
          <w:color w:val="auto"/>
        </w:rPr>
        <w:t>. Subject to Section 10.8, any Company insider trading policy (including blackout periods) and Applicable Laws, the exercise price of an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Option must be paid by:</w:t>
      </w:r>
    </w:p>
    <w:p>
      <w:pPr>
        <w:spacing w:after="0" w:line="191" w:lineRule="exact"/>
        <w:rPr>
          <w:sz w:val="20"/>
          <w:szCs w:val="20"/>
          <w:color w:val="auto"/>
        </w:rPr>
      </w:pPr>
    </w:p>
    <w:p>
      <w:pPr>
        <w:ind w:right="160" w:firstLine="1104"/>
        <w:spacing w:after="0" w:line="282" w:lineRule="auto"/>
        <w:tabs>
          <w:tab w:leader="none" w:pos="1697" w:val="left"/>
        </w:tabs>
        <w:numPr>
          <w:ilvl w:val="0"/>
          <w:numId w:val="289"/>
        </w:numPr>
        <w:rPr>
          <w:rFonts w:ascii="Arial" w:cs="Arial" w:eastAsia="Arial" w:hAnsi="Arial"/>
          <w:sz w:val="15"/>
          <w:szCs w:val="15"/>
          <w:color w:val="auto"/>
        </w:rPr>
      </w:pPr>
      <w:r>
        <w:rPr>
          <w:rFonts w:ascii="Arial" w:cs="Arial" w:eastAsia="Arial" w:hAnsi="Arial"/>
          <w:sz w:val="15"/>
          <w:szCs w:val="15"/>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50" w:lineRule="exact"/>
        <w:rPr>
          <w:rFonts w:ascii="Arial" w:cs="Arial" w:eastAsia="Arial" w:hAnsi="Arial"/>
          <w:sz w:val="15"/>
          <w:szCs w:val="15"/>
          <w:color w:val="auto"/>
        </w:rPr>
      </w:pPr>
    </w:p>
    <w:p>
      <w:pPr>
        <w:ind w:right="120" w:firstLine="1104"/>
        <w:spacing w:after="0" w:line="290" w:lineRule="auto"/>
        <w:tabs>
          <w:tab w:leader="none" w:pos="1706" w:val="left"/>
        </w:tabs>
        <w:numPr>
          <w:ilvl w:val="0"/>
          <w:numId w:val="289"/>
        </w:numPr>
        <w:rPr>
          <w:rFonts w:ascii="Arial" w:cs="Arial" w:eastAsia="Arial" w:hAnsi="Arial"/>
          <w:sz w:val="14"/>
          <w:szCs w:val="14"/>
          <w:color w:val="auto"/>
        </w:rPr>
      </w:pPr>
      <w:r>
        <w:rPr>
          <w:rFonts w:ascii="Arial" w:cs="Arial" w:eastAsia="Arial" w:hAnsi="Arial"/>
          <w:sz w:val="14"/>
          <w:szCs w:val="14"/>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48" w:lineRule="exact"/>
        <w:rPr>
          <w:rFonts w:ascii="Arial" w:cs="Arial" w:eastAsia="Arial" w:hAnsi="Arial"/>
          <w:sz w:val="14"/>
          <w:szCs w:val="14"/>
          <w:color w:val="auto"/>
        </w:rPr>
      </w:pPr>
    </w:p>
    <w:p>
      <w:pPr>
        <w:ind w:left="1680" w:hanging="576"/>
        <w:spacing w:after="0"/>
        <w:tabs>
          <w:tab w:leader="none" w:pos="1680" w:val="left"/>
        </w:tabs>
        <w:numPr>
          <w:ilvl w:val="0"/>
          <w:numId w:val="289"/>
        </w:numPr>
        <w:rPr>
          <w:rFonts w:ascii="Arial" w:cs="Arial" w:eastAsia="Arial" w:hAnsi="Arial"/>
          <w:sz w:val="14"/>
          <w:szCs w:val="14"/>
          <w:color w:val="auto"/>
        </w:rPr>
      </w:pPr>
      <w:r>
        <w:rPr>
          <w:rFonts w:ascii="Arial" w:cs="Arial" w:eastAsia="Arial" w:hAnsi="Arial"/>
          <w:sz w:val="14"/>
          <w:szCs w:val="14"/>
          <w:color w:val="auto"/>
        </w:rPr>
        <w:t>to the extent permitted by the Administrator, delivery (either by actual delivery or attestation) of Shares owned by the Participant valued at their Fair Market</w:t>
      </w:r>
    </w:p>
    <w:p>
      <w:pPr>
        <w:spacing w:after="0" w:line="3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Value;</w:t>
      </w:r>
    </w:p>
    <w:p>
      <w:pPr>
        <w:spacing w:after="0" w:line="191" w:lineRule="exact"/>
        <w:rPr>
          <w:rFonts w:ascii="Arial" w:cs="Arial" w:eastAsia="Arial" w:hAnsi="Arial"/>
          <w:sz w:val="14"/>
          <w:szCs w:val="14"/>
          <w:color w:val="auto"/>
        </w:rPr>
      </w:pPr>
    </w:p>
    <w:p>
      <w:pPr>
        <w:ind w:left="1700" w:hanging="596"/>
        <w:spacing w:after="0"/>
        <w:tabs>
          <w:tab w:leader="none" w:pos="1700" w:val="left"/>
        </w:tabs>
        <w:numPr>
          <w:ilvl w:val="0"/>
          <w:numId w:val="289"/>
        </w:numPr>
        <w:rPr>
          <w:rFonts w:ascii="Arial" w:cs="Arial" w:eastAsia="Arial" w:hAnsi="Arial"/>
          <w:sz w:val="13"/>
          <w:szCs w:val="13"/>
          <w:color w:val="auto"/>
        </w:rPr>
      </w:pPr>
      <w:r>
        <w:rPr>
          <w:rFonts w:ascii="Arial" w:cs="Arial" w:eastAsia="Arial" w:hAnsi="Arial"/>
          <w:sz w:val="13"/>
          <w:szCs w:val="13"/>
          <w:color w:val="auto"/>
        </w:rPr>
        <w:t>to the extent permitted by the Administrator, surrendering Shares then issuable upon the Option’s exercise valued at their Fair Market Value on the exercise date;</w:t>
      </w:r>
    </w:p>
    <w:p>
      <w:pPr>
        <w:spacing w:after="0" w:line="221" w:lineRule="exact"/>
        <w:rPr>
          <w:rFonts w:ascii="Arial" w:cs="Arial" w:eastAsia="Arial" w:hAnsi="Arial"/>
          <w:sz w:val="13"/>
          <w:szCs w:val="13"/>
          <w:color w:val="auto"/>
        </w:rPr>
      </w:pPr>
    </w:p>
    <w:p>
      <w:pPr>
        <w:ind w:left="1680" w:hanging="576"/>
        <w:spacing w:after="0"/>
        <w:tabs>
          <w:tab w:leader="none" w:pos="1680" w:val="left"/>
        </w:tabs>
        <w:numPr>
          <w:ilvl w:val="0"/>
          <w:numId w:val="289"/>
        </w:numPr>
        <w:rPr>
          <w:rFonts w:ascii="Arial" w:cs="Arial" w:eastAsia="Arial" w:hAnsi="Arial"/>
          <w:sz w:val="14"/>
          <w:szCs w:val="14"/>
          <w:color w:val="auto"/>
        </w:rPr>
      </w:pPr>
      <w:r>
        <w:rPr>
          <w:rFonts w:ascii="Arial" w:cs="Arial" w:eastAsia="Arial" w:hAnsi="Arial"/>
          <w:sz w:val="14"/>
          <w:szCs w:val="14"/>
          <w:color w:val="auto"/>
        </w:rPr>
        <w:t>to the extent permitted by the Administrator, delivery of a promissory note or any other property that the Administrator determines is good and valuable</w:t>
      </w:r>
    </w:p>
    <w:p>
      <w:pPr>
        <w:spacing w:after="0" w:line="3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consideration; or</w:t>
      </w:r>
    </w:p>
    <w:p>
      <w:pPr>
        <w:spacing w:after="0" w:line="191" w:lineRule="exact"/>
        <w:rPr>
          <w:rFonts w:ascii="Arial" w:cs="Arial" w:eastAsia="Arial" w:hAnsi="Arial"/>
          <w:sz w:val="14"/>
          <w:szCs w:val="14"/>
          <w:color w:val="auto"/>
        </w:rPr>
      </w:pPr>
    </w:p>
    <w:p>
      <w:pPr>
        <w:ind w:left="1720" w:hanging="616"/>
        <w:spacing w:after="0"/>
        <w:tabs>
          <w:tab w:leader="none" w:pos="172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to the extent permitted by the Company, any combination of the above payment forms approved by the Administrator.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RESTRICTED STOCK UNITS</w:t>
      </w:r>
    </w:p>
    <w:p>
      <w:pPr>
        <w:spacing w:after="0" w:line="188" w:lineRule="exact"/>
        <w:rPr>
          <w:sz w:val="20"/>
          <w:szCs w:val="20"/>
          <w:color w:val="auto"/>
        </w:rPr>
      </w:pPr>
    </w:p>
    <w:p>
      <w:pPr>
        <w:ind w:right="60" w:firstLine="556"/>
        <w:spacing w:after="0" w:line="264"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General</w:t>
      </w:r>
      <w:r>
        <w:rPr>
          <w:rFonts w:ascii="Arial" w:cs="Arial" w:eastAsia="Arial" w:hAnsi="Arial"/>
          <w:sz w:val="15"/>
          <w:szCs w:val="15"/>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3"/>
          <w:szCs w:val="13"/>
          <w:u w:val="single" w:color="auto"/>
          <w:color w:val="auto"/>
        </w:rPr>
        <w:t>Restricted Stock</w:t>
      </w:r>
      <w:r>
        <w:rPr>
          <w:rFonts w:ascii="Arial" w:cs="Arial" w:eastAsia="Arial" w:hAnsi="Arial"/>
          <w:sz w:val="13"/>
          <w:szCs w:val="13"/>
          <w:color w:val="auto"/>
        </w:rPr>
        <w:t>.</w:t>
      </w:r>
    </w:p>
    <w:p>
      <w:pPr>
        <w:spacing w:after="0" w:line="202" w:lineRule="exact"/>
        <w:rPr>
          <w:sz w:val="20"/>
          <w:szCs w:val="20"/>
          <w:color w:val="auto"/>
        </w:rPr>
      </w:pPr>
    </w:p>
    <w:p>
      <w:pPr>
        <w:ind w:right="120" w:firstLine="1104"/>
        <w:spacing w:after="0" w:line="266" w:lineRule="auto"/>
        <w:tabs>
          <w:tab w:leader="none" w:pos="1697" w:val="left"/>
        </w:tabs>
        <w:numPr>
          <w:ilvl w:val="0"/>
          <w:numId w:val="290"/>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61" w:lineRule="exact"/>
        <w:rPr>
          <w:rFonts w:ascii="Arial" w:cs="Arial" w:eastAsia="Arial" w:hAnsi="Arial"/>
          <w:sz w:val="15"/>
          <w:szCs w:val="15"/>
          <w:color w:val="auto"/>
        </w:rPr>
      </w:pPr>
    </w:p>
    <w:p>
      <w:pPr>
        <w:ind w:firstLine="1104"/>
        <w:spacing w:after="0" w:line="282" w:lineRule="auto"/>
        <w:tabs>
          <w:tab w:leader="none" w:pos="1706" w:val="left"/>
        </w:tabs>
        <w:numPr>
          <w:ilvl w:val="0"/>
          <w:numId w:val="290"/>
        </w:numPr>
        <w:rPr>
          <w:rFonts w:ascii="Arial" w:cs="Arial" w:eastAsia="Arial" w:hAnsi="Arial"/>
          <w:sz w:val="15"/>
          <w:szCs w:val="15"/>
          <w:color w:val="auto"/>
        </w:rPr>
      </w:pPr>
      <w:r>
        <w:rPr>
          <w:rFonts w:ascii="Arial" w:cs="Arial" w:eastAsia="Arial" w:hAnsi="Arial"/>
          <w:sz w:val="15"/>
          <w:szCs w:val="15"/>
          <w:u w:val="single" w:color="auto"/>
          <w:color w:val="auto"/>
        </w:rPr>
        <w:t>Stock Certificates</w:t>
      </w:r>
      <w:r>
        <w:rPr>
          <w:rFonts w:ascii="Arial" w:cs="Arial" w:eastAsia="Arial" w:hAnsi="Arial"/>
          <w:sz w:val="15"/>
          <w:szCs w:val="15"/>
          <w:color w:val="auto"/>
        </w:rPr>
        <w:t>. The Company may require that the Participant deposit in escrow with the Company (or its designee) any stock certificates issued in respect of shares of Restricted Stock, together with a stock power endorsed in blank.</w:t>
      </w:r>
    </w:p>
    <w:p>
      <w:pPr>
        <w:spacing w:after="0" w:line="147"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6.3</w:t>
      </w:r>
      <w:r>
        <w:rPr>
          <w:sz w:val="20"/>
          <w:szCs w:val="20"/>
          <w:color w:val="auto"/>
        </w:rPr>
        <w:tab/>
      </w:r>
      <w:r>
        <w:rPr>
          <w:rFonts w:ascii="Arial" w:cs="Arial" w:eastAsia="Arial" w:hAnsi="Arial"/>
          <w:sz w:val="13"/>
          <w:szCs w:val="13"/>
          <w:u w:val="single" w:color="auto"/>
          <w:color w:val="auto"/>
        </w:rPr>
        <w:t>Restricted Stock Units.</w:t>
      </w:r>
    </w:p>
    <w:p>
      <w:pPr>
        <w:spacing w:after="0" w:line="202" w:lineRule="exact"/>
        <w:rPr>
          <w:sz w:val="20"/>
          <w:szCs w:val="20"/>
          <w:color w:val="auto"/>
        </w:rPr>
      </w:pPr>
    </w:p>
    <w:p>
      <w:pPr>
        <w:ind w:right="240" w:firstLine="1104"/>
        <w:spacing w:after="0" w:line="282" w:lineRule="auto"/>
        <w:tabs>
          <w:tab w:leader="none" w:pos="1697" w:val="left"/>
        </w:tabs>
        <w:numPr>
          <w:ilvl w:val="0"/>
          <w:numId w:val="291"/>
        </w:numPr>
        <w:rPr>
          <w:rFonts w:ascii="Arial" w:cs="Arial" w:eastAsia="Arial" w:hAnsi="Arial"/>
          <w:sz w:val="15"/>
          <w:szCs w:val="15"/>
          <w:color w:val="auto"/>
        </w:rPr>
      </w:pPr>
      <w:r>
        <w:rPr>
          <w:rFonts w:ascii="Arial" w:cs="Arial" w:eastAsia="Arial" w:hAnsi="Arial"/>
          <w:sz w:val="15"/>
          <w:szCs w:val="15"/>
          <w:u w:val="single" w:color="auto"/>
          <w:color w:val="auto"/>
        </w:rPr>
        <w:t>Settlement</w:t>
      </w:r>
      <w:r>
        <w:rPr>
          <w:rFonts w:ascii="Arial" w:cs="Arial" w:eastAsia="Arial" w:hAnsi="Arial"/>
          <w:sz w:val="15"/>
          <w:szCs w:val="15"/>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50" w:lineRule="exact"/>
        <w:rPr>
          <w:rFonts w:ascii="Arial" w:cs="Arial" w:eastAsia="Arial" w:hAnsi="Arial"/>
          <w:sz w:val="15"/>
          <w:szCs w:val="15"/>
          <w:color w:val="auto"/>
        </w:rPr>
      </w:pPr>
    </w:p>
    <w:p>
      <w:pPr>
        <w:ind w:right="100" w:firstLine="1104"/>
        <w:spacing w:after="0" w:line="282" w:lineRule="auto"/>
        <w:tabs>
          <w:tab w:leader="none" w:pos="1706" w:val="left"/>
        </w:tabs>
        <w:numPr>
          <w:ilvl w:val="0"/>
          <w:numId w:val="291"/>
        </w:numPr>
        <w:rPr>
          <w:rFonts w:ascii="Arial" w:cs="Arial" w:eastAsia="Arial" w:hAnsi="Arial"/>
          <w:sz w:val="15"/>
          <w:szCs w:val="15"/>
          <w:color w:val="auto"/>
        </w:rPr>
      </w:pPr>
      <w:r>
        <w:rPr>
          <w:rFonts w:ascii="Arial" w:cs="Arial" w:eastAsia="Arial" w:hAnsi="Arial"/>
          <w:sz w:val="15"/>
          <w:szCs w:val="15"/>
          <w:u w:val="single" w:color="auto"/>
          <w:color w:val="auto"/>
        </w:rPr>
        <w:t>Stockholder Rights</w:t>
      </w:r>
      <w:r>
        <w:rPr>
          <w:rFonts w:ascii="Arial" w:cs="Arial" w:eastAsia="Arial" w:hAnsi="Arial"/>
          <w:sz w:val="15"/>
          <w:szCs w:val="15"/>
          <w:color w:val="auto"/>
        </w:rPr>
        <w:t>. A Participant will have no rights of a stockholder with respect to Shares subject to any Restricted Stock Unit unless and until the Shares are delivered in settlement of the Restricted Stock Unit.</w:t>
      </w:r>
    </w:p>
    <w:p>
      <w:pPr>
        <w:spacing w:after="0" w:line="150" w:lineRule="exact"/>
        <w:rPr>
          <w:rFonts w:ascii="Arial" w:cs="Arial" w:eastAsia="Arial" w:hAnsi="Arial"/>
          <w:sz w:val="15"/>
          <w:szCs w:val="15"/>
          <w:color w:val="auto"/>
        </w:rPr>
      </w:pPr>
    </w:p>
    <w:p>
      <w:pPr>
        <w:ind w:right="80" w:firstLine="1104"/>
        <w:spacing w:after="0" w:line="330" w:lineRule="auto"/>
        <w:tabs>
          <w:tab w:leader="none" w:pos="1697" w:val="left"/>
        </w:tabs>
        <w:numPr>
          <w:ilvl w:val="0"/>
          <w:numId w:val="291"/>
        </w:numPr>
        <w:rPr>
          <w:rFonts w:ascii="Arial" w:cs="Arial" w:eastAsia="Arial" w:hAnsi="Arial"/>
          <w:sz w:val="13"/>
          <w:szCs w:val="13"/>
          <w:color w:val="auto"/>
        </w:rPr>
      </w:pPr>
      <w:r>
        <w:rPr>
          <w:rFonts w:ascii="Arial" w:cs="Arial" w:eastAsia="Arial" w:hAnsi="Arial"/>
          <w:sz w:val="13"/>
          <w:szCs w:val="13"/>
          <w:u w:val="single" w:color="auto"/>
          <w:color w:val="auto"/>
        </w:rPr>
        <w:t>Dividend Equivalents</w:t>
      </w:r>
      <w:r>
        <w:rPr>
          <w:rFonts w:ascii="Arial" w:cs="Arial" w:eastAsia="Arial" w:hAnsi="Arial"/>
          <w:sz w:val="13"/>
          <w:szCs w:val="13"/>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ectPr>
          <w:pgSz w:w="11900" w:h="16838" w:orient="portrait"/>
          <w:cols w:equalWidth="0" w:num="1">
            <w:col w:w="11440"/>
          </w:cols>
          <w:pgMar w:left="240" w:top="129" w:right="219" w:bottom="0" w:gutter="0" w:footer="0" w:header="0"/>
        </w:sectPr>
      </w:pPr>
    </w:p>
    <w:bookmarkStart w:id="346" w:name="page347"/>
    <w:bookmarkEnd w:id="346"/>
    <w:p>
      <w:pPr>
        <w:jc w:val="center"/>
        <w:spacing w:after="0"/>
        <w:rPr>
          <w:sz w:val="20"/>
          <w:szCs w:val="20"/>
          <w:color w:val="auto"/>
        </w:rPr>
      </w:pPr>
      <w:r>
        <w:rPr>
          <w:rFonts w:ascii="Arial" w:cs="Arial" w:eastAsia="Arial" w:hAnsi="Arial"/>
          <w:sz w:val="15"/>
          <w:szCs w:val="15"/>
          <w:b w:val="1"/>
          <w:bCs w:val="1"/>
          <w:color w:val="auto"/>
        </w:rPr>
        <w:t>ARTICLE VII.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STOCK OR CASH BASED AWARDS</w:t>
      </w:r>
    </w:p>
    <w:p>
      <w:pPr>
        <w:spacing w:after="0" w:line="188" w:lineRule="exact"/>
        <w:rPr>
          <w:sz w:val="20"/>
          <w:szCs w:val="20"/>
          <w:color w:val="auto"/>
        </w:rPr>
      </w:pPr>
    </w:p>
    <w:p>
      <w:pPr>
        <w:ind w:right="100" w:firstLine="556"/>
        <w:spacing w:after="0" w:line="286" w:lineRule="auto"/>
        <w:rPr>
          <w:sz w:val="20"/>
          <w:szCs w:val="20"/>
          <w:color w:val="auto"/>
        </w:rPr>
      </w:pPr>
      <w:r>
        <w:rPr>
          <w:rFonts w:ascii="Arial" w:cs="Arial" w:eastAsia="Arial" w:hAnsi="Arial"/>
          <w:sz w:val="14"/>
          <w:szCs w:val="14"/>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VIII.</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ADJUSTMENTS FOR CHANGES IN COMMON STOCK</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CERTAIN OTHER EVENTS</w:t>
      </w:r>
    </w:p>
    <w:p>
      <w:pPr>
        <w:spacing w:after="0" w:line="188" w:lineRule="exact"/>
        <w:rPr>
          <w:sz w:val="20"/>
          <w:szCs w:val="20"/>
          <w:color w:val="auto"/>
        </w:rPr>
      </w:pPr>
    </w:p>
    <w:p>
      <w:pPr>
        <w:ind w:right="100" w:firstLine="556"/>
        <w:spacing w:after="0" w:line="321"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Equity Restructuring</w:t>
      </w:r>
      <w:r>
        <w:rPr>
          <w:rFonts w:ascii="Arial" w:cs="Arial" w:eastAsia="Arial" w:hAnsi="Arial"/>
          <w:sz w:val="13"/>
          <w:szCs w:val="13"/>
          <w:color w:val="auto"/>
        </w:rPr>
        <w:t>(a) .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27" w:lineRule="exact"/>
        <w:rPr>
          <w:sz w:val="20"/>
          <w:szCs w:val="20"/>
          <w:color w:val="auto"/>
        </w:rPr>
      </w:pPr>
    </w:p>
    <w:p>
      <w:pPr>
        <w:ind w:firstLine="556"/>
        <w:spacing w:after="0" w:line="261"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Corporate Transactions</w:t>
      </w:r>
      <w:r>
        <w:rPr>
          <w:rFonts w:ascii="Arial" w:cs="Arial" w:eastAsia="Arial" w:hAnsi="Arial"/>
          <w:sz w:val="15"/>
          <w:szCs w:val="15"/>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66" w:lineRule="exact"/>
        <w:rPr>
          <w:sz w:val="20"/>
          <w:szCs w:val="20"/>
          <w:color w:val="auto"/>
        </w:rPr>
      </w:pPr>
    </w:p>
    <w:p>
      <w:pPr>
        <w:jc w:val="both"/>
        <w:ind w:right="140" w:firstLine="1104"/>
        <w:spacing w:after="0" w:line="266" w:lineRule="auto"/>
        <w:tabs>
          <w:tab w:leader="none" w:pos="1697" w:val="left"/>
        </w:tabs>
        <w:numPr>
          <w:ilvl w:val="0"/>
          <w:numId w:val="292"/>
        </w:numPr>
        <w:rPr>
          <w:rFonts w:ascii="Arial" w:cs="Arial" w:eastAsia="Arial" w:hAnsi="Arial"/>
          <w:sz w:val="15"/>
          <w:szCs w:val="15"/>
          <w:color w:val="auto"/>
        </w:rPr>
      </w:pPr>
      <w:r>
        <w:rPr>
          <w:rFonts w:ascii="Arial" w:cs="Arial" w:eastAsia="Arial" w:hAnsi="Arial"/>
          <w:sz w:val="15"/>
          <w:szCs w:val="15"/>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61" w:lineRule="exact"/>
        <w:rPr>
          <w:rFonts w:ascii="Arial" w:cs="Arial" w:eastAsia="Arial" w:hAnsi="Arial"/>
          <w:sz w:val="15"/>
          <w:szCs w:val="15"/>
          <w:color w:val="auto"/>
        </w:rPr>
      </w:pPr>
    </w:p>
    <w:p>
      <w:pPr>
        <w:ind w:right="200" w:firstLine="1104"/>
        <w:spacing w:after="0" w:line="282" w:lineRule="auto"/>
        <w:tabs>
          <w:tab w:leader="none" w:pos="1706" w:val="left"/>
        </w:tabs>
        <w:numPr>
          <w:ilvl w:val="0"/>
          <w:numId w:val="292"/>
        </w:numPr>
        <w:rPr>
          <w:rFonts w:ascii="Arial" w:cs="Arial" w:eastAsia="Arial" w:hAnsi="Arial"/>
          <w:sz w:val="15"/>
          <w:szCs w:val="15"/>
          <w:color w:val="auto"/>
        </w:rPr>
      </w:pPr>
      <w:r>
        <w:rPr>
          <w:rFonts w:ascii="Arial" w:cs="Arial" w:eastAsia="Arial" w:hAnsi="Arial"/>
          <w:sz w:val="15"/>
          <w:szCs w:val="15"/>
          <w:color w:val="auto"/>
        </w:rPr>
        <w:t>To provide that such Award shall vest and, to the extent applicable, be exercisable as to all shares covered thereby, notwithstanding anything to the contrary in the Plan or the provisions of such Award;</w:t>
      </w:r>
    </w:p>
    <w:p>
      <w:pPr>
        <w:spacing w:after="0" w:line="150" w:lineRule="exact"/>
        <w:rPr>
          <w:rFonts w:ascii="Arial" w:cs="Arial" w:eastAsia="Arial" w:hAnsi="Arial"/>
          <w:sz w:val="15"/>
          <w:szCs w:val="15"/>
          <w:color w:val="auto"/>
        </w:rPr>
      </w:pPr>
    </w:p>
    <w:p>
      <w:pPr>
        <w:ind w:right="40" w:firstLine="1104"/>
        <w:spacing w:after="0" w:line="270" w:lineRule="auto"/>
        <w:tabs>
          <w:tab w:leader="none" w:pos="1697" w:val="left"/>
        </w:tabs>
        <w:numPr>
          <w:ilvl w:val="0"/>
          <w:numId w:val="292"/>
        </w:numPr>
        <w:rPr>
          <w:rFonts w:ascii="Arial" w:cs="Arial" w:eastAsia="Arial" w:hAnsi="Arial"/>
          <w:sz w:val="15"/>
          <w:szCs w:val="15"/>
          <w:color w:val="auto"/>
        </w:rPr>
      </w:pPr>
      <w:r>
        <w:rPr>
          <w:rFonts w:ascii="Arial" w:cs="Arial" w:eastAsia="Arial" w:hAnsi="Arial"/>
          <w:sz w:val="15"/>
          <w:szCs w:val="15"/>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59" w:lineRule="exact"/>
        <w:rPr>
          <w:rFonts w:ascii="Arial" w:cs="Arial" w:eastAsia="Arial" w:hAnsi="Arial"/>
          <w:sz w:val="15"/>
          <w:szCs w:val="15"/>
          <w:color w:val="auto"/>
        </w:rPr>
      </w:pPr>
    </w:p>
    <w:p>
      <w:pPr>
        <w:ind w:right="180" w:firstLine="1104"/>
        <w:spacing w:after="0" w:line="282" w:lineRule="auto"/>
        <w:tabs>
          <w:tab w:leader="none" w:pos="1706" w:val="left"/>
        </w:tabs>
        <w:numPr>
          <w:ilvl w:val="0"/>
          <w:numId w:val="292"/>
        </w:numPr>
        <w:rPr>
          <w:rFonts w:ascii="Arial" w:cs="Arial" w:eastAsia="Arial" w:hAnsi="Arial"/>
          <w:sz w:val="15"/>
          <w:szCs w:val="15"/>
          <w:color w:val="auto"/>
        </w:rPr>
      </w:pPr>
      <w:r>
        <w:rPr>
          <w:rFonts w:ascii="Arial" w:cs="Arial" w:eastAsia="Arial" w:hAnsi="Arial"/>
          <w:sz w:val="15"/>
          <w:szCs w:val="15"/>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40"/>
        <w:spacing w:after="0" w:line="289" w:lineRule="auto"/>
        <w:rPr>
          <w:sz w:val="20"/>
          <w:szCs w:val="20"/>
          <w:color w:val="auto"/>
        </w:rPr>
      </w:pPr>
      <w:r>
        <w:rPr>
          <w:rFonts w:ascii="Arial" w:cs="Arial" w:eastAsia="Arial" w:hAnsi="Arial"/>
          <w:sz w:val="15"/>
          <w:szCs w:val="15"/>
          <w:color w:val="auto"/>
        </w:rPr>
        <w:t>hereof on the maximum number and kind of shares which may be issued) and/or in the terms and conditions of (including the grant or exercise price), and the criteria included in, outstanding Awards;</w:t>
      </w:r>
    </w:p>
    <w:p>
      <w:pPr>
        <w:spacing w:after="0" w:line="144" w:lineRule="exact"/>
        <w:rPr>
          <w:sz w:val="20"/>
          <w:szCs w:val="20"/>
          <w:color w:val="auto"/>
        </w:rPr>
      </w:pPr>
    </w:p>
    <w:p>
      <w:pPr>
        <w:ind w:left="1680" w:hanging="576"/>
        <w:spacing w:after="0"/>
        <w:tabs>
          <w:tab w:leader="none" w:pos="168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To replace such Award with other rights or property selected by the Administrator; and/or</w:t>
      </w:r>
    </w:p>
    <w:p>
      <w:pPr>
        <w:spacing w:after="0" w:line="198" w:lineRule="exact"/>
        <w:rPr>
          <w:rFonts w:ascii="Arial" w:cs="Arial" w:eastAsia="Arial" w:hAnsi="Arial"/>
          <w:sz w:val="15"/>
          <w:szCs w:val="15"/>
          <w:color w:val="auto"/>
        </w:rPr>
      </w:pPr>
    </w:p>
    <w:p>
      <w:pPr>
        <w:ind w:left="1720" w:hanging="616"/>
        <w:spacing w:after="0"/>
        <w:tabs>
          <w:tab w:leader="none" w:pos="172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To provide that the Award will terminate and cannot vest, be exercised or become payable after the applicable event.</w:t>
      </w:r>
    </w:p>
    <w:p>
      <w:pPr>
        <w:spacing w:after="0" w:line="195" w:lineRule="exact"/>
        <w:rPr>
          <w:sz w:val="20"/>
          <w:szCs w:val="20"/>
          <w:color w:val="auto"/>
        </w:rPr>
      </w:pPr>
    </w:p>
    <w:p>
      <w:pPr>
        <w:ind w:right="320" w:firstLine="556"/>
        <w:spacing w:after="0" w:line="292"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Non-Assumption</w:t>
      </w:r>
      <w:r>
        <w:rPr>
          <w:rFonts w:ascii="Arial" w:cs="Arial" w:eastAsia="Arial" w:hAnsi="Arial"/>
          <w:sz w:val="14"/>
          <w:szCs w:val="14"/>
          <w:color w:val="auto"/>
        </w:rPr>
        <w:t>. Notwithstanding any other provision of the Plan to the contrary, if a Change in Control occurs and an outstanding Award that is not subject to performance-based vesting conditions is not continued, converted, assumed, or replaced with a substantially similar award by (i) the Company, or (ii) a successor entity or its parent or subsidiary (an “</w:t>
      </w:r>
      <w:r>
        <w:rPr>
          <w:rFonts w:ascii="Arial" w:cs="Arial" w:eastAsia="Arial" w:hAnsi="Arial"/>
          <w:sz w:val="14"/>
          <w:szCs w:val="14"/>
          <w:b w:val="1"/>
          <w:bCs w:val="1"/>
          <w:i w:val="1"/>
          <w:iCs w:val="1"/>
          <w:color w:val="auto"/>
        </w:rPr>
        <w:t>Assumption</w:t>
      </w:r>
      <w:r>
        <w:rPr>
          <w:rFonts w:ascii="Arial" w:cs="Arial" w:eastAsia="Arial" w:hAnsi="Arial"/>
          <w:sz w:val="14"/>
          <w:szCs w:val="14"/>
          <w:color w:val="auto"/>
        </w:rPr>
        <w:t>”), then, immediately prior to the Change in Control, such Award will become fully vested and exercisable and all forfeiture restrictions on such Award shall lapse. The Administrator shall determine whether an Assumption of an Award has occurred in connection with a Change in Control.</w:t>
      </w:r>
    </w:p>
    <w:p>
      <w:pPr>
        <w:spacing w:after="0" w:line="143" w:lineRule="exact"/>
        <w:rPr>
          <w:sz w:val="20"/>
          <w:szCs w:val="20"/>
          <w:color w:val="auto"/>
        </w:rPr>
      </w:pPr>
    </w:p>
    <w:p>
      <w:pPr>
        <w:ind w:right="280" w:firstLine="556"/>
        <w:spacing w:after="0" w:line="268"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Administrative Stand Still</w:t>
      </w:r>
      <w:r>
        <w:rPr>
          <w:rFonts w:ascii="Arial" w:cs="Arial" w:eastAsia="Arial" w:hAnsi="Arial"/>
          <w:sz w:val="15"/>
          <w:szCs w:val="15"/>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56" w:lineRule="exact"/>
        <w:rPr>
          <w:sz w:val="20"/>
          <w:szCs w:val="20"/>
          <w:color w:val="auto"/>
        </w:rPr>
      </w:pPr>
    </w:p>
    <w:p>
      <w:pPr>
        <w:ind w:right="20" w:firstLine="556"/>
        <w:spacing w:after="0" w:line="283"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General</w:t>
      </w:r>
      <w:r>
        <w:rPr>
          <w:rFonts w:ascii="Arial" w:cs="Arial" w:eastAsia="Arial" w:hAnsi="Arial"/>
          <w:sz w:val="14"/>
          <w:szCs w:val="14"/>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IX.</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 PROVISIONS APPLICABLE TO AWARDS</w:t>
      </w:r>
    </w:p>
    <w:p>
      <w:pPr>
        <w:spacing w:after="0" w:line="188" w:lineRule="exact"/>
        <w:rPr>
          <w:sz w:val="20"/>
          <w:szCs w:val="20"/>
          <w:color w:val="auto"/>
        </w:rPr>
      </w:pPr>
    </w:p>
    <w:p>
      <w:pPr>
        <w:jc w:val="both"/>
        <w:ind w:right="80" w:firstLine="556"/>
        <w:spacing w:after="0" w:line="293"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Transferability</w:t>
      </w:r>
      <w:r>
        <w:rPr>
          <w:rFonts w:ascii="Arial" w:cs="Arial" w:eastAsia="Arial" w:hAnsi="Arial"/>
          <w:sz w:val="14"/>
          <w:szCs w:val="14"/>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ectPr>
          <w:pgSz w:w="11900" w:h="16838" w:orient="portrait"/>
          <w:cols w:equalWidth="0" w:num="1">
            <w:col w:w="11420"/>
          </w:cols>
          <w:pgMar w:left="240" w:top="308" w:right="239" w:bottom="0" w:gutter="0" w:footer="0" w:header="0"/>
        </w:sectPr>
      </w:pPr>
    </w:p>
    <w:bookmarkStart w:id="347" w:name="page348"/>
    <w:bookmarkEnd w:id="347"/>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40" w:firstLine="556"/>
        <w:spacing w:after="0" w:line="289"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Documentation</w:t>
      </w:r>
      <w:r>
        <w:rPr>
          <w:rFonts w:ascii="Arial" w:cs="Arial" w:eastAsia="Arial" w:hAnsi="Arial"/>
          <w:sz w:val="15"/>
          <w:szCs w:val="15"/>
          <w:color w:val="auto"/>
        </w:rPr>
        <w:t>. Each Award will be evidenced in an Award Agreement, which may be written or electronic, as the Administrator determines. Each Award may contain terms and conditions in addition to those set forth in the Plan.</w:t>
      </w:r>
    </w:p>
    <w:p>
      <w:pPr>
        <w:spacing w:after="0" w:line="141" w:lineRule="exact"/>
        <w:rPr>
          <w:sz w:val="20"/>
          <w:szCs w:val="20"/>
          <w:color w:val="auto"/>
        </w:rPr>
      </w:pPr>
    </w:p>
    <w:p>
      <w:pPr>
        <w:ind w:right="320" w:firstLine="556"/>
        <w:spacing w:after="0" w:line="289"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Discretion</w:t>
      </w:r>
      <w:r>
        <w:rPr>
          <w:rFonts w:ascii="Arial" w:cs="Arial" w:eastAsia="Arial" w:hAnsi="Arial"/>
          <w:sz w:val="15"/>
          <w:szCs w:val="15"/>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41" w:lineRule="exact"/>
        <w:rPr>
          <w:sz w:val="20"/>
          <w:szCs w:val="20"/>
          <w:color w:val="auto"/>
        </w:rPr>
      </w:pPr>
    </w:p>
    <w:p>
      <w:pPr>
        <w:jc w:val="both"/>
        <w:ind w:right="20" w:firstLine="556"/>
        <w:spacing w:after="0" w:line="273"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Termination of Status</w:t>
      </w:r>
      <w:r>
        <w:rPr>
          <w:rFonts w:ascii="Arial" w:cs="Arial" w:eastAsia="Arial" w:hAnsi="Arial"/>
          <w:sz w:val="15"/>
          <w:szCs w:val="15"/>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53" w:lineRule="exact"/>
        <w:rPr>
          <w:sz w:val="20"/>
          <w:szCs w:val="20"/>
          <w:color w:val="auto"/>
        </w:rPr>
      </w:pPr>
    </w:p>
    <w:p>
      <w:pPr>
        <w:ind w:firstLine="556"/>
        <w:spacing w:after="0" w:line="279"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Withholding</w:t>
      </w:r>
      <w:r>
        <w:rPr>
          <w:rFonts w:ascii="Arial" w:cs="Arial" w:eastAsia="Arial" w:hAnsi="Arial"/>
          <w:sz w:val="14"/>
          <w:szCs w:val="14"/>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56" w:lineRule="exact"/>
        <w:rPr>
          <w:sz w:val="20"/>
          <w:szCs w:val="20"/>
          <w:color w:val="auto"/>
        </w:rPr>
      </w:pPr>
    </w:p>
    <w:p>
      <w:pPr>
        <w:ind w:right="20" w:firstLine="556"/>
        <w:spacing w:after="0" w:line="293"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Amendment of Award; Repricing</w:t>
      </w:r>
      <w:r>
        <w:rPr>
          <w:rFonts w:ascii="Arial" w:cs="Arial" w:eastAsia="Arial" w:hAnsi="Arial"/>
          <w:sz w:val="14"/>
          <w:szCs w:val="14"/>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not, except pursuant to Article VIII,</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0"/>
        <w:spacing w:after="0" w:line="273" w:lineRule="auto"/>
        <w:rPr>
          <w:sz w:val="20"/>
          <w:szCs w:val="20"/>
          <w:color w:val="auto"/>
        </w:rPr>
      </w:pPr>
      <w:r>
        <w:rPr>
          <w:rFonts w:ascii="Arial" w:cs="Arial" w:eastAsia="Arial" w:hAnsi="Arial"/>
          <w:sz w:val="15"/>
          <w:szCs w:val="15"/>
          <w:color w:val="auto"/>
        </w:rPr>
        <w:t>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53" w:lineRule="exact"/>
        <w:rPr>
          <w:sz w:val="20"/>
          <w:szCs w:val="20"/>
          <w:color w:val="auto"/>
        </w:rPr>
      </w:pPr>
    </w:p>
    <w:p>
      <w:pPr>
        <w:ind w:right="60" w:firstLine="556"/>
        <w:spacing w:after="0" w:line="286" w:lineRule="auto"/>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u w:val="single" w:color="auto"/>
          <w:color w:val="auto"/>
        </w:rPr>
        <w:t>Conditions on Delivery of Stock</w:t>
      </w:r>
      <w:r>
        <w:rPr>
          <w:rFonts w:ascii="Arial" w:cs="Arial" w:eastAsia="Arial" w:hAnsi="Arial"/>
          <w:sz w:val="14"/>
          <w:szCs w:val="14"/>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46" w:lineRule="exact"/>
        <w:rPr>
          <w:sz w:val="20"/>
          <w:szCs w:val="20"/>
          <w:color w:val="auto"/>
        </w:rPr>
      </w:pPr>
    </w:p>
    <w:p>
      <w:pPr>
        <w:ind w:right="460" w:firstLine="556"/>
        <w:spacing w:after="0" w:line="289" w:lineRule="auto"/>
        <w:rPr>
          <w:sz w:val="20"/>
          <w:szCs w:val="20"/>
          <w:color w:val="auto"/>
        </w:rPr>
      </w:pPr>
      <w:r>
        <w:rPr>
          <w:rFonts w:ascii="Arial" w:cs="Arial" w:eastAsia="Arial" w:hAnsi="Arial"/>
          <w:sz w:val="15"/>
          <w:szCs w:val="15"/>
          <w:color w:val="auto"/>
        </w:rPr>
        <w:t xml:space="preserve">9.8 </w:t>
      </w:r>
      <w:r>
        <w:rPr>
          <w:rFonts w:ascii="Arial" w:cs="Arial" w:eastAsia="Arial" w:hAnsi="Arial"/>
          <w:sz w:val="15"/>
          <w:szCs w:val="15"/>
          <w:u w:val="single" w:color="auto"/>
          <w:color w:val="auto"/>
        </w:rPr>
        <w:t>Acceleration</w:t>
      </w:r>
      <w:r>
        <w:rPr>
          <w:rFonts w:ascii="Arial" w:cs="Arial" w:eastAsia="Arial" w:hAnsi="Arial"/>
          <w:sz w:val="15"/>
          <w:szCs w:val="15"/>
          <w:color w:val="auto"/>
        </w:rPr>
        <w:t>. The Administrator may at any time provide that any Award will become immediately vested and fully or partially exercisable, free of some or all restrictions or conditions, or otherwise fully or partially realizable.</w:t>
      </w:r>
    </w:p>
    <w:p>
      <w:pPr>
        <w:spacing w:after="0" w:line="141" w:lineRule="exact"/>
        <w:rPr>
          <w:sz w:val="20"/>
          <w:szCs w:val="20"/>
          <w:color w:val="auto"/>
        </w:rPr>
      </w:pPr>
    </w:p>
    <w:p>
      <w:pPr>
        <w:ind w:right="20" w:firstLine="556"/>
        <w:spacing w:after="0" w:line="261" w:lineRule="auto"/>
        <w:rPr>
          <w:sz w:val="20"/>
          <w:szCs w:val="20"/>
          <w:color w:val="auto"/>
        </w:rPr>
      </w:pPr>
      <w:r>
        <w:rPr>
          <w:rFonts w:ascii="Arial" w:cs="Arial" w:eastAsia="Arial" w:hAnsi="Arial"/>
          <w:sz w:val="15"/>
          <w:szCs w:val="15"/>
          <w:color w:val="auto"/>
        </w:rPr>
        <w:t xml:space="preserve">9.9 </w:t>
      </w:r>
      <w:r>
        <w:rPr>
          <w:rFonts w:ascii="Arial" w:cs="Arial" w:eastAsia="Arial" w:hAnsi="Arial"/>
          <w:sz w:val="15"/>
          <w:szCs w:val="15"/>
          <w:u w:val="single" w:color="auto"/>
          <w:color w:val="auto"/>
        </w:rPr>
        <w:t>Additional Terms of Incentive Stock Options</w:t>
      </w:r>
      <w:r>
        <w:rPr>
          <w:rFonts w:ascii="Arial" w:cs="Arial" w:eastAsia="Arial" w:hAnsi="Arial"/>
          <w:sz w:val="15"/>
          <w:szCs w:val="15"/>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MISCELLANEOUS</w:t>
      </w:r>
    </w:p>
    <w:p>
      <w:pPr>
        <w:spacing w:after="0" w:line="188" w:lineRule="exact"/>
        <w:rPr>
          <w:sz w:val="20"/>
          <w:szCs w:val="20"/>
          <w:color w:val="auto"/>
        </w:rPr>
      </w:pPr>
    </w:p>
    <w:p>
      <w:pPr>
        <w:jc w:val="both"/>
        <w:ind w:right="120" w:firstLine="556"/>
        <w:spacing w:after="0" w:line="273"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No Right to Employment or Other Status</w:t>
      </w:r>
      <w:r>
        <w:rPr>
          <w:rFonts w:ascii="Arial" w:cs="Arial" w:eastAsia="Arial" w:hAnsi="Arial"/>
          <w:sz w:val="15"/>
          <w:szCs w:val="15"/>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53"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u w:val="single" w:color="auto"/>
          <w:color w:val="auto"/>
        </w:rPr>
        <w:t>No Rights as Stockholder; Certificates</w:t>
      </w:r>
      <w:r>
        <w:rPr>
          <w:rFonts w:ascii="Arial" w:cs="Arial" w:eastAsia="Arial" w:hAnsi="Arial"/>
          <w:sz w:val="15"/>
          <w:szCs w:val="15"/>
          <w:color w:val="auto"/>
        </w:rPr>
        <w:t>. Subject to the Award Agreement, no Participant or Designated Beneficiary will have any rights as a stockholder with respect to any Shares to be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56" w:lineRule="exact"/>
        <w:rPr>
          <w:sz w:val="20"/>
          <w:szCs w:val="20"/>
          <w:color w:val="auto"/>
        </w:rPr>
      </w:pPr>
    </w:p>
    <w:p>
      <w:pPr>
        <w:ind w:right="40" w:firstLine="556"/>
        <w:spacing w:after="0" w:line="327"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Effective Date and Term of Plan</w:t>
      </w:r>
      <w:r>
        <w:rPr>
          <w:rFonts w:ascii="Arial" w:cs="Arial" w:eastAsia="Arial" w:hAnsi="Arial"/>
          <w:sz w:val="14"/>
          <w:szCs w:val="14"/>
          <w:color w:val="auto"/>
        </w:rPr>
        <w:t>. Unless earlier terminated by the Board, the Plan will become effective on the day prior to the Public Trading Date and will remain in effect until the tenth anniversary of the earlier of (i) the date the Board adopted the Plan or (ii) the date the Company’s stockholders approved the Plan, but Awards previously granted</w:t>
      </w:r>
    </w:p>
    <w:p>
      <w:pPr>
        <w:sectPr>
          <w:pgSz w:w="11900" w:h="16838" w:orient="portrait"/>
          <w:cols w:equalWidth="0" w:num="1">
            <w:col w:w="11420"/>
          </w:cols>
          <w:pgMar w:left="240" w:top="128" w:right="239" w:bottom="0" w:gutter="0" w:footer="0" w:header="0"/>
        </w:sectPr>
      </w:pPr>
    </w:p>
    <w:bookmarkStart w:id="348" w:name="page349"/>
    <w:bookmarkEnd w:id="348"/>
    <w:p>
      <w:pPr>
        <w:ind w:right="320"/>
        <w:spacing w:after="0" w:line="289" w:lineRule="auto"/>
        <w:rPr>
          <w:sz w:val="20"/>
          <w:szCs w:val="20"/>
          <w:color w:val="auto"/>
        </w:rPr>
      </w:pPr>
      <w:r>
        <w:rPr>
          <w:rFonts w:ascii="Arial" w:cs="Arial" w:eastAsia="Arial" w:hAnsi="Arial"/>
          <w:sz w:val="15"/>
          <w:szCs w:val="15"/>
          <w:color w:val="auto"/>
        </w:rPr>
        <w:t>may extend beyond that date in accordance with the Plan. If the Plan is not approved by the Company’s stockholders, the Plan will not become effective, no Awards will be granted under the Plan and the Prior Plans will continue in full force and effect in accordance with their terms.</w:t>
      </w:r>
    </w:p>
    <w:p>
      <w:pPr>
        <w:spacing w:after="0" w:line="141" w:lineRule="exact"/>
        <w:rPr>
          <w:sz w:val="20"/>
          <w:szCs w:val="20"/>
          <w:color w:val="auto"/>
        </w:rPr>
      </w:pPr>
    </w:p>
    <w:p>
      <w:pPr>
        <w:ind w:right="20" w:firstLine="556"/>
        <w:spacing w:after="0" w:line="265"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u w:val="single" w:color="auto"/>
          <w:color w:val="auto"/>
        </w:rPr>
        <w:t>Amendment of Plan</w:t>
      </w:r>
      <w:r>
        <w:rPr>
          <w:rFonts w:ascii="Arial" w:cs="Arial" w:eastAsia="Arial" w:hAnsi="Arial"/>
          <w:sz w:val="15"/>
          <w:szCs w:val="15"/>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60" w:lineRule="exact"/>
        <w:rPr>
          <w:sz w:val="20"/>
          <w:szCs w:val="20"/>
          <w:color w:val="auto"/>
        </w:rPr>
      </w:pPr>
    </w:p>
    <w:p>
      <w:pPr>
        <w:ind w:right="60" w:firstLine="556"/>
        <w:spacing w:after="0" w:line="273"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u w:val="single" w:color="auto"/>
          <w:color w:val="auto"/>
        </w:rPr>
        <w:t>Provisions for Foreign Participants</w:t>
      </w:r>
      <w:r>
        <w:rPr>
          <w:rFonts w:ascii="Arial" w:cs="Arial" w:eastAsia="Arial" w:hAnsi="Arial"/>
          <w:sz w:val="15"/>
          <w:szCs w:val="15"/>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53"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10.6</w:t>
      </w:r>
      <w:r>
        <w:rPr>
          <w:sz w:val="20"/>
          <w:szCs w:val="20"/>
          <w:color w:val="auto"/>
        </w:rPr>
        <w:tab/>
      </w:r>
      <w:r>
        <w:rPr>
          <w:rFonts w:ascii="Arial" w:cs="Arial" w:eastAsia="Arial" w:hAnsi="Arial"/>
          <w:sz w:val="13"/>
          <w:szCs w:val="13"/>
          <w:u w:val="single" w:color="auto"/>
          <w:color w:val="auto"/>
        </w:rPr>
        <w:t>Section 409A</w:t>
      </w:r>
      <w:r>
        <w:rPr>
          <w:rFonts w:ascii="Arial" w:cs="Arial" w:eastAsia="Arial" w:hAnsi="Arial"/>
          <w:sz w:val="13"/>
          <w:szCs w:val="13"/>
          <w:color w:val="auto"/>
        </w:rPr>
        <w:t>.</w:t>
      </w:r>
    </w:p>
    <w:p>
      <w:pPr>
        <w:spacing w:after="0" w:line="202" w:lineRule="exact"/>
        <w:rPr>
          <w:sz w:val="20"/>
          <w:szCs w:val="20"/>
          <w:color w:val="auto"/>
        </w:rPr>
      </w:pPr>
    </w:p>
    <w:p>
      <w:pPr>
        <w:ind w:right="80" w:firstLine="1104"/>
        <w:spacing w:after="0" w:line="282" w:lineRule="auto"/>
        <w:tabs>
          <w:tab w:leader="none" w:pos="1697" w:val="left"/>
        </w:tabs>
        <w:numPr>
          <w:ilvl w:val="0"/>
          <w:numId w:val="294"/>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54" w:lineRule="exact"/>
        <w:rPr>
          <w:rFonts w:ascii="Arial" w:cs="Arial" w:eastAsia="Arial" w:hAnsi="Arial"/>
          <w:sz w:val="14"/>
          <w:szCs w:val="14"/>
          <w:color w:val="auto"/>
        </w:rPr>
      </w:pPr>
    </w:p>
    <w:p>
      <w:pPr>
        <w:ind w:right="160" w:firstLine="1104"/>
        <w:spacing w:after="0" w:line="282" w:lineRule="auto"/>
        <w:tabs>
          <w:tab w:leader="none" w:pos="1706" w:val="left"/>
        </w:tabs>
        <w:numPr>
          <w:ilvl w:val="0"/>
          <w:numId w:val="294"/>
        </w:numPr>
        <w:rPr>
          <w:rFonts w:ascii="Arial" w:cs="Arial" w:eastAsia="Arial" w:hAnsi="Arial"/>
          <w:sz w:val="15"/>
          <w:szCs w:val="15"/>
          <w:color w:val="auto"/>
        </w:rPr>
      </w:pPr>
      <w:r>
        <w:rPr>
          <w:rFonts w:ascii="Arial" w:cs="Arial" w:eastAsia="Arial" w:hAnsi="Arial"/>
          <w:sz w:val="15"/>
          <w:szCs w:val="15"/>
          <w:u w:val="single" w:color="auto"/>
          <w:color w:val="auto"/>
        </w:rPr>
        <w:t>Separation from Service</w:t>
      </w:r>
      <w:r>
        <w:rPr>
          <w:rFonts w:ascii="Arial" w:cs="Arial" w:eastAsia="Arial" w:hAnsi="Arial"/>
          <w:sz w:val="15"/>
          <w:szCs w:val="15"/>
          <w:color w:val="auto"/>
        </w:rPr>
        <w:t>. If an Award constitutes “nonqualified deferred compensation” under Section 409A, any payment or settlement of such Award upon a termination of a Participant’s Service Provider relationship will, to the extent necessary to avoid taxes under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right="280"/>
        <w:spacing w:after="0" w:line="273" w:lineRule="auto"/>
        <w:rPr>
          <w:sz w:val="20"/>
          <w:szCs w:val="20"/>
          <w:color w:val="auto"/>
        </w:rPr>
      </w:pPr>
      <w:r>
        <w:rPr>
          <w:rFonts w:ascii="Arial" w:cs="Arial" w:eastAsia="Arial" w:hAnsi="Arial"/>
          <w:sz w:val="15"/>
          <w:szCs w:val="15"/>
          <w:color w:val="auto"/>
        </w:rPr>
        <w:t>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56" w:lineRule="exact"/>
        <w:rPr>
          <w:sz w:val="20"/>
          <w:szCs w:val="20"/>
          <w:color w:val="auto"/>
        </w:rPr>
      </w:pPr>
    </w:p>
    <w:p>
      <w:pPr>
        <w:ind w:right="160" w:firstLine="1104"/>
        <w:spacing w:after="0" w:line="284" w:lineRule="auto"/>
        <w:tabs>
          <w:tab w:leader="none" w:pos="1697" w:val="left"/>
        </w:tabs>
        <w:numPr>
          <w:ilvl w:val="0"/>
          <w:numId w:val="295"/>
        </w:numPr>
        <w:rPr>
          <w:rFonts w:ascii="Arial" w:cs="Arial" w:eastAsia="Arial" w:hAnsi="Arial"/>
          <w:sz w:val="14"/>
          <w:szCs w:val="14"/>
          <w:color w:val="auto"/>
        </w:rPr>
      </w:pPr>
      <w:r>
        <w:rPr>
          <w:rFonts w:ascii="Arial" w:cs="Arial" w:eastAsia="Arial" w:hAnsi="Arial"/>
          <w:sz w:val="14"/>
          <w:szCs w:val="14"/>
          <w:u w:val="single" w:color="auto"/>
          <w:color w:val="auto"/>
        </w:rPr>
        <w:t>Payments to Specified Employees</w:t>
      </w:r>
      <w:r>
        <w:rPr>
          <w:rFonts w:ascii="Arial" w:cs="Arial" w:eastAsia="Arial" w:hAnsi="Arial"/>
          <w:sz w:val="14"/>
          <w:szCs w:val="14"/>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51" w:lineRule="exact"/>
        <w:rPr>
          <w:sz w:val="20"/>
          <w:szCs w:val="20"/>
          <w:color w:val="auto"/>
        </w:rPr>
      </w:pPr>
    </w:p>
    <w:p>
      <w:pPr>
        <w:ind w:right="40" w:firstLine="556"/>
        <w:spacing w:after="0" w:line="263" w:lineRule="auto"/>
        <w:rPr>
          <w:sz w:val="20"/>
          <w:szCs w:val="20"/>
          <w:color w:val="auto"/>
        </w:rPr>
      </w:pPr>
      <w:r>
        <w:rPr>
          <w:rFonts w:ascii="Arial" w:cs="Arial" w:eastAsia="Arial" w:hAnsi="Arial"/>
          <w:sz w:val="15"/>
          <w:szCs w:val="15"/>
          <w:color w:val="auto"/>
        </w:rPr>
        <w:t xml:space="preserve">10.7 </w:t>
      </w:r>
      <w:r>
        <w:rPr>
          <w:rFonts w:ascii="Arial" w:cs="Arial" w:eastAsia="Arial" w:hAnsi="Arial"/>
          <w:sz w:val="15"/>
          <w:szCs w:val="15"/>
          <w:u w:val="single" w:color="auto"/>
          <w:color w:val="auto"/>
        </w:rPr>
        <w:t>Limitations on Liability</w:t>
      </w:r>
      <w:r>
        <w:rPr>
          <w:rFonts w:ascii="Arial" w:cs="Arial" w:eastAsia="Arial" w:hAnsi="Arial"/>
          <w:sz w:val="15"/>
          <w:szCs w:val="15"/>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59" w:lineRule="exact"/>
        <w:rPr>
          <w:sz w:val="20"/>
          <w:szCs w:val="20"/>
          <w:color w:val="auto"/>
        </w:rPr>
      </w:pPr>
    </w:p>
    <w:p>
      <w:pPr>
        <w:ind w:right="20" w:firstLine="556"/>
        <w:spacing w:after="0" w:line="302" w:lineRule="auto"/>
        <w:rPr>
          <w:sz w:val="20"/>
          <w:szCs w:val="20"/>
          <w:color w:val="auto"/>
        </w:rPr>
      </w:pPr>
      <w:r>
        <w:rPr>
          <w:rFonts w:ascii="Arial" w:cs="Arial" w:eastAsia="Arial" w:hAnsi="Arial"/>
          <w:sz w:val="14"/>
          <w:szCs w:val="14"/>
          <w:color w:val="auto"/>
        </w:rPr>
        <w:t xml:space="preserve">10.8 </w:t>
      </w:r>
      <w:r>
        <w:rPr>
          <w:rFonts w:ascii="Arial" w:cs="Arial" w:eastAsia="Arial" w:hAnsi="Arial"/>
          <w:sz w:val="14"/>
          <w:szCs w:val="14"/>
          <w:u w:val="single" w:color="auto"/>
          <w:color w:val="auto"/>
        </w:rPr>
        <w:t>Lock-Up Period</w:t>
      </w:r>
      <w:r>
        <w:rPr>
          <w:rFonts w:ascii="Arial" w:cs="Arial" w:eastAsia="Arial" w:hAnsi="Arial"/>
          <w:sz w:val="14"/>
          <w:szCs w:val="14"/>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33" w:lineRule="exact"/>
        <w:rPr>
          <w:sz w:val="20"/>
          <w:szCs w:val="20"/>
          <w:color w:val="auto"/>
        </w:rPr>
      </w:pPr>
    </w:p>
    <w:p>
      <w:pPr>
        <w:ind w:right="20" w:firstLine="556"/>
        <w:spacing w:after="0" w:line="283" w:lineRule="auto"/>
        <w:rPr>
          <w:sz w:val="20"/>
          <w:szCs w:val="20"/>
          <w:color w:val="auto"/>
        </w:rPr>
      </w:pPr>
      <w:r>
        <w:rPr>
          <w:rFonts w:ascii="Arial" w:cs="Arial" w:eastAsia="Arial" w:hAnsi="Arial"/>
          <w:sz w:val="14"/>
          <w:szCs w:val="14"/>
          <w:color w:val="auto"/>
        </w:rPr>
        <w:t xml:space="preserve">10.9 </w:t>
      </w:r>
      <w:r>
        <w:rPr>
          <w:rFonts w:ascii="Arial" w:cs="Arial" w:eastAsia="Arial" w:hAnsi="Arial"/>
          <w:sz w:val="14"/>
          <w:szCs w:val="14"/>
          <w:u w:val="single" w:color="auto"/>
          <w:color w:val="auto"/>
        </w:rPr>
        <w:t>Data Privacy</w:t>
      </w:r>
      <w:r>
        <w:rPr>
          <w:rFonts w:ascii="Arial" w:cs="Arial" w:eastAsia="Arial" w:hAnsi="Arial"/>
          <w:sz w:val="14"/>
          <w:szCs w:val="14"/>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4"/>
          <w:szCs w:val="14"/>
          <w:b w:val="1"/>
          <w:bCs w:val="1"/>
          <w:i w:val="1"/>
          <w:iCs w:val="1"/>
          <w:color w:val="auto"/>
        </w:rPr>
        <w:t>Data</w:t>
      </w:r>
      <w:r>
        <w:rPr>
          <w:rFonts w:ascii="Arial" w:cs="Arial" w:eastAsia="Arial" w:hAnsi="Arial"/>
          <w:sz w:val="14"/>
          <w:szCs w:val="14"/>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the consequences of refusing or withdrawing consent, Participants may contact their local human resources representative.</w:t>
      </w:r>
    </w:p>
    <w:p>
      <w:pPr>
        <w:spacing w:after="0" w:line="149" w:lineRule="exact"/>
        <w:rPr>
          <w:sz w:val="20"/>
          <w:szCs w:val="20"/>
          <w:color w:val="auto"/>
        </w:rPr>
      </w:pPr>
    </w:p>
    <w:p>
      <w:pPr>
        <w:ind w:right="320" w:firstLine="556"/>
        <w:spacing w:after="0" w:line="327" w:lineRule="auto"/>
        <w:rPr>
          <w:sz w:val="20"/>
          <w:szCs w:val="20"/>
          <w:color w:val="auto"/>
        </w:rPr>
      </w:pPr>
      <w:r>
        <w:rPr>
          <w:rFonts w:ascii="Arial" w:cs="Arial" w:eastAsia="Arial" w:hAnsi="Arial"/>
          <w:sz w:val="14"/>
          <w:szCs w:val="14"/>
          <w:color w:val="auto"/>
        </w:rPr>
        <w:t xml:space="preserve">10.10 </w:t>
      </w:r>
      <w:r>
        <w:rPr>
          <w:rFonts w:ascii="Arial" w:cs="Arial" w:eastAsia="Arial" w:hAnsi="Arial"/>
          <w:sz w:val="14"/>
          <w:szCs w:val="14"/>
          <w:u w:val="single" w:color="auto"/>
          <w:color w:val="auto"/>
        </w:rPr>
        <w:t>Severability</w:t>
      </w:r>
      <w:r>
        <w:rPr>
          <w:rFonts w:ascii="Arial" w:cs="Arial" w:eastAsia="Arial" w:hAnsi="Arial"/>
          <w:sz w:val="14"/>
          <w:szCs w:val="14"/>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17" w:lineRule="exact"/>
        <w:rPr>
          <w:sz w:val="20"/>
          <w:szCs w:val="20"/>
          <w:color w:val="auto"/>
        </w:rPr>
      </w:pPr>
    </w:p>
    <w:p>
      <w:pPr>
        <w:ind w:right="220" w:firstLine="556"/>
        <w:spacing w:after="0" w:line="273" w:lineRule="auto"/>
        <w:rPr>
          <w:sz w:val="20"/>
          <w:szCs w:val="20"/>
          <w:color w:val="auto"/>
        </w:rPr>
      </w:pPr>
      <w:r>
        <w:rPr>
          <w:rFonts w:ascii="Arial" w:cs="Arial" w:eastAsia="Arial" w:hAnsi="Arial"/>
          <w:sz w:val="15"/>
          <w:szCs w:val="15"/>
          <w:color w:val="auto"/>
        </w:rPr>
        <w:t xml:space="preserve">10.11 </w:t>
      </w:r>
      <w:r>
        <w:rPr>
          <w:rFonts w:ascii="Arial" w:cs="Arial" w:eastAsia="Arial" w:hAnsi="Arial"/>
          <w:sz w:val="15"/>
          <w:szCs w:val="15"/>
          <w:u w:val="single" w:color="auto"/>
          <w:color w:val="auto"/>
        </w:rPr>
        <w:t>Governing Documents</w:t>
      </w:r>
      <w:r>
        <w:rPr>
          <w:rFonts w:ascii="Arial" w:cs="Arial" w:eastAsia="Arial" w:hAnsi="Arial"/>
          <w:sz w:val="15"/>
          <w:szCs w:val="15"/>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53" w:lineRule="exact"/>
        <w:rPr>
          <w:sz w:val="20"/>
          <w:szCs w:val="20"/>
          <w:color w:val="auto"/>
        </w:rPr>
      </w:pPr>
    </w:p>
    <w:p>
      <w:pPr>
        <w:ind w:firstLine="556"/>
        <w:spacing w:after="0" w:line="289" w:lineRule="auto"/>
        <w:rPr>
          <w:sz w:val="20"/>
          <w:szCs w:val="20"/>
          <w:color w:val="auto"/>
        </w:rPr>
      </w:pPr>
      <w:r>
        <w:rPr>
          <w:rFonts w:ascii="Arial" w:cs="Arial" w:eastAsia="Arial" w:hAnsi="Arial"/>
          <w:sz w:val="15"/>
          <w:szCs w:val="15"/>
          <w:color w:val="auto"/>
        </w:rPr>
        <w:t xml:space="preserve">10.12 </w:t>
      </w:r>
      <w:r>
        <w:rPr>
          <w:rFonts w:ascii="Arial" w:cs="Arial" w:eastAsia="Arial" w:hAnsi="Arial"/>
          <w:sz w:val="15"/>
          <w:szCs w:val="15"/>
          <w:u w:val="single" w:color="auto"/>
          <w:color w:val="auto"/>
        </w:rPr>
        <w:t>Governing Law</w:t>
      </w:r>
      <w:r>
        <w:rPr>
          <w:rFonts w:ascii="Arial" w:cs="Arial" w:eastAsia="Arial" w:hAnsi="Arial"/>
          <w:sz w:val="15"/>
          <w:szCs w:val="15"/>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41" w:lineRule="exact"/>
        <w:rPr>
          <w:sz w:val="20"/>
          <w:szCs w:val="20"/>
          <w:color w:val="auto"/>
        </w:rPr>
      </w:pPr>
    </w:p>
    <w:p>
      <w:pPr>
        <w:ind w:right="20" w:firstLine="556"/>
        <w:spacing w:after="0" w:line="268" w:lineRule="auto"/>
        <w:rPr>
          <w:sz w:val="20"/>
          <w:szCs w:val="20"/>
          <w:color w:val="auto"/>
        </w:rPr>
      </w:pPr>
      <w:r>
        <w:rPr>
          <w:rFonts w:ascii="Arial" w:cs="Arial" w:eastAsia="Arial" w:hAnsi="Arial"/>
          <w:sz w:val="15"/>
          <w:szCs w:val="15"/>
          <w:color w:val="auto"/>
        </w:rPr>
        <w:t xml:space="preserve">10.13 </w:t>
      </w:r>
      <w:r>
        <w:rPr>
          <w:rFonts w:ascii="Arial" w:cs="Arial" w:eastAsia="Arial" w:hAnsi="Arial"/>
          <w:sz w:val="15"/>
          <w:szCs w:val="15"/>
          <w:u w:val="single" w:color="auto"/>
          <w:color w:val="auto"/>
        </w:rPr>
        <w:t>Claw-back Provisions</w:t>
      </w:r>
      <w:r>
        <w:rPr>
          <w:rFonts w:ascii="Arial" w:cs="Arial" w:eastAsia="Arial" w:hAnsi="Arial"/>
          <w:sz w:val="15"/>
          <w:szCs w:val="15"/>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ectPr>
          <w:pgSz w:w="11900" w:h="16838" w:orient="portrait"/>
          <w:cols w:equalWidth="0" w:num="1">
            <w:col w:w="11440"/>
          </w:cols>
          <w:pgMar w:left="240" w:top="129" w:right="219" w:bottom="0" w:gutter="0" w:footer="0" w:header="0"/>
        </w:sectPr>
      </w:pPr>
    </w:p>
    <w:bookmarkStart w:id="349" w:name="page350"/>
    <w:bookmarkEnd w:id="349"/>
    <w:p>
      <w:pPr>
        <w:ind w:left="7" w:right="160" w:firstLine="556"/>
        <w:spacing w:after="0" w:line="289" w:lineRule="auto"/>
        <w:rPr>
          <w:sz w:val="20"/>
          <w:szCs w:val="20"/>
          <w:color w:val="auto"/>
        </w:rPr>
      </w:pPr>
      <w:r>
        <w:rPr>
          <w:rFonts w:ascii="Arial" w:cs="Arial" w:eastAsia="Arial" w:hAnsi="Arial"/>
          <w:sz w:val="15"/>
          <w:szCs w:val="15"/>
          <w:color w:val="auto"/>
        </w:rPr>
        <w:t xml:space="preserve">10.14 </w:t>
      </w:r>
      <w:r>
        <w:rPr>
          <w:rFonts w:ascii="Arial" w:cs="Arial" w:eastAsia="Arial" w:hAnsi="Arial"/>
          <w:sz w:val="15"/>
          <w:szCs w:val="15"/>
          <w:u w:val="single" w:color="auto"/>
          <w:color w:val="auto"/>
        </w:rPr>
        <w:t>Titles and Headings</w:t>
      </w:r>
      <w:r>
        <w:rPr>
          <w:rFonts w:ascii="Arial" w:cs="Arial" w:eastAsia="Arial" w:hAnsi="Arial"/>
          <w:sz w:val="15"/>
          <w:szCs w:val="15"/>
          <w:color w:val="auto"/>
        </w:rPr>
        <w:t>. The titles and headings in the Plan are for convenience of reference only and, if any conflict, the Plan’s text, rather than such titles or headings, will control.</w:t>
      </w:r>
    </w:p>
    <w:p>
      <w:pPr>
        <w:spacing w:after="0" w:line="141" w:lineRule="exact"/>
        <w:rPr>
          <w:sz w:val="20"/>
          <w:szCs w:val="20"/>
          <w:color w:val="auto"/>
        </w:rPr>
      </w:pPr>
    </w:p>
    <w:p>
      <w:pPr>
        <w:ind w:left="7" w:right="60" w:firstLine="556"/>
        <w:spacing w:after="0" w:line="273" w:lineRule="auto"/>
        <w:rPr>
          <w:sz w:val="20"/>
          <w:szCs w:val="20"/>
          <w:color w:val="auto"/>
        </w:rPr>
      </w:pPr>
      <w:r>
        <w:rPr>
          <w:rFonts w:ascii="Arial" w:cs="Arial" w:eastAsia="Arial" w:hAnsi="Arial"/>
          <w:sz w:val="15"/>
          <w:szCs w:val="15"/>
          <w:color w:val="auto"/>
        </w:rPr>
        <w:t xml:space="preserve">10.15 </w:t>
      </w:r>
      <w:r>
        <w:rPr>
          <w:rFonts w:ascii="Arial" w:cs="Arial" w:eastAsia="Arial" w:hAnsi="Arial"/>
          <w:sz w:val="15"/>
          <w:szCs w:val="15"/>
          <w:u w:val="single" w:color="auto"/>
          <w:color w:val="auto"/>
        </w:rPr>
        <w:t>Conformity to Securities Laws</w:t>
      </w:r>
      <w:r>
        <w:rPr>
          <w:rFonts w:ascii="Arial" w:cs="Arial" w:eastAsia="Arial" w:hAnsi="Arial"/>
          <w:sz w:val="15"/>
          <w:szCs w:val="15"/>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53" w:lineRule="exact"/>
        <w:rPr>
          <w:sz w:val="20"/>
          <w:szCs w:val="20"/>
          <w:color w:val="auto"/>
        </w:rPr>
      </w:pPr>
    </w:p>
    <w:p>
      <w:pPr>
        <w:ind w:left="7" w:right="460" w:firstLine="556"/>
        <w:spacing w:after="0" w:line="327" w:lineRule="auto"/>
        <w:rPr>
          <w:sz w:val="20"/>
          <w:szCs w:val="20"/>
          <w:color w:val="auto"/>
        </w:rPr>
      </w:pPr>
      <w:r>
        <w:rPr>
          <w:rFonts w:ascii="Arial" w:cs="Arial" w:eastAsia="Arial" w:hAnsi="Arial"/>
          <w:sz w:val="14"/>
          <w:szCs w:val="14"/>
          <w:color w:val="auto"/>
        </w:rPr>
        <w:t xml:space="preserve">10.16 </w:t>
      </w:r>
      <w:r>
        <w:rPr>
          <w:rFonts w:ascii="Arial" w:cs="Arial" w:eastAsia="Arial" w:hAnsi="Arial"/>
          <w:sz w:val="14"/>
          <w:szCs w:val="14"/>
          <w:u w:val="single" w:color="auto"/>
          <w:color w:val="auto"/>
        </w:rPr>
        <w:t>Relationship to Other Benefits</w:t>
      </w:r>
      <w:r>
        <w:rPr>
          <w:rFonts w:ascii="Arial" w:cs="Arial" w:eastAsia="Arial" w:hAnsi="Arial"/>
          <w:sz w:val="14"/>
          <w:szCs w:val="14"/>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17" w:lineRule="exact"/>
        <w:rPr>
          <w:sz w:val="20"/>
          <w:szCs w:val="20"/>
          <w:color w:val="auto"/>
        </w:rPr>
      </w:pPr>
    </w:p>
    <w:p>
      <w:pPr>
        <w:ind w:left="7" w:right="200" w:firstLine="556"/>
        <w:spacing w:after="0" w:line="289" w:lineRule="auto"/>
        <w:rPr>
          <w:sz w:val="20"/>
          <w:szCs w:val="20"/>
          <w:color w:val="auto"/>
        </w:rPr>
      </w:pPr>
      <w:r>
        <w:rPr>
          <w:rFonts w:ascii="Arial" w:cs="Arial" w:eastAsia="Arial" w:hAnsi="Arial"/>
          <w:sz w:val="15"/>
          <w:szCs w:val="15"/>
          <w:color w:val="auto"/>
        </w:rPr>
        <w:t xml:space="preserve">10.17 </w:t>
      </w:r>
      <w:r>
        <w:rPr>
          <w:rFonts w:ascii="Arial" w:cs="Arial" w:eastAsia="Arial" w:hAnsi="Arial"/>
          <w:sz w:val="15"/>
          <w:szCs w:val="15"/>
          <w:u w:val="single" w:color="auto"/>
          <w:color w:val="auto"/>
        </w:rPr>
        <w:t>Broker-Assisted Sales</w:t>
      </w:r>
      <w:r>
        <w:rPr>
          <w:rFonts w:ascii="Arial" w:cs="Arial" w:eastAsia="Arial" w:hAnsi="Arial"/>
          <w:sz w:val="15"/>
          <w:szCs w:val="15"/>
          <w:color w:val="auto"/>
        </w:rPr>
        <w:t>. In the event of a broker-assisted sale of Shares in connection with the payment of amounts owed by a Participant under or with respect to the Plan or Awards, including</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20"/>
        <w:spacing w:after="0" w:line="284" w:lineRule="auto"/>
        <w:rPr>
          <w:sz w:val="20"/>
          <w:szCs w:val="20"/>
          <w:color w:val="auto"/>
        </w:rPr>
      </w:pPr>
      <w:r>
        <w:rPr>
          <w:rFonts w:ascii="Arial" w:cs="Arial" w:eastAsia="Arial" w:hAnsi="Arial"/>
          <w:sz w:val="14"/>
          <w:szCs w:val="14"/>
          <w:color w:val="auto"/>
        </w:rPr>
        <w:t>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43" w:lineRule="exact"/>
        <w:rPr>
          <w:sz w:val="20"/>
          <w:szCs w:val="20"/>
          <w:color w:val="auto"/>
        </w:rPr>
      </w:pPr>
    </w:p>
    <w:p>
      <w:pPr>
        <w:ind w:left="5247"/>
        <w:spacing w:after="0"/>
        <w:rPr>
          <w:sz w:val="20"/>
          <w:szCs w:val="20"/>
          <w:color w:val="auto"/>
        </w:rPr>
      </w:pPr>
      <w:r>
        <w:rPr>
          <w:rFonts w:ascii="Arial" w:cs="Arial" w:eastAsia="Arial" w:hAnsi="Arial"/>
          <w:sz w:val="15"/>
          <w:szCs w:val="15"/>
          <w:b w:val="1"/>
          <w:bCs w:val="1"/>
          <w:color w:val="auto"/>
        </w:rPr>
        <w:t>ARTICLE XI.</w:t>
      </w:r>
    </w:p>
    <w:p>
      <w:pPr>
        <w:spacing w:after="0" w:line="29" w:lineRule="exact"/>
        <w:rPr>
          <w:sz w:val="20"/>
          <w:szCs w:val="20"/>
          <w:color w:val="auto"/>
        </w:rPr>
      </w:pPr>
    </w:p>
    <w:p>
      <w:pPr>
        <w:ind w:left="5207"/>
        <w:spacing w:after="0"/>
        <w:rPr>
          <w:sz w:val="20"/>
          <w:szCs w:val="20"/>
          <w:color w:val="auto"/>
        </w:rPr>
      </w:pPr>
      <w:r>
        <w:rPr>
          <w:rFonts w:ascii="Arial" w:cs="Arial" w:eastAsia="Arial" w:hAnsi="Arial"/>
          <w:sz w:val="15"/>
          <w:szCs w:val="15"/>
          <w:b w:val="1"/>
          <w:bCs w:val="1"/>
          <w:color w:val="auto"/>
        </w:rPr>
        <w:t>DEFINITIONS</w:t>
      </w:r>
    </w:p>
    <w:p>
      <w:pPr>
        <w:spacing w:after="0" w:line="188" w:lineRule="exact"/>
        <w:rPr>
          <w:sz w:val="20"/>
          <w:szCs w:val="20"/>
          <w:color w:val="auto"/>
        </w:rPr>
      </w:pPr>
    </w:p>
    <w:p>
      <w:pPr>
        <w:ind w:left="547"/>
        <w:spacing w:after="0"/>
        <w:rPr>
          <w:sz w:val="20"/>
          <w:szCs w:val="20"/>
          <w:color w:val="auto"/>
        </w:rPr>
      </w:pPr>
      <w:r>
        <w:rPr>
          <w:rFonts w:ascii="Arial" w:cs="Arial" w:eastAsia="Arial" w:hAnsi="Arial"/>
          <w:sz w:val="15"/>
          <w:szCs w:val="15"/>
          <w:color w:val="auto"/>
        </w:rPr>
        <w:t>As used in the Plan, the following words and phrases will have the following meanings:</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Administrator</w:t>
      </w:r>
      <w:r>
        <w:rPr>
          <w:rFonts w:ascii="Arial" w:cs="Arial" w:eastAsia="Arial" w:hAnsi="Arial"/>
          <w:sz w:val="13"/>
          <w:szCs w:val="13"/>
          <w:color w:val="auto"/>
        </w:rPr>
        <w:t>” means the Board or a Committee to the extent that the Board’s powers or authority under the Plan have been delegated to such Committee.</w:t>
      </w:r>
    </w:p>
    <w:p>
      <w:pPr>
        <w:spacing w:after="0" w:line="198" w:lineRule="exact"/>
        <w:rPr>
          <w:sz w:val="20"/>
          <w:szCs w:val="20"/>
          <w:color w:val="auto"/>
        </w:rPr>
      </w:pPr>
    </w:p>
    <w:p>
      <w:pPr>
        <w:jc w:val="both"/>
        <w:ind w:left="7" w:right="280" w:firstLine="556"/>
        <w:spacing w:after="0" w:line="273" w:lineRule="auto"/>
        <w:rPr>
          <w:sz w:val="20"/>
          <w:szCs w:val="20"/>
          <w:color w:val="auto"/>
        </w:rPr>
      </w:pPr>
      <w:r>
        <w:rPr>
          <w:rFonts w:ascii="Arial" w:cs="Arial" w:eastAsia="Arial" w:hAnsi="Arial"/>
          <w:sz w:val="15"/>
          <w:szCs w:val="15"/>
          <w:color w:val="auto"/>
        </w:rPr>
        <w:t>11.2 “</w:t>
      </w:r>
      <w:r>
        <w:rPr>
          <w:rFonts w:ascii="Arial" w:cs="Arial" w:eastAsia="Arial" w:hAnsi="Arial"/>
          <w:sz w:val="15"/>
          <w:szCs w:val="15"/>
          <w:b w:val="1"/>
          <w:bCs w:val="1"/>
          <w:i w:val="1"/>
          <w:iCs w:val="1"/>
          <w:color w:val="auto"/>
        </w:rPr>
        <w:t>Applicable Laws</w:t>
      </w:r>
      <w:r>
        <w:rPr>
          <w:rFonts w:ascii="Arial" w:cs="Arial" w:eastAsia="Arial" w:hAnsi="Arial"/>
          <w:sz w:val="15"/>
          <w:szCs w:val="15"/>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53" w:lineRule="exact"/>
        <w:rPr>
          <w:sz w:val="20"/>
          <w:szCs w:val="20"/>
          <w:color w:val="auto"/>
        </w:rPr>
      </w:pPr>
    </w:p>
    <w:p>
      <w:pPr>
        <w:ind w:left="7" w:right="60" w:firstLine="556"/>
        <w:spacing w:after="0" w:line="289" w:lineRule="auto"/>
        <w:rPr>
          <w:sz w:val="20"/>
          <w:szCs w:val="20"/>
          <w:color w:val="auto"/>
        </w:rPr>
      </w:pPr>
      <w:r>
        <w:rPr>
          <w:rFonts w:ascii="Arial" w:cs="Arial" w:eastAsia="Arial" w:hAnsi="Arial"/>
          <w:sz w:val="15"/>
          <w:szCs w:val="15"/>
          <w:color w:val="auto"/>
        </w:rPr>
        <w:t>11.3 “</w:t>
      </w:r>
      <w:r>
        <w:rPr>
          <w:rFonts w:ascii="Arial" w:cs="Arial" w:eastAsia="Arial" w:hAnsi="Arial"/>
          <w:sz w:val="15"/>
          <w:szCs w:val="15"/>
          <w:b w:val="1"/>
          <w:bCs w:val="1"/>
          <w:i w:val="1"/>
          <w:iCs w:val="1"/>
          <w:color w:val="auto"/>
        </w:rPr>
        <w:t>Award</w:t>
      </w:r>
      <w:r>
        <w:rPr>
          <w:rFonts w:ascii="Arial" w:cs="Arial" w:eastAsia="Arial" w:hAnsi="Arial"/>
          <w:sz w:val="15"/>
          <w:szCs w:val="15"/>
          <w:color w:val="auto"/>
        </w:rPr>
        <w:t>” means, individually or collectively, a grant under the Plan of Options, Stock Appreciation Rights, Restricted Stock, Restricted Stock Units or Other Stock or Cash Based Awards.</w:t>
      </w:r>
    </w:p>
    <w:p>
      <w:pPr>
        <w:spacing w:after="0" w:line="141" w:lineRule="exact"/>
        <w:rPr>
          <w:sz w:val="20"/>
          <w:szCs w:val="20"/>
          <w:color w:val="auto"/>
        </w:rPr>
      </w:pPr>
    </w:p>
    <w:p>
      <w:pPr>
        <w:ind w:left="7" w:right="580" w:firstLine="556"/>
        <w:spacing w:after="0" w:line="289" w:lineRule="auto"/>
        <w:rPr>
          <w:sz w:val="20"/>
          <w:szCs w:val="20"/>
          <w:color w:val="auto"/>
        </w:rPr>
      </w:pPr>
      <w:r>
        <w:rPr>
          <w:rFonts w:ascii="Arial" w:cs="Arial" w:eastAsia="Arial" w:hAnsi="Arial"/>
          <w:sz w:val="15"/>
          <w:szCs w:val="15"/>
          <w:color w:val="auto"/>
        </w:rPr>
        <w:t>11.4 “</w:t>
      </w:r>
      <w:r>
        <w:rPr>
          <w:rFonts w:ascii="Arial" w:cs="Arial" w:eastAsia="Arial" w:hAnsi="Arial"/>
          <w:sz w:val="15"/>
          <w:szCs w:val="15"/>
          <w:b w:val="1"/>
          <w:bCs w:val="1"/>
          <w:i w:val="1"/>
          <w:iCs w:val="1"/>
          <w:color w:val="auto"/>
        </w:rPr>
        <w:t>Award Agreement</w:t>
      </w:r>
      <w:r>
        <w:rPr>
          <w:rFonts w:ascii="Arial" w:cs="Arial" w:eastAsia="Arial" w:hAnsi="Arial"/>
          <w:sz w:val="15"/>
          <w:szCs w:val="15"/>
          <w:color w:val="auto"/>
        </w:rPr>
        <w:t>” means a written agreement evidencing an Award, which may be electronic, that contains such terms and conditions as the Administrator determines, consistent with and subject to the terms and conditions of the Plan.</w:t>
      </w:r>
    </w:p>
    <w:p>
      <w:pPr>
        <w:spacing w:after="0" w:line="141"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means the Board of Directors of the Company.</w:t>
      </w:r>
    </w:p>
    <w:p>
      <w:pPr>
        <w:spacing w:after="0" w:line="198" w:lineRule="exact"/>
        <w:rPr>
          <w:sz w:val="20"/>
          <w:szCs w:val="20"/>
          <w:color w:val="auto"/>
        </w:rPr>
      </w:pPr>
    </w:p>
    <w:p>
      <w:pPr>
        <w:ind w:left="7" w:firstLine="556"/>
        <w:spacing w:after="0" w:line="262" w:lineRule="auto"/>
        <w:rPr>
          <w:sz w:val="20"/>
          <w:szCs w:val="20"/>
          <w:color w:val="auto"/>
        </w:rPr>
      </w:pPr>
      <w:r>
        <w:rPr>
          <w:rFonts w:ascii="Arial" w:cs="Arial" w:eastAsia="Arial" w:hAnsi="Arial"/>
          <w:sz w:val="15"/>
          <w:szCs w:val="15"/>
          <w:color w:val="auto"/>
        </w:rPr>
        <w:t>11.6 “</w:t>
      </w:r>
      <w:r>
        <w:rPr>
          <w:rFonts w:ascii="Arial" w:cs="Arial" w:eastAsia="Arial" w:hAnsi="Arial"/>
          <w:sz w:val="15"/>
          <w:szCs w:val="15"/>
          <w:b w:val="1"/>
          <w:bCs w:val="1"/>
          <w:i w:val="1"/>
          <w:iCs w:val="1"/>
          <w:color w:val="auto"/>
        </w:rPr>
        <w:t>Cause</w:t>
      </w:r>
      <w:r>
        <w:rPr>
          <w:rFonts w:ascii="Arial" w:cs="Arial" w:eastAsia="Arial" w:hAnsi="Arial"/>
          <w:sz w:val="15"/>
          <w:szCs w:val="15"/>
          <w:color w:val="auto"/>
        </w:rPr>
        <w:t>” means (i) if a Participant is a party to a written employment or consulting agreement with the Company or any of its Subsidiaries or an Award Agreement in which the term “cause” is defined (a “</w:t>
      </w:r>
      <w:r>
        <w:rPr>
          <w:rFonts w:ascii="Arial" w:cs="Arial" w:eastAsia="Arial" w:hAnsi="Arial"/>
          <w:sz w:val="15"/>
          <w:szCs w:val="15"/>
          <w:b w:val="1"/>
          <w:bCs w:val="1"/>
          <w:i w:val="1"/>
          <w:iCs w:val="1"/>
          <w:color w:val="auto"/>
        </w:rPr>
        <w:t>Relevant Agreement</w:t>
      </w:r>
      <w:r>
        <w:rPr>
          <w:rFonts w:ascii="Arial" w:cs="Arial" w:eastAsia="Arial" w:hAnsi="Arial"/>
          <w:sz w:val="15"/>
          <w:szCs w:val="15"/>
          <w:color w:val="auto"/>
        </w:rPr>
        <w:t>”),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w:t>
      </w:r>
    </w:p>
    <w:p>
      <w:pPr>
        <w:spacing w:after="0" w:line="16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rPr>
          <w:sz w:val="20"/>
          <w:szCs w:val="20"/>
          <w:color w:val="auto"/>
        </w:rPr>
      </w:pPr>
      <w:r>
        <w:rPr>
          <w:rFonts w:ascii="Arial" w:cs="Arial" w:eastAsia="Arial" w:hAnsi="Arial"/>
          <w:sz w:val="15"/>
          <w:szCs w:val="15"/>
          <w:color w:val="auto"/>
        </w:rPr>
        <w:t>of fraud, embezzlement, misappropriation, misconduct, or breach of fiduciary duty against the Company or any of its Subsidiaries.</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Change in Control</w:t>
      </w:r>
      <w:r>
        <w:rPr>
          <w:rFonts w:ascii="Arial" w:cs="Arial" w:eastAsia="Arial" w:hAnsi="Arial"/>
          <w:sz w:val="14"/>
          <w:szCs w:val="14"/>
          <w:color w:val="auto"/>
        </w:rPr>
        <w:t>” means and includes each of the following:</w:t>
      </w:r>
    </w:p>
    <w:p>
      <w:pPr>
        <w:spacing w:after="0" w:line="198" w:lineRule="exact"/>
        <w:rPr>
          <w:sz w:val="20"/>
          <w:szCs w:val="20"/>
          <w:color w:val="auto"/>
        </w:rPr>
      </w:pPr>
    </w:p>
    <w:p>
      <w:pPr>
        <w:ind w:left="7" w:right="120" w:firstLine="1104"/>
        <w:spacing w:after="0" w:line="264" w:lineRule="auto"/>
        <w:tabs>
          <w:tab w:leader="none" w:pos="1715" w:val="left"/>
        </w:tabs>
        <w:numPr>
          <w:ilvl w:val="1"/>
          <w:numId w:val="296"/>
        </w:numPr>
        <w:rPr>
          <w:rFonts w:ascii="Arial" w:cs="Arial" w:eastAsia="Arial" w:hAnsi="Arial"/>
          <w:sz w:val="15"/>
          <w:szCs w:val="15"/>
          <w:color w:val="auto"/>
        </w:rPr>
      </w:pPr>
      <w:r>
        <w:rPr>
          <w:rFonts w:ascii="Arial" w:cs="Arial" w:eastAsia="Arial" w:hAnsi="Arial"/>
          <w:sz w:val="15"/>
          <w:szCs w:val="15"/>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58" w:lineRule="exact"/>
        <w:rPr>
          <w:rFonts w:ascii="Arial" w:cs="Arial" w:eastAsia="Arial" w:hAnsi="Arial"/>
          <w:sz w:val="15"/>
          <w:szCs w:val="15"/>
          <w:color w:val="auto"/>
        </w:rPr>
      </w:pPr>
    </w:p>
    <w:p>
      <w:pPr>
        <w:ind w:left="7" w:right="100" w:firstLine="1104"/>
        <w:spacing w:after="0" w:line="293" w:lineRule="auto"/>
        <w:tabs>
          <w:tab w:leader="none" w:pos="1724" w:val="left"/>
        </w:tabs>
        <w:numPr>
          <w:ilvl w:val="1"/>
          <w:numId w:val="296"/>
        </w:numPr>
        <w:rPr>
          <w:rFonts w:ascii="Arial" w:cs="Arial" w:eastAsia="Arial" w:hAnsi="Arial"/>
          <w:sz w:val="14"/>
          <w:szCs w:val="14"/>
          <w:color w:val="auto"/>
        </w:rPr>
      </w:pPr>
      <w:r>
        <w:rPr>
          <w:rFonts w:ascii="Arial" w:cs="Arial" w:eastAsia="Arial" w:hAnsi="Arial"/>
          <w:sz w:val="14"/>
          <w:szCs w:val="14"/>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40" w:lineRule="exact"/>
        <w:rPr>
          <w:rFonts w:ascii="Arial" w:cs="Arial" w:eastAsia="Arial" w:hAnsi="Arial"/>
          <w:sz w:val="14"/>
          <w:szCs w:val="14"/>
          <w:color w:val="auto"/>
        </w:rPr>
      </w:pPr>
    </w:p>
    <w:p>
      <w:pPr>
        <w:ind w:left="1707" w:hanging="596"/>
        <w:spacing w:after="0"/>
        <w:tabs>
          <w:tab w:leader="none" w:pos="1707" w:val="left"/>
        </w:tabs>
        <w:numPr>
          <w:ilvl w:val="1"/>
          <w:numId w:val="296"/>
        </w:numPr>
        <w:rPr>
          <w:rFonts w:ascii="Arial" w:cs="Arial" w:eastAsia="Arial" w:hAnsi="Arial"/>
          <w:sz w:val="14"/>
          <w:szCs w:val="14"/>
          <w:color w:val="auto"/>
        </w:rPr>
      </w:pPr>
      <w:r>
        <w:rPr>
          <w:rFonts w:ascii="Arial" w:cs="Arial" w:eastAsia="Arial" w:hAnsi="Arial"/>
          <w:sz w:val="14"/>
          <w:szCs w:val="14"/>
          <w:color w:val="auto"/>
        </w:rPr>
        <w:t>The consummation by the Company (whether directly involving the Company or indirectly involving the Company through one or more intermediaries) of</w:t>
      </w:r>
    </w:p>
    <w:p>
      <w:pPr>
        <w:spacing w:after="0" w:line="34" w:lineRule="exact"/>
        <w:rPr>
          <w:rFonts w:ascii="Arial" w:cs="Arial" w:eastAsia="Arial" w:hAnsi="Arial"/>
          <w:sz w:val="14"/>
          <w:szCs w:val="14"/>
          <w:color w:val="auto"/>
        </w:rPr>
      </w:pPr>
    </w:p>
    <w:p>
      <w:pPr>
        <w:ind w:left="7" w:right="40" w:hanging="7"/>
        <w:spacing w:after="0" w:line="275" w:lineRule="auto"/>
        <w:tabs>
          <w:tab w:leader="none" w:pos="226" w:val="left"/>
        </w:tabs>
        <w:numPr>
          <w:ilvl w:val="0"/>
          <w:numId w:val="297"/>
        </w:numPr>
        <w:rPr>
          <w:rFonts w:ascii="Arial" w:cs="Arial" w:eastAsia="Arial" w:hAnsi="Arial"/>
          <w:sz w:val="15"/>
          <w:szCs w:val="15"/>
          <w:color w:val="auto"/>
        </w:rPr>
      </w:pPr>
      <w:r>
        <w:rPr>
          <w:rFonts w:ascii="Arial" w:cs="Arial" w:eastAsia="Arial" w:hAnsi="Arial"/>
          <w:sz w:val="15"/>
          <w:szCs w:val="15"/>
          <w:color w:val="auto"/>
        </w:rPr>
        <w:t>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50" w:lineRule="exact"/>
        <w:rPr>
          <w:rFonts w:ascii="Arial" w:cs="Arial" w:eastAsia="Arial" w:hAnsi="Arial"/>
          <w:sz w:val="15"/>
          <w:szCs w:val="15"/>
          <w:color w:val="auto"/>
        </w:rPr>
      </w:pPr>
    </w:p>
    <w:p>
      <w:pPr>
        <w:ind w:left="7" w:right="140" w:firstLine="1660"/>
        <w:spacing w:after="0" w:line="293" w:lineRule="auto"/>
        <w:tabs>
          <w:tab w:leader="none" w:pos="2284" w:val="left"/>
        </w:tabs>
        <w:numPr>
          <w:ilvl w:val="2"/>
          <w:numId w:val="297"/>
        </w:numPr>
        <w:rPr>
          <w:rFonts w:ascii="Arial" w:cs="Arial" w:eastAsia="Arial" w:hAnsi="Arial"/>
          <w:sz w:val="14"/>
          <w:szCs w:val="14"/>
          <w:color w:val="auto"/>
        </w:rPr>
      </w:pPr>
      <w:r>
        <w:rPr>
          <w:rFonts w:ascii="Arial" w:cs="Arial" w:eastAsia="Arial" w:hAnsi="Arial"/>
          <w:sz w:val="14"/>
          <w:szCs w:val="14"/>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4"/>
          <w:szCs w:val="14"/>
          <w:b w:val="1"/>
          <w:bCs w:val="1"/>
          <w:i w:val="1"/>
          <w:iCs w:val="1"/>
          <w:color w:val="auto"/>
        </w:rPr>
        <w:t>Successor Entity</w:t>
      </w:r>
      <w:r>
        <w:rPr>
          <w:rFonts w:ascii="Arial" w:cs="Arial" w:eastAsia="Arial" w:hAnsi="Arial"/>
          <w:sz w:val="14"/>
          <w:szCs w:val="14"/>
          <w:color w:val="auto"/>
        </w:rPr>
        <w:t>”)) directly or indirectly, at least a majority of the combined voting power of the Successor Entity’s outstanding voting securities immediately after the transaction, and</w:t>
      </w:r>
    </w:p>
    <w:p>
      <w:pPr>
        <w:spacing w:after="0" w:line="140" w:lineRule="exact"/>
        <w:rPr>
          <w:rFonts w:ascii="Arial" w:cs="Arial" w:eastAsia="Arial" w:hAnsi="Arial"/>
          <w:sz w:val="14"/>
          <w:szCs w:val="14"/>
          <w:color w:val="auto"/>
        </w:rPr>
      </w:pPr>
    </w:p>
    <w:p>
      <w:pPr>
        <w:ind w:left="7" w:firstLine="1660"/>
        <w:spacing w:after="0" w:line="273" w:lineRule="auto"/>
        <w:tabs>
          <w:tab w:leader="none" w:pos="2288" w:val="left"/>
        </w:tabs>
        <w:numPr>
          <w:ilvl w:val="2"/>
          <w:numId w:val="297"/>
        </w:numPr>
        <w:rPr>
          <w:rFonts w:ascii="Arial" w:cs="Arial" w:eastAsia="Arial" w:hAnsi="Arial"/>
          <w:sz w:val="15"/>
          <w:szCs w:val="15"/>
          <w:color w:val="auto"/>
        </w:rPr>
      </w:pPr>
      <w:r>
        <w:rPr>
          <w:rFonts w:ascii="Arial" w:cs="Arial" w:eastAsia="Arial" w:hAnsi="Arial"/>
          <w:sz w:val="15"/>
          <w:szCs w:val="15"/>
          <w:color w:val="auto"/>
        </w:rPr>
        <w:t xml:space="preserve">after which no person or group beneficially owns voting securities representing 50% or more of the combined voting power of the Successor Entity;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ectPr>
          <w:pgSz w:w="11900" w:h="16838" w:orient="portrait"/>
          <w:cols w:equalWidth="0" w:num="1">
            <w:col w:w="11427"/>
          </w:cols>
          <w:pgMar w:left="233" w:top="314" w:right="239" w:bottom="60" w:gutter="0" w:footer="0" w:header="0"/>
        </w:sectPr>
      </w:pPr>
    </w:p>
    <w:bookmarkStart w:id="350" w:name="page351"/>
    <w:bookmarkEnd w:id="350"/>
    <w:p>
      <w:pPr>
        <w:ind w:left="7" w:right="100" w:firstLine="556"/>
        <w:spacing w:after="0" w:line="305" w:lineRule="auto"/>
        <w:rPr>
          <w:sz w:val="20"/>
          <w:szCs w:val="20"/>
          <w:color w:val="auto"/>
        </w:rPr>
      </w:pPr>
      <w:r>
        <w:rPr>
          <w:rFonts w:ascii="Arial" w:cs="Arial" w:eastAsia="Arial" w:hAnsi="Arial"/>
          <w:sz w:val="13"/>
          <w:szCs w:val="13"/>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w:t>
      </w:r>
    </w:p>
    <w:p>
      <w:pPr>
        <w:spacing w:after="0" w:line="1" w:lineRule="exact"/>
        <w:rPr>
          <w:sz w:val="20"/>
          <w:szCs w:val="20"/>
          <w:color w:val="auto"/>
        </w:rPr>
      </w:pPr>
    </w:p>
    <w:p>
      <w:pPr>
        <w:ind w:left="7" w:right="80" w:hanging="7"/>
        <w:spacing w:after="0" w:line="275" w:lineRule="auto"/>
        <w:tabs>
          <w:tab w:leader="none" w:pos="226" w:val="left"/>
        </w:tabs>
        <w:numPr>
          <w:ilvl w:val="0"/>
          <w:numId w:val="298"/>
        </w:numPr>
        <w:rPr>
          <w:rFonts w:ascii="Arial" w:cs="Arial" w:eastAsia="Arial" w:hAnsi="Arial"/>
          <w:sz w:val="15"/>
          <w:szCs w:val="15"/>
          <w:color w:val="auto"/>
        </w:rPr>
      </w:pPr>
      <w:r>
        <w:rPr>
          <w:rFonts w:ascii="Arial" w:cs="Arial" w:eastAsia="Arial" w:hAnsi="Arial"/>
          <w:sz w:val="15"/>
          <w:szCs w:val="15"/>
          <w:color w:val="auto"/>
        </w:rPr>
        <w:t>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40" w:firstLine="556"/>
        <w:spacing w:after="0" w:line="302" w:lineRule="auto"/>
        <w:rPr>
          <w:sz w:val="20"/>
          <w:szCs w:val="20"/>
          <w:color w:val="auto"/>
        </w:rPr>
      </w:pPr>
      <w:r>
        <w:rPr>
          <w:rFonts w:ascii="Arial" w:cs="Arial" w:eastAsia="Arial" w:hAnsi="Arial"/>
          <w:sz w:val="14"/>
          <w:szCs w:val="14"/>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33"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Code</w:t>
      </w:r>
      <w:r>
        <w:rPr>
          <w:rFonts w:ascii="Arial" w:cs="Arial" w:eastAsia="Arial" w:hAnsi="Arial"/>
          <w:sz w:val="13"/>
          <w:szCs w:val="13"/>
          <w:color w:val="auto"/>
        </w:rPr>
        <w:t>” means the Internal Revenue Code of 1986, as amended, and the regulations issued thereunder.</w:t>
      </w:r>
    </w:p>
    <w:p>
      <w:pPr>
        <w:spacing w:after="0" w:line="198" w:lineRule="exact"/>
        <w:rPr>
          <w:sz w:val="20"/>
          <w:szCs w:val="20"/>
          <w:color w:val="auto"/>
        </w:rPr>
      </w:pPr>
    </w:p>
    <w:p>
      <w:pPr>
        <w:ind w:left="7" w:right="80" w:firstLine="556"/>
        <w:spacing w:after="0" w:line="293" w:lineRule="auto"/>
        <w:rPr>
          <w:sz w:val="20"/>
          <w:szCs w:val="20"/>
          <w:color w:val="auto"/>
        </w:rPr>
      </w:pPr>
      <w:r>
        <w:rPr>
          <w:rFonts w:ascii="Arial" w:cs="Arial" w:eastAsia="Arial" w:hAnsi="Arial"/>
          <w:sz w:val="14"/>
          <w:szCs w:val="14"/>
          <w:color w:val="auto"/>
        </w:rPr>
        <w:t>11.9 “</w:t>
      </w:r>
      <w:r>
        <w:rPr>
          <w:rFonts w:ascii="Arial" w:cs="Arial" w:eastAsia="Arial" w:hAnsi="Arial"/>
          <w:sz w:val="14"/>
          <w:szCs w:val="14"/>
          <w:b w:val="1"/>
          <w:bCs w:val="1"/>
          <w:i w:val="1"/>
          <w:iCs w:val="1"/>
          <w:color w:val="auto"/>
        </w:rPr>
        <w:t>Committee</w:t>
      </w:r>
      <w:r>
        <w:rPr>
          <w:rFonts w:ascii="Arial" w:cs="Arial" w:eastAsia="Arial" w:hAnsi="Arial"/>
          <w:sz w:val="14"/>
          <w:szCs w:val="14"/>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40"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11.10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means the common stock of the Company.</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means Selecta Biosciences, Inc., a Delaware corporation, or any successor.</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Consultant</w:t>
      </w:r>
      <w:r>
        <w:rPr>
          <w:rFonts w:ascii="Arial" w:cs="Arial" w:eastAsia="Arial" w:hAnsi="Arial"/>
          <w:sz w:val="13"/>
          <w:szCs w:val="13"/>
          <w:color w:val="auto"/>
        </w:rPr>
        <w:t>” means any person, including any adviser, engaged by the Company or its parent or Subsidiary to render services to such entity if the consultant or</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4"/>
          <w:szCs w:val="14"/>
          <w:color w:val="auto"/>
        </w:rPr>
        <w:t>adviser: (i) renders bona fide services to the Company; (ii) renders services not in connection with the offer or sale of securities in a capital-raising transaction and does not directly or</w:t>
      </w:r>
    </w:p>
    <w:p>
      <w:pPr>
        <w:spacing w:after="0" w:line="24" w:lineRule="exact"/>
        <w:rPr>
          <w:sz w:val="20"/>
          <w:szCs w:val="20"/>
          <w:color w:val="auto"/>
        </w:rPr>
      </w:pPr>
    </w:p>
    <w:p>
      <w:pPr>
        <w:ind w:left="7"/>
        <w:spacing w:after="0"/>
        <w:rPr>
          <w:sz w:val="20"/>
          <w:szCs w:val="20"/>
          <w:color w:val="auto"/>
        </w:rPr>
      </w:pPr>
      <w:r>
        <w:rPr>
          <w:rFonts w:ascii="Arial" w:cs="Arial" w:eastAsia="Arial" w:hAnsi="Arial"/>
          <w:sz w:val="15"/>
          <w:szCs w:val="15"/>
          <w:color w:val="auto"/>
        </w:rPr>
        <w:t>indirectly promote or maintain a market for the Company’s securities; and (iii) is a natural person.</w:t>
      </w:r>
    </w:p>
    <w:p>
      <w:pPr>
        <w:spacing w:after="0" w:line="188" w:lineRule="exact"/>
        <w:rPr>
          <w:sz w:val="20"/>
          <w:szCs w:val="20"/>
          <w:color w:val="auto"/>
        </w:rPr>
      </w:pPr>
    </w:p>
    <w:p>
      <w:pPr>
        <w:jc w:val="both"/>
        <w:ind w:left="7" w:right="340" w:firstLine="556"/>
        <w:spacing w:after="0" w:line="273" w:lineRule="auto"/>
        <w:rPr>
          <w:sz w:val="20"/>
          <w:szCs w:val="20"/>
          <w:color w:val="auto"/>
        </w:rPr>
      </w:pPr>
      <w:r>
        <w:rPr>
          <w:rFonts w:ascii="Arial" w:cs="Arial" w:eastAsia="Arial" w:hAnsi="Arial"/>
          <w:sz w:val="15"/>
          <w:szCs w:val="15"/>
          <w:color w:val="auto"/>
        </w:rPr>
        <w:t>11.13 “</w:t>
      </w:r>
      <w:r>
        <w:rPr>
          <w:rFonts w:ascii="Arial" w:cs="Arial" w:eastAsia="Arial" w:hAnsi="Arial"/>
          <w:sz w:val="15"/>
          <w:szCs w:val="15"/>
          <w:b w:val="1"/>
          <w:bCs w:val="1"/>
          <w:i w:val="1"/>
          <w:iCs w:val="1"/>
          <w:color w:val="auto"/>
        </w:rPr>
        <w:t>Designated Beneficiary</w:t>
      </w:r>
      <w:r>
        <w:rPr>
          <w:rFonts w:ascii="Arial" w:cs="Arial" w:eastAsia="Arial" w:hAnsi="Arial"/>
          <w:sz w:val="15"/>
          <w:szCs w:val="15"/>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53"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Director</w:t>
      </w:r>
      <w:r>
        <w:rPr>
          <w:rFonts w:ascii="Arial" w:cs="Arial" w:eastAsia="Arial" w:hAnsi="Arial"/>
          <w:sz w:val="13"/>
          <w:szCs w:val="13"/>
          <w:color w:val="auto"/>
        </w:rPr>
        <w:t>” means a Board member.</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Disability</w:t>
      </w:r>
      <w:r>
        <w:rPr>
          <w:rFonts w:ascii="Arial" w:cs="Arial" w:eastAsia="Arial" w:hAnsi="Arial"/>
          <w:sz w:val="13"/>
          <w:szCs w:val="13"/>
          <w:color w:val="auto"/>
        </w:rPr>
        <w:t>” means a permanent and total disability under Section 22(e)(3) of the Code, as amended.</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11.16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Dividend Equivalents</w:t>
      </w:r>
      <w:r>
        <w:rPr>
          <w:rFonts w:ascii="Arial" w:cs="Arial" w:eastAsia="Arial" w:hAnsi="Arial"/>
          <w:sz w:val="13"/>
          <w:szCs w:val="13"/>
          <w:color w:val="auto"/>
        </w:rPr>
        <w:t>” means a right granted to a Participant under the Plan to receive the equivalent value (in cash or Shares) of dividends paid on Shares.</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Employee</w:t>
      </w:r>
      <w:r>
        <w:rPr>
          <w:rFonts w:ascii="Arial" w:cs="Arial" w:eastAsia="Arial" w:hAnsi="Arial"/>
          <w:sz w:val="13"/>
          <w:szCs w:val="13"/>
          <w:color w:val="auto"/>
        </w:rPr>
        <w:t>” means any employee of the Company or its Subsidiaries.</w:t>
      </w:r>
    </w:p>
    <w:p>
      <w:pPr>
        <w:spacing w:after="0" w:line="198" w:lineRule="exact"/>
        <w:rPr>
          <w:sz w:val="20"/>
          <w:szCs w:val="20"/>
          <w:color w:val="auto"/>
        </w:rPr>
      </w:pPr>
    </w:p>
    <w:p>
      <w:pPr>
        <w:ind w:left="7" w:firstLine="556"/>
        <w:spacing w:after="0" w:line="273" w:lineRule="auto"/>
        <w:rPr>
          <w:sz w:val="20"/>
          <w:szCs w:val="20"/>
          <w:color w:val="auto"/>
        </w:rPr>
      </w:pPr>
      <w:r>
        <w:rPr>
          <w:rFonts w:ascii="Arial" w:cs="Arial" w:eastAsia="Arial" w:hAnsi="Arial"/>
          <w:sz w:val="15"/>
          <w:szCs w:val="15"/>
          <w:color w:val="auto"/>
        </w:rPr>
        <w:t>11.18 “</w:t>
      </w:r>
      <w:r>
        <w:rPr>
          <w:rFonts w:ascii="Arial" w:cs="Arial" w:eastAsia="Arial" w:hAnsi="Arial"/>
          <w:sz w:val="15"/>
          <w:szCs w:val="15"/>
          <w:b w:val="1"/>
          <w:bCs w:val="1"/>
          <w:i w:val="1"/>
          <w:iCs w:val="1"/>
          <w:color w:val="auto"/>
        </w:rPr>
        <w:t>Equity Restructuring</w:t>
      </w:r>
      <w:r>
        <w:rPr>
          <w:rFonts w:ascii="Arial" w:cs="Arial" w:eastAsia="Arial" w:hAnsi="Arial"/>
          <w:sz w:val="15"/>
          <w:szCs w:val="15"/>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53"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11.19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means the Securities Exchange Act of 1934, as amended.</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60" w:firstLine="556"/>
        <w:spacing w:after="0" w:line="262" w:lineRule="auto"/>
        <w:rPr>
          <w:sz w:val="20"/>
          <w:szCs w:val="20"/>
          <w:color w:val="auto"/>
        </w:rPr>
      </w:pPr>
      <w:r>
        <w:rPr>
          <w:rFonts w:ascii="Arial" w:cs="Arial" w:eastAsia="Arial" w:hAnsi="Arial"/>
          <w:sz w:val="15"/>
          <w:szCs w:val="15"/>
          <w:color w:val="auto"/>
        </w:rPr>
        <w:t>11.20 “</w:t>
      </w:r>
      <w:r>
        <w:rPr>
          <w:rFonts w:ascii="Arial" w:cs="Arial" w:eastAsia="Arial" w:hAnsi="Arial"/>
          <w:sz w:val="15"/>
          <w:szCs w:val="15"/>
          <w:b w:val="1"/>
          <w:bCs w:val="1"/>
          <w:i w:val="1"/>
          <w:iCs w:val="1"/>
          <w:color w:val="auto"/>
        </w:rPr>
        <w:t>Fair Market Value</w:t>
      </w:r>
      <w:r>
        <w:rPr>
          <w:rFonts w:ascii="Arial" w:cs="Arial" w:eastAsia="Arial" w:hAnsi="Arial"/>
          <w:sz w:val="15"/>
          <w:szCs w:val="15"/>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61" w:lineRule="exact"/>
        <w:rPr>
          <w:sz w:val="20"/>
          <w:szCs w:val="20"/>
          <w:color w:val="auto"/>
        </w:rPr>
      </w:pPr>
    </w:p>
    <w:p>
      <w:pPr>
        <w:ind w:left="7" w:right="120" w:firstLine="556"/>
        <w:spacing w:after="0" w:line="289" w:lineRule="auto"/>
        <w:rPr>
          <w:sz w:val="20"/>
          <w:szCs w:val="20"/>
          <w:color w:val="auto"/>
        </w:rPr>
      </w:pPr>
      <w:r>
        <w:rPr>
          <w:rFonts w:ascii="Arial" w:cs="Arial" w:eastAsia="Arial" w:hAnsi="Arial"/>
          <w:sz w:val="15"/>
          <w:szCs w:val="15"/>
          <w:color w:val="auto"/>
        </w:rPr>
        <w:t>11.21 “</w:t>
      </w:r>
      <w:r>
        <w:rPr>
          <w:rFonts w:ascii="Arial" w:cs="Arial" w:eastAsia="Arial" w:hAnsi="Arial"/>
          <w:sz w:val="15"/>
          <w:szCs w:val="15"/>
          <w:b w:val="1"/>
          <w:bCs w:val="1"/>
          <w:i w:val="1"/>
          <w:iCs w:val="1"/>
          <w:color w:val="auto"/>
        </w:rPr>
        <w:t>Greater Than 10% Stockholder</w:t>
      </w:r>
      <w:r>
        <w:rPr>
          <w:rFonts w:ascii="Arial" w:cs="Arial" w:eastAsia="Arial" w:hAnsi="Arial"/>
          <w:sz w:val="15"/>
          <w:szCs w:val="15"/>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41"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11.22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Incentive Stock Option</w:t>
      </w:r>
      <w:r>
        <w:rPr>
          <w:rFonts w:ascii="Arial" w:cs="Arial" w:eastAsia="Arial" w:hAnsi="Arial"/>
          <w:sz w:val="14"/>
          <w:szCs w:val="14"/>
          <w:color w:val="auto"/>
        </w:rPr>
        <w:t>” means an Option intended to qualify as an “incentive stock option” as defined in Section 422 of the Code.</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11.23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Non-Qualified Stock Option</w:t>
      </w:r>
      <w:r>
        <w:rPr>
          <w:rFonts w:ascii="Arial" w:cs="Arial" w:eastAsia="Arial" w:hAnsi="Arial"/>
          <w:sz w:val="14"/>
          <w:szCs w:val="14"/>
          <w:color w:val="auto"/>
        </w:rPr>
        <w:t>” means an Option not intended or not qualifying as an Incentive Stock Option.</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Option</w:t>
      </w:r>
      <w:r>
        <w:rPr>
          <w:rFonts w:ascii="Arial" w:cs="Arial" w:eastAsia="Arial" w:hAnsi="Arial"/>
          <w:sz w:val="13"/>
          <w:szCs w:val="13"/>
          <w:color w:val="auto"/>
        </w:rPr>
        <w:t>” means an option to purchase Shares.</w:t>
      </w:r>
    </w:p>
    <w:p>
      <w:pPr>
        <w:spacing w:after="0" w:line="198" w:lineRule="exact"/>
        <w:rPr>
          <w:sz w:val="20"/>
          <w:szCs w:val="20"/>
          <w:color w:val="auto"/>
        </w:rPr>
      </w:pPr>
    </w:p>
    <w:p>
      <w:pPr>
        <w:ind w:left="7" w:right="200" w:firstLine="556"/>
        <w:spacing w:after="0" w:line="289" w:lineRule="auto"/>
        <w:rPr>
          <w:sz w:val="20"/>
          <w:szCs w:val="20"/>
          <w:color w:val="auto"/>
        </w:rPr>
      </w:pPr>
      <w:r>
        <w:rPr>
          <w:rFonts w:ascii="Arial" w:cs="Arial" w:eastAsia="Arial" w:hAnsi="Arial"/>
          <w:sz w:val="15"/>
          <w:szCs w:val="15"/>
          <w:color w:val="auto"/>
        </w:rPr>
        <w:t>11.25 “</w:t>
      </w:r>
      <w:r>
        <w:rPr>
          <w:rFonts w:ascii="Arial" w:cs="Arial" w:eastAsia="Arial" w:hAnsi="Arial"/>
          <w:sz w:val="15"/>
          <w:szCs w:val="15"/>
          <w:b w:val="1"/>
          <w:bCs w:val="1"/>
          <w:i w:val="1"/>
          <w:iCs w:val="1"/>
          <w:color w:val="auto"/>
        </w:rPr>
        <w:t>Other Stock or Cash Based Awards</w:t>
      </w:r>
      <w:r>
        <w:rPr>
          <w:rFonts w:ascii="Arial" w:cs="Arial" w:eastAsia="Arial" w:hAnsi="Arial"/>
          <w:sz w:val="15"/>
          <w:szCs w:val="15"/>
          <w:color w:val="auto"/>
        </w:rPr>
        <w:t>” means cash awards, awards of Shares, and other awards valued wholly or partially by referring to, or are otherwise based on, Shares or other property.</w:t>
      </w:r>
    </w:p>
    <w:p>
      <w:pPr>
        <w:spacing w:after="0" w:line="141" w:lineRule="exact"/>
        <w:rPr>
          <w:sz w:val="20"/>
          <w:szCs w:val="20"/>
          <w:color w:val="auto"/>
        </w:rPr>
      </w:pPr>
    </w:p>
    <w:p>
      <w:pPr>
        <w:ind w:left="7" w:right="40" w:firstLine="556"/>
        <w:spacing w:after="0" w:line="268" w:lineRule="auto"/>
        <w:rPr>
          <w:sz w:val="20"/>
          <w:szCs w:val="20"/>
          <w:color w:val="auto"/>
        </w:rPr>
      </w:pPr>
      <w:r>
        <w:rPr>
          <w:rFonts w:ascii="Arial" w:cs="Arial" w:eastAsia="Arial" w:hAnsi="Arial"/>
          <w:sz w:val="15"/>
          <w:szCs w:val="15"/>
          <w:color w:val="auto"/>
        </w:rPr>
        <w:t>11.26 “</w:t>
      </w:r>
      <w:r>
        <w:rPr>
          <w:rFonts w:ascii="Arial" w:cs="Arial" w:eastAsia="Arial" w:hAnsi="Arial"/>
          <w:sz w:val="15"/>
          <w:szCs w:val="15"/>
          <w:b w:val="1"/>
          <w:bCs w:val="1"/>
          <w:i w:val="1"/>
          <w:iCs w:val="1"/>
          <w:color w:val="auto"/>
        </w:rPr>
        <w:t>Overall Share Limit</w:t>
      </w:r>
      <w:r>
        <w:rPr>
          <w:rFonts w:ascii="Arial" w:cs="Arial" w:eastAsia="Arial" w:hAnsi="Arial"/>
          <w:sz w:val="15"/>
          <w:szCs w:val="15"/>
          <w:color w:val="auto"/>
        </w:rPr>
        <w:t>” means the sum of (i) 1,210,256 Shares; (ii) any shares of Common Stock which are subject to Prior Plan Awards which become available for issuance under the Plan pursuant to Article IV and (iii) an annual increase on the first day of each calendar year beginning January 1, 2017 and ending on and including January 1, 2026, equal to the lesser of (A) 4% of the aggregate number of shares of Common Stock outstanding on the final day of the immediately preceding calendar year and (B) such smaller number of Shares as is determined by the Board.</w:t>
      </w:r>
    </w:p>
    <w:p>
      <w:pPr>
        <w:spacing w:after="0" w:line="156"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11.27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means a Service Provider who has been granted an Award.</w:t>
      </w:r>
    </w:p>
    <w:p>
      <w:pPr>
        <w:spacing w:after="0" w:line="198" w:lineRule="exact"/>
        <w:rPr>
          <w:sz w:val="20"/>
          <w:szCs w:val="20"/>
          <w:color w:val="auto"/>
        </w:rPr>
      </w:pPr>
    </w:p>
    <w:p>
      <w:pPr>
        <w:ind w:left="7" w:right="80" w:firstLine="556"/>
        <w:spacing w:after="0" w:line="263" w:lineRule="auto"/>
        <w:rPr>
          <w:sz w:val="20"/>
          <w:szCs w:val="20"/>
          <w:color w:val="auto"/>
        </w:rPr>
      </w:pPr>
      <w:r>
        <w:rPr>
          <w:rFonts w:ascii="Arial" w:cs="Arial" w:eastAsia="Arial" w:hAnsi="Arial"/>
          <w:sz w:val="15"/>
          <w:szCs w:val="15"/>
          <w:color w:val="auto"/>
        </w:rPr>
        <w:t>11.28 “</w:t>
      </w:r>
      <w:r>
        <w:rPr>
          <w:rFonts w:ascii="Arial" w:cs="Arial" w:eastAsia="Arial" w:hAnsi="Arial"/>
          <w:sz w:val="15"/>
          <w:szCs w:val="15"/>
          <w:b w:val="1"/>
          <w:bCs w:val="1"/>
          <w:i w:val="1"/>
          <w:iCs w:val="1"/>
          <w:color w:val="auto"/>
        </w:rPr>
        <w:t>Performance Criteria</w:t>
      </w:r>
      <w:r>
        <w:rPr>
          <w:rFonts w:ascii="Arial" w:cs="Arial" w:eastAsia="Arial" w:hAnsi="Arial"/>
          <w:sz w:val="15"/>
          <w:szCs w:val="15"/>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w:t>
      </w:r>
    </w:p>
    <w:p>
      <w:pPr>
        <w:sectPr>
          <w:pgSz w:w="11900" w:h="16838" w:orient="portrait"/>
          <w:cols w:equalWidth="0" w:num="1">
            <w:col w:w="11447"/>
          </w:cols>
          <w:pgMar w:left="233" w:top="129" w:right="219" w:bottom="0" w:gutter="0" w:footer="0" w:header="0"/>
        </w:sectPr>
      </w:pPr>
    </w:p>
    <w:p>
      <w:pPr>
        <w:spacing w:after="0" w:line="159" w:lineRule="exact"/>
        <w:rPr>
          <w:sz w:val="20"/>
          <w:szCs w:val="20"/>
          <w:color w:val="auto"/>
        </w:rPr>
      </w:pPr>
    </w:p>
    <w:p>
      <w:pPr>
        <w:jc w:val="center"/>
        <w:ind w:right="-6"/>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7285990" cy="2730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7"/>
          </w:cols>
          <w:pgMar w:left="233" w:top="129" w:right="219" w:bottom="0" w:gutter="0" w:footer="0" w:header="0"/>
          <w:type w:val="continuous"/>
        </w:sectPr>
      </w:pPr>
    </w:p>
    <w:bookmarkStart w:id="351" w:name="page352"/>
    <w:bookmarkEnd w:id="351"/>
    <w:p>
      <w:pPr>
        <w:ind w:left="7"/>
        <w:spacing w:after="0" w:line="277" w:lineRule="auto"/>
        <w:rPr>
          <w:sz w:val="20"/>
          <w:szCs w:val="20"/>
          <w:color w:val="auto"/>
        </w:rPr>
      </w:pPr>
      <w:r>
        <w:rPr>
          <w:rFonts w:ascii="Arial" w:cs="Arial" w:eastAsia="Arial" w:hAnsi="Arial"/>
          <w:sz w:val="14"/>
          <w:szCs w:val="14"/>
          <w:color w:val="auto"/>
        </w:rPr>
        <w:t>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w:t>
      </w:r>
    </w:p>
    <w:p>
      <w:pPr>
        <w:spacing w:after="0" w:line="5" w:lineRule="exact"/>
        <w:rPr>
          <w:sz w:val="20"/>
          <w:szCs w:val="20"/>
          <w:color w:val="auto"/>
        </w:rPr>
      </w:pPr>
    </w:p>
    <w:p>
      <w:pPr>
        <w:ind w:left="7" w:right="100" w:hanging="7"/>
        <w:spacing w:after="0" w:line="311" w:lineRule="auto"/>
        <w:tabs>
          <w:tab w:leader="none" w:pos="226" w:val="left"/>
        </w:tabs>
        <w:numPr>
          <w:ilvl w:val="0"/>
          <w:numId w:val="299"/>
        </w:numPr>
        <w:rPr>
          <w:rFonts w:ascii="Arial" w:cs="Arial" w:eastAsia="Arial" w:hAnsi="Arial"/>
          <w:sz w:val="13"/>
          <w:szCs w:val="13"/>
          <w:color w:val="auto"/>
        </w:rPr>
      </w:pPr>
      <w:r>
        <w:rPr>
          <w:rFonts w:ascii="Arial" w:cs="Arial" w:eastAsia="Arial" w:hAnsi="Arial"/>
          <w:sz w:val="13"/>
          <w:szCs w:val="13"/>
          <w:color w:val="auto"/>
        </w:rPr>
        <w:t>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spacing w:after="0" w:line="133"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11.29</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Plan</w:t>
      </w:r>
      <w:r>
        <w:rPr>
          <w:rFonts w:ascii="Arial" w:cs="Arial" w:eastAsia="Arial" w:hAnsi="Arial"/>
          <w:sz w:val="14"/>
          <w:szCs w:val="14"/>
          <w:color w:val="auto"/>
        </w:rPr>
        <w:t>” means this 2016 Incentive Award Plan.</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11.30</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Prior Plans</w:t>
      </w:r>
      <w:r>
        <w:rPr>
          <w:rFonts w:ascii="Arial" w:cs="Arial" w:eastAsia="Arial" w:hAnsi="Arial"/>
          <w:sz w:val="14"/>
          <w:szCs w:val="14"/>
          <w:color w:val="auto"/>
        </w:rPr>
        <w:t>” means, collectively, the Selecta Biosciences, Inc. 2008 Equity Incentive Plan and any prior equity incentive plans of the Company or its predecessor.</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11.31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Prior Plan Award</w:t>
      </w:r>
      <w:r>
        <w:rPr>
          <w:rFonts w:ascii="Arial" w:cs="Arial" w:eastAsia="Arial" w:hAnsi="Arial"/>
          <w:sz w:val="13"/>
          <w:szCs w:val="13"/>
          <w:color w:val="auto"/>
        </w:rPr>
        <w:t>” means an award outstanding under the Prior Plans as of the Plan’s effective date in Section 10.3.</w:t>
      </w:r>
    </w:p>
    <w:p>
      <w:pPr>
        <w:spacing w:after="0" w:line="198" w:lineRule="exact"/>
        <w:rPr>
          <w:sz w:val="20"/>
          <w:szCs w:val="20"/>
          <w:color w:val="auto"/>
        </w:rPr>
      </w:pPr>
    </w:p>
    <w:p>
      <w:pPr>
        <w:ind w:left="7" w:right="60" w:firstLine="556"/>
        <w:spacing w:after="0" w:line="273" w:lineRule="auto"/>
        <w:rPr>
          <w:sz w:val="20"/>
          <w:szCs w:val="20"/>
          <w:color w:val="auto"/>
        </w:rPr>
      </w:pPr>
      <w:r>
        <w:rPr>
          <w:rFonts w:ascii="Arial" w:cs="Arial" w:eastAsia="Arial" w:hAnsi="Arial"/>
          <w:sz w:val="15"/>
          <w:szCs w:val="15"/>
          <w:color w:val="auto"/>
        </w:rPr>
        <w:t>11.32 “</w:t>
      </w:r>
      <w:r>
        <w:rPr>
          <w:rFonts w:ascii="Arial" w:cs="Arial" w:eastAsia="Arial" w:hAnsi="Arial"/>
          <w:sz w:val="15"/>
          <w:szCs w:val="15"/>
          <w:b w:val="1"/>
          <w:bCs w:val="1"/>
          <w:i w:val="1"/>
          <w:iCs w:val="1"/>
          <w:color w:val="auto"/>
        </w:rPr>
        <w:t>Public Trading Date</w:t>
      </w:r>
      <w:r>
        <w:rPr>
          <w:rFonts w:ascii="Arial" w:cs="Arial" w:eastAsia="Arial" w:hAnsi="Arial"/>
          <w:sz w:val="15"/>
          <w:szCs w:val="15"/>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spacing w:after="0" w:line="153"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11.33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Restricted Stock</w:t>
      </w:r>
      <w:r>
        <w:rPr>
          <w:rFonts w:ascii="Arial" w:cs="Arial" w:eastAsia="Arial" w:hAnsi="Arial"/>
          <w:sz w:val="13"/>
          <w:szCs w:val="13"/>
          <w:color w:val="auto"/>
        </w:rPr>
        <w:t>” means Shares awarded to a Participant under Article VI subject to certain vesting conditions and other restrictions.</w:t>
      </w:r>
    </w:p>
    <w:p>
      <w:pPr>
        <w:spacing w:after="0" w:line="198" w:lineRule="exact"/>
        <w:rPr>
          <w:sz w:val="20"/>
          <w:szCs w:val="20"/>
          <w:color w:val="auto"/>
        </w:rPr>
      </w:pPr>
    </w:p>
    <w:p>
      <w:pPr>
        <w:ind w:left="7" w:right="420" w:firstLine="556"/>
        <w:spacing w:after="0" w:line="289" w:lineRule="auto"/>
        <w:rPr>
          <w:sz w:val="20"/>
          <w:szCs w:val="20"/>
          <w:color w:val="auto"/>
        </w:rPr>
      </w:pPr>
      <w:r>
        <w:rPr>
          <w:rFonts w:ascii="Arial" w:cs="Arial" w:eastAsia="Arial" w:hAnsi="Arial"/>
          <w:sz w:val="15"/>
          <w:szCs w:val="15"/>
          <w:color w:val="auto"/>
        </w:rPr>
        <w:t>11.34 “</w:t>
      </w:r>
      <w:r>
        <w:rPr>
          <w:rFonts w:ascii="Arial" w:cs="Arial" w:eastAsia="Arial" w:hAnsi="Arial"/>
          <w:sz w:val="15"/>
          <w:szCs w:val="15"/>
          <w:b w:val="1"/>
          <w:bCs w:val="1"/>
          <w:i w:val="1"/>
          <w:iCs w:val="1"/>
          <w:color w:val="auto"/>
        </w:rPr>
        <w:t>Restricted Stock Unit</w:t>
      </w:r>
      <w:r>
        <w:rPr>
          <w:rFonts w:ascii="Arial" w:cs="Arial" w:eastAsia="Arial" w:hAnsi="Arial"/>
          <w:sz w:val="15"/>
          <w:szCs w:val="15"/>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41"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11.35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Rule 16b-3</w:t>
      </w:r>
      <w:r>
        <w:rPr>
          <w:rFonts w:ascii="Arial" w:cs="Arial" w:eastAsia="Arial" w:hAnsi="Arial"/>
          <w:sz w:val="14"/>
          <w:szCs w:val="14"/>
          <w:color w:val="auto"/>
        </w:rPr>
        <w:t>” means Rule 16b-3 promulgated under the Exchange Act.</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11.36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Section 409A</w:t>
      </w:r>
      <w:r>
        <w:rPr>
          <w:rFonts w:ascii="Arial" w:cs="Arial" w:eastAsia="Arial" w:hAnsi="Arial"/>
          <w:sz w:val="13"/>
          <w:szCs w:val="13"/>
          <w:color w:val="auto"/>
        </w:rPr>
        <w:t>” means Section 409A of the Code and all regulations, guidance, compliance programs and other interpretative authority thereunder.</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11.37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means the Securities Act of 1933, as amended.</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11.38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Service Provider</w:t>
      </w:r>
      <w:r>
        <w:rPr>
          <w:rFonts w:ascii="Arial" w:cs="Arial" w:eastAsia="Arial" w:hAnsi="Arial"/>
          <w:sz w:val="13"/>
          <w:szCs w:val="13"/>
          <w:color w:val="auto"/>
        </w:rPr>
        <w:t>” means an Employee, Consultant or Director.</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11.39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means shares of Common Stock.</w:t>
      </w:r>
    </w:p>
    <w:p>
      <w:pPr>
        <w:spacing w:after="0" w:line="198"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11.40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Stock Appreciation Right</w:t>
      </w:r>
      <w:r>
        <w:rPr>
          <w:rFonts w:ascii="Arial" w:cs="Arial" w:eastAsia="Arial" w:hAnsi="Arial"/>
          <w:sz w:val="13"/>
          <w:szCs w:val="13"/>
          <w:color w:val="auto"/>
        </w:rPr>
        <w:t>” means a stock appreciation right granted under Article V.</w:t>
      </w:r>
    </w:p>
    <w:p>
      <w:pPr>
        <w:spacing w:after="0" w:line="198" w:lineRule="exact"/>
        <w:rPr>
          <w:sz w:val="20"/>
          <w:szCs w:val="20"/>
          <w:color w:val="auto"/>
        </w:rPr>
      </w:pPr>
    </w:p>
    <w:p>
      <w:pPr>
        <w:jc w:val="both"/>
        <w:ind w:left="7" w:right="180" w:firstLine="556"/>
        <w:spacing w:after="0" w:line="273" w:lineRule="auto"/>
        <w:rPr>
          <w:sz w:val="20"/>
          <w:szCs w:val="20"/>
          <w:color w:val="auto"/>
        </w:rPr>
      </w:pPr>
      <w:r>
        <w:rPr>
          <w:rFonts w:ascii="Arial" w:cs="Arial" w:eastAsia="Arial" w:hAnsi="Arial"/>
          <w:sz w:val="15"/>
          <w:szCs w:val="15"/>
          <w:color w:val="auto"/>
        </w:rPr>
        <w:t>11.41 “</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53" w:lineRule="exact"/>
        <w:rPr>
          <w:sz w:val="20"/>
          <w:szCs w:val="20"/>
          <w:color w:val="auto"/>
        </w:rPr>
      </w:pPr>
    </w:p>
    <w:p>
      <w:pPr>
        <w:ind w:left="7" w:right="120" w:firstLine="556"/>
        <w:spacing w:after="0" w:line="327" w:lineRule="auto"/>
        <w:rPr>
          <w:sz w:val="20"/>
          <w:szCs w:val="20"/>
          <w:color w:val="auto"/>
        </w:rPr>
      </w:pPr>
      <w:r>
        <w:rPr>
          <w:rFonts w:ascii="Arial" w:cs="Arial" w:eastAsia="Arial" w:hAnsi="Arial"/>
          <w:sz w:val="14"/>
          <w:szCs w:val="14"/>
          <w:color w:val="auto"/>
        </w:rPr>
        <w:t>11.42 “</w:t>
      </w:r>
      <w:r>
        <w:rPr>
          <w:rFonts w:ascii="Arial" w:cs="Arial" w:eastAsia="Arial" w:hAnsi="Arial"/>
          <w:sz w:val="14"/>
          <w:szCs w:val="14"/>
          <w:b w:val="1"/>
          <w:bCs w:val="1"/>
          <w:i w:val="1"/>
          <w:iCs w:val="1"/>
          <w:color w:val="auto"/>
        </w:rPr>
        <w:t>Substitute Awards</w:t>
      </w:r>
      <w:r>
        <w:rPr>
          <w:rFonts w:ascii="Arial" w:cs="Arial" w:eastAsia="Arial" w:hAnsi="Arial"/>
          <w:sz w:val="14"/>
          <w:szCs w:val="14"/>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17" w:lineRule="exact"/>
        <w:rPr>
          <w:sz w:val="20"/>
          <w:szCs w:val="20"/>
          <w:color w:val="auto"/>
        </w:rPr>
      </w:pPr>
    </w:p>
    <w:p>
      <w:pPr>
        <w:ind w:left="547"/>
        <w:spacing w:after="0"/>
        <w:tabs>
          <w:tab w:leader="none" w:pos="1107" w:val="left"/>
        </w:tabs>
        <w:rPr>
          <w:sz w:val="20"/>
          <w:szCs w:val="20"/>
          <w:color w:val="auto"/>
        </w:rPr>
      </w:pPr>
      <w:r>
        <w:rPr>
          <w:rFonts w:ascii="Arial" w:cs="Arial" w:eastAsia="Arial" w:hAnsi="Arial"/>
          <w:sz w:val="15"/>
          <w:szCs w:val="15"/>
          <w:color w:val="auto"/>
        </w:rPr>
        <w:t>11.43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Termination of Service</w:t>
      </w:r>
      <w:r>
        <w:rPr>
          <w:rFonts w:ascii="Arial" w:cs="Arial" w:eastAsia="Arial" w:hAnsi="Arial"/>
          <w:sz w:val="13"/>
          <w:szCs w:val="13"/>
          <w:color w:val="auto"/>
        </w:rPr>
        <w:t>” means the date the Participant ceases to be a Service Provider.</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 * * * *</w:t>
      </w: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2" w:lineRule="exact"/>
        <w:rPr>
          <w:sz w:val="20"/>
          <w:szCs w:val="20"/>
          <w:color w:val="auto"/>
        </w:rPr>
      </w:pPr>
    </w:p>
    <w:p>
      <w:pPr>
        <w:ind w:left="4627"/>
        <w:spacing w:after="0"/>
        <w:rPr>
          <w:sz w:val="20"/>
          <w:szCs w:val="20"/>
          <w:color w:val="auto"/>
        </w:rPr>
      </w:pPr>
      <w:r>
        <w:rPr>
          <w:rFonts w:ascii="Arial" w:cs="Arial" w:eastAsia="Arial" w:hAnsi="Arial"/>
          <w:sz w:val="15"/>
          <w:szCs w:val="15"/>
          <w:b w:val="1"/>
          <w:bCs w:val="1"/>
          <w:color w:val="auto"/>
        </w:rPr>
        <w:t>SELECTA BIOSCIENCES, INC.</w:t>
      </w:r>
    </w:p>
    <w:p>
      <w:pPr>
        <w:spacing w:after="0" w:line="29" w:lineRule="exact"/>
        <w:rPr>
          <w:sz w:val="20"/>
          <w:szCs w:val="20"/>
          <w:color w:val="auto"/>
        </w:rPr>
      </w:pPr>
    </w:p>
    <w:p>
      <w:pPr>
        <w:ind w:left="4587"/>
        <w:spacing w:after="0"/>
        <w:rPr>
          <w:sz w:val="20"/>
          <w:szCs w:val="20"/>
          <w:color w:val="auto"/>
        </w:rPr>
      </w:pPr>
      <w:r>
        <w:rPr>
          <w:rFonts w:ascii="Arial" w:cs="Arial" w:eastAsia="Arial" w:hAnsi="Arial"/>
          <w:sz w:val="15"/>
          <w:szCs w:val="15"/>
          <w:b w:val="1"/>
          <w:bCs w:val="1"/>
          <w:color w:val="auto"/>
        </w:rPr>
        <w:t>2016 INCENTIVE AWARD PLAN</w:t>
      </w:r>
    </w:p>
    <w:p>
      <w:pPr>
        <w:spacing w:after="0" w:line="18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STOCK OPTION GRANT NOTICE</w:t>
      </w:r>
    </w:p>
    <w:p>
      <w:pPr>
        <w:spacing w:after="0" w:line="204" w:lineRule="exact"/>
        <w:rPr>
          <w:sz w:val="20"/>
          <w:szCs w:val="20"/>
          <w:color w:val="auto"/>
        </w:rPr>
      </w:pPr>
    </w:p>
    <w:p>
      <w:pPr>
        <w:ind w:left="7" w:right="480" w:firstLine="556"/>
        <w:spacing w:after="0" w:line="289" w:lineRule="auto"/>
        <w:rPr>
          <w:sz w:val="20"/>
          <w:szCs w:val="20"/>
          <w:color w:val="auto"/>
        </w:rPr>
      </w:pPr>
      <w:r>
        <w:rPr>
          <w:rFonts w:ascii="Arial" w:cs="Arial" w:eastAsia="Arial" w:hAnsi="Arial"/>
          <w:sz w:val="15"/>
          <w:szCs w:val="15"/>
          <w:color w:val="auto"/>
        </w:rPr>
        <w:t>Capitalized terms not specifically defined in this Stock Option Grant Notice (the “</w:t>
      </w:r>
      <w:r>
        <w:rPr>
          <w:rFonts w:ascii="Arial" w:cs="Arial" w:eastAsia="Arial" w:hAnsi="Arial"/>
          <w:sz w:val="15"/>
          <w:szCs w:val="15"/>
          <w:b w:val="1"/>
          <w:bCs w:val="1"/>
          <w:i w:val="1"/>
          <w:iCs w:val="1"/>
          <w:color w:val="auto"/>
        </w:rPr>
        <w:t>Grant Notice</w:t>
      </w:r>
      <w:r>
        <w:rPr>
          <w:rFonts w:ascii="Arial" w:cs="Arial" w:eastAsia="Arial" w:hAnsi="Arial"/>
          <w:sz w:val="15"/>
          <w:szCs w:val="15"/>
          <w:color w:val="auto"/>
        </w:rPr>
        <w:t>”) have the meanings given to them in the 2016 Incentive Award Plan (as amended from time to time,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of Selecta Biosciences,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w:t>
      </w:r>
    </w:p>
    <w:p>
      <w:pPr>
        <w:spacing w:after="0" w:line="141" w:lineRule="exact"/>
        <w:rPr>
          <w:sz w:val="20"/>
          <w:szCs w:val="20"/>
          <w:color w:val="auto"/>
        </w:rPr>
      </w:pPr>
    </w:p>
    <w:p>
      <w:pPr>
        <w:ind w:left="7" w:right="160" w:firstLine="556"/>
        <w:spacing w:after="0" w:line="289" w:lineRule="auto"/>
        <w:rPr>
          <w:sz w:val="20"/>
          <w:szCs w:val="20"/>
          <w:color w:val="auto"/>
        </w:rPr>
      </w:pPr>
      <w:r>
        <w:rPr>
          <w:rFonts w:ascii="Arial" w:cs="Arial" w:eastAsia="Arial" w:hAnsi="Arial"/>
          <w:sz w:val="15"/>
          <w:szCs w:val="15"/>
          <w:color w:val="auto"/>
        </w:rPr>
        <w:t>The Company has granted to the participant listed below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the stock option described in this Grant Notice (the “</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xml:space="preserve">”), subject to the terms and conditions of the Plan and the Stock Option Agreement attached as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both of which are incorporated into this Grant Notice by reference.</w:t>
      </w:r>
    </w:p>
    <w:p>
      <w:pPr>
        <w:spacing w:after="0" w:line="135" w:lineRule="exact"/>
        <w:rPr>
          <w:sz w:val="20"/>
          <w:szCs w:val="20"/>
          <w:color w:val="auto"/>
        </w:rPr>
      </w:pPr>
    </w:p>
    <w:p>
      <w:pPr>
        <w:ind w:left="167"/>
        <w:spacing w:after="0"/>
        <w:rPr>
          <w:sz w:val="20"/>
          <w:szCs w:val="20"/>
          <w:color w:val="auto"/>
        </w:rPr>
      </w:pPr>
      <w:r>
        <w:rPr>
          <w:rFonts w:ascii="Arial" w:cs="Arial" w:eastAsia="Arial" w:hAnsi="Arial"/>
          <w:sz w:val="15"/>
          <w:szCs w:val="15"/>
          <w:b w:val="1"/>
          <w:bCs w:val="1"/>
          <w:color w:val="auto"/>
        </w:rPr>
        <w:t>Participant:</w:t>
      </w:r>
    </w:p>
    <w:p>
      <w:pPr>
        <w:spacing w:after="0" w:line="198" w:lineRule="exact"/>
        <w:rPr>
          <w:sz w:val="20"/>
          <w:szCs w:val="20"/>
          <w:color w:val="auto"/>
        </w:rPr>
      </w:pPr>
    </w:p>
    <w:p>
      <w:pPr>
        <w:ind w:left="167"/>
        <w:spacing w:after="0"/>
        <w:rPr>
          <w:sz w:val="20"/>
          <w:szCs w:val="20"/>
          <w:color w:val="auto"/>
        </w:rPr>
      </w:pPr>
      <w:r>
        <w:rPr>
          <w:rFonts w:ascii="Arial" w:cs="Arial" w:eastAsia="Arial" w:hAnsi="Arial"/>
          <w:sz w:val="15"/>
          <w:szCs w:val="15"/>
          <w:b w:val="1"/>
          <w:bCs w:val="1"/>
          <w:color w:val="auto"/>
        </w:rPr>
        <w:t>Grant Date:</w:t>
      </w:r>
    </w:p>
    <w:p>
      <w:pPr>
        <w:spacing w:after="0" w:line="198" w:lineRule="exact"/>
        <w:rPr>
          <w:sz w:val="20"/>
          <w:szCs w:val="20"/>
          <w:color w:val="auto"/>
        </w:rPr>
      </w:pPr>
    </w:p>
    <w:p>
      <w:pPr>
        <w:ind w:left="167"/>
        <w:spacing w:after="0"/>
        <w:rPr>
          <w:sz w:val="20"/>
          <w:szCs w:val="20"/>
          <w:color w:val="auto"/>
        </w:rPr>
      </w:pPr>
      <w:r>
        <w:rPr>
          <w:rFonts w:ascii="Arial" w:cs="Arial" w:eastAsia="Arial" w:hAnsi="Arial"/>
          <w:sz w:val="15"/>
          <w:szCs w:val="15"/>
          <w:b w:val="1"/>
          <w:bCs w:val="1"/>
          <w:color w:val="auto"/>
        </w:rPr>
        <w:t>Exercise Price per Share:</w:t>
      </w:r>
    </w:p>
    <w:p>
      <w:pPr>
        <w:spacing w:after="0" w:line="198" w:lineRule="exact"/>
        <w:rPr>
          <w:sz w:val="20"/>
          <w:szCs w:val="20"/>
          <w:color w:val="auto"/>
        </w:rPr>
      </w:pPr>
    </w:p>
    <w:p>
      <w:pPr>
        <w:ind w:left="167"/>
        <w:spacing w:after="0"/>
        <w:rPr>
          <w:sz w:val="20"/>
          <w:szCs w:val="20"/>
          <w:color w:val="auto"/>
        </w:rPr>
      </w:pPr>
      <w:r>
        <w:rPr>
          <w:rFonts w:ascii="Arial" w:cs="Arial" w:eastAsia="Arial" w:hAnsi="Arial"/>
          <w:sz w:val="15"/>
          <w:szCs w:val="15"/>
          <w:b w:val="1"/>
          <w:bCs w:val="1"/>
          <w:color w:val="auto"/>
        </w:rPr>
        <w:t>Shares Subject to the Option:</w:t>
      </w:r>
    </w:p>
    <w:p>
      <w:pPr>
        <w:spacing w:after="0" w:line="198" w:lineRule="exact"/>
        <w:rPr>
          <w:sz w:val="20"/>
          <w:szCs w:val="20"/>
          <w:color w:val="auto"/>
        </w:rPr>
      </w:pPr>
    </w:p>
    <w:p>
      <w:pPr>
        <w:ind w:left="167"/>
        <w:spacing w:after="0"/>
        <w:rPr>
          <w:sz w:val="20"/>
          <w:szCs w:val="20"/>
          <w:color w:val="auto"/>
        </w:rPr>
      </w:pPr>
      <w:r>
        <w:rPr>
          <w:rFonts w:ascii="Arial" w:cs="Arial" w:eastAsia="Arial" w:hAnsi="Arial"/>
          <w:sz w:val="15"/>
          <w:szCs w:val="15"/>
          <w:b w:val="1"/>
          <w:bCs w:val="1"/>
          <w:color w:val="auto"/>
        </w:rPr>
        <w:t>Final Expiration Date:</w:t>
      </w:r>
    </w:p>
    <w:p>
      <w:pPr>
        <w:spacing w:after="0" w:line="198" w:lineRule="exact"/>
        <w:rPr>
          <w:sz w:val="20"/>
          <w:szCs w:val="20"/>
          <w:color w:val="auto"/>
        </w:rPr>
      </w:pPr>
    </w:p>
    <w:p>
      <w:pPr>
        <w:ind w:left="167"/>
        <w:spacing w:after="0"/>
        <w:rPr>
          <w:sz w:val="20"/>
          <w:szCs w:val="20"/>
          <w:color w:val="auto"/>
        </w:rPr>
      </w:pPr>
      <w:r>
        <w:rPr>
          <w:rFonts w:ascii="Arial" w:cs="Arial" w:eastAsia="Arial" w:hAnsi="Arial"/>
          <w:sz w:val="15"/>
          <w:szCs w:val="15"/>
          <w:b w:val="1"/>
          <w:bCs w:val="1"/>
          <w:color w:val="auto"/>
        </w:rPr>
        <w:t>Vesting Commencement Date:</w:t>
      </w:r>
    </w:p>
    <w:p>
      <w:pPr>
        <w:spacing w:after="0" w:line="198" w:lineRule="exact"/>
        <w:rPr>
          <w:sz w:val="20"/>
          <w:szCs w:val="20"/>
          <w:color w:val="auto"/>
        </w:rPr>
      </w:pPr>
    </w:p>
    <w:p>
      <w:pPr>
        <w:ind w:left="167"/>
        <w:spacing w:after="0"/>
        <w:tabs>
          <w:tab w:leader="none" w:pos="3507" w:val="left"/>
        </w:tabs>
        <w:rPr>
          <w:sz w:val="20"/>
          <w:szCs w:val="20"/>
          <w:color w:val="auto"/>
        </w:rPr>
      </w:pPr>
      <w:r>
        <w:rPr>
          <w:rFonts w:ascii="Arial" w:cs="Arial" w:eastAsia="Arial" w:hAnsi="Arial"/>
          <w:sz w:val="15"/>
          <w:szCs w:val="15"/>
          <w:b w:val="1"/>
          <w:bCs w:val="1"/>
          <w:color w:val="auto"/>
        </w:rPr>
        <w:t>Vesting Schedule:</w:t>
      </w:r>
      <w:r>
        <w:rPr>
          <w:sz w:val="20"/>
          <w:szCs w:val="20"/>
          <w:color w:val="auto"/>
        </w:rPr>
        <w:tab/>
      </w:r>
      <w:r>
        <w:rPr>
          <w:rFonts w:ascii="Arial" w:cs="Arial" w:eastAsia="Arial" w:hAnsi="Arial"/>
          <w:sz w:val="14"/>
          <w:szCs w:val="14"/>
          <w:color w:val="auto"/>
        </w:rPr>
        <w:t>[To be specified in individual award agreements]</w:t>
      </w:r>
    </w:p>
    <w:p>
      <w:pPr>
        <w:sectPr>
          <w:pgSz w:w="11900" w:h="16838" w:orient="portrait"/>
          <w:cols w:equalWidth="0" w:num="1">
            <w:col w:w="11447"/>
          </w:cols>
          <w:pgMar w:left="233" w:top="522" w:right="219" w:bottom="0" w:gutter="0" w:footer="0" w:header="0"/>
        </w:sectPr>
      </w:pPr>
    </w:p>
    <w:bookmarkStart w:id="352" w:name="page353"/>
    <w:bookmarkEnd w:id="352"/>
    <w:p>
      <w:pPr>
        <w:ind w:left="160"/>
        <w:spacing w:after="0"/>
        <w:tabs>
          <w:tab w:leader="none" w:pos="3500" w:val="left"/>
        </w:tabs>
        <w:rPr>
          <w:sz w:val="20"/>
          <w:szCs w:val="20"/>
          <w:color w:val="auto"/>
        </w:rPr>
      </w:pPr>
      <w:r>
        <w:rPr>
          <w:rFonts w:ascii="Arial" w:cs="Arial" w:eastAsia="Arial" w:hAnsi="Arial"/>
          <w:sz w:val="15"/>
          <w:szCs w:val="15"/>
          <w:b w:val="1"/>
          <w:bCs w:val="1"/>
          <w:color w:val="auto"/>
        </w:rPr>
        <w:t>Type of Option</w:t>
      </w:r>
      <w:r>
        <w:rPr>
          <w:sz w:val="20"/>
          <w:szCs w:val="20"/>
          <w:color w:val="auto"/>
        </w:rPr>
        <w:tab/>
      </w:r>
      <w:r>
        <w:rPr>
          <w:rFonts w:ascii="Arial" w:cs="Arial" w:eastAsia="Arial" w:hAnsi="Arial"/>
          <w:sz w:val="14"/>
          <w:szCs w:val="14"/>
          <w:color w:val="auto"/>
        </w:rPr>
        <w:t>[Incentive Stock Option/Non-Qualified Stock Option]</w:t>
      </w:r>
    </w:p>
    <w:p>
      <w:pPr>
        <w:spacing w:after="0" w:line="204" w:lineRule="exact"/>
        <w:rPr>
          <w:sz w:val="20"/>
          <w:szCs w:val="20"/>
          <w:color w:val="auto"/>
        </w:rPr>
      </w:pPr>
    </w:p>
    <w:p>
      <w:pPr>
        <w:ind w:right="20" w:firstLine="556"/>
        <w:spacing w:after="0" w:line="268" w:lineRule="auto"/>
        <w:rPr>
          <w:sz w:val="20"/>
          <w:szCs w:val="20"/>
          <w:color w:val="auto"/>
        </w:rPr>
      </w:pPr>
      <w:r>
        <w:rPr>
          <w:rFonts w:ascii="Arial" w:cs="Arial" w:eastAsia="Arial" w:hAnsi="Arial"/>
          <w:sz w:val="15"/>
          <w:szCs w:val="15"/>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35"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SELECTA BIOSCIENCES, INC.</w:t>
      </w:r>
      <w:r>
        <w:rPr>
          <w:sz w:val="20"/>
          <w:szCs w:val="20"/>
          <w:color w:val="auto"/>
        </w:rPr>
        <w:tab/>
      </w:r>
      <w:r>
        <w:rPr>
          <w:rFonts w:ascii="Arial" w:cs="Arial" w:eastAsia="Arial" w:hAnsi="Arial"/>
          <w:sz w:val="15"/>
          <w:szCs w:val="15"/>
          <w:b w:val="1"/>
          <w:bCs w:val="1"/>
          <w:color w:val="auto"/>
        </w:rPr>
        <w:t>PARTICIPANT</w:t>
      </w: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5"/>
          <w:szCs w:val="15"/>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-108585</wp:posOffset>
            </wp:positionV>
            <wp:extent cx="6765925" cy="762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6765925"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8255</wp:posOffset>
            </wp:positionV>
            <wp:extent cx="2963545" cy="762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2963545" cy="762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-108585</wp:posOffset>
            </wp:positionV>
            <wp:extent cx="2963545" cy="762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2963545"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285990" cy="2730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OPTION AGREEMENT</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Capitalized terms not specifically defined in this Agreement have the meanings specified in the Grant Notice or, if not defined in the Grant Notice, in the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w:t>
      </w:r>
    </w:p>
    <w:p>
      <w:pPr>
        <w:spacing w:after="0" w:line="18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4"/>
          <w:szCs w:val="14"/>
          <w:u w:val="single" w:color="auto"/>
          <w:color w:val="auto"/>
        </w:rPr>
        <w:t>Grant of Option</w:t>
      </w:r>
      <w:r>
        <w:rPr>
          <w:rFonts w:ascii="Arial" w:cs="Arial" w:eastAsia="Arial" w:hAnsi="Arial"/>
          <w:sz w:val="14"/>
          <w:szCs w:val="14"/>
          <w:color w:val="auto"/>
        </w:rPr>
        <w:t>. The Company has granted to Participant the Option effective as of the grant date set forth in the Grant Notice (the “</w:t>
      </w:r>
      <w:r>
        <w:rPr>
          <w:rFonts w:ascii="Arial" w:cs="Arial" w:eastAsia="Arial" w:hAnsi="Arial"/>
          <w:sz w:val="14"/>
          <w:szCs w:val="14"/>
          <w:b w:val="1"/>
          <w:bCs w:val="1"/>
          <w:i w:val="1"/>
          <w:iCs w:val="1"/>
          <w:color w:val="auto"/>
        </w:rPr>
        <w:t>Grant Date</w:t>
      </w:r>
      <w:r>
        <w:rPr>
          <w:rFonts w:ascii="Arial" w:cs="Arial" w:eastAsia="Arial" w:hAnsi="Arial"/>
          <w:sz w:val="14"/>
          <w:szCs w:val="14"/>
          <w:color w:val="auto"/>
        </w:rPr>
        <w:t>”).</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4"/>
          <w:szCs w:val="14"/>
          <w:u w:val="single" w:color="auto"/>
          <w:color w:val="auto"/>
        </w:rPr>
        <w:t>Incorporation of Terms of Plan</w:t>
      </w:r>
      <w:r>
        <w:rPr>
          <w:rFonts w:ascii="Arial" w:cs="Arial" w:eastAsia="Arial" w:hAnsi="Arial"/>
          <w:sz w:val="14"/>
          <w:szCs w:val="14"/>
          <w:color w:val="auto"/>
        </w:rPr>
        <w:t>. The Option is subject to the terms and conditions set forth in this Agreement and the Plan, which is incorporated herein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In the event of any inconsistency between the Plan and this Agreement, the terms of the Plan will control.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PERIOD OF EXERCISABILITY</w:t>
      </w:r>
    </w:p>
    <w:p>
      <w:pPr>
        <w:spacing w:after="0" w:line="188" w:lineRule="exact"/>
        <w:rPr>
          <w:sz w:val="20"/>
          <w:szCs w:val="20"/>
          <w:color w:val="auto"/>
        </w:rPr>
      </w:pPr>
    </w:p>
    <w:p>
      <w:pPr>
        <w:ind w:firstLine="556"/>
        <w:spacing w:after="0" w:line="268"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Commencement of Exercisability</w:t>
      </w:r>
      <w:r>
        <w:rPr>
          <w:rFonts w:ascii="Arial" w:cs="Arial" w:eastAsia="Arial" w:hAnsi="Arial"/>
          <w:sz w:val="15"/>
          <w:szCs w:val="15"/>
          <w:color w:val="auto"/>
        </w:rPr>
        <w:t>. The Option will vest and become exercisable according to the vesting schedule in the Grant Notice (the “</w:t>
      </w:r>
      <w:r>
        <w:rPr>
          <w:rFonts w:ascii="Arial" w:cs="Arial" w:eastAsia="Arial" w:hAnsi="Arial"/>
          <w:sz w:val="15"/>
          <w:szCs w:val="15"/>
          <w:b w:val="1"/>
          <w:bCs w:val="1"/>
          <w:i w:val="1"/>
          <w:iCs w:val="1"/>
          <w:color w:val="auto"/>
        </w:rPr>
        <w:t>Vesting Schedule</w:t>
      </w:r>
      <w:r>
        <w:rPr>
          <w:rFonts w:ascii="Arial" w:cs="Arial" w:eastAsia="Arial" w:hAnsi="Arial"/>
          <w:sz w:val="15"/>
          <w:szCs w:val="15"/>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56" w:lineRule="exact"/>
        <w:rPr>
          <w:sz w:val="20"/>
          <w:szCs w:val="20"/>
          <w:color w:val="auto"/>
        </w:rPr>
      </w:pPr>
    </w:p>
    <w:p>
      <w:pPr>
        <w:ind w:right="160" w:firstLine="556"/>
        <w:spacing w:after="0" w:line="289"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Duration of Exercisability</w:t>
      </w:r>
      <w:r>
        <w:rPr>
          <w:rFonts w:ascii="Arial" w:cs="Arial" w:eastAsia="Arial" w:hAnsi="Arial"/>
          <w:sz w:val="15"/>
          <w:szCs w:val="15"/>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41"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4"/>
          <w:szCs w:val="14"/>
          <w:u w:val="single" w:color="auto"/>
          <w:color w:val="auto"/>
        </w:rPr>
        <w:t>Expiration of Option</w:t>
      </w:r>
      <w:r>
        <w:rPr>
          <w:rFonts w:ascii="Arial" w:cs="Arial" w:eastAsia="Arial" w:hAnsi="Arial"/>
          <w:sz w:val="14"/>
          <w:szCs w:val="14"/>
          <w:color w:val="auto"/>
        </w:rPr>
        <w:t>. The Option may not be exercised to any extent by anyone after, and will expire on, the first of the following to occur:</w:t>
      </w:r>
    </w:p>
    <w:p>
      <w:pPr>
        <w:spacing w:after="0" w:line="198" w:lineRule="exact"/>
        <w:rPr>
          <w:sz w:val="20"/>
          <w:szCs w:val="20"/>
          <w:color w:val="auto"/>
        </w:rPr>
      </w:pPr>
    </w:p>
    <w:p>
      <w:pPr>
        <w:ind w:left="1660" w:hanging="556"/>
        <w:spacing w:after="0"/>
        <w:tabs>
          <w:tab w:leader="none" w:pos="166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The final expiration date in the Grant Notice;</w:t>
      </w:r>
    </w:p>
    <w:p>
      <w:pPr>
        <w:spacing w:after="0" w:line="198" w:lineRule="exact"/>
        <w:rPr>
          <w:rFonts w:ascii="Arial" w:cs="Arial" w:eastAsia="Arial" w:hAnsi="Arial"/>
          <w:sz w:val="15"/>
          <w:szCs w:val="15"/>
          <w:color w:val="auto"/>
        </w:rPr>
      </w:pPr>
    </w:p>
    <w:p>
      <w:pPr>
        <w:ind w:right="640" w:firstLine="1104"/>
        <w:spacing w:after="0" w:line="289" w:lineRule="auto"/>
        <w:tabs>
          <w:tab w:leader="none" w:pos="1674" w:val="left"/>
        </w:tabs>
        <w:numPr>
          <w:ilvl w:val="0"/>
          <w:numId w:val="300"/>
        </w:numPr>
        <w:rPr>
          <w:rFonts w:ascii="Arial" w:cs="Arial" w:eastAsia="Arial" w:hAnsi="Arial"/>
          <w:sz w:val="15"/>
          <w:szCs w:val="15"/>
          <w:color w:val="auto"/>
        </w:rPr>
      </w:pPr>
      <w:r>
        <w:rPr>
          <w:rFonts w:ascii="Arial" w:cs="Arial" w:eastAsia="Arial" w:hAnsi="Arial"/>
          <w:sz w:val="15"/>
          <w:szCs w:val="15"/>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40" w:lineRule="exact"/>
        <w:rPr>
          <w:rFonts w:ascii="Arial" w:cs="Arial" w:eastAsia="Arial" w:hAnsi="Arial"/>
          <w:sz w:val="15"/>
          <w:szCs w:val="15"/>
          <w:color w:val="auto"/>
        </w:rPr>
      </w:pPr>
    </w:p>
    <w:p>
      <w:pPr>
        <w:ind w:right="580" w:firstLine="1104"/>
        <w:spacing w:after="0" w:line="289" w:lineRule="auto"/>
        <w:tabs>
          <w:tab w:leader="none" w:pos="1677" w:val="left"/>
        </w:tabs>
        <w:numPr>
          <w:ilvl w:val="0"/>
          <w:numId w:val="300"/>
        </w:numPr>
        <w:rPr>
          <w:rFonts w:ascii="Arial" w:cs="Arial" w:eastAsia="Arial" w:hAnsi="Arial"/>
          <w:sz w:val="15"/>
          <w:szCs w:val="15"/>
          <w:color w:val="auto"/>
        </w:rPr>
      </w:pPr>
      <w:r>
        <w:rPr>
          <w:rFonts w:ascii="Arial" w:cs="Arial" w:eastAsia="Arial" w:hAnsi="Arial"/>
          <w:sz w:val="15"/>
          <w:szCs w:val="15"/>
          <w:color w:val="auto"/>
        </w:rPr>
        <w:t>Except as the Administrator may otherwise approve, the expiration of one (1) year from the date of Participant’s Termination of Service by reason of Participant’s death or Disability; and</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Except as the Administrator may otherwise approve, Participant’s Termination of Service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EXERCISE OF OPTION</w:t>
      </w:r>
    </w:p>
    <w:p>
      <w:pPr>
        <w:spacing w:after="0" w:line="188" w:lineRule="exact"/>
        <w:rPr>
          <w:sz w:val="20"/>
          <w:szCs w:val="20"/>
          <w:color w:val="auto"/>
        </w:rPr>
      </w:pPr>
    </w:p>
    <w:p>
      <w:pPr>
        <w:ind w:right="180" w:firstLine="556"/>
        <w:spacing w:after="0" w:line="289"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Person Eligible to Exercise</w:t>
      </w:r>
      <w:r>
        <w:rPr>
          <w:rFonts w:ascii="Arial" w:cs="Arial" w:eastAsia="Arial" w:hAnsi="Arial"/>
          <w:sz w:val="15"/>
          <w:szCs w:val="15"/>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41" w:lineRule="exact"/>
        <w:rPr>
          <w:sz w:val="20"/>
          <w:szCs w:val="20"/>
          <w:color w:val="auto"/>
        </w:rPr>
      </w:pPr>
    </w:p>
    <w:p>
      <w:pPr>
        <w:ind w:right="540" w:firstLine="556"/>
        <w:spacing w:after="0" w:line="28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Partial Exercise</w:t>
      </w:r>
      <w:r>
        <w:rPr>
          <w:rFonts w:ascii="Arial" w:cs="Arial" w:eastAsia="Arial" w:hAnsi="Arial"/>
          <w:sz w:val="15"/>
          <w:szCs w:val="15"/>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41"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4"/>
          <w:szCs w:val="14"/>
          <w:u w:val="single" w:color="auto"/>
          <w:color w:val="auto"/>
        </w:rPr>
        <w:t>Tax Withholding</w:t>
      </w:r>
      <w:r>
        <w:rPr>
          <w:rFonts w:ascii="Arial" w:cs="Arial" w:eastAsia="Arial" w:hAnsi="Arial"/>
          <w:sz w:val="14"/>
          <w:szCs w:val="14"/>
          <w:color w:val="auto"/>
        </w:rPr>
        <w:t>.</w:t>
      </w:r>
    </w:p>
    <w:p>
      <w:pPr>
        <w:spacing w:after="0" w:line="198" w:lineRule="exact"/>
        <w:rPr>
          <w:sz w:val="20"/>
          <w:szCs w:val="20"/>
          <w:color w:val="auto"/>
        </w:rPr>
      </w:pPr>
    </w:p>
    <w:p>
      <w:pPr>
        <w:ind w:right="300" w:firstLine="1104"/>
        <w:spacing w:after="0" w:line="273" w:lineRule="auto"/>
        <w:tabs>
          <w:tab w:leader="none" w:pos="1665" w:val="left"/>
        </w:tabs>
        <w:numPr>
          <w:ilvl w:val="0"/>
          <w:numId w:val="301"/>
        </w:numPr>
        <w:rPr>
          <w:rFonts w:ascii="Arial" w:cs="Arial" w:eastAsia="Arial" w:hAnsi="Arial"/>
          <w:sz w:val="15"/>
          <w:szCs w:val="15"/>
          <w:color w:val="auto"/>
        </w:rPr>
      </w:pPr>
      <w:r>
        <w:rPr>
          <w:rFonts w:ascii="Arial" w:cs="Arial" w:eastAsia="Arial" w:hAnsi="Arial"/>
          <w:sz w:val="15"/>
          <w:szCs w:val="15"/>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52" w:lineRule="exact"/>
        <w:rPr>
          <w:rFonts w:ascii="Arial" w:cs="Arial" w:eastAsia="Arial" w:hAnsi="Arial"/>
          <w:sz w:val="15"/>
          <w:szCs w:val="15"/>
          <w:color w:val="auto"/>
        </w:rPr>
      </w:pPr>
    </w:p>
    <w:p>
      <w:pPr>
        <w:ind w:right="220" w:firstLine="1104"/>
        <w:spacing w:after="0" w:line="293" w:lineRule="auto"/>
        <w:tabs>
          <w:tab w:leader="none" w:pos="1674" w:val="left"/>
        </w:tabs>
        <w:numPr>
          <w:ilvl w:val="0"/>
          <w:numId w:val="301"/>
        </w:numPr>
        <w:rPr>
          <w:rFonts w:ascii="Arial" w:cs="Arial" w:eastAsia="Arial" w:hAnsi="Arial"/>
          <w:sz w:val="14"/>
          <w:szCs w:val="14"/>
          <w:color w:val="auto"/>
        </w:rPr>
      </w:pPr>
      <w:r>
        <w:rPr>
          <w:rFonts w:ascii="Arial" w:cs="Arial" w:eastAsia="Arial" w:hAnsi="Arial"/>
          <w:sz w:val="14"/>
          <w:szCs w:val="14"/>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PROVISIONS</w:t>
      </w:r>
    </w:p>
    <w:p>
      <w:pPr>
        <w:spacing w:after="0" w:line="18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4"/>
          <w:szCs w:val="14"/>
          <w:u w:val="single" w:color="auto"/>
          <w:color w:val="auto"/>
        </w:rPr>
        <w:t>Adjustments</w:t>
      </w:r>
      <w:r>
        <w:rPr>
          <w:rFonts w:ascii="Arial" w:cs="Arial" w:eastAsia="Arial" w:hAnsi="Arial"/>
          <w:sz w:val="14"/>
          <w:szCs w:val="14"/>
          <w:color w:val="auto"/>
        </w:rPr>
        <w:t>. Participant acknowledges that the Option is subject to adjustment, modification and termination in certain events as provided in this Agreement and the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Plan.</w:t>
      </w:r>
    </w:p>
    <w:p>
      <w:pPr>
        <w:spacing w:after="0" w:line="188" w:lineRule="exact"/>
        <w:rPr>
          <w:sz w:val="20"/>
          <w:szCs w:val="20"/>
          <w:color w:val="auto"/>
        </w:rPr>
      </w:pPr>
    </w:p>
    <w:p>
      <w:pPr>
        <w:ind w:right="160" w:firstLine="556"/>
        <w:spacing w:after="0" w:line="293"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Notices</w:t>
      </w:r>
      <w:r>
        <w:rPr>
          <w:rFonts w:ascii="Arial" w:cs="Arial" w:eastAsia="Arial" w:hAnsi="Arial"/>
          <w:sz w:val="14"/>
          <w:szCs w:val="14"/>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w:t>
      </w:r>
    </w:p>
    <w:p>
      <w:pPr>
        <w:sectPr>
          <w:pgSz w:w="11900" w:h="16838" w:orient="portrait"/>
          <w:cols w:equalWidth="0" w:num="1">
            <w:col w:w="11440"/>
          </w:cols>
          <w:pgMar w:left="240" w:top="123" w:right="219" w:bottom="0" w:gutter="0" w:footer="0" w:header="0"/>
        </w:sectPr>
      </w:pPr>
    </w:p>
    <w:bookmarkStart w:id="353" w:name="page354"/>
    <w:bookmarkEnd w:id="353"/>
    <w:p>
      <w:pPr>
        <w:ind w:right="80"/>
        <w:spacing w:after="0" w:line="273" w:lineRule="auto"/>
        <w:rPr>
          <w:sz w:val="20"/>
          <w:szCs w:val="20"/>
          <w:color w:val="auto"/>
        </w:rPr>
      </w:pPr>
      <w:r>
        <w:rPr>
          <w:rFonts w:ascii="Arial" w:cs="Arial" w:eastAsia="Arial" w:hAnsi="Arial"/>
          <w:sz w:val="15"/>
          <w:szCs w:val="15"/>
          <w:color w:val="auto"/>
        </w:rPr>
        <w:t>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53"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4"/>
          <w:szCs w:val="14"/>
          <w:u w:val="single" w:color="auto"/>
          <w:color w:val="auto"/>
        </w:rPr>
        <w:t>Titles</w:t>
      </w:r>
      <w:r>
        <w:rPr>
          <w:rFonts w:ascii="Arial" w:cs="Arial" w:eastAsia="Arial" w:hAnsi="Arial"/>
          <w:sz w:val="14"/>
          <w:szCs w:val="14"/>
          <w:color w:val="auto"/>
        </w:rPr>
        <w:t>. Titles are provided herein for convenience only and are not to serve as a basis for interpretation or construction of this Agreement.</w:t>
      </w:r>
    </w:p>
    <w:p>
      <w:pPr>
        <w:spacing w:after="0" w:line="198" w:lineRule="exact"/>
        <w:rPr>
          <w:sz w:val="20"/>
          <w:szCs w:val="20"/>
          <w:color w:val="auto"/>
        </w:rPr>
      </w:pPr>
    </w:p>
    <w:p>
      <w:pPr>
        <w:ind w:right="100" w:firstLine="556"/>
        <w:spacing w:after="0" w:line="289"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Conformity to Securities Laws</w:t>
      </w:r>
      <w:r>
        <w:rPr>
          <w:rFonts w:ascii="Arial" w:cs="Arial" w:eastAsia="Arial" w:hAnsi="Arial"/>
          <w:sz w:val="15"/>
          <w:szCs w:val="15"/>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firstLine="556"/>
        <w:spacing w:after="0" w:line="273"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53" w:lineRule="exact"/>
        <w:rPr>
          <w:sz w:val="20"/>
          <w:szCs w:val="20"/>
          <w:color w:val="auto"/>
        </w:rPr>
      </w:pPr>
    </w:p>
    <w:p>
      <w:pPr>
        <w:ind w:right="20" w:firstLine="556"/>
        <w:spacing w:after="0" w:line="268"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Limitations Applicable to Section 16 Persons</w:t>
      </w:r>
      <w:r>
        <w:rPr>
          <w:rFonts w:ascii="Arial" w:cs="Arial" w:eastAsia="Arial" w:hAnsi="Arial"/>
          <w:sz w:val="15"/>
          <w:szCs w:val="15"/>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56" w:lineRule="exact"/>
        <w:rPr>
          <w:sz w:val="20"/>
          <w:szCs w:val="20"/>
          <w:color w:val="auto"/>
        </w:rPr>
      </w:pPr>
    </w:p>
    <w:p>
      <w:pPr>
        <w:ind w:right="140" w:firstLine="556"/>
        <w:spacing w:after="0" w:line="289"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Entire Agreement</w:t>
      </w:r>
      <w:r>
        <w:rPr>
          <w:rFonts w:ascii="Arial" w:cs="Arial" w:eastAsia="Arial" w:hAnsi="Arial"/>
          <w:sz w:val="15"/>
          <w:szCs w:val="15"/>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1" w:lineRule="exact"/>
        <w:rPr>
          <w:sz w:val="20"/>
          <w:szCs w:val="20"/>
          <w:color w:val="auto"/>
        </w:rPr>
      </w:pPr>
    </w:p>
    <w:p>
      <w:pPr>
        <w:ind w:right="260" w:firstLine="556"/>
        <w:spacing w:after="0" w:line="289" w:lineRule="auto"/>
        <w:rPr>
          <w:sz w:val="20"/>
          <w:szCs w:val="20"/>
          <w:color w:val="auto"/>
        </w:rPr>
      </w:pPr>
      <w:r>
        <w:rPr>
          <w:rFonts w:ascii="Arial" w:cs="Arial" w:eastAsia="Arial" w:hAnsi="Arial"/>
          <w:sz w:val="15"/>
          <w:szCs w:val="15"/>
          <w:color w:val="auto"/>
        </w:rPr>
        <w:t xml:space="preserve">4.8 </w:t>
      </w:r>
      <w:r>
        <w:rPr>
          <w:rFonts w:ascii="Arial" w:cs="Arial" w:eastAsia="Arial" w:hAnsi="Arial"/>
          <w:sz w:val="15"/>
          <w:szCs w:val="15"/>
          <w:u w:val="single" w:color="auto"/>
          <w:color w:val="auto"/>
        </w:rPr>
        <w:t>Agreement Severable</w:t>
      </w:r>
      <w:r>
        <w:rPr>
          <w:rFonts w:ascii="Arial" w:cs="Arial" w:eastAsia="Arial" w:hAnsi="Arial"/>
          <w:sz w:val="15"/>
          <w:szCs w:val="15"/>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1" w:lineRule="exact"/>
        <w:rPr>
          <w:sz w:val="20"/>
          <w:szCs w:val="20"/>
          <w:color w:val="auto"/>
        </w:rPr>
      </w:pPr>
    </w:p>
    <w:p>
      <w:pPr>
        <w:ind w:right="60" w:firstLine="556"/>
        <w:spacing w:after="0" w:line="293" w:lineRule="auto"/>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u w:val="single" w:color="auto"/>
          <w:color w:val="auto"/>
        </w:rPr>
        <w:t>Limitation on Participant’s Rights</w:t>
      </w:r>
      <w:r>
        <w:rPr>
          <w:rFonts w:ascii="Arial" w:cs="Arial" w:eastAsia="Arial" w:hAnsi="Arial"/>
          <w:sz w:val="14"/>
          <w:szCs w:val="14"/>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40" w:lineRule="exact"/>
        <w:rPr>
          <w:sz w:val="20"/>
          <w:szCs w:val="20"/>
          <w:color w:val="auto"/>
        </w:rPr>
      </w:pPr>
    </w:p>
    <w:p>
      <w:pPr>
        <w:ind w:right="40" w:firstLine="556"/>
        <w:spacing w:after="0" w:line="268"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u w:val="single" w:color="auto"/>
          <w:color w:val="auto"/>
        </w:rPr>
        <w:t>Not a Contract of Employment</w:t>
      </w:r>
      <w:r>
        <w:rPr>
          <w:rFonts w:ascii="Arial" w:cs="Arial" w:eastAsia="Arial" w:hAnsi="Arial"/>
          <w:sz w:val="15"/>
          <w:szCs w:val="15"/>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56" w:lineRule="exact"/>
        <w:rPr>
          <w:sz w:val="20"/>
          <w:szCs w:val="20"/>
          <w:color w:val="auto"/>
        </w:rPr>
      </w:pPr>
    </w:p>
    <w:p>
      <w:pPr>
        <w:ind w:right="60" w:firstLine="556"/>
        <w:spacing w:after="0" w:line="289" w:lineRule="auto"/>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Counterparts</w:t>
      </w:r>
      <w:r>
        <w:rPr>
          <w:rFonts w:ascii="Arial" w:cs="Arial" w:eastAsia="Arial" w:hAnsi="Arial"/>
          <w:sz w:val="15"/>
          <w:szCs w:val="15"/>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1"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4.12</w:t>
      </w:r>
      <w:r>
        <w:rPr>
          <w:sz w:val="20"/>
          <w:szCs w:val="20"/>
          <w:color w:val="auto"/>
        </w:rPr>
        <w:tab/>
      </w:r>
      <w:r>
        <w:rPr>
          <w:rFonts w:ascii="Arial" w:cs="Arial" w:eastAsia="Arial" w:hAnsi="Arial"/>
          <w:sz w:val="14"/>
          <w:szCs w:val="14"/>
          <w:u w:val="single" w:color="auto"/>
          <w:color w:val="auto"/>
        </w:rPr>
        <w:t>Incentive Stock Options</w:t>
      </w:r>
      <w:r>
        <w:rPr>
          <w:rFonts w:ascii="Arial" w:cs="Arial" w:eastAsia="Arial" w:hAnsi="Arial"/>
          <w:sz w:val="14"/>
          <w:szCs w:val="14"/>
          <w:color w:val="auto"/>
        </w:rPr>
        <w:t>. If the Option is designated as an Incentive Stock Option:</w:t>
      </w:r>
    </w:p>
    <w:p>
      <w:pPr>
        <w:spacing w:after="0" w:line="198" w:lineRule="exact"/>
        <w:rPr>
          <w:sz w:val="20"/>
          <w:szCs w:val="20"/>
          <w:color w:val="auto"/>
        </w:rPr>
      </w:pPr>
    </w:p>
    <w:p>
      <w:pPr>
        <w:ind w:right="200" w:firstLine="1104"/>
        <w:spacing w:after="0" w:line="265" w:lineRule="auto"/>
        <w:tabs>
          <w:tab w:leader="none" w:pos="1665" w:val="left"/>
        </w:tabs>
        <w:numPr>
          <w:ilvl w:val="0"/>
          <w:numId w:val="302"/>
        </w:numPr>
        <w:rPr>
          <w:rFonts w:ascii="Arial" w:cs="Arial" w:eastAsia="Arial" w:hAnsi="Arial"/>
          <w:sz w:val="15"/>
          <w:szCs w:val="15"/>
          <w:color w:val="auto"/>
        </w:rPr>
      </w:pPr>
      <w:r>
        <w:rPr>
          <w:rFonts w:ascii="Arial" w:cs="Arial" w:eastAsia="Arial" w:hAnsi="Arial"/>
          <w:sz w:val="15"/>
          <w:szCs w:val="15"/>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sentence will be applied by taking the Option and other stock options into account in the order in which they were granted, as determined under Section 422(d) of the Code. Participant also acknowledges that if the Option is exercised more than three (3) months after Participant’s Termination of Service, other than by reason of death or disability, the Option will be taxed as a Non-Qualified Stock Option.</w:t>
      </w:r>
    </w:p>
    <w:p>
      <w:pPr>
        <w:spacing w:after="0" w:line="153" w:lineRule="exact"/>
        <w:rPr>
          <w:sz w:val="20"/>
          <w:szCs w:val="20"/>
          <w:color w:val="auto"/>
        </w:rPr>
      </w:pPr>
    </w:p>
    <w:p>
      <w:pPr>
        <w:ind w:right="120" w:firstLine="1104"/>
        <w:spacing w:after="0" w:line="268" w:lineRule="auto"/>
        <w:tabs>
          <w:tab w:leader="none" w:pos="1674" w:val="left"/>
        </w:tabs>
        <w:numPr>
          <w:ilvl w:val="0"/>
          <w:numId w:val="303"/>
        </w:numPr>
        <w:rPr>
          <w:rFonts w:ascii="Arial" w:cs="Arial" w:eastAsia="Arial" w:hAnsi="Arial"/>
          <w:sz w:val="15"/>
          <w:szCs w:val="15"/>
          <w:color w:val="auto"/>
        </w:rPr>
      </w:pPr>
      <w:r>
        <w:rPr>
          <w:rFonts w:ascii="Arial" w:cs="Arial" w:eastAsia="Arial" w:hAnsi="Arial"/>
          <w:sz w:val="15"/>
          <w:szCs w:val="15"/>
          <w:color w:val="auto"/>
        </w:rPr>
        <w:t>Participant will give prompt written notice to the Company of any disposition or other transfer of any Shares acquired under this Agreement if such disposition or other transfer is made (a) within two (2) years from the Grant Date or (b) within one (1)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 * * *</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2"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SELECTA BIOSCIENCES, INC.</w:t>
      </w:r>
    </w:p>
    <w:p>
      <w:pPr>
        <w:spacing w:after="0" w:line="29"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2016 INCENTIVE AWARD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UNIT GRANT NOTICE</w:t>
      </w:r>
    </w:p>
    <w:p>
      <w:pPr>
        <w:spacing w:after="0" w:line="204" w:lineRule="exact"/>
        <w:rPr>
          <w:sz w:val="20"/>
          <w:szCs w:val="20"/>
          <w:color w:val="auto"/>
        </w:rPr>
      </w:pPr>
    </w:p>
    <w:p>
      <w:pPr>
        <w:ind w:right="160" w:firstLine="556"/>
        <w:spacing w:after="0" w:line="289" w:lineRule="auto"/>
        <w:rPr>
          <w:sz w:val="20"/>
          <w:szCs w:val="20"/>
          <w:color w:val="auto"/>
        </w:rPr>
      </w:pPr>
      <w:r>
        <w:rPr>
          <w:rFonts w:ascii="Arial" w:cs="Arial" w:eastAsia="Arial" w:hAnsi="Arial"/>
          <w:sz w:val="15"/>
          <w:szCs w:val="15"/>
          <w:color w:val="auto"/>
        </w:rPr>
        <w:t>Capitalized terms not specifically defined in this Restricted Stock Unit Grant Notice (the “</w:t>
      </w:r>
      <w:r>
        <w:rPr>
          <w:rFonts w:ascii="Arial" w:cs="Arial" w:eastAsia="Arial" w:hAnsi="Arial"/>
          <w:sz w:val="15"/>
          <w:szCs w:val="15"/>
          <w:b w:val="1"/>
          <w:bCs w:val="1"/>
          <w:i w:val="1"/>
          <w:iCs w:val="1"/>
          <w:color w:val="auto"/>
        </w:rPr>
        <w:t>Grant Notice</w:t>
      </w:r>
      <w:r>
        <w:rPr>
          <w:rFonts w:ascii="Arial" w:cs="Arial" w:eastAsia="Arial" w:hAnsi="Arial"/>
          <w:sz w:val="15"/>
          <w:szCs w:val="15"/>
          <w:color w:val="auto"/>
        </w:rPr>
        <w:t>”) have the meanings given to them in the 2016 Incentive Award Plan (as amended from time to time,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of Selecta Biosciences,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w:t>
      </w:r>
    </w:p>
    <w:p>
      <w:pPr>
        <w:spacing w:after="0" w:line="141" w:lineRule="exact"/>
        <w:rPr>
          <w:sz w:val="20"/>
          <w:szCs w:val="20"/>
          <w:color w:val="auto"/>
        </w:rPr>
      </w:pPr>
    </w:p>
    <w:p>
      <w:pPr>
        <w:ind w:firstLine="556"/>
        <w:spacing w:after="0" w:line="324" w:lineRule="auto"/>
        <w:rPr>
          <w:sz w:val="20"/>
          <w:szCs w:val="20"/>
          <w:color w:val="auto"/>
        </w:rPr>
      </w:pPr>
      <w:r>
        <w:rPr>
          <w:rFonts w:ascii="Arial" w:cs="Arial" w:eastAsia="Arial" w:hAnsi="Arial"/>
          <w:sz w:val="14"/>
          <w:szCs w:val="14"/>
          <w:color w:val="auto"/>
        </w:rPr>
        <w:t>The Company has granted to the participant listed below (“</w:t>
      </w:r>
      <w:r>
        <w:rPr>
          <w:rFonts w:ascii="Arial" w:cs="Arial" w:eastAsia="Arial" w:hAnsi="Arial"/>
          <w:sz w:val="14"/>
          <w:szCs w:val="14"/>
          <w:b w:val="1"/>
          <w:bCs w:val="1"/>
          <w:i w:val="1"/>
          <w:iCs w:val="1"/>
          <w:color w:val="auto"/>
        </w:rPr>
        <w:t>Participant</w:t>
      </w:r>
      <w:r>
        <w:rPr>
          <w:rFonts w:ascii="Arial" w:cs="Arial" w:eastAsia="Arial" w:hAnsi="Arial"/>
          <w:sz w:val="14"/>
          <w:szCs w:val="14"/>
          <w:color w:val="auto"/>
        </w:rPr>
        <w:t>”) the Restricted Stock Units described in this Grant Notice (the “</w:t>
      </w:r>
      <w:r>
        <w:rPr>
          <w:rFonts w:ascii="Arial" w:cs="Arial" w:eastAsia="Arial" w:hAnsi="Arial"/>
          <w:sz w:val="14"/>
          <w:szCs w:val="14"/>
          <w:b w:val="1"/>
          <w:bCs w:val="1"/>
          <w:i w:val="1"/>
          <w:iCs w:val="1"/>
          <w:color w:val="auto"/>
        </w:rPr>
        <w:t>RSUs</w:t>
      </w:r>
      <w:r>
        <w:rPr>
          <w:rFonts w:ascii="Arial" w:cs="Arial" w:eastAsia="Arial" w:hAnsi="Arial"/>
          <w:sz w:val="14"/>
          <w:szCs w:val="14"/>
          <w:color w:val="auto"/>
        </w:rPr>
        <w:t xml:space="preserve">”), subject to the terms and conditions of the Plan and the Restricted Stock Unit Agreement attached as </w:t>
      </w:r>
      <w:r>
        <w:rPr>
          <w:rFonts w:ascii="Arial" w:cs="Arial" w:eastAsia="Arial" w:hAnsi="Arial"/>
          <w:sz w:val="14"/>
          <w:szCs w:val="14"/>
          <w:b w:val="1"/>
          <w:bCs w:val="1"/>
          <w:color w:val="auto"/>
        </w:rPr>
        <w:t>Exhibit A</w:t>
      </w:r>
      <w:r>
        <w:rPr>
          <w:rFonts w:ascii="Arial" w:cs="Arial" w:eastAsia="Arial" w:hAnsi="Arial"/>
          <w:sz w:val="14"/>
          <w:szCs w:val="14"/>
          <w:color w:val="auto"/>
        </w:rPr>
        <w:t xml:space="preserve">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both of which are incorporated into this Grant Notice by reference.</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Participant:</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Grant Date:</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Number of RSUs: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Vesting Commencement Date:</w:t>
      </w:r>
    </w:p>
    <w:p>
      <w:pPr>
        <w:spacing w:after="0" w:line="198" w:lineRule="exact"/>
        <w:rPr>
          <w:sz w:val="20"/>
          <w:szCs w:val="20"/>
          <w:color w:val="auto"/>
        </w:rPr>
      </w:pPr>
    </w:p>
    <w:p>
      <w:pPr>
        <w:ind w:left="160"/>
        <w:spacing w:after="0"/>
        <w:tabs>
          <w:tab w:leader="none" w:pos="3400" w:val="left"/>
        </w:tabs>
        <w:rPr>
          <w:sz w:val="20"/>
          <w:szCs w:val="20"/>
          <w:color w:val="auto"/>
        </w:rPr>
      </w:pPr>
      <w:r>
        <w:rPr>
          <w:rFonts w:ascii="Arial" w:cs="Arial" w:eastAsia="Arial" w:hAnsi="Arial"/>
          <w:sz w:val="15"/>
          <w:szCs w:val="15"/>
          <w:b w:val="1"/>
          <w:bCs w:val="1"/>
          <w:color w:val="auto"/>
        </w:rPr>
        <w:t>Vesting Schedule:</w:t>
      </w:r>
      <w:r>
        <w:rPr>
          <w:sz w:val="20"/>
          <w:szCs w:val="20"/>
          <w:color w:val="auto"/>
        </w:rPr>
        <w:tab/>
      </w:r>
      <w:r>
        <w:rPr>
          <w:rFonts w:ascii="Arial" w:cs="Arial" w:eastAsia="Arial" w:hAnsi="Arial"/>
          <w:sz w:val="14"/>
          <w:szCs w:val="14"/>
          <w:color w:val="auto"/>
        </w:rPr>
        <w:t>[To be specified in individual award agreements]</w:t>
      </w:r>
    </w:p>
    <w:p>
      <w:pPr>
        <w:sectPr>
          <w:pgSz w:w="11900" w:h="16838" w:orient="portrait"/>
          <w:cols w:equalWidth="0" w:num="1">
            <w:col w:w="11420"/>
          </w:cols>
          <w:pgMar w:left="240" w:top="129" w:right="239" w:bottom="0" w:gutter="0" w:footer="0" w:header="0"/>
        </w:sectPr>
      </w:pPr>
    </w:p>
    <w:bookmarkStart w:id="354" w:name="page355"/>
    <w:bookmarkEnd w:id="354"/>
    <w:p>
      <w:pPr>
        <w:ind w:right="20" w:firstLine="556"/>
        <w:spacing w:after="0" w:line="268" w:lineRule="auto"/>
        <w:rPr>
          <w:sz w:val="20"/>
          <w:szCs w:val="20"/>
          <w:color w:val="auto"/>
        </w:rPr>
      </w:pPr>
      <w:r>
        <w:rPr>
          <w:rFonts w:ascii="Arial" w:cs="Arial" w:eastAsia="Arial" w:hAnsi="Arial"/>
          <w:sz w:val="15"/>
          <w:szCs w:val="15"/>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35" w:lineRule="exact"/>
        <w:rPr>
          <w:sz w:val="20"/>
          <w:szCs w:val="20"/>
          <w:color w:val="auto"/>
        </w:rPr>
      </w:pPr>
    </w:p>
    <w:p>
      <w:pPr>
        <w:spacing w:after="0"/>
        <w:tabs>
          <w:tab w:leader="none" w:pos="5680" w:val="left"/>
        </w:tabs>
        <w:rPr>
          <w:sz w:val="20"/>
          <w:szCs w:val="20"/>
          <w:color w:val="auto"/>
        </w:rPr>
      </w:pPr>
      <w:r>
        <w:rPr>
          <w:rFonts w:ascii="Arial" w:cs="Arial" w:eastAsia="Arial" w:hAnsi="Arial"/>
          <w:sz w:val="15"/>
          <w:szCs w:val="15"/>
          <w:b w:val="1"/>
          <w:bCs w:val="1"/>
          <w:color w:val="auto"/>
        </w:rPr>
        <w:t>SELECTA BIOSCIENCES, INC.</w:t>
      </w:r>
      <w:r>
        <w:rPr>
          <w:sz w:val="20"/>
          <w:szCs w:val="20"/>
          <w:color w:val="auto"/>
        </w:rPr>
        <w:tab/>
      </w:r>
      <w:r>
        <w:rPr>
          <w:rFonts w:ascii="Arial" w:cs="Arial" w:eastAsia="Arial" w:hAnsi="Arial"/>
          <w:sz w:val="15"/>
          <w:szCs w:val="15"/>
          <w:b w:val="1"/>
          <w:bCs w:val="1"/>
          <w:color w:val="auto"/>
        </w:rPr>
        <w:t>PARTICIPANT</w:t>
      </w: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spacing w:after="0"/>
        <w:tabs>
          <w:tab w:leader="none" w:pos="568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5"/>
          <w:szCs w:val="15"/>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-108585</wp:posOffset>
            </wp:positionV>
            <wp:extent cx="6788150" cy="762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6788150"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8255</wp:posOffset>
            </wp:positionV>
            <wp:extent cx="2912110" cy="762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2912110" cy="7620"/>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-108585</wp:posOffset>
            </wp:positionV>
            <wp:extent cx="2912110" cy="762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291211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285990" cy="2730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UNIT AGREEMENT</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Capitalized terms not specifically defined in this Agreement have the meanings specified in the Grant Notice or, if not defined in the Grant Notice, in the Plan.</w:t>
      </w:r>
    </w:p>
    <w:p>
      <w:pPr>
        <w:spacing w:after="0" w:line="192"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ARTICLE I.</w:t>
      </w:r>
    </w:p>
    <w:p>
      <w:pPr>
        <w:spacing w:after="0" w:line="29"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GENERAL</w:t>
      </w:r>
    </w:p>
    <w:p>
      <w:pPr>
        <w:spacing w:after="0" w:line="188"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4"/>
          <w:szCs w:val="14"/>
          <w:u w:val="single" w:color="auto"/>
          <w:color w:val="auto"/>
        </w:rPr>
        <w:t>Award of RSUs and Dividend Equivalents</w:t>
      </w:r>
      <w:r>
        <w:rPr>
          <w:rFonts w:ascii="Arial" w:cs="Arial" w:eastAsia="Arial" w:hAnsi="Arial"/>
          <w:sz w:val="14"/>
          <w:szCs w:val="14"/>
          <w:color w:val="auto"/>
        </w:rPr>
        <w:t>.</w:t>
      </w:r>
    </w:p>
    <w:p>
      <w:pPr>
        <w:spacing w:after="0" w:line="198" w:lineRule="exact"/>
        <w:rPr>
          <w:sz w:val="20"/>
          <w:szCs w:val="20"/>
          <w:color w:val="auto"/>
        </w:rPr>
      </w:pPr>
    </w:p>
    <w:p>
      <w:pPr>
        <w:ind w:right="180" w:firstLine="1104"/>
        <w:spacing w:after="0" w:line="273" w:lineRule="auto"/>
        <w:tabs>
          <w:tab w:leader="none" w:pos="1708" w:val="left"/>
        </w:tabs>
        <w:numPr>
          <w:ilvl w:val="0"/>
          <w:numId w:val="304"/>
        </w:numPr>
        <w:rPr>
          <w:rFonts w:ascii="Arial" w:cs="Arial" w:eastAsia="Arial" w:hAnsi="Arial"/>
          <w:sz w:val="15"/>
          <w:szCs w:val="15"/>
          <w:color w:val="auto"/>
        </w:rPr>
      </w:pPr>
      <w:r>
        <w:rPr>
          <w:rFonts w:ascii="Arial" w:cs="Arial" w:eastAsia="Arial" w:hAnsi="Arial"/>
          <w:sz w:val="15"/>
          <w:szCs w:val="15"/>
          <w:color w:val="auto"/>
        </w:rPr>
        <w:t>The Company has granted the RSUs to Participant effective as of the grant date set forth in the Grant Notice (the “</w:t>
      </w:r>
      <w:r>
        <w:rPr>
          <w:rFonts w:ascii="Arial" w:cs="Arial" w:eastAsia="Arial" w:hAnsi="Arial"/>
          <w:sz w:val="15"/>
          <w:szCs w:val="15"/>
          <w:b w:val="1"/>
          <w:bCs w:val="1"/>
          <w:i w:val="1"/>
          <w:iCs w:val="1"/>
          <w:color w:val="auto"/>
        </w:rPr>
        <w:t>Grant Date</w:t>
      </w:r>
      <w:r>
        <w:rPr>
          <w:rFonts w:ascii="Arial" w:cs="Arial" w:eastAsia="Arial" w:hAnsi="Arial"/>
          <w:sz w:val="15"/>
          <w:szCs w:val="15"/>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152" w:lineRule="exact"/>
        <w:rPr>
          <w:rFonts w:ascii="Arial" w:cs="Arial" w:eastAsia="Arial" w:hAnsi="Arial"/>
          <w:sz w:val="15"/>
          <w:szCs w:val="15"/>
          <w:color w:val="auto"/>
        </w:rPr>
      </w:pPr>
    </w:p>
    <w:p>
      <w:pPr>
        <w:ind w:right="20" w:firstLine="1104"/>
        <w:spacing w:after="0" w:line="265" w:lineRule="auto"/>
        <w:tabs>
          <w:tab w:leader="none" w:pos="1716" w:val="left"/>
        </w:tabs>
        <w:numPr>
          <w:ilvl w:val="0"/>
          <w:numId w:val="304"/>
        </w:numPr>
        <w:rPr>
          <w:rFonts w:ascii="Arial" w:cs="Arial" w:eastAsia="Arial" w:hAnsi="Arial"/>
          <w:sz w:val="15"/>
          <w:szCs w:val="15"/>
          <w:color w:val="auto"/>
        </w:rPr>
      </w:pPr>
      <w:r>
        <w:rPr>
          <w:rFonts w:ascii="Arial" w:cs="Arial" w:eastAsia="Arial" w:hAnsi="Arial"/>
          <w:sz w:val="15"/>
          <w:szCs w:val="15"/>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Arial" w:cs="Arial" w:eastAsia="Arial" w:hAnsi="Arial"/>
          <w:sz w:val="15"/>
          <w:szCs w:val="15"/>
          <w:b w:val="1"/>
          <w:bCs w:val="1"/>
          <w:i w:val="1"/>
          <w:iCs w:val="1"/>
          <w:color w:val="auto"/>
        </w:rPr>
        <w:t>Dividend Equivalent Account</w:t>
      </w:r>
      <w:r>
        <w:rPr>
          <w:rFonts w:ascii="Arial" w:cs="Arial" w:eastAsia="Arial" w:hAnsi="Arial"/>
          <w:sz w:val="15"/>
          <w:szCs w:val="15"/>
          <w:color w:val="auto"/>
        </w:rPr>
        <w:t>”) for each Dividend Equivalent and credit the Dividend Equivalent Account (without interest) on the applicable dividend payment date with the amount of any such cash paid.</w:t>
      </w:r>
    </w:p>
    <w:p>
      <w:pPr>
        <w:spacing w:after="0" w:line="160"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4"/>
          <w:szCs w:val="14"/>
          <w:u w:val="single" w:color="auto"/>
          <w:color w:val="auto"/>
        </w:rPr>
        <w:t>Incorporation of Terms of Plan</w:t>
      </w:r>
      <w:r>
        <w:rPr>
          <w:rFonts w:ascii="Arial" w:cs="Arial" w:eastAsia="Arial" w:hAnsi="Arial"/>
          <w:sz w:val="14"/>
          <w:szCs w:val="14"/>
          <w:color w:val="auto"/>
        </w:rPr>
        <w:t>. The RSUs are subject to the terms and conditions set forth in this Agreement and the Plan, which is incorporated herein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In the event of any inconsistency between the Plan and this Agreement, the terms of the Plan will control.</w:t>
      </w:r>
    </w:p>
    <w:p>
      <w:pPr>
        <w:spacing w:after="0" w:line="188" w:lineRule="exact"/>
        <w:rPr>
          <w:sz w:val="20"/>
          <w:szCs w:val="20"/>
          <w:color w:val="auto"/>
        </w:rPr>
      </w:pPr>
    </w:p>
    <w:p>
      <w:pPr>
        <w:ind w:right="400" w:firstLine="556"/>
        <w:spacing w:after="0" w:line="289"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Unsecured Promise</w:t>
      </w:r>
      <w:r>
        <w:rPr>
          <w:rFonts w:ascii="Arial" w:cs="Arial" w:eastAsia="Arial" w:hAnsi="Arial"/>
          <w:sz w:val="15"/>
          <w:szCs w:val="15"/>
          <w:color w:val="auto"/>
        </w:rPr>
        <w:t>. The RSUs and Dividend Equivalents will at all times prior to settlement represent an unsecured Company obligation payable only from the Company’s general assets.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VESTING; FORFEITURE AND SETTLEMENT</w:t>
      </w:r>
    </w:p>
    <w:p>
      <w:pPr>
        <w:spacing w:after="0" w:line="188" w:lineRule="exact"/>
        <w:rPr>
          <w:sz w:val="20"/>
          <w:szCs w:val="20"/>
          <w:color w:val="auto"/>
        </w:rPr>
      </w:pPr>
    </w:p>
    <w:p>
      <w:pPr>
        <w:ind w:right="100" w:firstLine="556"/>
        <w:spacing w:after="0" w:line="265"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Vesting; Forfeiture</w:t>
      </w:r>
      <w:r>
        <w:rPr>
          <w:rFonts w:ascii="Arial" w:cs="Arial" w:eastAsia="Arial" w:hAnsi="Arial"/>
          <w:sz w:val="15"/>
          <w:szCs w:val="15"/>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160"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3"/>
          <w:szCs w:val="13"/>
          <w:u w:val="single" w:color="auto"/>
          <w:color w:val="auto"/>
        </w:rPr>
        <w:t>Settlement</w:t>
      </w:r>
      <w:r>
        <w:rPr>
          <w:rFonts w:ascii="Arial" w:cs="Arial" w:eastAsia="Arial" w:hAnsi="Arial"/>
          <w:sz w:val="13"/>
          <w:szCs w:val="13"/>
          <w:color w:val="auto"/>
        </w:rPr>
        <w:t>.</w:t>
      </w:r>
    </w:p>
    <w:p>
      <w:pPr>
        <w:spacing w:after="0" w:line="198" w:lineRule="exact"/>
        <w:rPr>
          <w:sz w:val="20"/>
          <w:szCs w:val="20"/>
          <w:color w:val="auto"/>
        </w:rPr>
      </w:pPr>
    </w:p>
    <w:p>
      <w:pPr>
        <w:ind w:right="280" w:firstLine="1104"/>
        <w:spacing w:after="0" w:line="302" w:lineRule="auto"/>
        <w:tabs>
          <w:tab w:leader="none" w:pos="1708" w:val="left"/>
        </w:tabs>
        <w:numPr>
          <w:ilvl w:val="0"/>
          <w:numId w:val="305"/>
        </w:numPr>
        <w:rPr>
          <w:rFonts w:ascii="Arial" w:cs="Arial" w:eastAsia="Arial" w:hAnsi="Arial"/>
          <w:sz w:val="14"/>
          <w:szCs w:val="14"/>
          <w:color w:val="auto"/>
        </w:rPr>
      </w:pPr>
      <w:r>
        <w:rPr>
          <w:rFonts w:ascii="Arial" w:cs="Arial" w:eastAsia="Arial" w:hAnsi="Arial"/>
          <w:sz w:val="14"/>
          <w:szCs w:val="14"/>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285990" cy="2730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680"/>
        <w:spacing w:after="0" w:line="289" w:lineRule="auto"/>
        <w:rPr>
          <w:sz w:val="20"/>
          <w:szCs w:val="20"/>
          <w:color w:val="auto"/>
        </w:rPr>
      </w:pPr>
      <w:r>
        <w:rPr>
          <w:rFonts w:ascii="Arial" w:cs="Arial" w:eastAsia="Arial" w:hAnsi="Arial"/>
          <w:sz w:val="15"/>
          <w:szCs w:val="15"/>
          <w:color w:val="auto"/>
        </w:rPr>
        <w:t>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41" w:lineRule="exact"/>
        <w:rPr>
          <w:sz w:val="20"/>
          <w:szCs w:val="20"/>
          <w:color w:val="auto"/>
        </w:rPr>
      </w:pPr>
    </w:p>
    <w:p>
      <w:pPr>
        <w:jc w:val="both"/>
        <w:ind w:right="60" w:firstLine="1104"/>
        <w:spacing w:after="0" w:line="302" w:lineRule="auto"/>
        <w:tabs>
          <w:tab w:leader="none" w:pos="1716" w:val="left"/>
        </w:tabs>
        <w:numPr>
          <w:ilvl w:val="0"/>
          <w:numId w:val="306"/>
        </w:numPr>
        <w:rPr>
          <w:rFonts w:ascii="Arial" w:cs="Arial" w:eastAsia="Arial" w:hAnsi="Arial"/>
          <w:sz w:val="14"/>
          <w:szCs w:val="14"/>
          <w:color w:val="auto"/>
        </w:rPr>
      </w:pPr>
      <w:r>
        <w:rPr>
          <w:rFonts w:ascii="Arial" w:cs="Arial" w:eastAsia="Arial" w:hAnsi="Arial"/>
          <w:sz w:val="14"/>
          <w:szCs w:val="14"/>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TAXATION AND TAX WITHHOLDING</w:t>
      </w:r>
    </w:p>
    <w:p>
      <w:pPr>
        <w:spacing w:after="0" w:line="188" w:lineRule="exact"/>
        <w:rPr>
          <w:sz w:val="20"/>
          <w:szCs w:val="20"/>
          <w:color w:val="auto"/>
        </w:rPr>
      </w:pPr>
    </w:p>
    <w:p>
      <w:pPr>
        <w:ind w:right="40" w:firstLine="556"/>
        <w:spacing w:after="0" w:line="273"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Representation</w:t>
      </w:r>
      <w:r>
        <w:rPr>
          <w:rFonts w:ascii="Arial" w:cs="Arial" w:eastAsia="Arial" w:hAnsi="Arial"/>
          <w:sz w:val="15"/>
          <w:szCs w:val="15"/>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53"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4"/>
          <w:szCs w:val="14"/>
          <w:u w:val="single" w:color="auto"/>
          <w:color w:val="auto"/>
        </w:rPr>
        <w:t>Tax Withholding</w:t>
      </w:r>
      <w:r>
        <w:rPr>
          <w:rFonts w:ascii="Arial" w:cs="Arial" w:eastAsia="Arial" w:hAnsi="Arial"/>
          <w:sz w:val="14"/>
          <w:szCs w:val="14"/>
          <w:color w:val="auto"/>
        </w:rPr>
        <w:t>.</w:t>
      </w:r>
    </w:p>
    <w:p>
      <w:pPr>
        <w:spacing w:after="0" w:line="198" w:lineRule="exact"/>
        <w:rPr>
          <w:sz w:val="20"/>
          <w:szCs w:val="20"/>
          <w:color w:val="auto"/>
        </w:rPr>
      </w:pPr>
    </w:p>
    <w:p>
      <w:pPr>
        <w:ind w:right="300" w:firstLine="1104"/>
        <w:spacing w:after="0" w:line="273" w:lineRule="auto"/>
        <w:tabs>
          <w:tab w:leader="none" w:pos="1708" w:val="left"/>
        </w:tabs>
        <w:numPr>
          <w:ilvl w:val="0"/>
          <w:numId w:val="307"/>
        </w:numPr>
        <w:rPr>
          <w:rFonts w:ascii="Arial" w:cs="Arial" w:eastAsia="Arial" w:hAnsi="Arial"/>
          <w:sz w:val="15"/>
          <w:szCs w:val="15"/>
          <w:color w:val="auto"/>
        </w:rPr>
      </w:pPr>
      <w:r>
        <w:rPr>
          <w:rFonts w:ascii="Arial" w:cs="Arial" w:eastAsia="Arial" w:hAnsi="Arial"/>
          <w:sz w:val="15"/>
          <w:szCs w:val="15"/>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52" w:lineRule="exact"/>
        <w:rPr>
          <w:rFonts w:ascii="Arial" w:cs="Arial" w:eastAsia="Arial" w:hAnsi="Arial"/>
          <w:sz w:val="15"/>
          <w:szCs w:val="15"/>
          <w:color w:val="auto"/>
        </w:rPr>
      </w:pPr>
    </w:p>
    <w:p>
      <w:pPr>
        <w:ind w:right="120" w:firstLine="1104"/>
        <w:spacing w:after="0" w:line="265" w:lineRule="auto"/>
        <w:tabs>
          <w:tab w:leader="none" w:pos="1716" w:val="left"/>
        </w:tabs>
        <w:numPr>
          <w:ilvl w:val="0"/>
          <w:numId w:val="307"/>
        </w:numPr>
        <w:rPr>
          <w:rFonts w:ascii="Arial" w:cs="Arial" w:eastAsia="Arial" w:hAnsi="Arial"/>
          <w:sz w:val="15"/>
          <w:szCs w:val="15"/>
          <w:color w:val="auto"/>
        </w:rPr>
      </w:pPr>
      <w:r>
        <w:rPr>
          <w:rFonts w:ascii="Arial" w:cs="Arial" w:eastAsia="Arial" w:hAnsi="Arial"/>
          <w:sz w:val="15"/>
          <w:szCs w:val="15"/>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ectPr>
          <w:pgSz w:w="11900" w:h="16838" w:orient="portrait"/>
          <w:cols w:equalWidth="0" w:num="1">
            <w:col w:w="11440"/>
          </w:cols>
          <w:pgMar w:left="240" w:top="129" w:right="219" w:bottom="43" w:gutter="0" w:footer="0" w:header="0"/>
        </w:sectPr>
      </w:pPr>
    </w:p>
    <w:bookmarkStart w:id="355" w:name="page356"/>
    <w:bookmarkEnd w:id="355"/>
    <w:p>
      <w:pPr>
        <w:jc w:val="center"/>
        <w:spacing w:after="0"/>
        <w:rPr>
          <w:sz w:val="20"/>
          <w:szCs w:val="20"/>
          <w:color w:val="auto"/>
        </w:rPr>
      </w:pPr>
      <w:r>
        <w:rPr>
          <w:rFonts w:ascii="Arial" w:cs="Arial" w:eastAsia="Arial" w:hAnsi="Arial"/>
          <w:sz w:val="15"/>
          <w:szCs w:val="15"/>
          <w:b w:val="1"/>
          <w:bCs w:val="1"/>
          <w:color w:val="auto"/>
        </w:rPr>
        <w:t>ARTICLE IV.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PROVISIONS</w:t>
      </w:r>
    </w:p>
    <w:p>
      <w:pPr>
        <w:spacing w:after="0" w:line="188" w:lineRule="exact"/>
        <w:rPr>
          <w:sz w:val="20"/>
          <w:szCs w:val="20"/>
          <w:color w:val="auto"/>
        </w:rPr>
      </w:pPr>
    </w:p>
    <w:p>
      <w:pPr>
        <w:ind w:right="380" w:firstLine="556"/>
        <w:spacing w:after="0" w:line="289"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Adjustments</w:t>
      </w:r>
      <w:r>
        <w:rPr>
          <w:rFonts w:ascii="Arial" w:cs="Arial" w:eastAsia="Arial" w:hAnsi="Arial"/>
          <w:sz w:val="15"/>
          <w:szCs w:val="15"/>
          <w:color w:val="auto"/>
        </w:rPr>
        <w:t>. Participant acknowledges that the RSUs, the Shares subject to the RSUs and the Dividend Equivalents are subject to adjustment, modification and termination in certain events as provided in this Agreement and the Plan.</w:t>
      </w:r>
    </w:p>
    <w:p>
      <w:pPr>
        <w:spacing w:after="0" w:line="141" w:lineRule="exact"/>
        <w:rPr>
          <w:sz w:val="20"/>
          <w:szCs w:val="20"/>
          <w:color w:val="auto"/>
        </w:rPr>
      </w:pPr>
    </w:p>
    <w:p>
      <w:pPr>
        <w:ind w:right="80" w:firstLine="556"/>
        <w:spacing w:after="0" w:line="286"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Notices</w:t>
      </w:r>
      <w:r>
        <w:rPr>
          <w:rFonts w:ascii="Arial" w:cs="Arial" w:eastAsia="Arial" w:hAnsi="Arial"/>
          <w:sz w:val="14"/>
          <w:szCs w:val="14"/>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4"/>
          <w:szCs w:val="14"/>
          <w:u w:val="single" w:color="auto"/>
          <w:color w:val="auto"/>
        </w:rPr>
        <w:t>Titles</w:t>
      </w:r>
      <w:r>
        <w:rPr>
          <w:rFonts w:ascii="Arial" w:cs="Arial" w:eastAsia="Arial" w:hAnsi="Arial"/>
          <w:sz w:val="14"/>
          <w:szCs w:val="14"/>
          <w:color w:val="auto"/>
        </w:rPr>
        <w:t>. Titles are provided herein for convenience only and are not to serve as a basis for interpretation or construction of this Agreement.</w:t>
      </w:r>
    </w:p>
    <w:p>
      <w:pPr>
        <w:spacing w:after="0" w:line="198" w:lineRule="exact"/>
        <w:rPr>
          <w:sz w:val="20"/>
          <w:szCs w:val="20"/>
          <w:color w:val="auto"/>
        </w:rPr>
      </w:pPr>
    </w:p>
    <w:p>
      <w:pPr>
        <w:ind w:right="80" w:firstLine="556"/>
        <w:spacing w:after="0" w:line="289"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Conformity to Securities Laws</w:t>
      </w:r>
      <w:r>
        <w:rPr>
          <w:rFonts w:ascii="Arial" w:cs="Arial" w:eastAsia="Arial" w:hAnsi="Arial"/>
          <w:sz w:val="15"/>
          <w:szCs w:val="15"/>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1" w:lineRule="exact"/>
        <w:rPr>
          <w:sz w:val="20"/>
          <w:szCs w:val="20"/>
          <w:color w:val="auto"/>
        </w:rPr>
      </w:pPr>
    </w:p>
    <w:p>
      <w:pPr>
        <w:ind w:right="60" w:firstLine="556"/>
        <w:spacing w:after="0" w:line="273"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53" w:lineRule="exact"/>
        <w:rPr>
          <w:sz w:val="20"/>
          <w:szCs w:val="20"/>
          <w:color w:val="auto"/>
        </w:rPr>
      </w:pPr>
    </w:p>
    <w:p>
      <w:pPr>
        <w:ind w:right="220" w:firstLine="556"/>
        <w:spacing w:after="0" w:line="268"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Limitations Applicable to Section 16 Persons</w:t>
      </w:r>
      <w:r>
        <w:rPr>
          <w:rFonts w:ascii="Arial" w:cs="Arial" w:eastAsia="Arial" w:hAnsi="Arial"/>
          <w:sz w:val="15"/>
          <w:szCs w:val="15"/>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56" w:lineRule="exact"/>
        <w:rPr>
          <w:sz w:val="20"/>
          <w:szCs w:val="20"/>
          <w:color w:val="auto"/>
        </w:rPr>
      </w:pPr>
    </w:p>
    <w:p>
      <w:pPr>
        <w:ind w:right="140" w:firstLine="556"/>
        <w:spacing w:after="0" w:line="289"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Entire Agreement</w:t>
      </w:r>
      <w:r>
        <w:rPr>
          <w:rFonts w:ascii="Arial" w:cs="Arial" w:eastAsia="Arial" w:hAnsi="Arial"/>
          <w:sz w:val="15"/>
          <w:szCs w:val="15"/>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1" w:lineRule="exact"/>
        <w:rPr>
          <w:sz w:val="20"/>
          <w:szCs w:val="20"/>
          <w:color w:val="auto"/>
        </w:rPr>
      </w:pPr>
    </w:p>
    <w:p>
      <w:pPr>
        <w:ind w:right="260" w:firstLine="556"/>
        <w:spacing w:after="0" w:line="289" w:lineRule="auto"/>
        <w:rPr>
          <w:sz w:val="20"/>
          <w:szCs w:val="20"/>
          <w:color w:val="auto"/>
        </w:rPr>
      </w:pPr>
      <w:r>
        <w:rPr>
          <w:rFonts w:ascii="Arial" w:cs="Arial" w:eastAsia="Arial" w:hAnsi="Arial"/>
          <w:sz w:val="15"/>
          <w:szCs w:val="15"/>
          <w:color w:val="auto"/>
        </w:rPr>
        <w:t xml:space="preserve">4.8 </w:t>
      </w:r>
      <w:r>
        <w:rPr>
          <w:rFonts w:ascii="Arial" w:cs="Arial" w:eastAsia="Arial" w:hAnsi="Arial"/>
          <w:sz w:val="15"/>
          <w:szCs w:val="15"/>
          <w:u w:val="single" w:color="auto"/>
          <w:color w:val="auto"/>
        </w:rPr>
        <w:t>Agreement Severable</w:t>
      </w:r>
      <w:r>
        <w:rPr>
          <w:rFonts w:ascii="Arial" w:cs="Arial" w:eastAsia="Arial" w:hAnsi="Arial"/>
          <w:sz w:val="15"/>
          <w:szCs w:val="15"/>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1" w:lineRule="exact"/>
        <w:rPr>
          <w:sz w:val="20"/>
          <w:szCs w:val="20"/>
          <w:color w:val="auto"/>
        </w:rPr>
      </w:pPr>
    </w:p>
    <w:p>
      <w:pPr>
        <w:ind w:right="80" w:firstLine="556"/>
        <w:spacing w:after="0" w:line="265" w:lineRule="auto"/>
        <w:rPr>
          <w:sz w:val="20"/>
          <w:szCs w:val="20"/>
          <w:color w:val="auto"/>
        </w:rPr>
      </w:pPr>
      <w:r>
        <w:rPr>
          <w:rFonts w:ascii="Arial" w:cs="Arial" w:eastAsia="Arial" w:hAnsi="Arial"/>
          <w:sz w:val="15"/>
          <w:szCs w:val="15"/>
          <w:color w:val="auto"/>
        </w:rPr>
        <w:t xml:space="preserve">4.9 </w:t>
      </w:r>
      <w:r>
        <w:rPr>
          <w:rFonts w:ascii="Arial" w:cs="Arial" w:eastAsia="Arial" w:hAnsi="Arial"/>
          <w:sz w:val="15"/>
          <w:szCs w:val="15"/>
          <w:u w:val="single" w:color="auto"/>
          <w:color w:val="auto"/>
        </w:rPr>
        <w:t>Limitation on Participant’s Rights</w:t>
      </w:r>
      <w:r>
        <w:rPr>
          <w:rFonts w:ascii="Arial" w:cs="Arial" w:eastAsia="Arial" w:hAnsi="Arial"/>
          <w:sz w:val="15"/>
          <w:szCs w:val="15"/>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60" w:lineRule="exact"/>
        <w:rPr>
          <w:sz w:val="20"/>
          <w:szCs w:val="20"/>
          <w:color w:val="auto"/>
        </w:rPr>
      </w:pPr>
    </w:p>
    <w:p>
      <w:pPr>
        <w:ind w:right="20" w:firstLine="556"/>
        <w:spacing w:after="0" w:line="268"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u w:val="single" w:color="auto"/>
          <w:color w:val="auto"/>
        </w:rPr>
        <w:t>Not a Contract of Employment</w:t>
      </w:r>
      <w:r>
        <w:rPr>
          <w:rFonts w:ascii="Arial" w:cs="Arial" w:eastAsia="Arial" w:hAnsi="Arial"/>
          <w:sz w:val="15"/>
          <w:szCs w:val="15"/>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56" w:lineRule="exact"/>
        <w:rPr>
          <w:sz w:val="20"/>
          <w:szCs w:val="20"/>
          <w:color w:val="auto"/>
        </w:rPr>
      </w:pPr>
    </w:p>
    <w:p>
      <w:pPr>
        <w:ind w:right="40" w:firstLine="556"/>
        <w:spacing w:after="0" w:line="289" w:lineRule="auto"/>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Counterparts</w:t>
      </w:r>
      <w:r>
        <w:rPr>
          <w:rFonts w:ascii="Arial" w:cs="Arial" w:eastAsia="Arial" w:hAnsi="Arial"/>
          <w:sz w:val="15"/>
          <w:szCs w:val="15"/>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 * * *</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2"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SELECTA BIOSCIENCES, INC.</w:t>
      </w:r>
    </w:p>
    <w:p>
      <w:pPr>
        <w:spacing w:after="0" w:line="29"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2016 INCENTIVE AWARD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GRANT NOTICE</w:t>
      </w:r>
    </w:p>
    <w:p>
      <w:pPr>
        <w:spacing w:after="0" w:line="204" w:lineRule="exact"/>
        <w:rPr>
          <w:sz w:val="20"/>
          <w:szCs w:val="20"/>
          <w:color w:val="auto"/>
        </w:rPr>
      </w:pPr>
    </w:p>
    <w:p>
      <w:pPr>
        <w:ind w:right="280" w:firstLine="556"/>
        <w:spacing w:after="0" w:line="289" w:lineRule="auto"/>
        <w:rPr>
          <w:sz w:val="20"/>
          <w:szCs w:val="20"/>
          <w:color w:val="auto"/>
        </w:rPr>
      </w:pPr>
      <w:r>
        <w:rPr>
          <w:rFonts w:ascii="Arial" w:cs="Arial" w:eastAsia="Arial" w:hAnsi="Arial"/>
          <w:sz w:val="15"/>
          <w:szCs w:val="15"/>
          <w:color w:val="auto"/>
        </w:rPr>
        <w:t>Capitalized terms not specifically defined in this Restricted Stock Grant Notice (the “</w:t>
      </w:r>
      <w:r>
        <w:rPr>
          <w:rFonts w:ascii="Arial" w:cs="Arial" w:eastAsia="Arial" w:hAnsi="Arial"/>
          <w:sz w:val="15"/>
          <w:szCs w:val="15"/>
          <w:b w:val="1"/>
          <w:bCs w:val="1"/>
          <w:i w:val="1"/>
          <w:iCs w:val="1"/>
          <w:color w:val="auto"/>
        </w:rPr>
        <w:t>Grant Notice</w:t>
      </w:r>
      <w:r>
        <w:rPr>
          <w:rFonts w:ascii="Arial" w:cs="Arial" w:eastAsia="Arial" w:hAnsi="Arial"/>
          <w:sz w:val="15"/>
          <w:szCs w:val="15"/>
          <w:color w:val="auto"/>
        </w:rPr>
        <w:t>”) have the meanings given to them in the 2016 Incentive Award Plan (as amended from time to time,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of Selecta Biosciences,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w:t>
      </w:r>
    </w:p>
    <w:p>
      <w:pPr>
        <w:spacing w:after="0" w:line="141" w:lineRule="exact"/>
        <w:rPr>
          <w:sz w:val="20"/>
          <w:szCs w:val="20"/>
          <w:color w:val="auto"/>
        </w:rPr>
      </w:pPr>
    </w:p>
    <w:p>
      <w:pPr>
        <w:ind w:right="120" w:firstLine="556"/>
        <w:spacing w:after="0" w:line="327" w:lineRule="auto"/>
        <w:rPr>
          <w:sz w:val="20"/>
          <w:szCs w:val="20"/>
          <w:color w:val="auto"/>
        </w:rPr>
      </w:pPr>
      <w:r>
        <w:rPr>
          <w:rFonts w:ascii="Arial" w:cs="Arial" w:eastAsia="Arial" w:hAnsi="Arial"/>
          <w:sz w:val="14"/>
          <w:szCs w:val="14"/>
          <w:color w:val="auto"/>
        </w:rPr>
        <w:t>The Company has granted to the participant listed below (“</w:t>
      </w:r>
      <w:r>
        <w:rPr>
          <w:rFonts w:ascii="Arial" w:cs="Arial" w:eastAsia="Arial" w:hAnsi="Arial"/>
          <w:sz w:val="14"/>
          <w:szCs w:val="14"/>
          <w:b w:val="1"/>
          <w:bCs w:val="1"/>
          <w:i w:val="1"/>
          <w:iCs w:val="1"/>
          <w:color w:val="auto"/>
        </w:rPr>
        <w:t>Participant</w:t>
      </w:r>
      <w:r>
        <w:rPr>
          <w:rFonts w:ascii="Arial" w:cs="Arial" w:eastAsia="Arial" w:hAnsi="Arial"/>
          <w:sz w:val="14"/>
          <w:szCs w:val="14"/>
          <w:color w:val="auto"/>
        </w:rPr>
        <w:t>”) the shares of Restricted Stock described in this Grant Notice (the “</w:t>
      </w:r>
      <w:r>
        <w:rPr>
          <w:rFonts w:ascii="Arial" w:cs="Arial" w:eastAsia="Arial" w:hAnsi="Arial"/>
          <w:sz w:val="14"/>
          <w:szCs w:val="14"/>
          <w:b w:val="1"/>
          <w:bCs w:val="1"/>
          <w:i w:val="1"/>
          <w:iCs w:val="1"/>
          <w:color w:val="auto"/>
        </w:rPr>
        <w:t>Restricted Shares</w:t>
      </w:r>
      <w:r>
        <w:rPr>
          <w:rFonts w:ascii="Arial" w:cs="Arial" w:eastAsia="Arial" w:hAnsi="Arial"/>
          <w:sz w:val="14"/>
          <w:szCs w:val="14"/>
          <w:color w:val="auto"/>
        </w:rPr>
        <w:t xml:space="preserve">”), subject to the terms and conditions of the Plan and the Restricted Stock Agreement attached as </w:t>
      </w:r>
      <w:r>
        <w:rPr>
          <w:rFonts w:ascii="Arial" w:cs="Arial" w:eastAsia="Arial" w:hAnsi="Arial"/>
          <w:sz w:val="14"/>
          <w:szCs w:val="14"/>
          <w:b w:val="1"/>
          <w:bCs w:val="1"/>
          <w:color w:val="auto"/>
        </w:rPr>
        <w:t>Exhibit A</w:t>
      </w:r>
      <w:r>
        <w:rPr>
          <w:rFonts w:ascii="Arial" w:cs="Arial" w:eastAsia="Arial" w:hAnsi="Arial"/>
          <w:sz w:val="14"/>
          <w:szCs w:val="14"/>
          <w:color w:val="auto"/>
        </w:rPr>
        <w:t xml:space="preserve">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both of which are incorporated into this Grant Notice by reference.</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Participant:</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Grant Date:</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Number of Restricted Shares:</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Vesting Commencement Date:</w:t>
      </w:r>
    </w:p>
    <w:p>
      <w:pPr>
        <w:spacing w:after="0" w:line="198" w:lineRule="exact"/>
        <w:rPr>
          <w:sz w:val="20"/>
          <w:szCs w:val="20"/>
          <w:color w:val="auto"/>
        </w:rPr>
      </w:pPr>
    </w:p>
    <w:p>
      <w:pPr>
        <w:ind w:left="140"/>
        <w:spacing w:after="0"/>
        <w:tabs>
          <w:tab w:leader="none" w:pos="4580" w:val="left"/>
        </w:tabs>
        <w:rPr>
          <w:sz w:val="20"/>
          <w:szCs w:val="20"/>
          <w:color w:val="auto"/>
        </w:rPr>
      </w:pPr>
      <w:r>
        <w:rPr>
          <w:rFonts w:ascii="Arial" w:cs="Arial" w:eastAsia="Arial" w:hAnsi="Arial"/>
          <w:sz w:val="15"/>
          <w:szCs w:val="15"/>
          <w:b w:val="1"/>
          <w:bCs w:val="1"/>
          <w:color w:val="auto"/>
        </w:rPr>
        <w:t>Vesting Schedule:</w:t>
      </w:r>
      <w:r>
        <w:rPr>
          <w:sz w:val="20"/>
          <w:szCs w:val="20"/>
          <w:color w:val="auto"/>
        </w:rPr>
        <w:tab/>
      </w:r>
      <w:r>
        <w:rPr>
          <w:rFonts w:ascii="Arial" w:cs="Arial" w:eastAsia="Arial" w:hAnsi="Arial"/>
          <w:sz w:val="14"/>
          <w:szCs w:val="14"/>
          <w:color w:val="auto"/>
        </w:rPr>
        <w:t>[To be specified in individual award agreements]</w:t>
      </w:r>
    </w:p>
    <w:p>
      <w:pPr>
        <w:spacing w:after="0" w:line="204" w:lineRule="exact"/>
        <w:rPr>
          <w:sz w:val="20"/>
          <w:szCs w:val="20"/>
          <w:color w:val="auto"/>
        </w:rPr>
      </w:pPr>
    </w:p>
    <w:p>
      <w:pPr>
        <w:ind w:right="20" w:firstLine="556"/>
        <w:spacing w:after="0" w:line="268" w:lineRule="auto"/>
        <w:rPr>
          <w:sz w:val="20"/>
          <w:szCs w:val="20"/>
          <w:color w:val="auto"/>
        </w:rPr>
      </w:pPr>
      <w:r>
        <w:rPr>
          <w:rFonts w:ascii="Arial" w:cs="Arial" w:eastAsia="Arial" w:hAnsi="Arial"/>
          <w:sz w:val="15"/>
          <w:szCs w:val="15"/>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40" w:type="dxa"/>
            <w:vAlign w:val="bottom"/>
            <w:gridSpan w:val="2"/>
          </w:tcPr>
          <w:p>
            <w:pPr>
              <w:spacing w:after="0"/>
              <w:rPr>
                <w:sz w:val="20"/>
                <w:szCs w:val="20"/>
                <w:color w:val="auto"/>
              </w:rPr>
            </w:pPr>
            <w:r>
              <w:rPr>
                <w:rFonts w:ascii="Arial" w:cs="Arial" w:eastAsia="Arial" w:hAnsi="Arial"/>
                <w:sz w:val="15"/>
                <w:szCs w:val="15"/>
                <w:b w:val="1"/>
                <w:bCs w:val="1"/>
                <w:color w:val="auto"/>
              </w:rPr>
              <w:t>SELECTA BIOSCIENCES, INC.</w:t>
            </w:r>
          </w:p>
        </w:tc>
        <w:tc>
          <w:tcPr>
            <w:tcW w:w="38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Arial" w:cs="Arial" w:eastAsia="Arial" w:hAnsi="Arial"/>
                <w:sz w:val="15"/>
                <w:szCs w:val="15"/>
                <w:b w:val="1"/>
                <w:bCs w:val="1"/>
                <w:color w:val="auto"/>
              </w:rPr>
              <w:t>PARTICIPANT</w:t>
            </w:r>
          </w:p>
        </w:tc>
      </w:tr>
      <w:tr>
        <w:trPr>
          <w:trHeight w:val="556"/>
        </w:trPr>
        <w:tc>
          <w:tcPr>
            <w:tcW w:w="5340" w:type="dxa"/>
            <w:vAlign w:val="bottom"/>
            <w:gridSpan w:val="2"/>
          </w:tcPr>
          <w:p>
            <w:pPr>
              <w:spacing w:after="0"/>
              <w:rPr>
                <w:sz w:val="20"/>
                <w:szCs w:val="20"/>
                <w:color w:val="auto"/>
              </w:rPr>
            </w:pPr>
            <w:r>
              <w:rPr>
                <w:rFonts w:ascii="Arial" w:cs="Arial" w:eastAsia="Arial" w:hAnsi="Arial"/>
                <w:sz w:val="15"/>
                <w:szCs w:val="15"/>
                <w:color w:val="auto"/>
              </w:rPr>
              <w:t>By:</w:t>
            </w:r>
          </w:p>
        </w:tc>
        <w:tc>
          <w:tcPr>
            <w:tcW w:w="38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177"/>
        </w:trPr>
        <w:tc>
          <w:tcPr>
            <w:tcW w:w="760" w:type="dxa"/>
            <w:vAlign w:val="bottom"/>
          </w:tcPr>
          <w:p>
            <w:pPr>
              <w:spacing w:after="0"/>
              <w:rPr>
                <w:sz w:val="20"/>
                <w:szCs w:val="20"/>
                <w:color w:val="auto"/>
              </w:rPr>
            </w:pPr>
            <w:r>
              <w:rPr>
                <w:rFonts w:ascii="Arial" w:cs="Arial" w:eastAsia="Arial" w:hAnsi="Arial"/>
                <w:sz w:val="15"/>
                <w:szCs w:val="15"/>
                <w:color w:val="auto"/>
              </w:rPr>
              <w:t>Name:</w:t>
            </w:r>
          </w:p>
        </w:tc>
        <w:tc>
          <w:tcPr>
            <w:tcW w:w="4580" w:type="dxa"/>
            <w:vAlign w:val="bottom"/>
            <w:tcBorders>
              <w:top w:val="single" w:sz="8" w:color="auto"/>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57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[Participant Name]</w:t>
            </w:r>
          </w:p>
        </w:tc>
      </w:tr>
    </w:tbl>
    <w:p>
      <w:pPr>
        <w:sectPr>
          <w:pgSz w:w="11900" w:h="16838" w:orient="portrait"/>
          <w:cols w:equalWidth="0" w:num="1">
            <w:col w:w="11440"/>
          </w:cols>
          <w:pgMar w:left="240" w:top="123" w:right="219" w:bottom="0" w:gutter="0" w:footer="0" w:header="0"/>
        </w:sectPr>
      </w:pPr>
    </w:p>
    <w:bookmarkStart w:id="356" w:name="page357"/>
    <w:bookmarkEnd w:id="356"/>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2912110" cy="762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291211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196215</wp:posOffset>
            </wp:positionV>
            <wp:extent cx="7285990" cy="2730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AGREEMENT</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Capitalized terms not specifically defined in this Agreement have the meanings specified in the Grant Notice or, if not defined in the Grant Notice, in the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w:t>
      </w:r>
    </w:p>
    <w:p>
      <w:pPr>
        <w:spacing w:after="0" w:line="188" w:lineRule="exact"/>
        <w:rPr>
          <w:sz w:val="20"/>
          <w:szCs w:val="20"/>
          <w:color w:val="auto"/>
        </w:rPr>
      </w:pPr>
    </w:p>
    <w:p>
      <w:pPr>
        <w:ind w:right="140" w:firstLine="556"/>
        <w:spacing w:after="0" w:line="265"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Issuance of Restricted Shares</w:t>
      </w:r>
      <w:r>
        <w:rPr>
          <w:rFonts w:ascii="Arial" w:cs="Arial" w:eastAsia="Arial" w:hAnsi="Arial"/>
          <w:sz w:val="15"/>
          <w:szCs w:val="15"/>
          <w:color w:val="auto"/>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spacing w:after="0" w:line="160" w:lineRule="exact"/>
        <w:rPr>
          <w:sz w:val="20"/>
          <w:szCs w:val="20"/>
          <w:color w:val="auto"/>
        </w:rPr>
      </w:pPr>
    </w:p>
    <w:p>
      <w:pPr>
        <w:ind w:right="180" w:firstLine="556"/>
        <w:spacing w:after="0" w:line="289"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Incorporation of Terms of Plan</w:t>
      </w:r>
      <w:r>
        <w:rPr>
          <w:rFonts w:ascii="Arial" w:cs="Arial" w:eastAsia="Arial" w:hAnsi="Arial"/>
          <w:sz w:val="15"/>
          <w:szCs w:val="15"/>
          <w:color w:val="auto"/>
        </w:rPr>
        <w:t>. The Restricted Shares are subject to the terms and conditions set forth in this Agreement and the Plan, which is incorporated herein by reference. In the event of any inconsistency between the Plan and this Agreement, the terms of the Plan will control.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VESTING, FORFEITURE AND ESCROW</w:t>
      </w:r>
    </w:p>
    <w:p>
      <w:pPr>
        <w:spacing w:after="0" w:line="188" w:lineRule="exact"/>
        <w:rPr>
          <w:sz w:val="20"/>
          <w:szCs w:val="20"/>
          <w:color w:val="auto"/>
        </w:rPr>
      </w:pPr>
    </w:p>
    <w:p>
      <w:pPr>
        <w:ind w:right="220" w:firstLine="556"/>
        <w:spacing w:after="0" w:line="327"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Vesting</w:t>
      </w:r>
      <w:r>
        <w:rPr>
          <w:rFonts w:ascii="Arial" w:cs="Arial" w:eastAsia="Arial" w:hAnsi="Arial"/>
          <w:sz w:val="14"/>
          <w:szCs w:val="14"/>
          <w:color w:val="auto"/>
        </w:rPr>
        <w:t>. The Restricted Shares will become vested Shares (the “</w:t>
      </w:r>
      <w:r>
        <w:rPr>
          <w:rFonts w:ascii="Arial" w:cs="Arial" w:eastAsia="Arial" w:hAnsi="Arial"/>
          <w:sz w:val="14"/>
          <w:szCs w:val="14"/>
          <w:b w:val="1"/>
          <w:bCs w:val="1"/>
          <w:i w:val="1"/>
          <w:iCs w:val="1"/>
          <w:color w:val="auto"/>
        </w:rPr>
        <w:t>Vested Shares</w:t>
      </w:r>
      <w:r>
        <w:rPr>
          <w:rFonts w:ascii="Arial" w:cs="Arial" w:eastAsia="Arial" w:hAnsi="Arial"/>
          <w:sz w:val="14"/>
          <w:szCs w:val="14"/>
          <w:color w:val="auto"/>
        </w:rPr>
        <w:t>”) according to the vesting schedule in the Grant Notice except that any fraction of a Share that would otherwise become a Vested Share will be accumulated and will become a Vested Share only when a whole Vested Share has accumulated.</w:t>
      </w:r>
    </w:p>
    <w:p>
      <w:pPr>
        <w:spacing w:after="0" w:line="117" w:lineRule="exact"/>
        <w:rPr>
          <w:sz w:val="20"/>
          <w:szCs w:val="20"/>
          <w:color w:val="auto"/>
        </w:rPr>
      </w:pPr>
    </w:p>
    <w:p>
      <w:pPr>
        <w:jc w:val="both"/>
        <w:ind w:right="80" w:firstLine="556"/>
        <w:spacing w:after="0" w:line="268"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Forfeiture</w:t>
      </w:r>
      <w:r>
        <w:rPr>
          <w:rFonts w:ascii="Arial" w:cs="Arial" w:eastAsia="Arial" w:hAnsi="Arial"/>
          <w:sz w:val="15"/>
          <w:szCs w:val="15"/>
          <w:color w:val="auto"/>
        </w:rPr>
        <w:t>. In the event of Participant’s Termination of Service for any reason, Participant will immediately and automatically forfeit to the Company any Shares that are not Vested Shares (the “</w:t>
      </w:r>
      <w:r>
        <w:rPr>
          <w:rFonts w:ascii="Arial" w:cs="Arial" w:eastAsia="Arial" w:hAnsi="Arial"/>
          <w:sz w:val="15"/>
          <w:szCs w:val="15"/>
          <w:b w:val="1"/>
          <w:bCs w:val="1"/>
          <w:i w:val="1"/>
          <w:iCs w:val="1"/>
          <w:color w:val="auto"/>
        </w:rPr>
        <w:t>Unvested Shares</w:t>
      </w:r>
      <w:r>
        <w:rPr>
          <w:rFonts w:ascii="Arial" w:cs="Arial" w:eastAsia="Arial" w:hAnsi="Arial"/>
          <w:sz w:val="15"/>
          <w:szCs w:val="15"/>
          <w:color w:val="auto"/>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spacing w:after="0" w:line="156"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4"/>
          <w:szCs w:val="14"/>
          <w:u w:val="single" w:color="auto"/>
          <w:color w:val="auto"/>
        </w:rPr>
        <w:t>Escrow</w:t>
      </w:r>
      <w:r>
        <w:rPr>
          <w:rFonts w:ascii="Arial" w:cs="Arial" w:eastAsia="Arial" w:hAnsi="Arial"/>
          <w:sz w:val="14"/>
          <w:szCs w:val="14"/>
          <w:color w:val="auto"/>
        </w:rPr>
        <w:t>.</w:t>
      </w:r>
    </w:p>
    <w:p>
      <w:pPr>
        <w:spacing w:after="0" w:line="198" w:lineRule="exact"/>
        <w:rPr>
          <w:sz w:val="20"/>
          <w:szCs w:val="20"/>
          <w:color w:val="auto"/>
        </w:rPr>
      </w:pPr>
    </w:p>
    <w:p>
      <w:pPr>
        <w:ind w:right="60" w:firstLine="1104"/>
        <w:spacing w:after="0" w:line="264" w:lineRule="auto"/>
        <w:tabs>
          <w:tab w:leader="none" w:pos="1708" w:val="left"/>
        </w:tabs>
        <w:numPr>
          <w:ilvl w:val="0"/>
          <w:numId w:val="308"/>
        </w:numPr>
        <w:rPr>
          <w:rFonts w:ascii="Arial" w:cs="Arial" w:eastAsia="Arial" w:hAnsi="Arial"/>
          <w:sz w:val="15"/>
          <w:szCs w:val="15"/>
          <w:color w:val="auto"/>
        </w:rPr>
      </w:pPr>
      <w:r>
        <w:rPr>
          <w:rFonts w:ascii="Arial" w:cs="Arial" w:eastAsia="Arial" w:hAnsi="Arial"/>
          <w:sz w:val="15"/>
          <w:szCs w:val="15"/>
          <w:color w:val="auto"/>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representations or other documents or assurances as the Company or such representatives deem necessary or advisable in connection with any such transfer. The Company, or its authorized representative, will not be liable for any good faith act or omission with respect to the holding in escrow or transfer of the Restricted Shares.</w:t>
      </w:r>
    </w:p>
    <w:p>
      <w:pPr>
        <w:spacing w:after="0" w:line="158" w:lineRule="exact"/>
        <w:rPr>
          <w:rFonts w:ascii="Arial" w:cs="Arial" w:eastAsia="Arial" w:hAnsi="Arial"/>
          <w:sz w:val="15"/>
          <w:szCs w:val="15"/>
          <w:color w:val="auto"/>
        </w:rPr>
      </w:pPr>
    </w:p>
    <w:p>
      <w:pPr>
        <w:ind w:left="1700" w:hanging="596"/>
        <w:spacing w:after="0"/>
        <w:tabs>
          <w:tab w:leader="none" w:pos="170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All cash dividends and other distributions made or declared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Unvested Shares (“</w:t>
      </w:r>
      <w:r>
        <w:rPr>
          <w:rFonts w:ascii="Arial" w:cs="Arial" w:eastAsia="Arial" w:hAnsi="Arial"/>
          <w:sz w:val="15"/>
          <w:szCs w:val="15"/>
          <w:b w:val="1"/>
          <w:bCs w:val="1"/>
          <w:i w:val="1"/>
          <w:iCs w:val="1"/>
          <w:color w:val="auto"/>
        </w:rPr>
        <w:t>Retained Distributions</w:t>
      </w:r>
      <w:r>
        <w:rPr>
          <w:rFonts w:ascii="Arial" w:cs="Arial" w:eastAsia="Arial" w:hAnsi="Arial"/>
          <w:sz w:val="15"/>
          <w:szCs w:val="15"/>
          <w:color w:val="auto"/>
        </w:rPr>
        <w:t>”) will be held by the Company until the time (if ever) when the Unvested Shares to which such Retained Distributions relate become Vested Shares. The Company will establish a separate Retained Distribution bookkeeping account (“</w:t>
      </w:r>
      <w:r>
        <w:rPr>
          <w:rFonts w:ascii="Arial" w:cs="Arial" w:eastAsia="Arial" w:hAnsi="Arial"/>
          <w:sz w:val="15"/>
          <w:szCs w:val="15"/>
          <w:b w:val="1"/>
          <w:bCs w:val="1"/>
          <w:i w:val="1"/>
          <w:iCs w:val="1"/>
          <w:color w:val="auto"/>
        </w:rPr>
        <w:t>Retained Distribution Account</w:t>
      </w:r>
      <w:r>
        <w:rPr>
          <w:rFonts w:ascii="Arial" w:cs="Arial" w:eastAsia="Arial" w:hAnsi="Arial"/>
          <w:sz w:val="15"/>
          <w:szCs w:val="15"/>
          <w:color w:val="auto"/>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spacing w:after="0" w:line="160" w:lineRule="exact"/>
        <w:rPr>
          <w:sz w:val="20"/>
          <w:szCs w:val="20"/>
          <w:color w:val="auto"/>
        </w:rPr>
      </w:pPr>
    </w:p>
    <w:p>
      <w:pPr>
        <w:ind w:right="80" w:firstLine="1104"/>
        <w:spacing w:after="0" w:line="302" w:lineRule="auto"/>
        <w:tabs>
          <w:tab w:leader="none" w:pos="1708" w:val="left"/>
        </w:tabs>
        <w:numPr>
          <w:ilvl w:val="0"/>
          <w:numId w:val="309"/>
        </w:numPr>
        <w:rPr>
          <w:rFonts w:ascii="Arial" w:cs="Arial" w:eastAsia="Arial" w:hAnsi="Arial"/>
          <w:sz w:val="14"/>
          <w:szCs w:val="14"/>
          <w:color w:val="auto"/>
        </w:rPr>
      </w:pPr>
      <w:r>
        <w:rPr>
          <w:rFonts w:ascii="Arial" w:cs="Arial" w:eastAsia="Arial" w:hAnsi="Arial"/>
          <w:sz w:val="14"/>
          <w:szCs w:val="14"/>
          <w:color w:val="auto"/>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spacing w:after="0" w:line="133" w:lineRule="exact"/>
        <w:rPr>
          <w:sz w:val="20"/>
          <w:szCs w:val="20"/>
          <w:color w:val="auto"/>
        </w:rPr>
      </w:pPr>
    </w:p>
    <w:p>
      <w:pPr>
        <w:ind w:right="20" w:firstLine="556"/>
        <w:spacing w:after="0" w:line="273"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Rights as Stockholder</w:t>
      </w:r>
      <w:r>
        <w:rPr>
          <w:rFonts w:ascii="Arial" w:cs="Arial" w:eastAsia="Arial" w:hAnsi="Arial"/>
          <w:sz w:val="15"/>
          <w:szCs w:val="15"/>
          <w:color w:val="auto"/>
        </w:rPr>
        <w:t>.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TAXATION AND TAX WITHHOLDING</w:t>
      </w:r>
    </w:p>
    <w:p>
      <w:pPr>
        <w:spacing w:after="0" w:line="188" w:lineRule="exact"/>
        <w:rPr>
          <w:sz w:val="20"/>
          <w:szCs w:val="20"/>
          <w:color w:val="auto"/>
        </w:rPr>
      </w:pPr>
    </w:p>
    <w:p>
      <w:pPr>
        <w:ind w:right="20" w:firstLine="556"/>
        <w:spacing w:after="0" w:line="273"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Representation</w:t>
      </w:r>
      <w:r>
        <w:rPr>
          <w:rFonts w:ascii="Arial" w:cs="Arial" w:eastAsia="Arial" w:hAnsi="Arial"/>
          <w:sz w:val="15"/>
          <w:szCs w:val="15"/>
          <w:color w:val="auto"/>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spacing w:after="0" w:line="153" w:lineRule="exact"/>
        <w:rPr>
          <w:sz w:val="20"/>
          <w:szCs w:val="20"/>
          <w:color w:val="auto"/>
        </w:rPr>
      </w:pPr>
    </w:p>
    <w:p>
      <w:pPr>
        <w:ind w:right="200" w:firstLine="556"/>
        <w:spacing w:after="0" w:line="28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Section 83(b) Election</w:t>
      </w:r>
      <w:r>
        <w:rPr>
          <w:rFonts w:ascii="Arial" w:cs="Arial" w:eastAsia="Arial" w:hAnsi="Arial"/>
          <w:sz w:val="15"/>
          <w:szCs w:val="15"/>
          <w:color w:val="auto"/>
        </w:rPr>
        <w:t>. If Participant makes an election under Section 83(b) of the Code with respect to the Restricted Shares, Participant will deliver a copy of the election to the Company promptly after filing the election with the Internal Revenue Service.</w:t>
      </w:r>
    </w:p>
    <w:p>
      <w:pPr>
        <w:spacing w:after="0" w:line="141"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4"/>
          <w:szCs w:val="14"/>
          <w:u w:val="single" w:color="auto"/>
          <w:color w:val="auto"/>
        </w:rPr>
        <w:t>Tax Withholding</w:t>
      </w:r>
      <w:r>
        <w:rPr>
          <w:rFonts w:ascii="Arial" w:cs="Arial" w:eastAsia="Arial" w:hAnsi="Arial"/>
          <w:sz w:val="14"/>
          <w:szCs w:val="14"/>
          <w:color w:val="auto"/>
        </w:rPr>
        <w:t>.</w:t>
      </w:r>
    </w:p>
    <w:p>
      <w:pPr>
        <w:spacing w:after="0" w:line="198" w:lineRule="exact"/>
        <w:rPr>
          <w:sz w:val="20"/>
          <w:szCs w:val="20"/>
          <w:color w:val="auto"/>
        </w:rPr>
      </w:pPr>
    </w:p>
    <w:p>
      <w:pPr>
        <w:ind w:right="280" w:firstLine="1104"/>
        <w:spacing w:after="0" w:line="273" w:lineRule="auto"/>
        <w:tabs>
          <w:tab w:leader="none" w:pos="1708" w:val="left"/>
        </w:tabs>
        <w:numPr>
          <w:ilvl w:val="0"/>
          <w:numId w:val="310"/>
        </w:numPr>
        <w:rPr>
          <w:rFonts w:ascii="Arial" w:cs="Arial" w:eastAsia="Arial" w:hAnsi="Arial"/>
          <w:sz w:val="15"/>
          <w:szCs w:val="15"/>
          <w:color w:val="auto"/>
        </w:rPr>
      </w:pPr>
      <w:r>
        <w:rPr>
          <w:rFonts w:ascii="Arial" w:cs="Arial" w:eastAsia="Arial" w:hAnsi="Arial"/>
          <w:sz w:val="15"/>
          <w:szCs w:val="15"/>
          <w:color w:val="auto"/>
        </w:rPr>
        <w:t>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spacing w:after="0" w:line="152" w:lineRule="exact"/>
        <w:rPr>
          <w:rFonts w:ascii="Arial" w:cs="Arial" w:eastAsia="Arial" w:hAnsi="Arial"/>
          <w:sz w:val="15"/>
          <w:szCs w:val="15"/>
          <w:color w:val="auto"/>
        </w:rPr>
      </w:pPr>
    </w:p>
    <w:p>
      <w:pPr>
        <w:ind w:right="120" w:firstLine="1104"/>
        <w:spacing w:after="0" w:line="265" w:lineRule="auto"/>
        <w:tabs>
          <w:tab w:leader="none" w:pos="1716" w:val="left"/>
        </w:tabs>
        <w:numPr>
          <w:ilvl w:val="0"/>
          <w:numId w:val="310"/>
        </w:numPr>
        <w:rPr>
          <w:rFonts w:ascii="Arial" w:cs="Arial" w:eastAsia="Arial" w:hAnsi="Arial"/>
          <w:sz w:val="15"/>
          <w:szCs w:val="15"/>
          <w:color w:val="auto"/>
        </w:rPr>
      </w:pPr>
      <w:r>
        <w:rPr>
          <w:rFonts w:ascii="Arial" w:cs="Arial" w:eastAsia="Arial" w:hAnsi="Arial"/>
          <w:sz w:val="15"/>
          <w:szCs w:val="15"/>
          <w:color w:val="auto"/>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129" w:right="219" w:bottom="464" w:gutter="0" w:footer="0" w:header="0"/>
        </w:sectPr>
      </w:pPr>
    </w:p>
    <w:bookmarkStart w:id="357" w:name="page358"/>
    <w:bookmarkEnd w:id="357"/>
    <w:p>
      <w:pPr>
        <w:jc w:val="center"/>
        <w:ind w:right="-19"/>
        <w:spacing w:after="0"/>
        <w:rPr>
          <w:sz w:val="20"/>
          <w:szCs w:val="20"/>
          <w:color w:val="auto"/>
        </w:rPr>
      </w:pPr>
      <w:r>
        <w:rPr>
          <w:rFonts w:ascii="Arial" w:cs="Arial" w:eastAsia="Arial" w:hAnsi="Arial"/>
          <w:sz w:val="15"/>
          <w:szCs w:val="15"/>
          <w:b w:val="1"/>
          <w:bCs w:val="1"/>
          <w:color w:val="auto"/>
        </w:rPr>
        <w:t>ARTICLE IV.</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RESTRICTIVE LEGENDS AND TRANSFERABILITY</w:t>
      </w:r>
    </w:p>
    <w:p>
      <w:pPr>
        <w:spacing w:after="0" w:line="188"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4"/>
          <w:szCs w:val="14"/>
          <w:u w:val="single" w:color="auto"/>
          <w:color w:val="auto"/>
        </w:rPr>
        <w:t>Legends</w:t>
      </w:r>
      <w:r>
        <w:rPr>
          <w:rFonts w:ascii="Arial" w:cs="Arial" w:eastAsia="Arial" w:hAnsi="Arial"/>
          <w:sz w:val="14"/>
          <w:szCs w:val="14"/>
          <w:color w:val="auto"/>
        </w:rPr>
        <w:t>. Any certificate representing a Restricted Share will bear the following legend until the Restricted Share becomes a Vested Share:</w:t>
      </w:r>
    </w:p>
    <w:p>
      <w:pPr>
        <w:spacing w:after="0" w:line="198" w:lineRule="exact"/>
        <w:rPr>
          <w:sz w:val="20"/>
          <w:szCs w:val="20"/>
          <w:color w:val="auto"/>
        </w:rPr>
      </w:pPr>
    </w:p>
    <w:p>
      <w:pPr>
        <w:ind w:left="1100" w:right="160"/>
        <w:spacing w:after="0" w:line="273" w:lineRule="auto"/>
        <w:rPr>
          <w:sz w:val="20"/>
          <w:szCs w:val="20"/>
          <w:color w:val="auto"/>
        </w:rPr>
      </w:pPr>
      <w:r>
        <w:rPr>
          <w:rFonts w:ascii="Arial" w:cs="Arial" w:eastAsia="Arial" w:hAnsi="Arial"/>
          <w:sz w:val="15"/>
          <w:szCs w:val="15"/>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53"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3"/>
          <w:szCs w:val="13"/>
          <w:u w:val="single" w:color="auto"/>
          <w:color w:val="auto"/>
        </w:rPr>
        <w:t>Transferability</w:t>
      </w:r>
      <w:r>
        <w:rPr>
          <w:rFonts w:ascii="Arial" w:cs="Arial" w:eastAsia="Arial" w:hAnsi="Arial"/>
          <w:sz w:val="13"/>
          <w:szCs w:val="13"/>
          <w:color w:val="auto"/>
        </w:rPr>
        <w:t>. The Restricted Shares and any Retained Distributions are subject to the restrictions on transfer in the Plan and may not be sold, assigned or</w:t>
      </w:r>
    </w:p>
    <w:p>
      <w:pPr>
        <w:spacing w:after="0" w:line="23"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transferred in any manner unless and until they become Vested Shares. Any attempted transfer or disposition of Unvested Shares 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OTHER PROVISIONS</w:t>
      </w:r>
    </w:p>
    <w:p>
      <w:pPr>
        <w:spacing w:after="0" w:line="188" w:lineRule="exact"/>
        <w:rPr>
          <w:sz w:val="20"/>
          <w:szCs w:val="20"/>
          <w:color w:val="auto"/>
        </w:rPr>
      </w:pPr>
    </w:p>
    <w:p>
      <w:pPr>
        <w:ind w:right="520" w:firstLine="556"/>
        <w:spacing w:after="0" w:line="289"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Adjustments</w:t>
      </w:r>
      <w:r>
        <w:rPr>
          <w:rFonts w:ascii="Arial" w:cs="Arial" w:eastAsia="Arial" w:hAnsi="Arial"/>
          <w:sz w:val="15"/>
          <w:szCs w:val="15"/>
          <w:color w:val="auto"/>
        </w:rPr>
        <w:t>. Participant acknowledges that the Restricted Shares are subject to adjustment, modification and termination in certain events as provided in this Agreement and the Plan.</w:t>
      </w:r>
    </w:p>
    <w:p>
      <w:pPr>
        <w:spacing w:after="0" w:line="141" w:lineRule="exact"/>
        <w:rPr>
          <w:sz w:val="20"/>
          <w:szCs w:val="20"/>
          <w:color w:val="auto"/>
        </w:rPr>
      </w:pPr>
    </w:p>
    <w:p>
      <w:pPr>
        <w:ind w:right="60" w:firstLine="556"/>
        <w:spacing w:after="0" w:line="286"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Notices</w:t>
      </w:r>
      <w:r>
        <w:rPr>
          <w:rFonts w:ascii="Arial" w:cs="Arial" w:eastAsia="Arial" w:hAnsi="Arial"/>
          <w:sz w:val="14"/>
          <w:szCs w:val="14"/>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46"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4"/>
          <w:szCs w:val="14"/>
          <w:u w:val="single" w:color="auto"/>
          <w:color w:val="auto"/>
        </w:rPr>
        <w:t>Titles</w:t>
      </w:r>
      <w:r>
        <w:rPr>
          <w:rFonts w:ascii="Arial" w:cs="Arial" w:eastAsia="Arial" w:hAnsi="Arial"/>
          <w:sz w:val="14"/>
          <w:szCs w:val="14"/>
          <w:color w:val="auto"/>
        </w:rPr>
        <w:t>. Titles are provided herein for convenience only and are not to serve as a basis for interpretation or construction of this Agreement.</w:t>
      </w:r>
    </w:p>
    <w:p>
      <w:pPr>
        <w:spacing w:after="0" w:line="198" w:lineRule="exact"/>
        <w:rPr>
          <w:sz w:val="20"/>
          <w:szCs w:val="20"/>
          <w:color w:val="auto"/>
        </w:rPr>
      </w:pPr>
    </w:p>
    <w:p>
      <w:pPr>
        <w:ind w:right="60" w:firstLine="556"/>
        <w:spacing w:after="0" w:line="289"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Conformity to Securities Laws</w:t>
      </w:r>
      <w:r>
        <w:rPr>
          <w:rFonts w:ascii="Arial" w:cs="Arial" w:eastAsia="Arial" w:hAnsi="Arial"/>
          <w:sz w:val="15"/>
          <w:szCs w:val="15"/>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1" w:lineRule="exact"/>
        <w:rPr>
          <w:sz w:val="20"/>
          <w:szCs w:val="20"/>
          <w:color w:val="auto"/>
        </w:rPr>
      </w:pPr>
    </w:p>
    <w:p>
      <w:pPr>
        <w:ind w:right="40" w:firstLine="556"/>
        <w:spacing w:after="0" w:line="289"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Plan, this Agreement will be binding upon and inure to the benefit of the heirs, legatees, legal representatives, successors and assigns of the parties hereto.</w:t>
      </w:r>
    </w:p>
    <w:p>
      <w:pPr>
        <w:spacing w:after="0" w:line="198" w:lineRule="exact"/>
        <w:rPr>
          <w:sz w:val="20"/>
          <w:szCs w:val="20"/>
          <w:color w:val="auto"/>
        </w:rPr>
      </w:pPr>
    </w:p>
    <w:p>
      <w:pPr>
        <w:ind w:right="120" w:firstLine="556"/>
        <w:spacing w:after="0" w:line="268"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Limitations Applicable to Section 16 Persons</w:t>
      </w:r>
      <w:r>
        <w:rPr>
          <w:rFonts w:ascii="Arial" w:cs="Arial" w:eastAsia="Arial" w:hAnsi="Arial"/>
          <w:sz w:val="15"/>
          <w:szCs w:val="15"/>
          <w:color w:val="auto"/>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56" w:lineRule="exact"/>
        <w:rPr>
          <w:sz w:val="20"/>
          <w:szCs w:val="20"/>
          <w:color w:val="auto"/>
        </w:rPr>
      </w:pPr>
    </w:p>
    <w:p>
      <w:pPr>
        <w:ind w:right="120" w:firstLine="556"/>
        <w:spacing w:after="0" w:line="289"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Entire Agreement</w:t>
      </w:r>
      <w:r>
        <w:rPr>
          <w:rFonts w:ascii="Arial" w:cs="Arial" w:eastAsia="Arial" w:hAnsi="Arial"/>
          <w:sz w:val="15"/>
          <w:szCs w:val="15"/>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1" w:lineRule="exact"/>
        <w:rPr>
          <w:sz w:val="20"/>
          <w:szCs w:val="20"/>
          <w:color w:val="auto"/>
        </w:rPr>
      </w:pPr>
    </w:p>
    <w:p>
      <w:pPr>
        <w:ind w:right="240" w:firstLine="556"/>
        <w:spacing w:after="0" w:line="289"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Agreement Severable</w:t>
      </w:r>
      <w:r>
        <w:rPr>
          <w:rFonts w:ascii="Arial" w:cs="Arial" w:eastAsia="Arial" w:hAnsi="Arial"/>
          <w:sz w:val="15"/>
          <w:szCs w:val="15"/>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1" w:lineRule="exact"/>
        <w:rPr>
          <w:sz w:val="20"/>
          <w:szCs w:val="20"/>
          <w:color w:val="auto"/>
        </w:rPr>
      </w:pPr>
    </w:p>
    <w:p>
      <w:pPr>
        <w:ind w:right="60" w:firstLine="556"/>
        <w:spacing w:after="0" w:line="302" w:lineRule="auto"/>
        <w:rPr>
          <w:sz w:val="20"/>
          <w:szCs w:val="20"/>
          <w:color w:val="auto"/>
        </w:rPr>
      </w:pPr>
      <w:r>
        <w:rPr>
          <w:rFonts w:ascii="Arial" w:cs="Arial" w:eastAsia="Arial" w:hAnsi="Arial"/>
          <w:sz w:val="14"/>
          <w:szCs w:val="14"/>
          <w:color w:val="auto"/>
        </w:rPr>
        <w:t xml:space="preserve">5.9 </w:t>
      </w:r>
      <w:r>
        <w:rPr>
          <w:rFonts w:ascii="Arial" w:cs="Arial" w:eastAsia="Arial" w:hAnsi="Arial"/>
          <w:sz w:val="14"/>
          <w:szCs w:val="14"/>
          <w:u w:val="single" w:color="auto"/>
          <w:color w:val="auto"/>
        </w:rPr>
        <w:t>Limitation on Participant’s Rights</w:t>
      </w:r>
      <w:r>
        <w:rPr>
          <w:rFonts w:ascii="Arial" w:cs="Arial" w:eastAsia="Arial" w:hAnsi="Arial"/>
          <w:sz w:val="14"/>
          <w:szCs w:val="14"/>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spacing w:after="0" w:line="133" w:lineRule="exact"/>
        <w:rPr>
          <w:sz w:val="20"/>
          <w:szCs w:val="20"/>
          <w:color w:val="auto"/>
        </w:rPr>
      </w:pPr>
    </w:p>
    <w:p>
      <w:pPr>
        <w:ind w:firstLine="556"/>
        <w:spacing w:after="0" w:line="268" w:lineRule="auto"/>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Not a Contract of Employment</w:t>
      </w:r>
      <w:r>
        <w:rPr>
          <w:rFonts w:ascii="Arial" w:cs="Arial" w:eastAsia="Arial" w:hAnsi="Arial"/>
          <w:sz w:val="15"/>
          <w:szCs w:val="15"/>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56"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 xml:space="preserve">5.11 </w:t>
      </w:r>
      <w:r>
        <w:rPr>
          <w:rFonts w:ascii="Arial" w:cs="Arial" w:eastAsia="Arial" w:hAnsi="Arial"/>
          <w:sz w:val="15"/>
          <w:szCs w:val="15"/>
          <w:u w:val="single" w:color="auto"/>
          <w:color w:val="auto"/>
        </w:rPr>
        <w:t>Counterparts</w:t>
      </w:r>
      <w:r>
        <w:rPr>
          <w:rFonts w:ascii="Arial" w:cs="Arial" w:eastAsia="Arial" w:hAnsi="Arial"/>
          <w:sz w:val="15"/>
          <w:szCs w:val="15"/>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 * * *</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58" w:name="page359"/>
    <w:bookmarkEnd w:id="358"/>
    <w:p>
      <w:pPr>
        <w:spacing w:after="0" w:line="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Exhibit 10.3</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SELECTA BIOSCIENCES, INC.</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2016 EMPLOYEE STOCK PURCHASE PLAN</w:t>
      </w:r>
    </w:p>
    <w:p>
      <w:pPr>
        <w:spacing w:after="0" w:line="18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ARTICLE I.</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PURPOSE</w:t>
      </w:r>
    </w:p>
    <w:p>
      <w:pPr>
        <w:spacing w:after="0" w:line="188" w:lineRule="exact"/>
        <w:rPr>
          <w:sz w:val="20"/>
          <w:szCs w:val="20"/>
          <w:color w:val="auto"/>
        </w:rPr>
      </w:pPr>
    </w:p>
    <w:p>
      <w:pPr>
        <w:ind w:left="7" w:right="80" w:firstLine="556"/>
        <w:spacing w:after="0" w:line="268" w:lineRule="auto"/>
        <w:rPr>
          <w:sz w:val="20"/>
          <w:szCs w:val="20"/>
          <w:color w:val="auto"/>
        </w:rPr>
      </w:pPr>
      <w:r>
        <w:rPr>
          <w:rFonts w:ascii="Arial" w:cs="Arial" w:eastAsia="Arial" w:hAnsi="Arial"/>
          <w:sz w:val="15"/>
          <w:szCs w:val="15"/>
          <w:color w:val="auto"/>
        </w:rPr>
        <w:t>The purposes of this Selecta Biosciences, Inc. 2016 Employee Stock Purchase Plan (as it may be amended or restated from time to time,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are to assist Eligible Employees of Selecta Biosciences,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its Designated Subsidiaries in acquiring a stock ownership interest in the Company pursuant to a plan which is intended to qualify as an “employee stock purchase plan” within the meaning of Section 423(b) of the Code, and to help Eligible Employees provide for their future security and to encourage them to remain in the employment of the Company and its Designated Subsidiaries.</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ARTICLE II.</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DEFINITIONS AND CONSTRUCTION</w:t>
      </w:r>
    </w:p>
    <w:p>
      <w:pPr>
        <w:spacing w:after="0" w:line="188" w:lineRule="exact"/>
        <w:rPr>
          <w:sz w:val="20"/>
          <w:szCs w:val="20"/>
          <w:color w:val="auto"/>
        </w:rPr>
      </w:pPr>
    </w:p>
    <w:p>
      <w:pPr>
        <w:ind w:left="7" w:right="360" w:firstLine="556"/>
        <w:spacing w:after="0" w:line="289" w:lineRule="auto"/>
        <w:rPr>
          <w:sz w:val="20"/>
          <w:szCs w:val="20"/>
          <w:color w:val="auto"/>
        </w:rPr>
      </w:pPr>
      <w:r>
        <w:rPr>
          <w:rFonts w:ascii="Arial" w:cs="Arial" w:eastAsia="Arial" w:hAnsi="Arial"/>
          <w:sz w:val="15"/>
          <w:szCs w:val="15"/>
          <w:color w:val="auto"/>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spacing w:after="0" w:line="141" w:lineRule="exact"/>
        <w:rPr>
          <w:sz w:val="20"/>
          <w:szCs w:val="20"/>
          <w:color w:val="auto"/>
        </w:rPr>
      </w:pPr>
    </w:p>
    <w:p>
      <w:pPr>
        <w:ind w:left="7" w:right="460" w:firstLine="556"/>
        <w:spacing w:after="0" w:line="289" w:lineRule="auto"/>
        <w:rPr>
          <w:sz w:val="20"/>
          <w:szCs w:val="20"/>
          <w:color w:val="auto"/>
        </w:rPr>
      </w:pPr>
      <w:r>
        <w:rPr>
          <w:rFonts w:ascii="Arial" w:cs="Arial" w:eastAsia="Arial" w:hAnsi="Arial"/>
          <w:sz w:val="15"/>
          <w:szCs w:val="15"/>
          <w:color w:val="auto"/>
        </w:rPr>
        <w:t>2.1 “</w:t>
      </w:r>
      <w:r>
        <w:rPr>
          <w:rFonts w:ascii="Arial" w:cs="Arial" w:eastAsia="Arial" w:hAnsi="Arial"/>
          <w:sz w:val="15"/>
          <w:szCs w:val="15"/>
          <w:b w:val="1"/>
          <w:bCs w:val="1"/>
          <w:i w:val="1"/>
          <w:iCs w:val="1"/>
          <w:color w:val="auto"/>
        </w:rPr>
        <w:t>Administrator</w:t>
      </w:r>
      <w:r>
        <w:rPr>
          <w:rFonts w:ascii="Arial" w:cs="Arial" w:eastAsia="Arial" w:hAnsi="Arial"/>
          <w:sz w:val="15"/>
          <w:szCs w:val="15"/>
          <w:color w:val="auto"/>
        </w:rPr>
        <w:t>” shall mean the entity that conducts the general administration of the Plan as provided in Article XI. The term “Administrator” shall refer to the Committee unless the Board has assumed the authority for administration of the Plan as provided in Article XI.</w:t>
      </w:r>
    </w:p>
    <w:p>
      <w:pPr>
        <w:spacing w:after="0" w:line="141" w:lineRule="exact"/>
        <w:rPr>
          <w:sz w:val="20"/>
          <w:szCs w:val="20"/>
          <w:color w:val="auto"/>
        </w:rPr>
      </w:pPr>
    </w:p>
    <w:p>
      <w:pPr>
        <w:ind w:left="7" w:right="120" w:firstLine="556"/>
        <w:spacing w:after="0" w:line="273" w:lineRule="auto"/>
        <w:rPr>
          <w:sz w:val="20"/>
          <w:szCs w:val="20"/>
          <w:color w:val="auto"/>
        </w:rPr>
      </w:pPr>
      <w:r>
        <w:rPr>
          <w:rFonts w:ascii="Arial" w:cs="Arial" w:eastAsia="Arial" w:hAnsi="Arial"/>
          <w:sz w:val="15"/>
          <w:szCs w:val="15"/>
          <w:color w:val="auto"/>
        </w:rPr>
        <w:t>2.2 “</w:t>
      </w:r>
      <w:r>
        <w:rPr>
          <w:rFonts w:ascii="Arial" w:cs="Arial" w:eastAsia="Arial" w:hAnsi="Arial"/>
          <w:sz w:val="15"/>
          <w:szCs w:val="15"/>
          <w:b w:val="1"/>
          <w:bCs w:val="1"/>
          <w:i w:val="1"/>
          <w:iCs w:val="1"/>
          <w:color w:val="auto"/>
        </w:rPr>
        <w:t>Applicable Law</w:t>
      </w:r>
      <w:r>
        <w:rPr>
          <w:rFonts w:ascii="Arial" w:cs="Arial" w:eastAsia="Arial" w:hAnsi="Arial"/>
          <w:sz w:val="15"/>
          <w:szCs w:val="15"/>
          <w:color w:val="auto"/>
        </w:rPr>
        <w:t>” shall mean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spacing w:after="0" w:line="153"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shall mean the Board of Directors of the Company.</w:t>
      </w:r>
    </w:p>
    <w:p>
      <w:pPr>
        <w:spacing w:after="0" w:line="198"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Change in Control</w:t>
      </w:r>
      <w:r>
        <w:rPr>
          <w:rFonts w:ascii="Arial" w:cs="Arial" w:eastAsia="Arial" w:hAnsi="Arial"/>
          <w:sz w:val="14"/>
          <w:szCs w:val="14"/>
          <w:color w:val="auto"/>
        </w:rPr>
        <w:t>” shall mean and include each of the following:</w:t>
      </w:r>
    </w:p>
    <w:p>
      <w:pPr>
        <w:spacing w:after="0" w:line="198" w:lineRule="exact"/>
        <w:rPr>
          <w:sz w:val="20"/>
          <w:szCs w:val="20"/>
          <w:color w:val="auto"/>
        </w:rPr>
      </w:pPr>
    </w:p>
    <w:p>
      <w:pPr>
        <w:ind w:left="7" w:right="40" w:firstLine="1104"/>
        <w:spacing w:after="0" w:line="264" w:lineRule="auto"/>
        <w:tabs>
          <w:tab w:leader="none" w:pos="1673" w:val="left"/>
        </w:tabs>
        <w:numPr>
          <w:ilvl w:val="0"/>
          <w:numId w:val="311"/>
        </w:numPr>
        <w:rPr>
          <w:rFonts w:ascii="Arial" w:cs="Arial" w:eastAsia="Arial" w:hAnsi="Arial"/>
          <w:sz w:val="15"/>
          <w:szCs w:val="15"/>
          <w:color w:val="auto"/>
        </w:rPr>
      </w:pPr>
      <w:r>
        <w:rPr>
          <w:rFonts w:ascii="Arial" w:cs="Arial" w:eastAsia="Arial" w:hAnsi="Arial"/>
          <w:sz w:val="15"/>
          <w:szCs w:val="15"/>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58" w:lineRule="exact"/>
        <w:rPr>
          <w:rFonts w:ascii="Arial" w:cs="Arial" w:eastAsia="Arial" w:hAnsi="Arial"/>
          <w:sz w:val="15"/>
          <w:szCs w:val="15"/>
          <w:color w:val="auto"/>
        </w:rPr>
      </w:pPr>
    </w:p>
    <w:p>
      <w:pPr>
        <w:ind w:left="7" w:right="180" w:firstLine="1104"/>
        <w:spacing w:after="0" w:line="289" w:lineRule="auto"/>
        <w:tabs>
          <w:tab w:leader="none" w:pos="1681" w:val="left"/>
        </w:tabs>
        <w:numPr>
          <w:ilvl w:val="0"/>
          <w:numId w:val="311"/>
        </w:numPr>
        <w:rPr>
          <w:rFonts w:ascii="Arial" w:cs="Arial" w:eastAsia="Arial" w:hAnsi="Arial"/>
          <w:sz w:val="15"/>
          <w:szCs w:val="15"/>
          <w:color w:val="auto"/>
        </w:rPr>
      </w:pPr>
      <w:r>
        <w:rPr>
          <w:rFonts w:ascii="Arial" w:cs="Arial" w:eastAsia="Arial" w:hAnsi="Arial"/>
          <w:sz w:val="15"/>
          <w:szCs w:val="15"/>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7285990" cy="2730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 w:right="160"/>
        <w:spacing w:after="0" w:line="273" w:lineRule="auto"/>
        <w:rPr>
          <w:sz w:val="20"/>
          <w:szCs w:val="20"/>
          <w:color w:val="auto"/>
        </w:rPr>
      </w:pPr>
      <w:r>
        <w:rPr>
          <w:rFonts w:ascii="Arial" w:cs="Arial" w:eastAsia="Arial" w:hAnsi="Arial"/>
          <w:sz w:val="15"/>
          <w:szCs w:val="15"/>
          <w:color w:val="auto"/>
        </w:rPr>
        <w:t>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53" w:lineRule="exact"/>
        <w:rPr>
          <w:sz w:val="20"/>
          <w:szCs w:val="20"/>
          <w:color w:val="auto"/>
        </w:rPr>
      </w:pPr>
    </w:p>
    <w:p>
      <w:pPr>
        <w:ind w:left="1667" w:hanging="556"/>
        <w:spacing w:after="0"/>
        <w:tabs>
          <w:tab w:leader="none" w:pos="1667" w:val="left"/>
        </w:tabs>
        <w:numPr>
          <w:ilvl w:val="1"/>
          <w:numId w:val="312"/>
        </w:numPr>
        <w:rPr>
          <w:rFonts w:ascii="Arial" w:cs="Arial" w:eastAsia="Arial" w:hAnsi="Arial"/>
          <w:sz w:val="14"/>
          <w:szCs w:val="14"/>
          <w:color w:val="auto"/>
        </w:rPr>
      </w:pPr>
      <w:r>
        <w:rPr>
          <w:rFonts w:ascii="Arial" w:cs="Arial" w:eastAsia="Arial" w:hAnsi="Arial"/>
          <w:sz w:val="14"/>
          <w:szCs w:val="14"/>
          <w:color w:val="auto"/>
        </w:rPr>
        <w:t>The consummation by the Company (whether directly involving the Company or indirectly involving the Company through one or more intermediaries) of</w:t>
      </w:r>
    </w:p>
    <w:p>
      <w:pPr>
        <w:spacing w:after="0" w:line="34" w:lineRule="exact"/>
        <w:rPr>
          <w:rFonts w:ascii="Arial" w:cs="Arial" w:eastAsia="Arial" w:hAnsi="Arial"/>
          <w:sz w:val="14"/>
          <w:szCs w:val="14"/>
          <w:color w:val="auto"/>
        </w:rPr>
      </w:pPr>
    </w:p>
    <w:p>
      <w:pPr>
        <w:ind w:left="7" w:right="60" w:hanging="7"/>
        <w:spacing w:after="0" w:line="275" w:lineRule="auto"/>
        <w:tabs>
          <w:tab w:leader="none" w:pos="226" w:val="left"/>
        </w:tabs>
        <w:numPr>
          <w:ilvl w:val="0"/>
          <w:numId w:val="313"/>
        </w:numPr>
        <w:rPr>
          <w:rFonts w:ascii="Arial" w:cs="Arial" w:eastAsia="Arial" w:hAnsi="Arial"/>
          <w:sz w:val="15"/>
          <w:szCs w:val="15"/>
          <w:color w:val="auto"/>
        </w:rPr>
      </w:pPr>
      <w:r>
        <w:rPr>
          <w:rFonts w:ascii="Arial" w:cs="Arial" w:eastAsia="Arial" w:hAnsi="Arial"/>
          <w:sz w:val="15"/>
          <w:szCs w:val="15"/>
          <w:color w:val="auto"/>
        </w:rPr>
        <w:t>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50" w:lineRule="exact"/>
        <w:rPr>
          <w:rFonts w:ascii="Arial" w:cs="Arial" w:eastAsia="Arial" w:hAnsi="Arial"/>
          <w:sz w:val="15"/>
          <w:szCs w:val="15"/>
          <w:color w:val="auto"/>
        </w:rPr>
      </w:pPr>
    </w:p>
    <w:p>
      <w:pPr>
        <w:ind w:left="547" w:right="120" w:firstLine="1120"/>
        <w:spacing w:after="0" w:line="293" w:lineRule="auto"/>
        <w:tabs>
          <w:tab w:leader="none" w:pos="2233" w:val="left"/>
        </w:tabs>
        <w:numPr>
          <w:ilvl w:val="2"/>
          <w:numId w:val="313"/>
        </w:numPr>
        <w:rPr>
          <w:rFonts w:ascii="Arial" w:cs="Arial" w:eastAsia="Arial" w:hAnsi="Arial"/>
          <w:sz w:val="14"/>
          <w:szCs w:val="14"/>
          <w:color w:val="auto"/>
        </w:rPr>
      </w:pPr>
      <w:r>
        <w:rPr>
          <w:rFonts w:ascii="Arial" w:cs="Arial" w:eastAsia="Arial" w:hAnsi="Arial"/>
          <w:sz w:val="14"/>
          <w:szCs w:val="14"/>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4"/>
          <w:szCs w:val="14"/>
          <w:b w:val="1"/>
          <w:bCs w:val="1"/>
          <w:i w:val="1"/>
          <w:iCs w:val="1"/>
          <w:color w:val="auto"/>
        </w:rPr>
        <w:t>Successor</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Entity</w:t>
      </w:r>
      <w:r>
        <w:rPr>
          <w:rFonts w:ascii="Arial" w:cs="Arial" w:eastAsia="Arial" w:hAnsi="Arial"/>
          <w:sz w:val="14"/>
          <w:szCs w:val="14"/>
          <w:color w:val="auto"/>
        </w:rPr>
        <w:t>”)) directly or indirectly, at least a majority of the combined voting power of the Successor Entity’s outstanding voting securities immediately after the transaction, and</w:t>
      </w:r>
    </w:p>
    <w:p>
      <w:pPr>
        <w:spacing w:after="0" w:line="140" w:lineRule="exact"/>
        <w:rPr>
          <w:rFonts w:ascii="Arial" w:cs="Arial" w:eastAsia="Arial" w:hAnsi="Arial"/>
          <w:sz w:val="14"/>
          <w:szCs w:val="14"/>
          <w:color w:val="auto"/>
        </w:rPr>
      </w:pPr>
    </w:p>
    <w:p>
      <w:pPr>
        <w:ind w:left="547" w:right="40" w:firstLine="1120"/>
        <w:spacing w:after="0" w:line="273" w:lineRule="auto"/>
        <w:tabs>
          <w:tab w:leader="none" w:pos="2242" w:val="left"/>
        </w:tabs>
        <w:numPr>
          <w:ilvl w:val="2"/>
          <w:numId w:val="313"/>
        </w:numPr>
        <w:rPr>
          <w:rFonts w:ascii="Arial" w:cs="Arial" w:eastAsia="Arial" w:hAnsi="Arial"/>
          <w:sz w:val="15"/>
          <w:szCs w:val="15"/>
          <w:color w:val="auto"/>
        </w:rPr>
      </w:pPr>
      <w:r>
        <w:rPr>
          <w:rFonts w:ascii="Arial" w:cs="Arial" w:eastAsia="Arial" w:hAnsi="Arial"/>
          <w:sz w:val="15"/>
          <w:szCs w:val="15"/>
          <w:color w:val="auto"/>
        </w:rPr>
        <w:t xml:space="preserve">after which no person or group beneficially owns voting securities representing 50% or more of the combined voting power of the Successor Entity;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53" w:lineRule="exact"/>
        <w:rPr>
          <w:sz w:val="20"/>
          <w:szCs w:val="20"/>
          <w:color w:val="auto"/>
        </w:rPr>
      </w:pPr>
    </w:p>
    <w:p>
      <w:pPr>
        <w:ind w:left="7" w:right="40" w:firstLine="556"/>
        <w:spacing w:after="0" w:line="289" w:lineRule="auto"/>
        <w:rPr>
          <w:sz w:val="20"/>
          <w:szCs w:val="20"/>
          <w:color w:val="auto"/>
        </w:rPr>
      </w:pPr>
      <w:r>
        <w:rPr>
          <w:rFonts w:ascii="Arial" w:cs="Arial" w:eastAsia="Arial" w:hAnsi="Arial"/>
          <w:sz w:val="15"/>
          <w:szCs w:val="15"/>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w:t>
      </w:r>
    </w:p>
    <w:p>
      <w:pPr>
        <w:spacing w:after="0" w:line="141"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Code</w:t>
      </w:r>
      <w:r>
        <w:rPr>
          <w:rFonts w:ascii="Arial" w:cs="Arial" w:eastAsia="Arial" w:hAnsi="Arial"/>
          <w:sz w:val="13"/>
          <w:szCs w:val="13"/>
          <w:color w:val="auto"/>
        </w:rPr>
        <w:t>” shall mean the Internal Revenue Code of 1986, as amended, and the regulations issued thereunder.</w:t>
      </w:r>
    </w:p>
    <w:p>
      <w:pPr>
        <w:spacing w:after="0" w:line="198"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shall mean the common stock of the Company.</w:t>
      </w:r>
    </w:p>
    <w:p>
      <w:pPr>
        <w:spacing w:after="0" w:line="198"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2.7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shall mean Selecta Biosciences, Inc., a Delaware corporation, or any successor.</w:t>
      </w:r>
    </w:p>
    <w:p>
      <w:pPr>
        <w:spacing w:after="0" w:line="198" w:lineRule="exact"/>
        <w:rPr>
          <w:sz w:val="20"/>
          <w:szCs w:val="20"/>
          <w:color w:val="auto"/>
        </w:rPr>
      </w:pPr>
    </w:p>
    <w:p>
      <w:pPr>
        <w:ind w:left="7" w:right="120" w:firstLine="556"/>
        <w:spacing w:after="0" w:line="273" w:lineRule="auto"/>
        <w:rPr>
          <w:sz w:val="20"/>
          <w:szCs w:val="20"/>
          <w:color w:val="auto"/>
        </w:rPr>
      </w:pPr>
      <w:r>
        <w:rPr>
          <w:rFonts w:ascii="Arial" w:cs="Arial" w:eastAsia="Arial" w:hAnsi="Arial"/>
          <w:sz w:val="15"/>
          <w:szCs w:val="15"/>
          <w:color w:val="auto"/>
        </w:rPr>
        <w:t>2.8 “</w:t>
      </w:r>
      <w:r>
        <w:rPr>
          <w:rFonts w:ascii="Arial" w:cs="Arial" w:eastAsia="Arial" w:hAnsi="Arial"/>
          <w:sz w:val="15"/>
          <w:szCs w:val="15"/>
          <w:b w:val="1"/>
          <w:bCs w:val="1"/>
          <w:i w:val="1"/>
          <w:iCs w:val="1"/>
          <w:color w:val="auto"/>
        </w:rPr>
        <w:t>Compensation</w:t>
      </w:r>
      <w:r>
        <w:rPr>
          <w:rFonts w:ascii="Arial" w:cs="Arial" w:eastAsia="Arial" w:hAnsi="Arial"/>
          <w:sz w:val="15"/>
          <w:szCs w:val="15"/>
          <w:color w:val="auto"/>
        </w:rPr>
        <w:t>” of an Eligible Employee shall mean the gross base compensation received by such Eligible Employee as compensation for services to the Company or any Designated Subsidiary, including overtime payments and excluding sales commissions, incentive compensation, bonuses, expense reimbursements, fringe benefits and other special payments.</w:t>
      </w:r>
    </w:p>
    <w:p>
      <w:pPr>
        <w:spacing w:after="0" w:line="153"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2.9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Designated Subsidiary</w:t>
      </w:r>
      <w:r>
        <w:rPr>
          <w:rFonts w:ascii="Arial" w:cs="Arial" w:eastAsia="Arial" w:hAnsi="Arial"/>
          <w:sz w:val="13"/>
          <w:szCs w:val="13"/>
          <w:color w:val="auto"/>
        </w:rPr>
        <w:t>” shall mean any Subsidiary designated by the Administrator in accordance with Section 11.3(b).</w:t>
      </w:r>
    </w:p>
    <w:p>
      <w:pPr>
        <w:spacing w:after="0" w:line="198"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2.10</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Effective Date</w:t>
      </w:r>
      <w:r>
        <w:rPr>
          <w:rFonts w:ascii="Arial" w:cs="Arial" w:eastAsia="Arial" w:hAnsi="Arial"/>
          <w:sz w:val="14"/>
          <w:szCs w:val="14"/>
          <w:color w:val="auto"/>
        </w:rPr>
        <w:t>” shall mean the day prior to the Public Trading Date.</w:t>
      </w:r>
    </w:p>
    <w:p>
      <w:pPr>
        <w:spacing w:after="0" w:line="198" w:lineRule="exact"/>
        <w:rPr>
          <w:sz w:val="20"/>
          <w:szCs w:val="20"/>
          <w:color w:val="auto"/>
        </w:rPr>
      </w:pPr>
    </w:p>
    <w:p>
      <w:pPr>
        <w:ind w:left="7" w:right="180" w:firstLine="556"/>
        <w:spacing w:after="0" w:line="289" w:lineRule="auto"/>
        <w:rPr>
          <w:sz w:val="20"/>
          <w:szCs w:val="20"/>
          <w:color w:val="auto"/>
        </w:rPr>
      </w:pPr>
      <w:r>
        <w:rPr>
          <w:rFonts w:ascii="Arial" w:cs="Arial" w:eastAsia="Arial" w:hAnsi="Arial"/>
          <w:sz w:val="15"/>
          <w:szCs w:val="15"/>
          <w:color w:val="auto"/>
        </w:rPr>
        <w:t>2.11 “</w:t>
      </w:r>
      <w:r>
        <w:rPr>
          <w:rFonts w:ascii="Arial" w:cs="Arial" w:eastAsia="Arial" w:hAnsi="Arial"/>
          <w:sz w:val="15"/>
          <w:szCs w:val="15"/>
          <w:b w:val="1"/>
          <w:bCs w:val="1"/>
          <w:i w:val="1"/>
          <w:iCs w:val="1"/>
          <w:color w:val="auto"/>
        </w:rPr>
        <w:t>Eligible Employee</w:t>
      </w:r>
      <w:r>
        <w:rPr>
          <w:rFonts w:ascii="Arial" w:cs="Arial" w:eastAsia="Arial" w:hAnsi="Arial"/>
          <w:sz w:val="15"/>
          <w:szCs w:val="15"/>
          <w:color w:val="auto"/>
        </w:rPr>
        <w:t>” shall mean an Employee: (a) who does not, immediately after any rights under this Plan are granted, own (directly or through attribution) stock possessing 5% or more of the total combined voting power or value of all classes of Common Stock and other stock of the</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60"/>
        <w:spacing w:after="0" w:line="334" w:lineRule="auto"/>
        <w:rPr>
          <w:sz w:val="20"/>
          <w:szCs w:val="20"/>
          <w:color w:val="auto"/>
        </w:rPr>
      </w:pPr>
      <w:r>
        <w:rPr>
          <w:rFonts w:ascii="Arial" w:cs="Arial" w:eastAsia="Arial" w:hAnsi="Arial"/>
          <w:sz w:val="13"/>
          <w:szCs w:val="13"/>
          <w:color w:val="auto"/>
        </w:rPr>
        <w:t>Company, a Parent or a Subsidiary (as determined under Section 423(b)(3) of the Code); (b) whose customary employment is for more than twenty hours per week; and (c) whose customary employment is for more than five months in any calendar year.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w:t>
      </w:r>
    </w:p>
    <w:p>
      <w:pPr>
        <w:sectPr>
          <w:pgSz w:w="11900" w:h="16844" w:orient="portrait"/>
          <w:cols w:equalWidth="0" w:num="1">
            <w:col w:w="11447"/>
          </w:cols>
          <w:pgMar w:left="233" w:top="332" w:right="219" w:bottom="0" w:gutter="0" w:footer="0" w:header="0"/>
        </w:sectPr>
      </w:pPr>
    </w:p>
    <w:bookmarkStart w:id="359" w:name="page360"/>
    <w:bookmarkEnd w:id="359"/>
    <w:p>
      <w:pPr>
        <w:ind w:right="20"/>
        <w:spacing w:after="0" w:line="263" w:lineRule="auto"/>
        <w:rPr>
          <w:sz w:val="20"/>
          <w:szCs w:val="20"/>
          <w:color w:val="auto"/>
        </w:rPr>
      </w:pPr>
      <w:r>
        <w:rPr>
          <w:rFonts w:ascii="Arial" w:cs="Arial" w:eastAsia="Arial" w:hAnsi="Arial"/>
          <w:sz w:val="15"/>
          <w:szCs w:val="15"/>
          <w:color w:val="auto"/>
        </w:rPr>
        <w:t xml:space="preserve">Employee;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Administrator may provide in an Offering Document that an Employee shall not be eligible to participate in an Offering Period if: (i) such Employee is a highly compensated employee within the meaning of Section 423(b)(4)(D) of the Code; and/or (ii) such Employee has not met a service requirement designated by the Administrator pursuant to Section 423(b)(4)(A) of the Code (which service requirement may not exceed two years), and/or (iii) 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exclusion in clauses (i), (ii) or (iii) shall be applied in an identical manner under each Offering Period to all Employees, in accordance with Treasury Regulation Section 1.423-2(e).</w:t>
      </w:r>
    </w:p>
    <w:p>
      <w:pPr>
        <w:spacing w:after="0" w:line="159" w:lineRule="exact"/>
        <w:rPr>
          <w:sz w:val="20"/>
          <w:szCs w:val="20"/>
          <w:color w:val="auto"/>
        </w:rPr>
      </w:pPr>
    </w:p>
    <w:p>
      <w:pPr>
        <w:ind w:right="120" w:firstLine="556"/>
        <w:spacing w:after="0" w:line="264" w:lineRule="auto"/>
        <w:rPr>
          <w:sz w:val="20"/>
          <w:szCs w:val="20"/>
          <w:color w:val="auto"/>
        </w:rPr>
      </w:pPr>
      <w:r>
        <w:rPr>
          <w:rFonts w:ascii="Arial" w:cs="Arial" w:eastAsia="Arial" w:hAnsi="Arial"/>
          <w:sz w:val="15"/>
          <w:szCs w:val="15"/>
          <w:color w:val="auto"/>
        </w:rPr>
        <w:t>2.12 “</w:t>
      </w:r>
      <w:r>
        <w:rPr>
          <w:rFonts w:ascii="Arial" w:cs="Arial" w:eastAsia="Arial" w:hAnsi="Arial"/>
          <w:sz w:val="15"/>
          <w:szCs w:val="15"/>
          <w:b w:val="1"/>
          <w:bCs w:val="1"/>
          <w:i w:val="1"/>
          <w:iCs w:val="1"/>
          <w:color w:val="auto"/>
        </w:rPr>
        <w:t>Employee</w:t>
      </w:r>
      <w:r>
        <w:rPr>
          <w:rFonts w:ascii="Arial" w:cs="Arial" w:eastAsia="Arial" w:hAnsi="Arial"/>
          <w:sz w:val="15"/>
          <w:szCs w:val="15"/>
          <w:color w:val="auto"/>
        </w:rPr>
        <w:t>” shall mean any officer or other employee (as defined in accordance with Section 3401(c) of the Code) of the Company or any Designated Subsidiary. “Employee” shall not include any director of the Company or a Designated Subsidiary who does not render services to the Company or a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(3) months and the individual’s right to reemployment is not guaranteed either by statute or by contract, the employment relationship shall be deemed to have terminated on the first day immediately following such three (3)-month period.</w:t>
      </w:r>
    </w:p>
    <w:p>
      <w:pPr>
        <w:spacing w:after="0" w:line="159"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2.13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Enrollment Date</w:t>
      </w:r>
      <w:r>
        <w:rPr>
          <w:rFonts w:ascii="Arial" w:cs="Arial" w:eastAsia="Arial" w:hAnsi="Arial"/>
          <w:sz w:val="14"/>
          <w:szCs w:val="14"/>
          <w:color w:val="auto"/>
        </w:rPr>
        <w:t>” shall mean the first Trading Day of each Offering Period.</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2.14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shall mean the Securities Exchange Act of 1934, as amended.</w:t>
      </w:r>
    </w:p>
    <w:p>
      <w:pPr>
        <w:spacing w:after="0" w:line="198" w:lineRule="exact"/>
        <w:rPr>
          <w:sz w:val="20"/>
          <w:szCs w:val="20"/>
          <w:color w:val="auto"/>
        </w:rPr>
      </w:pPr>
    </w:p>
    <w:p>
      <w:pPr>
        <w:ind w:right="60" w:firstLine="556"/>
        <w:spacing w:after="0" w:line="264" w:lineRule="auto"/>
        <w:rPr>
          <w:sz w:val="20"/>
          <w:szCs w:val="20"/>
          <w:color w:val="auto"/>
        </w:rPr>
      </w:pPr>
      <w:r>
        <w:rPr>
          <w:rFonts w:ascii="Arial" w:cs="Arial" w:eastAsia="Arial" w:hAnsi="Arial"/>
          <w:sz w:val="15"/>
          <w:szCs w:val="15"/>
          <w:color w:val="auto"/>
        </w:rPr>
        <w:t>2.15 “</w:t>
      </w:r>
      <w:r>
        <w:rPr>
          <w:rFonts w:ascii="Arial" w:cs="Arial" w:eastAsia="Arial" w:hAnsi="Arial"/>
          <w:sz w:val="15"/>
          <w:szCs w:val="15"/>
          <w:b w:val="1"/>
          <w:bCs w:val="1"/>
          <w:i w:val="1"/>
          <w:iCs w:val="1"/>
          <w:color w:val="auto"/>
        </w:rPr>
        <w:t>Fair Market Value</w:t>
      </w:r>
      <w:r>
        <w:rPr>
          <w:rFonts w:ascii="Arial" w:cs="Arial" w:eastAsia="Arial" w:hAnsi="Arial"/>
          <w:sz w:val="15"/>
          <w:szCs w:val="15"/>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w:t>
      </w:r>
    </w:p>
    <w:p>
      <w:pPr>
        <w:spacing w:after="0" w:line="159"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2.16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Offering Document</w:t>
      </w:r>
      <w:r>
        <w:rPr>
          <w:rFonts w:ascii="Arial" w:cs="Arial" w:eastAsia="Arial" w:hAnsi="Arial"/>
          <w:sz w:val="13"/>
          <w:szCs w:val="13"/>
          <w:color w:val="auto"/>
        </w:rPr>
        <w:t>” shall have the meaning given to such term in Section 4.1.</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2.17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Offering Period</w:t>
      </w:r>
      <w:r>
        <w:rPr>
          <w:rFonts w:ascii="Arial" w:cs="Arial" w:eastAsia="Arial" w:hAnsi="Arial"/>
          <w:sz w:val="13"/>
          <w:szCs w:val="13"/>
          <w:color w:val="auto"/>
        </w:rPr>
        <w:t>” shall have the meaning given to such term in Section 4.1.</w:t>
      </w:r>
    </w:p>
    <w:p>
      <w:pPr>
        <w:spacing w:after="0" w:line="198" w:lineRule="exact"/>
        <w:rPr>
          <w:sz w:val="20"/>
          <w:szCs w:val="20"/>
          <w:color w:val="auto"/>
        </w:rPr>
      </w:pPr>
    </w:p>
    <w:p>
      <w:pPr>
        <w:jc w:val="both"/>
        <w:ind w:firstLine="556"/>
        <w:spacing w:after="0" w:line="289" w:lineRule="auto"/>
        <w:rPr>
          <w:sz w:val="20"/>
          <w:szCs w:val="20"/>
          <w:color w:val="auto"/>
        </w:rPr>
      </w:pPr>
      <w:r>
        <w:rPr>
          <w:rFonts w:ascii="Arial" w:cs="Arial" w:eastAsia="Arial" w:hAnsi="Arial"/>
          <w:sz w:val="15"/>
          <w:szCs w:val="15"/>
          <w:color w:val="auto"/>
        </w:rPr>
        <w:t>2.18 “</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shall mean any corporation, other than the Company, in an unbroken chain of corporations ending with the Company if, at the time of the determination, each of the corporations other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than the Company owns stock possessing 50% or more of the total combined voting power of all classes of stock in one of the other corporations in such chain.</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2.19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shall mean any Eligible Employee who has executed a subscription agreement and been granted rights to purchase Common Stock pursuant to the Plan.</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2.20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Plan</w:t>
      </w:r>
      <w:r>
        <w:rPr>
          <w:rFonts w:ascii="Arial" w:cs="Arial" w:eastAsia="Arial" w:hAnsi="Arial"/>
          <w:sz w:val="13"/>
          <w:szCs w:val="13"/>
          <w:color w:val="auto"/>
        </w:rPr>
        <w:t>” shall mean this 2016 Employee Stock Purchase Plan.</w:t>
      </w:r>
    </w:p>
    <w:p>
      <w:pPr>
        <w:spacing w:after="0" w:line="198" w:lineRule="exact"/>
        <w:rPr>
          <w:sz w:val="20"/>
          <w:szCs w:val="20"/>
          <w:color w:val="auto"/>
        </w:rPr>
      </w:pPr>
    </w:p>
    <w:p>
      <w:pPr>
        <w:jc w:val="both"/>
        <w:ind w:firstLine="556"/>
        <w:spacing w:after="0" w:line="273" w:lineRule="auto"/>
        <w:rPr>
          <w:sz w:val="20"/>
          <w:szCs w:val="20"/>
          <w:color w:val="auto"/>
        </w:rPr>
      </w:pPr>
      <w:r>
        <w:rPr>
          <w:rFonts w:ascii="Arial" w:cs="Arial" w:eastAsia="Arial" w:hAnsi="Arial"/>
          <w:sz w:val="15"/>
          <w:szCs w:val="15"/>
          <w:color w:val="auto"/>
        </w:rPr>
        <w:t>2.21 “</w:t>
      </w:r>
      <w:r>
        <w:rPr>
          <w:rFonts w:ascii="Arial" w:cs="Arial" w:eastAsia="Arial" w:hAnsi="Arial"/>
          <w:sz w:val="15"/>
          <w:szCs w:val="15"/>
          <w:b w:val="1"/>
          <w:bCs w:val="1"/>
          <w:i w:val="1"/>
          <w:iCs w:val="1"/>
          <w:color w:val="auto"/>
        </w:rPr>
        <w:t>Public Trading Date</w:t>
      </w:r>
      <w:r>
        <w:rPr>
          <w:rFonts w:ascii="Arial" w:cs="Arial" w:eastAsia="Arial" w:hAnsi="Arial"/>
          <w:sz w:val="15"/>
          <w:szCs w:val="15"/>
          <w:color w:val="auto"/>
        </w:rPr>
        <w:t>” shall mean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spacing w:after="0" w:line="153"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2.22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Purchase Date</w:t>
      </w:r>
      <w:r>
        <w:rPr>
          <w:rFonts w:ascii="Arial" w:cs="Arial" w:eastAsia="Arial" w:hAnsi="Arial"/>
          <w:sz w:val="14"/>
          <w:szCs w:val="14"/>
          <w:color w:val="auto"/>
        </w:rPr>
        <w:t>” shall mean the last Trading Day of each Offering Period.</w:t>
      </w:r>
    </w:p>
    <w:p>
      <w:pPr>
        <w:spacing w:after="0" w:line="198" w:lineRule="exact"/>
        <w:rPr>
          <w:sz w:val="20"/>
          <w:szCs w:val="20"/>
          <w:color w:val="auto"/>
        </w:rPr>
      </w:pPr>
    </w:p>
    <w:p>
      <w:pPr>
        <w:ind w:right="100" w:firstLine="556"/>
        <w:spacing w:after="0" w:line="265" w:lineRule="auto"/>
        <w:rPr>
          <w:sz w:val="20"/>
          <w:szCs w:val="20"/>
          <w:color w:val="auto"/>
        </w:rPr>
      </w:pPr>
      <w:r>
        <w:rPr>
          <w:rFonts w:ascii="Arial" w:cs="Arial" w:eastAsia="Arial" w:hAnsi="Arial"/>
          <w:sz w:val="15"/>
          <w:szCs w:val="15"/>
          <w:color w:val="auto"/>
        </w:rPr>
        <w:t>2.23 “</w:t>
      </w:r>
      <w:r>
        <w:rPr>
          <w:rFonts w:ascii="Arial" w:cs="Arial" w:eastAsia="Arial" w:hAnsi="Arial"/>
          <w:sz w:val="15"/>
          <w:szCs w:val="15"/>
          <w:b w:val="1"/>
          <w:bCs w:val="1"/>
          <w:i w:val="1"/>
          <w:iCs w:val="1"/>
          <w:color w:val="auto"/>
        </w:rPr>
        <w:t>Purchase Price</w:t>
      </w:r>
      <w:r>
        <w:rPr>
          <w:rFonts w:ascii="Arial" w:cs="Arial" w:eastAsia="Arial" w:hAnsi="Arial"/>
          <w:sz w:val="15"/>
          <w:szCs w:val="15"/>
          <w:color w:val="auto"/>
        </w:rPr>
        <w:t xml:space="preserve">” shall mean the purchase price designated by the Administrator in the applicable Offering Document (which purchase price shall not be less than 85% of the Fair Market Value of a Share on the Enrollment Date or on the Purchase Date, whichever is lower);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Purchase Price may be adjusted by the Administrator pursuant to Article VIII and shall not be less than the par value of a Share.</w:t>
      </w:r>
    </w:p>
    <w:p>
      <w:pPr>
        <w:spacing w:after="0" w:line="160"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2.24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shall mean the Securities Act of 1933, as amended.</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2.25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Share</w:t>
      </w:r>
      <w:r>
        <w:rPr>
          <w:rFonts w:ascii="Arial" w:cs="Arial" w:eastAsia="Arial" w:hAnsi="Arial"/>
          <w:sz w:val="14"/>
          <w:szCs w:val="14"/>
          <w:color w:val="auto"/>
        </w:rPr>
        <w:t>” shall mean a share of Common Stock.</w:t>
      </w:r>
    </w:p>
    <w:p>
      <w:pPr>
        <w:spacing w:after="0" w:line="198" w:lineRule="exact"/>
        <w:rPr>
          <w:sz w:val="20"/>
          <w:szCs w:val="20"/>
          <w:color w:val="auto"/>
        </w:rPr>
      </w:pPr>
    </w:p>
    <w:p>
      <w:pPr>
        <w:ind w:right="100" w:firstLine="556"/>
        <w:spacing w:after="0" w:line="289" w:lineRule="auto"/>
        <w:rPr>
          <w:sz w:val="20"/>
          <w:szCs w:val="20"/>
          <w:color w:val="auto"/>
        </w:rPr>
      </w:pPr>
      <w:r>
        <w:rPr>
          <w:rFonts w:ascii="Arial" w:cs="Arial" w:eastAsia="Arial" w:hAnsi="Arial"/>
          <w:sz w:val="14"/>
          <w:szCs w:val="14"/>
          <w:color w:val="auto"/>
        </w:rPr>
        <w:t>2.26 “</w:t>
      </w:r>
      <w:r>
        <w:rPr>
          <w:rFonts w:ascii="Arial" w:cs="Arial" w:eastAsia="Arial" w:hAnsi="Arial"/>
          <w:sz w:val="14"/>
          <w:szCs w:val="14"/>
          <w:b w:val="1"/>
          <w:bCs w:val="1"/>
          <w:i w:val="1"/>
          <w:iCs w:val="1"/>
          <w:color w:val="auto"/>
        </w:rPr>
        <w:t>Subsidiary</w:t>
      </w:r>
      <w:r>
        <w:rPr>
          <w:rFonts w:ascii="Arial" w:cs="Arial" w:eastAsia="Arial" w:hAnsi="Arial"/>
          <w:sz w:val="14"/>
          <w:szCs w:val="14"/>
          <w:color w:val="auto"/>
        </w:rPr>
        <w:t xml:space="preserve">” 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143"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2.25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Trading Day</w:t>
      </w:r>
      <w:r>
        <w:rPr>
          <w:rFonts w:ascii="Arial" w:cs="Arial" w:eastAsia="Arial" w:hAnsi="Arial"/>
          <w:sz w:val="13"/>
          <w:szCs w:val="13"/>
          <w:color w:val="auto"/>
        </w:rPr>
        <w:t>” shall mean a day on which national stock exchanges in the United States are open for trading.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SUBJECT TO THE PLAN</w:t>
      </w:r>
    </w:p>
    <w:p>
      <w:pPr>
        <w:spacing w:after="0" w:line="188" w:lineRule="exact"/>
        <w:rPr>
          <w:sz w:val="20"/>
          <w:szCs w:val="20"/>
          <w:color w:val="auto"/>
        </w:rPr>
      </w:pPr>
    </w:p>
    <w:p>
      <w:pPr>
        <w:ind w:right="40" w:firstLine="556"/>
        <w:spacing w:after="0" w:line="268"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Number of Shares</w:t>
      </w:r>
      <w:r>
        <w:rPr>
          <w:rFonts w:ascii="Arial" w:cs="Arial" w:eastAsia="Arial" w:hAnsi="Arial"/>
          <w:sz w:val="15"/>
          <w:szCs w:val="15"/>
          <w:color w:val="auto"/>
        </w:rPr>
        <w:t>. Subject to Article VIII, the aggregate number of Shares that may be issued pursuant to rights granted under the Plan shall be 173,076 Shares. In addition to the foregoing, subject to Article VIII, on the first day of each calendar year beginning on January 1, 2017 and ending on and including January 1, 2026, the number of Shares available for issuance under the Plan shall be increased by that number of Shares equal to the lesser of (a) 1% of the Shares outstanding on the final day of the immediately preceding calendar year and (b) such smaller number of Shares as determined by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the Board. If any right granted under the Plan shall for any reason terminate without having been exercised, the Common Stock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1,903,846 Shares, subject to Article VIII.</w:t>
      </w:r>
    </w:p>
    <w:p>
      <w:pPr>
        <w:spacing w:after="0" w:line="153" w:lineRule="exact"/>
        <w:rPr>
          <w:sz w:val="20"/>
          <w:szCs w:val="20"/>
          <w:color w:val="auto"/>
        </w:rPr>
      </w:pPr>
    </w:p>
    <w:p>
      <w:pPr>
        <w:ind w:right="100" w:firstLine="556"/>
        <w:spacing w:after="0" w:line="28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Stock Distributed</w:t>
      </w:r>
      <w:r>
        <w:rPr>
          <w:rFonts w:ascii="Arial" w:cs="Arial" w:eastAsia="Arial" w:hAnsi="Arial"/>
          <w:sz w:val="15"/>
          <w:szCs w:val="15"/>
          <w:color w:val="auto"/>
        </w:rPr>
        <w:t>. Any Common Stock distributed pursuant to the Plan may consist, in whole or in part, of authorized and unissued Common Stock, treasury stock or Common Stock purchased on the open market.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OFFERING PERIODS; OFFERING DOCUMENTS; PURCHASE DATES</w:t>
      </w:r>
    </w:p>
    <w:p>
      <w:pPr>
        <w:sectPr>
          <w:pgSz w:w="11900" w:h="16838" w:orient="portrait"/>
          <w:cols w:equalWidth="0" w:num="1">
            <w:col w:w="11440"/>
          </w:cols>
          <w:pgMar w:left="240" w:top="129" w:right="219" w:bottom="0" w:gutter="0" w:footer="0" w:header="0"/>
        </w:sectPr>
      </w:pPr>
    </w:p>
    <w:bookmarkStart w:id="360" w:name="page361"/>
    <w:bookmarkEnd w:id="360"/>
    <w:p>
      <w:pPr>
        <w:ind w:left="7" w:right="40" w:firstLine="556"/>
        <w:spacing w:after="0" w:line="265"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Offering Periods</w:t>
      </w:r>
      <w:r>
        <w:rPr>
          <w:rFonts w:ascii="Arial" w:cs="Arial" w:eastAsia="Arial" w:hAnsi="Arial"/>
          <w:sz w:val="15"/>
          <w:szCs w:val="15"/>
          <w:color w:val="auto"/>
        </w:rPr>
        <w:t>. The Administrator may from time to time grant or provide for the grant of rights to purchase Common Stock under the Plan to Eligible Employees during one or more periods (each, an “</w:t>
      </w:r>
      <w:r>
        <w:rPr>
          <w:rFonts w:ascii="Arial" w:cs="Arial" w:eastAsia="Arial" w:hAnsi="Arial"/>
          <w:sz w:val="15"/>
          <w:szCs w:val="15"/>
          <w:b w:val="1"/>
          <w:bCs w:val="1"/>
          <w:i w:val="1"/>
          <w:iCs w:val="1"/>
          <w:color w:val="auto"/>
        </w:rPr>
        <w:t>Offering Period</w:t>
      </w:r>
      <w:r>
        <w:rPr>
          <w:rFonts w:ascii="Arial" w:cs="Arial" w:eastAsia="Arial" w:hAnsi="Arial"/>
          <w:sz w:val="15"/>
          <w:szCs w:val="15"/>
          <w:color w:val="auto"/>
        </w:rPr>
        <w:t>”) selected by the Administrator. The terms and conditions applicable to each Offering Period shall be set forth in an “</w:t>
      </w:r>
      <w:r>
        <w:rPr>
          <w:rFonts w:ascii="Arial" w:cs="Arial" w:eastAsia="Arial" w:hAnsi="Arial"/>
          <w:sz w:val="15"/>
          <w:szCs w:val="15"/>
          <w:b w:val="1"/>
          <w:bCs w:val="1"/>
          <w:i w:val="1"/>
          <w:iCs w:val="1"/>
          <w:color w:val="auto"/>
        </w:rPr>
        <w:t>Offering</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Document</w:t>
      </w:r>
      <w:r>
        <w:rPr>
          <w:rFonts w:ascii="Arial" w:cs="Arial" w:eastAsia="Arial" w:hAnsi="Arial"/>
          <w:sz w:val="15"/>
          <w:szCs w:val="15"/>
          <w:color w:val="auto"/>
        </w:rPr>
        <w:t>” adopted by the Administrator, which Offering Document shall be in such form and shall contain such terms and conditions as the Administrator shall deem appropriate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shall be incorporated by reference into and made part of the Plan and shall be attached hereto as part of the Plan. The provisions of separate Offering Periods under the Plan need not be identical.</w:t>
      </w:r>
    </w:p>
    <w:p>
      <w:pPr>
        <w:spacing w:after="0" w:line="160" w:lineRule="exact"/>
        <w:rPr>
          <w:sz w:val="20"/>
          <w:szCs w:val="20"/>
          <w:color w:val="auto"/>
        </w:rPr>
      </w:pPr>
    </w:p>
    <w:p>
      <w:pPr>
        <w:ind w:left="7" w:right="200" w:firstLine="556"/>
        <w:spacing w:after="0" w:line="289"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Offering Documents</w:t>
      </w:r>
      <w:r>
        <w:rPr>
          <w:rFonts w:ascii="Arial" w:cs="Arial" w:eastAsia="Arial" w:hAnsi="Arial"/>
          <w:sz w:val="15"/>
          <w:szCs w:val="15"/>
          <w:color w:val="auto"/>
        </w:rPr>
        <w:t>. Each Offering Document with respect to an Offering Period shall specify (through incorporation of the provisions of this Plan by reference or otherwise):</w:t>
      </w:r>
    </w:p>
    <w:p>
      <w:pPr>
        <w:spacing w:after="0" w:line="141" w:lineRule="exact"/>
        <w:rPr>
          <w:sz w:val="20"/>
          <w:szCs w:val="20"/>
          <w:color w:val="auto"/>
        </w:rPr>
      </w:pPr>
    </w:p>
    <w:p>
      <w:pPr>
        <w:ind w:left="1667" w:hanging="556"/>
        <w:spacing w:after="0"/>
        <w:tabs>
          <w:tab w:leader="none" w:pos="1667" w:val="left"/>
        </w:tabs>
        <w:numPr>
          <w:ilvl w:val="0"/>
          <w:numId w:val="314"/>
        </w:numPr>
        <w:rPr>
          <w:rFonts w:ascii="Arial" w:cs="Arial" w:eastAsia="Arial" w:hAnsi="Arial"/>
          <w:sz w:val="15"/>
          <w:szCs w:val="15"/>
          <w:color w:val="auto"/>
        </w:rPr>
      </w:pPr>
      <w:r>
        <w:rPr>
          <w:rFonts w:ascii="Arial" w:cs="Arial" w:eastAsia="Arial" w:hAnsi="Arial"/>
          <w:sz w:val="15"/>
          <w:szCs w:val="15"/>
          <w:color w:val="auto"/>
        </w:rPr>
        <w:t>the length of the Offering Period, which period shall not exceed twenty-seven months;</w:t>
      </w:r>
    </w:p>
    <w:p>
      <w:pPr>
        <w:spacing w:after="0" w:line="198" w:lineRule="exact"/>
        <w:rPr>
          <w:rFonts w:ascii="Arial" w:cs="Arial" w:eastAsia="Arial" w:hAnsi="Arial"/>
          <w:sz w:val="15"/>
          <w:szCs w:val="15"/>
          <w:color w:val="auto"/>
        </w:rPr>
      </w:pPr>
    </w:p>
    <w:p>
      <w:pPr>
        <w:ind w:left="7" w:right="680" w:firstLine="1104"/>
        <w:spacing w:after="0" w:line="289" w:lineRule="auto"/>
        <w:tabs>
          <w:tab w:leader="none" w:pos="1681" w:val="left"/>
        </w:tabs>
        <w:numPr>
          <w:ilvl w:val="0"/>
          <w:numId w:val="314"/>
        </w:numPr>
        <w:rPr>
          <w:rFonts w:ascii="Arial" w:cs="Arial" w:eastAsia="Arial" w:hAnsi="Arial"/>
          <w:sz w:val="15"/>
          <w:szCs w:val="15"/>
          <w:color w:val="auto"/>
        </w:rPr>
      </w:pPr>
      <w:r>
        <w:rPr>
          <w:rFonts w:ascii="Arial" w:cs="Arial" w:eastAsia="Arial" w:hAnsi="Arial"/>
          <w:sz w:val="15"/>
          <w:szCs w:val="15"/>
          <w:color w:val="auto"/>
        </w:rPr>
        <w:t>the maximum number of Shares that may be purchased by any Eligible Employee during such Offering Period, which, in the absence of a contrary designation by the Administrator, shall be 6,410 Shares; and</w:t>
      </w:r>
    </w:p>
    <w:p>
      <w:pPr>
        <w:spacing w:after="0" w:line="140" w:lineRule="exact"/>
        <w:rPr>
          <w:rFonts w:ascii="Arial" w:cs="Arial" w:eastAsia="Arial" w:hAnsi="Arial"/>
          <w:sz w:val="15"/>
          <w:szCs w:val="15"/>
          <w:color w:val="auto"/>
        </w:rPr>
      </w:pPr>
    </w:p>
    <w:p>
      <w:pPr>
        <w:ind w:left="1667" w:hanging="556"/>
        <w:spacing w:after="0"/>
        <w:tabs>
          <w:tab w:leader="none" w:pos="1667" w:val="left"/>
        </w:tabs>
        <w:numPr>
          <w:ilvl w:val="0"/>
          <w:numId w:val="314"/>
        </w:numPr>
        <w:rPr>
          <w:rFonts w:ascii="Arial" w:cs="Arial" w:eastAsia="Arial" w:hAnsi="Arial"/>
          <w:sz w:val="15"/>
          <w:szCs w:val="15"/>
          <w:color w:val="auto"/>
        </w:rPr>
      </w:pPr>
      <w:r>
        <w:rPr>
          <w:rFonts w:ascii="Arial" w:cs="Arial" w:eastAsia="Arial" w:hAnsi="Arial"/>
          <w:sz w:val="15"/>
          <w:szCs w:val="15"/>
          <w:color w:val="auto"/>
        </w:rPr>
        <w:t>such other provisions as the Administrator determines are appropriate, subject to the Plan.</w:t>
      </w:r>
    </w:p>
    <w:p>
      <w:pPr>
        <w:spacing w:after="0" w:line="192"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ARTICLE V.</w:t>
      </w:r>
    </w:p>
    <w:p>
      <w:pPr>
        <w:spacing w:after="0" w:line="29"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ELIGIBILITY AND PARTICIPATION</w:t>
      </w:r>
    </w:p>
    <w:p>
      <w:pPr>
        <w:spacing w:after="0" w:line="188" w:lineRule="exact"/>
        <w:rPr>
          <w:sz w:val="20"/>
          <w:szCs w:val="20"/>
          <w:color w:val="auto"/>
        </w:rPr>
      </w:pPr>
    </w:p>
    <w:p>
      <w:pPr>
        <w:ind w:left="7" w:right="240" w:firstLine="556"/>
        <w:spacing w:after="0" w:line="327"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Eligibility</w:t>
      </w:r>
      <w:r>
        <w:rPr>
          <w:rFonts w:ascii="Arial" w:cs="Arial" w:eastAsia="Arial" w:hAnsi="Arial"/>
          <w:sz w:val="14"/>
          <w:szCs w:val="14"/>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spacing w:after="0" w:line="117"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4"/>
          <w:szCs w:val="14"/>
          <w:u w:val="single" w:color="auto"/>
          <w:color w:val="auto"/>
        </w:rPr>
        <w:t>Enrollment in Plan</w:t>
      </w:r>
      <w:r>
        <w:rPr>
          <w:rFonts w:ascii="Arial" w:cs="Arial" w:eastAsia="Arial" w:hAnsi="Arial"/>
          <w:sz w:val="14"/>
          <w:szCs w:val="14"/>
          <w:color w:val="auto"/>
        </w:rPr>
        <w:t>.</w:t>
      </w:r>
    </w:p>
    <w:p>
      <w:pPr>
        <w:spacing w:after="0" w:line="198" w:lineRule="exact"/>
        <w:rPr>
          <w:sz w:val="20"/>
          <w:szCs w:val="20"/>
          <w:color w:val="auto"/>
        </w:rPr>
      </w:pPr>
    </w:p>
    <w:p>
      <w:pPr>
        <w:ind w:left="7" w:firstLine="1104"/>
        <w:spacing w:after="0" w:line="273" w:lineRule="auto"/>
        <w:tabs>
          <w:tab w:leader="none" w:pos="1673" w:val="left"/>
        </w:tabs>
        <w:numPr>
          <w:ilvl w:val="0"/>
          <w:numId w:val="315"/>
        </w:numPr>
        <w:rPr>
          <w:rFonts w:ascii="Arial" w:cs="Arial" w:eastAsia="Arial" w:hAnsi="Arial"/>
          <w:sz w:val="15"/>
          <w:szCs w:val="15"/>
          <w:color w:val="auto"/>
        </w:rPr>
      </w:pPr>
      <w:r>
        <w:rPr>
          <w:rFonts w:ascii="Arial" w:cs="Arial" w:eastAsia="Arial" w:hAnsi="Arial"/>
          <w:sz w:val="15"/>
          <w:szCs w:val="15"/>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53"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0" w:firstLine="1104"/>
        <w:spacing w:after="0" w:line="265" w:lineRule="auto"/>
        <w:tabs>
          <w:tab w:leader="none" w:pos="1681" w:val="left"/>
        </w:tabs>
        <w:numPr>
          <w:ilvl w:val="0"/>
          <w:numId w:val="316"/>
        </w:numPr>
        <w:rPr>
          <w:rFonts w:ascii="Arial" w:cs="Arial" w:eastAsia="Arial" w:hAnsi="Arial"/>
          <w:sz w:val="15"/>
          <w:szCs w:val="15"/>
          <w:color w:val="auto"/>
        </w:rPr>
      </w:pPr>
      <w:r>
        <w:rPr>
          <w:rFonts w:ascii="Arial" w:cs="Arial" w:eastAsia="Arial" w:hAnsi="Arial"/>
          <w:sz w:val="15"/>
          <w:szCs w:val="15"/>
          <w:color w:val="auto"/>
        </w:rPr>
        <w:t>Each subscription agreement shall designate a whole percentage of such Eligible Employee’s Compensation to be withheld by the Company or the Designated Subsidiary employing such Eligible Employee on each payday during the Offering Period as payroll deductions under the Plan. The percentage of Compensation designated by an Eligible Employee may not be less than 1% and may not be more than the maximum percentage specified by the Administrator in the applicable Offering Document (which percentage shall be 25% in the absence of any such designation) as payroll deductions. The payroll deductions made for each Participant shall be credited to an account for such Participant under the Plan and shall be deposited with the general funds of the Company.</w:t>
      </w:r>
    </w:p>
    <w:p>
      <w:pPr>
        <w:spacing w:after="0" w:line="159" w:lineRule="exact"/>
        <w:rPr>
          <w:rFonts w:ascii="Arial" w:cs="Arial" w:eastAsia="Arial" w:hAnsi="Arial"/>
          <w:sz w:val="15"/>
          <w:szCs w:val="15"/>
          <w:color w:val="auto"/>
        </w:rPr>
      </w:pPr>
    </w:p>
    <w:p>
      <w:pPr>
        <w:ind w:left="1667" w:hanging="556"/>
        <w:spacing w:after="0"/>
        <w:tabs>
          <w:tab w:leader="none" w:pos="1667" w:val="left"/>
        </w:tabs>
        <w:numPr>
          <w:ilvl w:val="0"/>
          <w:numId w:val="316"/>
        </w:numPr>
        <w:rPr>
          <w:rFonts w:ascii="Arial" w:cs="Arial" w:eastAsia="Arial" w:hAnsi="Arial"/>
          <w:sz w:val="14"/>
          <w:szCs w:val="14"/>
          <w:color w:val="auto"/>
        </w:rPr>
      </w:pPr>
      <w:r>
        <w:rPr>
          <w:rFonts w:ascii="Arial" w:cs="Arial" w:eastAsia="Arial" w:hAnsi="Arial"/>
          <w:sz w:val="14"/>
          <w:szCs w:val="14"/>
          <w:color w:val="auto"/>
        </w:rPr>
        <w:t>A Participant may increase or decrease the percentage of Compensation designated in his or her subscription agreement, subject to the limits of this</w:t>
      </w:r>
    </w:p>
    <w:p>
      <w:pPr>
        <w:spacing w:after="0" w:line="35" w:lineRule="exact"/>
        <w:rPr>
          <w:sz w:val="20"/>
          <w:szCs w:val="20"/>
          <w:color w:val="auto"/>
        </w:rPr>
      </w:pPr>
    </w:p>
    <w:p>
      <w:pPr>
        <w:ind w:left="7" w:right="140"/>
        <w:spacing w:after="0" w:line="282" w:lineRule="auto"/>
        <w:rPr>
          <w:sz w:val="20"/>
          <w:szCs w:val="20"/>
          <w:color w:val="auto"/>
        </w:rPr>
      </w:pPr>
      <w:r>
        <w:rPr>
          <w:rFonts w:ascii="Arial" w:cs="Arial" w:eastAsia="Arial" w:hAnsi="Arial"/>
          <w:sz w:val="14"/>
          <w:szCs w:val="14"/>
          <w:color w:val="auto"/>
        </w:rPr>
        <w:t xml:space="preserve">Section 5.2, or may suspend his or her payroll deductions, at any time during an Offering Period;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one change to his or her payroll deduction elections during each Offering Period). Any such change or suspension of payroll deductions shall be effective with the first full payroll period following five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148" w:lineRule="exact"/>
        <w:rPr>
          <w:sz w:val="20"/>
          <w:szCs w:val="20"/>
          <w:color w:val="auto"/>
        </w:rPr>
      </w:pPr>
    </w:p>
    <w:p>
      <w:pPr>
        <w:ind w:left="7" w:right="20" w:firstLine="1104"/>
        <w:spacing w:after="0" w:line="289" w:lineRule="auto"/>
        <w:tabs>
          <w:tab w:leader="none" w:pos="1681" w:val="left"/>
        </w:tabs>
        <w:numPr>
          <w:ilvl w:val="0"/>
          <w:numId w:val="317"/>
        </w:numPr>
        <w:rPr>
          <w:rFonts w:ascii="Arial" w:cs="Arial" w:eastAsia="Arial" w:hAnsi="Arial"/>
          <w:sz w:val="15"/>
          <w:szCs w:val="15"/>
          <w:color w:val="auto"/>
        </w:rPr>
      </w:pPr>
      <w:r>
        <w:rPr>
          <w:rFonts w:ascii="Arial" w:cs="Arial" w:eastAsia="Arial" w:hAnsi="Arial"/>
          <w:sz w:val="15"/>
          <w:szCs w:val="15"/>
          <w:color w:val="auto"/>
        </w:rPr>
        <w:t>Except as otherwise set forth in an Offering Document or determined by the Administrator, a Participant may participate in the Plan only by means of payroll deduction and may not make contributions by lump sum payment for any Offering Period.</w:t>
      </w:r>
    </w:p>
    <w:p>
      <w:pPr>
        <w:spacing w:after="0" w:line="141" w:lineRule="exact"/>
        <w:rPr>
          <w:sz w:val="20"/>
          <w:szCs w:val="20"/>
          <w:color w:val="auto"/>
        </w:rPr>
      </w:pPr>
    </w:p>
    <w:p>
      <w:pPr>
        <w:ind w:left="7" w:right="100" w:firstLine="556"/>
        <w:spacing w:after="0" w:line="273"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Payroll Deductions</w:t>
      </w:r>
      <w:r>
        <w:rPr>
          <w:rFonts w:ascii="Arial" w:cs="Arial" w:eastAsia="Arial" w:hAnsi="Arial"/>
          <w:sz w:val="15"/>
          <w:szCs w:val="15"/>
          <w:color w:val="auto"/>
        </w:rPr>
        <w:t>. Except as otherwise provided in the applicable Offering Document,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Section 5.2 and Section 5.6, respectively.</w:t>
      </w:r>
    </w:p>
    <w:p>
      <w:pPr>
        <w:spacing w:after="0" w:line="153" w:lineRule="exact"/>
        <w:rPr>
          <w:sz w:val="20"/>
          <w:szCs w:val="20"/>
          <w:color w:val="auto"/>
        </w:rPr>
      </w:pPr>
    </w:p>
    <w:p>
      <w:pPr>
        <w:ind w:left="7" w:right="60" w:firstLine="556"/>
        <w:spacing w:after="0" w:line="273"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Effect of Enrollment</w:t>
      </w:r>
      <w:r>
        <w:rPr>
          <w:rFonts w:ascii="Arial" w:cs="Arial" w:eastAsia="Arial" w:hAnsi="Arial"/>
          <w:sz w:val="15"/>
          <w:szCs w:val="15"/>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153" w:lineRule="exact"/>
        <w:rPr>
          <w:sz w:val="20"/>
          <w:szCs w:val="20"/>
          <w:color w:val="auto"/>
        </w:rPr>
      </w:pPr>
    </w:p>
    <w:p>
      <w:pPr>
        <w:ind w:left="7" w:firstLine="556"/>
        <w:spacing w:after="0" w:line="265"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Limitation on Purchase of Common Stock</w:t>
      </w:r>
      <w:r>
        <w:rPr>
          <w:rFonts w:ascii="Arial" w:cs="Arial" w:eastAsia="Arial" w:hAnsi="Arial"/>
          <w:sz w:val="15"/>
          <w:szCs w:val="15"/>
          <w:color w:val="auto"/>
        </w:rPr>
        <w:t>. An Eligible Employee may be granted rights under the Plan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60" w:lineRule="exact"/>
        <w:rPr>
          <w:sz w:val="20"/>
          <w:szCs w:val="20"/>
          <w:color w:val="auto"/>
        </w:rPr>
      </w:pPr>
    </w:p>
    <w:p>
      <w:pPr>
        <w:ind w:left="7" w:right="120" w:firstLine="556"/>
        <w:spacing w:after="0" w:line="289"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Decrease or Suspension of Payroll Deductions</w:t>
      </w:r>
      <w:r>
        <w:rPr>
          <w:rFonts w:ascii="Arial" w:cs="Arial" w:eastAsia="Arial" w:hAnsi="Arial"/>
          <w:sz w:val="15"/>
          <w:szCs w:val="15"/>
          <w:color w:val="auto"/>
        </w:rPr>
        <w:t>. Notwithstanding the foregoing, to the extent necessary to comply with Section 423(b)(8) of the Code and Section 5.5 or the other limitations set forth in this Plan, a Participant’s payroll deductions may be suspended by the Administrator at any</w:t>
      </w:r>
    </w:p>
    <w:p>
      <w:pPr>
        <w:spacing w:after="0" w:line="141"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rPr>
          <w:sz w:val="20"/>
          <w:szCs w:val="20"/>
          <w:color w:val="auto"/>
        </w:rPr>
      </w:pPr>
      <w:r>
        <w:rPr>
          <w:rFonts w:ascii="Arial" w:cs="Arial" w:eastAsia="Arial" w:hAnsi="Arial"/>
          <w:sz w:val="14"/>
          <w:szCs w:val="14"/>
          <w:color w:val="auto"/>
        </w:rPr>
        <w:t>time during an Offering Period. The balance of the amount credited to the account of each Participant that has not been applied to the purchase of Shares by reason of Section 423(b)</w:t>
      </w:r>
    </w:p>
    <w:p>
      <w:pPr>
        <w:spacing w:after="0" w:line="35" w:lineRule="exact"/>
        <w:rPr>
          <w:sz w:val="20"/>
          <w:szCs w:val="20"/>
          <w:color w:val="auto"/>
        </w:rPr>
      </w:pPr>
    </w:p>
    <w:p>
      <w:pPr>
        <w:ind w:left="7" w:right="180" w:hanging="7"/>
        <w:spacing w:after="0" w:line="275" w:lineRule="auto"/>
        <w:tabs>
          <w:tab w:leader="none" w:pos="226" w:val="left"/>
        </w:tabs>
        <w:numPr>
          <w:ilvl w:val="0"/>
          <w:numId w:val="318"/>
        </w:numPr>
        <w:rPr>
          <w:rFonts w:ascii="Arial" w:cs="Arial" w:eastAsia="Arial" w:hAnsi="Arial"/>
          <w:sz w:val="15"/>
          <w:szCs w:val="15"/>
          <w:color w:val="auto"/>
        </w:rPr>
      </w:pPr>
      <w:r>
        <w:rPr>
          <w:rFonts w:ascii="Arial" w:cs="Arial" w:eastAsia="Arial" w:hAnsi="Arial"/>
          <w:sz w:val="15"/>
          <w:szCs w:val="15"/>
          <w:color w:val="auto"/>
        </w:rPr>
        <w:t>of the Code, Section 5.5 or the other limitations set forth in this Plan shall be paid to such Participant in one lump sum in cash as soon as reasonably practicable after the Purchase Date.</w:t>
      </w:r>
    </w:p>
    <w:p>
      <w:pPr>
        <w:spacing w:after="0" w:line="150" w:lineRule="exact"/>
        <w:rPr>
          <w:sz w:val="20"/>
          <w:szCs w:val="20"/>
          <w:color w:val="auto"/>
        </w:rPr>
      </w:pPr>
    </w:p>
    <w:p>
      <w:pPr>
        <w:ind w:left="7" w:right="60" w:firstLine="556"/>
        <w:spacing w:after="0" w:line="263"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Foreign Employees</w:t>
      </w:r>
      <w:r>
        <w:rPr>
          <w:rFonts w:ascii="Arial" w:cs="Arial" w:eastAsia="Arial" w:hAnsi="Arial"/>
          <w:sz w:val="15"/>
          <w:szCs w:val="15"/>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spacing w:after="0" w:line="159" w:lineRule="exact"/>
        <w:rPr>
          <w:sz w:val="20"/>
          <w:szCs w:val="20"/>
          <w:color w:val="auto"/>
        </w:rPr>
      </w:pPr>
    </w:p>
    <w:p>
      <w:pPr>
        <w:ind w:left="7" w:right="300" w:firstLine="556"/>
        <w:spacing w:after="0" w:line="327" w:lineRule="auto"/>
        <w:rPr>
          <w:sz w:val="20"/>
          <w:szCs w:val="20"/>
          <w:color w:val="auto"/>
        </w:rPr>
      </w:pPr>
      <w:r>
        <w:rPr>
          <w:rFonts w:ascii="Arial" w:cs="Arial" w:eastAsia="Arial" w:hAnsi="Arial"/>
          <w:sz w:val="14"/>
          <w:szCs w:val="14"/>
          <w:color w:val="auto"/>
        </w:rPr>
        <w:t xml:space="preserve">5.8 </w:t>
      </w:r>
      <w:r>
        <w:rPr>
          <w:rFonts w:ascii="Arial" w:cs="Arial" w:eastAsia="Arial" w:hAnsi="Arial"/>
          <w:sz w:val="14"/>
          <w:szCs w:val="14"/>
          <w:u w:val="single" w:color="auto"/>
          <w:color w:val="auto"/>
        </w:rPr>
        <w:t>Leave of Absence</w:t>
      </w:r>
      <w:r>
        <w:rPr>
          <w:rFonts w:ascii="Arial" w:cs="Arial" w:eastAsia="Arial" w:hAnsi="Arial"/>
          <w:sz w:val="14"/>
          <w:szCs w:val="14"/>
          <w:color w:val="auto"/>
        </w:rPr>
        <w:t>. During leaves of absence approved by the Company meeting the requirements of Treasury Regulation Section 1.421-1(h)(2) under the Code, a Participant may continue participation in the Plan by making cash payments to the Company on his or her normal payday equal to his or her authorized payroll deduction.</w:t>
      </w:r>
    </w:p>
    <w:p>
      <w:pPr>
        <w:sectPr>
          <w:pgSz w:w="11900" w:h="16838" w:orient="portrait"/>
          <w:cols w:equalWidth="0" w:num="1">
            <w:col w:w="11407"/>
          </w:cols>
          <w:pgMar w:left="233" w:top="314" w:right="259" w:bottom="24" w:gutter="0" w:footer="0" w:header="0"/>
        </w:sectPr>
      </w:pPr>
    </w:p>
    <w:bookmarkStart w:id="361" w:name="page362"/>
    <w:bookmarkEnd w:id="361"/>
    <w:p>
      <w:pPr>
        <w:jc w:val="center"/>
        <w:ind w:right="-26"/>
        <w:spacing w:after="0"/>
        <w:rPr>
          <w:sz w:val="20"/>
          <w:szCs w:val="20"/>
          <w:color w:val="auto"/>
        </w:rPr>
      </w:pPr>
      <w:r>
        <w:rPr>
          <w:rFonts w:ascii="Arial" w:cs="Arial" w:eastAsia="Arial" w:hAnsi="Arial"/>
          <w:sz w:val="15"/>
          <w:szCs w:val="15"/>
          <w:b w:val="1"/>
          <w:bCs w:val="1"/>
          <w:color w:val="auto"/>
        </w:rPr>
        <w:t>ARTICLE VI.</w:t>
      </w:r>
    </w:p>
    <w:p>
      <w:pPr>
        <w:spacing w:after="0" w:line="29"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GRANT AND EXERCISE OF RIGHTS</w:t>
      </w:r>
    </w:p>
    <w:p>
      <w:pPr>
        <w:spacing w:after="0" w:line="188" w:lineRule="exact"/>
        <w:rPr>
          <w:sz w:val="20"/>
          <w:szCs w:val="20"/>
          <w:color w:val="auto"/>
        </w:rPr>
      </w:pPr>
    </w:p>
    <w:p>
      <w:pPr>
        <w:ind w:left="7" w:firstLine="556"/>
        <w:spacing w:after="0" w:line="322"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Grant of Rights</w:t>
      </w:r>
      <w:r>
        <w:rPr>
          <w:rFonts w:ascii="Arial" w:cs="Arial" w:eastAsia="Arial" w:hAnsi="Arial"/>
          <w:sz w:val="13"/>
          <w:szCs w:val="13"/>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 (a) such Participant’s payroll deductions accumulated prior to such Purchase Date and retained in the Participant’s account as of the Purchase Date, by (b) the applicable Purchase Price (rounded down to the nearest Share). The right shall expire on the last day of the Offering Period.</w:t>
      </w:r>
    </w:p>
    <w:p>
      <w:pPr>
        <w:spacing w:after="0" w:line="124" w:lineRule="exact"/>
        <w:rPr>
          <w:sz w:val="20"/>
          <w:szCs w:val="20"/>
          <w:color w:val="auto"/>
        </w:rPr>
      </w:pPr>
    </w:p>
    <w:p>
      <w:pPr>
        <w:ind w:left="7" w:right="180" w:firstLine="556"/>
        <w:spacing w:after="0" w:line="264"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Exercise of Rights</w:t>
      </w:r>
      <w:r>
        <w:rPr>
          <w:rFonts w:ascii="Arial" w:cs="Arial" w:eastAsia="Arial" w:hAnsi="Arial"/>
          <w:sz w:val="15"/>
          <w:szCs w:val="15"/>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Shares issued pursuant to the Plan may be evidenced in such manner as the Administrator may determine and may be issued in certificated form or issued pursuant to book-entry procedures.</w:t>
      </w:r>
    </w:p>
    <w:p>
      <w:pPr>
        <w:spacing w:after="0" w:line="159" w:lineRule="exact"/>
        <w:rPr>
          <w:sz w:val="20"/>
          <w:szCs w:val="20"/>
          <w:color w:val="auto"/>
        </w:rPr>
      </w:pPr>
    </w:p>
    <w:p>
      <w:pPr>
        <w:ind w:left="7" w:right="40" w:firstLine="556"/>
        <w:spacing w:after="0" w:line="302"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Pro Rata Allocation of Shares</w:t>
      </w:r>
      <w:r>
        <w:rPr>
          <w:rFonts w:ascii="Arial" w:cs="Arial" w:eastAsia="Arial" w:hAnsi="Arial"/>
          <w:sz w:val="14"/>
          <w:szCs w:val="14"/>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w:t>
      </w:r>
    </w:p>
    <w:p>
      <w:pPr>
        <w:spacing w:after="0" w:line="133"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60"/>
        <w:spacing w:after="0" w:line="305" w:lineRule="auto"/>
        <w:rPr>
          <w:sz w:val="20"/>
          <w:szCs w:val="20"/>
          <w:color w:val="auto"/>
        </w:rPr>
      </w:pPr>
      <w:r>
        <w:rPr>
          <w:rFonts w:ascii="Arial" w:cs="Arial" w:eastAsia="Arial" w:hAnsi="Arial"/>
          <w:sz w:val="13"/>
          <w:szCs w:val="13"/>
          <w:color w:val="auto"/>
        </w:rPr>
        <w:t>allocation of the Shares available for purchase on such Enrollment Date or Purchase Date, as applicable, in as uniform a manner as shall be practicable and as it shall determine in its sole discretion to be equitable among all Participants for whom rights to purchase Common Stock are to be exercised pursuant to this Article VI on such Purchase Date, and shall either</w:t>
      </w:r>
    </w:p>
    <w:p>
      <w:pPr>
        <w:spacing w:after="0" w:line="1" w:lineRule="exact"/>
        <w:rPr>
          <w:sz w:val="20"/>
          <w:szCs w:val="20"/>
          <w:color w:val="auto"/>
        </w:rPr>
      </w:pPr>
    </w:p>
    <w:p>
      <w:pPr>
        <w:ind w:left="7" w:hanging="7"/>
        <w:spacing w:after="0" w:line="263" w:lineRule="auto"/>
        <w:tabs>
          <w:tab w:leader="none" w:pos="192" w:val="left"/>
        </w:tabs>
        <w:numPr>
          <w:ilvl w:val="0"/>
          <w:numId w:val="319"/>
        </w:numPr>
        <w:rPr>
          <w:rFonts w:ascii="Arial" w:cs="Arial" w:eastAsia="Arial" w:hAnsi="Arial"/>
          <w:sz w:val="15"/>
          <w:szCs w:val="15"/>
          <w:color w:val="auto"/>
        </w:rPr>
      </w:pPr>
      <w:r>
        <w:rPr>
          <w:rFonts w:ascii="Arial" w:cs="Arial" w:eastAsia="Arial" w:hAnsi="Arial"/>
          <w:sz w:val="15"/>
          <w:szCs w:val="15"/>
          <w:color w:val="auto"/>
        </w:rPr>
        <w:t>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w:t>
      </w:r>
    </w:p>
    <w:p>
      <w:pPr>
        <w:spacing w:after="0" w:line="160" w:lineRule="exact"/>
        <w:rPr>
          <w:sz w:val="20"/>
          <w:szCs w:val="20"/>
          <w:color w:val="auto"/>
        </w:rPr>
      </w:pPr>
    </w:p>
    <w:p>
      <w:pPr>
        <w:jc w:val="both"/>
        <w:ind w:left="7" w:right="20" w:firstLine="556"/>
        <w:spacing w:after="0" w:line="265"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Withholding</w:t>
      </w:r>
      <w:r>
        <w:rPr>
          <w:rFonts w:ascii="Arial" w:cs="Arial" w:eastAsia="Arial" w:hAnsi="Arial"/>
          <w:sz w:val="15"/>
          <w:szCs w:val="15"/>
          <w:color w:val="auto"/>
        </w:rPr>
        <w:t>. At the time a Participant’s rights under the Plan are exercised, in whole or in part, or at the time some or all of the Common Stock issued under the Plan is disposed of, the Participant must make adequate provision for the Company’s federal, state, or other tax withholding obligations, if any, that arise upon the exercise of the right or the disposition of the Common Stock.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Common Stock by the Participant.</w:t>
      </w:r>
    </w:p>
    <w:p>
      <w:pPr>
        <w:spacing w:after="0" w:line="160" w:lineRule="exact"/>
        <w:rPr>
          <w:sz w:val="20"/>
          <w:szCs w:val="20"/>
          <w:color w:val="auto"/>
        </w:rPr>
      </w:pPr>
    </w:p>
    <w:p>
      <w:pPr>
        <w:ind w:left="7" w:right="680" w:firstLine="556"/>
        <w:spacing w:after="0" w:line="289"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Conditions to Issuance of Common Stock</w:t>
      </w:r>
      <w:r>
        <w:rPr>
          <w:rFonts w:ascii="Arial" w:cs="Arial" w:eastAsia="Arial" w:hAnsi="Arial"/>
          <w:sz w:val="15"/>
          <w:szCs w:val="15"/>
          <w:color w:val="auto"/>
        </w:rPr>
        <w:t>. The Company shall not be required to issue or deliver any certificate or certificates for, or make any book entries evidencing, Shares purchased upon the exercise of rights under the Plan prior to fulfillment of all of the following conditions:</w:t>
      </w:r>
    </w:p>
    <w:p>
      <w:pPr>
        <w:spacing w:after="0" w:line="141" w:lineRule="exact"/>
        <w:rPr>
          <w:sz w:val="20"/>
          <w:szCs w:val="20"/>
          <w:color w:val="auto"/>
        </w:rPr>
      </w:pPr>
    </w:p>
    <w:p>
      <w:pPr>
        <w:ind w:left="1667" w:hanging="556"/>
        <w:spacing w:after="0"/>
        <w:tabs>
          <w:tab w:leader="none" w:pos="1667" w:val="left"/>
        </w:tabs>
        <w:numPr>
          <w:ilvl w:val="0"/>
          <w:numId w:val="320"/>
        </w:numPr>
        <w:rPr>
          <w:rFonts w:ascii="Arial" w:cs="Arial" w:eastAsia="Arial" w:hAnsi="Arial"/>
          <w:sz w:val="15"/>
          <w:szCs w:val="15"/>
          <w:color w:val="auto"/>
        </w:rPr>
      </w:pPr>
      <w:r>
        <w:rPr>
          <w:rFonts w:ascii="Arial" w:cs="Arial" w:eastAsia="Arial" w:hAnsi="Arial"/>
          <w:sz w:val="15"/>
          <w:szCs w:val="15"/>
          <w:color w:val="auto"/>
        </w:rPr>
        <w:t>The admission of such Shares to listing on all stock exchanges, if any, on which the Common Stock is then listed;</w:t>
      </w:r>
    </w:p>
    <w:p>
      <w:pPr>
        <w:spacing w:after="0" w:line="198" w:lineRule="exact"/>
        <w:rPr>
          <w:rFonts w:ascii="Arial" w:cs="Arial" w:eastAsia="Arial" w:hAnsi="Arial"/>
          <w:sz w:val="15"/>
          <w:szCs w:val="15"/>
          <w:color w:val="auto"/>
        </w:rPr>
      </w:pPr>
    </w:p>
    <w:p>
      <w:pPr>
        <w:ind w:left="7" w:firstLine="1104"/>
        <w:spacing w:after="0" w:line="289" w:lineRule="auto"/>
        <w:tabs>
          <w:tab w:leader="none" w:pos="1681" w:val="left"/>
        </w:tabs>
        <w:numPr>
          <w:ilvl w:val="0"/>
          <w:numId w:val="320"/>
        </w:numPr>
        <w:rPr>
          <w:rFonts w:ascii="Arial" w:cs="Arial" w:eastAsia="Arial" w:hAnsi="Arial"/>
          <w:sz w:val="15"/>
          <w:szCs w:val="15"/>
          <w:color w:val="auto"/>
        </w:rPr>
      </w:pPr>
      <w:r>
        <w:rPr>
          <w:rFonts w:ascii="Arial" w:cs="Arial" w:eastAsia="Arial" w:hAnsi="Arial"/>
          <w:sz w:val="15"/>
          <w:szCs w:val="15"/>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140" w:lineRule="exact"/>
        <w:rPr>
          <w:rFonts w:ascii="Arial" w:cs="Arial" w:eastAsia="Arial" w:hAnsi="Arial"/>
          <w:sz w:val="15"/>
          <w:szCs w:val="15"/>
          <w:color w:val="auto"/>
        </w:rPr>
      </w:pPr>
    </w:p>
    <w:p>
      <w:pPr>
        <w:ind w:left="7" w:right="440" w:firstLine="1104"/>
        <w:spacing w:after="0" w:line="289" w:lineRule="auto"/>
        <w:tabs>
          <w:tab w:leader="none" w:pos="1684" w:val="left"/>
        </w:tabs>
        <w:numPr>
          <w:ilvl w:val="0"/>
          <w:numId w:val="320"/>
        </w:numPr>
        <w:rPr>
          <w:rFonts w:ascii="Arial" w:cs="Arial" w:eastAsia="Arial" w:hAnsi="Arial"/>
          <w:sz w:val="15"/>
          <w:szCs w:val="15"/>
          <w:color w:val="auto"/>
        </w:rPr>
      </w:pPr>
      <w:r>
        <w:rPr>
          <w:rFonts w:ascii="Arial" w:cs="Arial" w:eastAsia="Arial" w:hAnsi="Arial"/>
          <w:sz w:val="15"/>
          <w:szCs w:val="15"/>
          <w:color w:val="auto"/>
        </w:rPr>
        <w:t>The obtaining of any approval or other clearance from any state or federal governmental agency that the Administrator shall, in its absolute discretion, determine to be necessary or advisable;</w:t>
      </w:r>
    </w:p>
    <w:p>
      <w:pPr>
        <w:spacing w:after="0" w:line="140" w:lineRule="exact"/>
        <w:rPr>
          <w:rFonts w:ascii="Arial" w:cs="Arial" w:eastAsia="Arial" w:hAnsi="Arial"/>
          <w:sz w:val="15"/>
          <w:szCs w:val="15"/>
          <w:color w:val="auto"/>
        </w:rPr>
      </w:pPr>
    </w:p>
    <w:p>
      <w:pPr>
        <w:ind w:left="1667" w:hanging="556"/>
        <w:spacing w:after="0"/>
        <w:tabs>
          <w:tab w:leader="none" w:pos="1667" w:val="left"/>
        </w:tabs>
        <w:numPr>
          <w:ilvl w:val="0"/>
          <w:numId w:val="320"/>
        </w:numPr>
        <w:rPr>
          <w:rFonts w:ascii="Arial" w:cs="Arial" w:eastAsia="Arial" w:hAnsi="Arial"/>
          <w:sz w:val="15"/>
          <w:szCs w:val="15"/>
          <w:color w:val="auto"/>
        </w:rPr>
      </w:pPr>
      <w:r>
        <w:rPr>
          <w:rFonts w:ascii="Arial" w:cs="Arial" w:eastAsia="Arial" w:hAnsi="Arial"/>
          <w:sz w:val="15"/>
          <w:szCs w:val="15"/>
          <w:color w:val="auto"/>
        </w:rPr>
        <w:t>The payment to the Company of all amounts that it is required to withhold under federal, state or local law upon exercise of the rights, if any; and</w:t>
      </w:r>
    </w:p>
    <w:p>
      <w:pPr>
        <w:spacing w:after="0" w:line="198" w:lineRule="exact"/>
        <w:rPr>
          <w:rFonts w:ascii="Arial" w:cs="Arial" w:eastAsia="Arial" w:hAnsi="Arial"/>
          <w:sz w:val="15"/>
          <w:szCs w:val="15"/>
          <w:color w:val="auto"/>
        </w:rPr>
      </w:pPr>
    </w:p>
    <w:p>
      <w:pPr>
        <w:ind w:left="7" w:right="640" w:firstLine="1104"/>
        <w:spacing w:after="0" w:line="289" w:lineRule="auto"/>
        <w:tabs>
          <w:tab w:leader="none" w:pos="1684" w:val="left"/>
        </w:tabs>
        <w:numPr>
          <w:ilvl w:val="0"/>
          <w:numId w:val="320"/>
        </w:numPr>
        <w:rPr>
          <w:rFonts w:ascii="Arial" w:cs="Arial" w:eastAsia="Arial" w:hAnsi="Arial"/>
          <w:sz w:val="15"/>
          <w:szCs w:val="15"/>
          <w:color w:val="auto"/>
        </w:rPr>
      </w:pPr>
      <w:r>
        <w:rPr>
          <w:rFonts w:ascii="Arial" w:cs="Arial" w:eastAsia="Arial" w:hAnsi="Arial"/>
          <w:sz w:val="15"/>
          <w:szCs w:val="15"/>
          <w:color w:val="auto"/>
        </w:rPr>
        <w:t>The lapse of such reasonable period of time following the exercise of the rights as the Administrator may from time to time establish for reasons of administrative convenience.</w:t>
      </w:r>
    </w:p>
    <w:p>
      <w:pPr>
        <w:spacing w:after="0" w:line="135"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ARTICLE VII.</w:t>
      </w:r>
    </w:p>
    <w:p>
      <w:pPr>
        <w:spacing w:after="0" w:line="29"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WITHDRAWAL; CESSATION OF ELIGIBILITY</w:t>
      </w:r>
    </w:p>
    <w:p>
      <w:pPr>
        <w:spacing w:after="0" w:line="188" w:lineRule="exact"/>
        <w:rPr>
          <w:sz w:val="20"/>
          <w:szCs w:val="20"/>
          <w:color w:val="auto"/>
        </w:rPr>
      </w:pPr>
    </w:p>
    <w:p>
      <w:pPr>
        <w:ind w:left="7" w:right="160" w:firstLine="556"/>
        <w:spacing w:after="0" w:line="302"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Withdrawal</w:t>
      </w:r>
      <w:r>
        <w:rPr>
          <w:rFonts w:ascii="Arial" w:cs="Arial" w:eastAsia="Arial" w:hAnsi="Arial"/>
          <w:sz w:val="14"/>
          <w:szCs w:val="14"/>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one week prior to the end of the Offering Period. All of the Participant’s payroll deductions credited to his or her account during an Offering Period shall be paid to such Participant as soon as reasonably practicable</w:t>
      </w:r>
    </w:p>
    <w:p>
      <w:pPr>
        <w:spacing w:after="0" w:line="133"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 w:right="60"/>
        <w:spacing w:after="0" w:line="273" w:lineRule="auto"/>
        <w:rPr>
          <w:sz w:val="20"/>
          <w:szCs w:val="20"/>
          <w:color w:val="auto"/>
        </w:rPr>
      </w:pPr>
      <w:r>
        <w:rPr>
          <w:rFonts w:ascii="Arial" w:cs="Arial" w:eastAsia="Arial" w:hAnsi="Arial"/>
          <w:sz w:val="15"/>
          <w:szCs w:val="15"/>
          <w:color w:val="auto"/>
        </w:rPr>
        <w:t>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timely delivers to the Company a new subscription agreement.</w:t>
      </w:r>
    </w:p>
    <w:p>
      <w:pPr>
        <w:spacing w:after="0" w:line="153" w:lineRule="exact"/>
        <w:rPr>
          <w:sz w:val="20"/>
          <w:szCs w:val="20"/>
          <w:color w:val="auto"/>
        </w:rPr>
      </w:pPr>
    </w:p>
    <w:p>
      <w:pPr>
        <w:ind w:left="7" w:right="40" w:firstLine="556"/>
        <w:spacing w:after="0" w:line="273"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Future Participation</w:t>
      </w:r>
      <w:r>
        <w:rPr>
          <w:rFonts w:ascii="Arial" w:cs="Arial" w:eastAsia="Arial" w:hAnsi="Arial"/>
          <w:sz w:val="15"/>
          <w:szCs w:val="15"/>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153" w:lineRule="exact"/>
        <w:rPr>
          <w:sz w:val="20"/>
          <w:szCs w:val="20"/>
          <w:color w:val="auto"/>
        </w:rPr>
      </w:pPr>
    </w:p>
    <w:p>
      <w:pPr>
        <w:ind w:left="7" w:right="100" w:firstLine="556"/>
        <w:spacing w:after="0" w:line="268"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Cessation of Eligibility</w:t>
      </w:r>
      <w:r>
        <w:rPr>
          <w:rFonts w:ascii="Arial" w:cs="Arial" w:eastAsia="Arial" w:hAnsi="Arial"/>
          <w:sz w:val="15"/>
          <w:szCs w:val="15"/>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w:t>
      </w:r>
    </w:p>
    <w:p>
      <w:pPr>
        <w:spacing w:after="0" w:line="150"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ARTICLE VIII.</w:t>
      </w:r>
    </w:p>
    <w:p>
      <w:pPr>
        <w:spacing w:after="0" w:line="29"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ADJUSTMENTS UPON CHANGES IN STOCK</w:t>
      </w:r>
    </w:p>
    <w:p>
      <w:pPr>
        <w:spacing w:after="0" w:line="188" w:lineRule="exact"/>
        <w:rPr>
          <w:sz w:val="20"/>
          <w:szCs w:val="20"/>
          <w:color w:val="auto"/>
        </w:rPr>
      </w:pPr>
    </w:p>
    <w:p>
      <w:pPr>
        <w:ind w:left="7" w:right="140" w:firstLine="556"/>
        <w:spacing w:after="0" w:line="283"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Changes in Capitalization</w:t>
      </w:r>
      <w:r>
        <w:rPr>
          <w:rFonts w:ascii="Arial" w:cs="Arial" w:eastAsia="Arial" w:hAnsi="Arial"/>
          <w:sz w:val="14"/>
          <w:szCs w:val="14"/>
          <w:color w:val="auto"/>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w:t>
      </w:r>
    </w:p>
    <w:p>
      <w:pPr>
        <w:sectPr>
          <w:pgSz w:w="11900" w:h="16838" w:orient="portrait"/>
          <w:cols w:equalWidth="0" w:num="1">
            <w:col w:w="11407"/>
          </w:cols>
          <w:pgMar w:left="233" w:top="122" w:right="259" w:bottom="0" w:gutter="0" w:footer="0" w:header="0"/>
        </w:sectPr>
      </w:pPr>
    </w:p>
    <w:bookmarkStart w:id="362" w:name="page363"/>
    <w:bookmarkEnd w:id="362"/>
    <w:p>
      <w:pPr>
        <w:ind w:right="260"/>
        <w:spacing w:after="0" w:line="289" w:lineRule="auto"/>
        <w:rPr>
          <w:sz w:val="20"/>
          <w:szCs w:val="20"/>
          <w:color w:val="auto"/>
        </w:rPr>
      </w:pPr>
      <w:r>
        <w:rPr>
          <w:rFonts w:ascii="Arial" w:cs="Arial" w:eastAsia="Arial" w:hAnsi="Arial"/>
          <w:sz w:val="15"/>
          <w:szCs w:val="15"/>
          <w:color w:val="auto"/>
        </w:rPr>
        <w:t>of Shares that may be purchased); (b) the class(es) and number of Shares and price per Share subject to outstanding rights; and (c) the Purchase Price with respect to any outstanding rights.</w:t>
      </w:r>
    </w:p>
    <w:p>
      <w:pPr>
        <w:spacing w:after="0" w:line="141" w:lineRule="exact"/>
        <w:rPr>
          <w:sz w:val="20"/>
          <w:szCs w:val="20"/>
          <w:color w:val="auto"/>
        </w:rPr>
      </w:pPr>
    </w:p>
    <w:p>
      <w:pPr>
        <w:ind w:right="100" w:firstLine="556"/>
        <w:spacing w:after="0" w:line="264"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Other Adjustments</w:t>
      </w:r>
      <w:r>
        <w:rPr>
          <w:rFonts w:ascii="Arial" w:cs="Arial" w:eastAsia="Arial" w:hAnsi="Arial"/>
          <w:sz w:val="15"/>
          <w:szCs w:val="15"/>
          <w:color w:val="auto"/>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159" w:lineRule="exact"/>
        <w:rPr>
          <w:sz w:val="20"/>
          <w:szCs w:val="20"/>
          <w:color w:val="auto"/>
        </w:rPr>
      </w:pPr>
    </w:p>
    <w:p>
      <w:pPr>
        <w:ind w:right="240" w:firstLine="1104"/>
        <w:spacing w:after="0" w:line="289" w:lineRule="auto"/>
        <w:tabs>
          <w:tab w:leader="none" w:pos="1665" w:val="left"/>
        </w:tabs>
        <w:numPr>
          <w:ilvl w:val="0"/>
          <w:numId w:val="321"/>
        </w:numPr>
        <w:rPr>
          <w:rFonts w:ascii="Arial" w:cs="Arial" w:eastAsia="Arial" w:hAnsi="Arial"/>
          <w:sz w:val="15"/>
          <w:szCs w:val="15"/>
          <w:color w:val="auto"/>
        </w:rPr>
      </w:pPr>
      <w:r>
        <w:rPr>
          <w:rFonts w:ascii="Arial" w:cs="Arial" w:eastAsia="Arial" w:hAnsi="Arial"/>
          <w:sz w:val="15"/>
          <w:szCs w:val="15"/>
          <w:color w:val="auto"/>
        </w:rPr>
        <w:t>To provide for either (i) termination of any outstanding right in exchange for an amount of cash, if any, equal to the amount that would have been obtained upon the exercise of such right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had such right been currently exercisable or (ii) the replacement of such outstanding right with other rights or property selected by the Administrator in its sole discretion;</w:t>
      </w:r>
    </w:p>
    <w:p>
      <w:pPr>
        <w:spacing w:after="0" w:line="198" w:lineRule="exact"/>
        <w:rPr>
          <w:sz w:val="20"/>
          <w:szCs w:val="20"/>
          <w:color w:val="auto"/>
        </w:rPr>
      </w:pPr>
    </w:p>
    <w:p>
      <w:pPr>
        <w:jc w:val="both"/>
        <w:ind w:right="120" w:firstLine="1104"/>
        <w:spacing w:after="0" w:line="273" w:lineRule="auto"/>
        <w:tabs>
          <w:tab w:leader="none" w:pos="1674" w:val="left"/>
        </w:tabs>
        <w:numPr>
          <w:ilvl w:val="0"/>
          <w:numId w:val="322"/>
        </w:numPr>
        <w:rPr>
          <w:rFonts w:ascii="Arial" w:cs="Arial" w:eastAsia="Arial" w:hAnsi="Arial"/>
          <w:sz w:val="15"/>
          <w:szCs w:val="15"/>
          <w:color w:val="auto"/>
        </w:rPr>
      </w:pPr>
      <w:r>
        <w:rPr>
          <w:rFonts w:ascii="Arial" w:cs="Arial" w:eastAsia="Arial" w:hAnsi="Arial"/>
          <w:sz w:val="15"/>
          <w:szCs w:val="15"/>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52" w:lineRule="exact"/>
        <w:rPr>
          <w:rFonts w:ascii="Arial" w:cs="Arial" w:eastAsia="Arial" w:hAnsi="Arial"/>
          <w:sz w:val="15"/>
          <w:szCs w:val="15"/>
          <w:color w:val="auto"/>
        </w:rPr>
      </w:pPr>
    </w:p>
    <w:p>
      <w:pPr>
        <w:ind w:right="240" w:firstLine="1104"/>
        <w:spacing w:after="0" w:line="289" w:lineRule="auto"/>
        <w:tabs>
          <w:tab w:leader="none" w:pos="1677" w:val="left"/>
        </w:tabs>
        <w:numPr>
          <w:ilvl w:val="0"/>
          <w:numId w:val="322"/>
        </w:numPr>
        <w:rPr>
          <w:rFonts w:ascii="Arial" w:cs="Arial" w:eastAsia="Arial" w:hAnsi="Arial"/>
          <w:sz w:val="15"/>
          <w:szCs w:val="15"/>
          <w:color w:val="auto"/>
        </w:rPr>
      </w:pPr>
      <w:r>
        <w:rPr>
          <w:rFonts w:ascii="Arial" w:cs="Arial" w:eastAsia="Arial" w:hAnsi="Arial"/>
          <w:sz w:val="15"/>
          <w:szCs w:val="15"/>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140" w:lineRule="exact"/>
        <w:rPr>
          <w:rFonts w:ascii="Arial" w:cs="Arial" w:eastAsia="Arial" w:hAnsi="Arial"/>
          <w:sz w:val="15"/>
          <w:szCs w:val="15"/>
          <w:color w:val="auto"/>
        </w:rPr>
      </w:pPr>
    </w:p>
    <w:p>
      <w:pPr>
        <w:ind w:right="60" w:firstLine="1104"/>
        <w:spacing w:after="0" w:line="289" w:lineRule="auto"/>
        <w:tabs>
          <w:tab w:leader="none" w:pos="1674" w:val="left"/>
        </w:tabs>
        <w:numPr>
          <w:ilvl w:val="0"/>
          <w:numId w:val="322"/>
        </w:numPr>
        <w:rPr>
          <w:rFonts w:ascii="Arial" w:cs="Arial" w:eastAsia="Arial" w:hAnsi="Arial"/>
          <w:sz w:val="15"/>
          <w:szCs w:val="15"/>
          <w:color w:val="auto"/>
        </w:rPr>
      </w:pPr>
      <w:r>
        <w:rPr>
          <w:rFonts w:ascii="Arial" w:cs="Arial" w:eastAsia="Arial" w:hAnsi="Arial"/>
          <w:sz w:val="15"/>
          <w:szCs w:val="15"/>
          <w:color w:val="auto"/>
        </w:rPr>
        <w:t>To provide that Participants’ accumulated payroll deductions may be used to purchase Common Stock prior to the next occurring Purchase Date on such date as the Administrator determines in its sole discretion and the Participants’ rights under the ongoing Offering Period(s) shall be terminated; and</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0"/>
          <w:numId w:val="322"/>
        </w:numPr>
        <w:rPr>
          <w:rFonts w:ascii="Arial" w:cs="Arial" w:eastAsia="Arial" w:hAnsi="Arial"/>
          <w:sz w:val="15"/>
          <w:szCs w:val="15"/>
          <w:color w:val="auto"/>
        </w:rPr>
      </w:pPr>
      <w:r>
        <w:rPr>
          <w:rFonts w:ascii="Arial" w:cs="Arial" w:eastAsia="Arial" w:hAnsi="Arial"/>
          <w:sz w:val="15"/>
          <w:szCs w:val="15"/>
          <w:color w:val="auto"/>
        </w:rPr>
        <w:t>To provide that all outstanding rights shall terminate without being exercised.</w:t>
      </w:r>
    </w:p>
    <w:p>
      <w:pPr>
        <w:spacing w:after="0" w:line="198" w:lineRule="exact"/>
        <w:rPr>
          <w:sz w:val="20"/>
          <w:szCs w:val="20"/>
          <w:color w:val="auto"/>
        </w:rPr>
      </w:pPr>
    </w:p>
    <w:p>
      <w:pPr>
        <w:ind w:right="280" w:firstLine="556"/>
        <w:spacing w:after="0" w:line="289"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No Adjustment Under Certain Circumstances</w:t>
      </w:r>
      <w:r>
        <w:rPr>
          <w:rFonts w:ascii="Arial" w:cs="Arial" w:eastAsia="Arial" w:hAnsi="Arial"/>
          <w:sz w:val="15"/>
          <w:szCs w:val="15"/>
          <w:color w:val="auto"/>
        </w:rPr>
        <w:t>. No adjustment or action described in this Article VIII or in any other provision of the Plan shall be authorized to the extent that such adjustment or action would cause the Plan to fail to satisfy the requirements of Section 423 of the Code.</w:t>
      </w:r>
    </w:p>
    <w:p>
      <w:pPr>
        <w:spacing w:after="0" w:line="141" w:lineRule="exact"/>
        <w:rPr>
          <w:sz w:val="20"/>
          <w:szCs w:val="20"/>
          <w:color w:val="auto"/>
        </w:rPr>
      </w:pPr>
    </w:p>
    <w:p>
      <w:pPr>
        <w:ind w:right="40" w:firstLine="556"/>
        <w:spacing w:after="0" w:line="265"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No Other Rights</w:t>
      </w:r>
      <w:r>
        <w:rPr>
          <w:rFonts w:ascii="Arial" w:cs="Arial" w:eastAsia="Arial" w:hAnsi="Arial"/>
          <w:sz w:val="15"/>
          <w:szCs w:val="15"/>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IX.</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MODIFICATION AND TERMINATION</w:t>
      </w:r>
    </w:p>
    <w:p>
      <w:pPr>
        <w:spacing w:after="0" w:line="188" w:lineRule="exact"/>
        <w:rPr>
          <w:sz w:val="20"/>
          <w:szCs w:val="20"/>
          <w:color w:val="auto"/>
        </w:rPr>
      </w:pPr>
    </w:p>
    <w:p>
      <w:pPr>
        <w:ind w:right="100" w:firstLine="556"/>
        <w:spacing w:after="0" w:line="293"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Amendment, Modification and Termination</w:t>
      </w:r>
      <w:r>
        <w:rPr>
          <w:rFonts w:ascii="Arial" w:cs="Arial" w:eastAsia="Arial" w:hAnsi="Arial"/>
          <w:sz w:val="14"/>
          <w:szCs w:val="14"/>
          <w:color w:val="auto"/>
        </w:rPr>
        <w:t xml:space="preserve">. The Administrator may amend, suspend or terminate the Plan at any time and from time to time; </w:t>
      </w:r>
      <w:r>
        <w:rPr>
          <w:rFonts w:ascii="Arial" w:cs="Arial" w:eastAsia="Arial" w:hAnsi="Arial"/>
          <w:sz w:val="14"/>
          <w:szCs w:val="14"/>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(b) change the corporations or classes of corporations whose employees may be granted rights under the Plan; or (c) change the Plan in any manner that would cause the Plan to no longer be an “employee stock purchase plan” within the meaning of Section 423(b) of the Code.</w:t>
      </w:r>
    </w:p>
    <w:p>
      <w:pPr>
        <w:spacing w:after="0" w:line="140" w:lineRule="exact"/>
        <w:rPr>
          <w:sz w:val="20"/>
          <w:szCs w:val="20"/>
          <w:color w:val="auto"/>
        </w:rPr>
      </w:pPr>
    </w:p>
    <w:p>
      <w:pPr>
        <w:ind w:right="40" w:firstLine="556"/>
        <w:spacing w:after="0" w:line="293"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u w:val="single" w:color="auto"/>
          <w:color w:val="auto"/>
        </w:rPr>
        <w:t>Certain Changes to Plan</w:t>
      </w:r>
      <w:r>
        <w:rPr>
          <w:rFonts w:ascii="Arial" w:cs="Arial" w:eastAsia="Arial" w:hAnsi="Arial"/>
          <w:sz w:val="14"/>
          <w:szCs w:val="14"/>
          <w:color w:val="auto"/>
        </w:rPr>
        <w:t>. Without stockholder consent and without regard to whether any Participant rights may be considered to have been adversely affected, to the extent permitted by Section 423 of the Code, the Administrator shall be entitled to change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withholding elections, establish reasonable waiting and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right="140"/>
        <w:spacing w:after="0" w:line="273" w:lineRule="auto"/>
        <w:rPr>
          <w:sz w:val="20"/>
          <w:szCs w:val="20"/>
          <w:color w:val="auto"/>
        </w:rPr>
      </w:pPr>
      <w:r>
        <w:rPr>
          <w:rFonts w:ascii="Arial" w:cs="Arial" w:eastAsia="Arial" w:hAnsi="Arial"/>
          <w:sz w:val="15"/>
          <w:szCs w:val="15"/>
          <w:color w:val="auto"/>
        </w:rPr>
        <w:t>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53" w:lineRule="exact"/>
        <w:rPr>
          <w:sz w:val="20"/>
          <w:szCs w:val="20"/>
          <w:color w:val="auto"/>
        </w:rPr>
      </w:pPr>
    </w:p>
    <w:p>
      <w:pPr>
        <w:ind w:right="80" w:firstLine="556"/>
        <w:spacing w:after="0" w:line="273"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Actions In the Event of Unfavorable Financial Accounting Consequences</w:t>
      </w:r>
      <w:r>
        <w:rPr>
          <w:rFonts w:ascii="Arial" w:cs="Arial" w:eastAsia="Arial" w:hAnsi="Arial"/>
          <w:sz w:val="15"/>
          <w:szCs w:val="15"/>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153" w:lineRule="exact"/>
        <w:rPr>
          <w:sz w:val="20"/>
          <w:szCs w:val="20"/>
          <w:color w:val="auto"/>
        </w:rPr>
      </w:pPr>
    </w:p>
    <w:p>
      <w:pPr>
        <w:ind w:left="1660" w:hanging="556"/>
        <w:spacing w:after="0"/>
        <w:tabs>
          <w:tab w:leader="none" w:pos="166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altering the Purchase Price for any Offering Period including an Offering Period underway at the time of the change in Purchase Price;</w:t>
      </w:r>
    </w:p>
    <w:p>
      <w:pPr>
        <w:spacing w:after="0" w:line="198" w:lineRule="exact"/>
        <w:rPr>
          <w:rFonts w:ascii="Arial" w:cs="Arial" w:eastAsia="Arial" w:hAnsi="Arial"/>
          <w:sz w:val="15"/>
          <w:szCs w:val="15"/>
          <w:color w:val="auto"/>
        </w:rPr>
      </w:pPr>
    </w:p>
    <w:p>
      <w:pPr>
        <w:ind w:left="1660" w:hanging="556"/>
        <w:spacing w:after="0"/>
        <w:tabs>
          <w:tab w:leader="none" w:pos="166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shortening any Offering Period so that the Offering Period ends on a new Purchase Date, including an Offering Period underway at the time of the</w:t>
      </w:r>
    </w:p>
    <w:p>
      <w:pPr>
        <w:spacing w:after="0" w:line="2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Administrator action; and</w:t>
      </w:r>
    </w:p>
    <w:p>
      <w:pPr>
        <w:spacing w:after="0" w:line="187" w:lineRule="exact"/>
        <w:rPr>
          <w:rFonts w:ascii="Arial" w:cs="Arial" w:eastAsia="Arial" w:hAnsi="Arial"/>
          <w:sz w:val="15"/>
          <w:szCs w:val="15"/>
          <w:color w:val="auto"/>
        </w:rPr>
      </w:pPr>
    </w:p>
    <w:p>
      <w:pPr>
        <w:ind w:left="1660" w:hanging="556"/>
        <w:spacing w:after="0"/>
        <w:tabs>
          <w:tab w:leader="none" w:pos="166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allocating Shares.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Such modifications or amendments shall not require stockholder approval or the consent of any Participant.</w:t>
      </w:r>
    </w:p>
    <w:p>
      <w:pPr>
        <w:spacing w:after="0" w:line="198" w:lineRule="exact"/>
        <w:rPr>
          <w:sz w:val="20"/>
          <w:szCs w:val="20"/>
          <w:color w:val="auto"/>
        </w:rPr>
      </w:pPr>
    </w:p>
    <w:p>
      <w:pPr>
        <w:ind w:right="180" w:firstLine="556"/>
        <w:spacing w:after="0" w:line="289"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Payments Upon Termination of Plan</w:t>
      </w:r>
      <w:r>
        <w:rPr>
          <w:rFonts w:ascii="Arial" w:cs="Arial" w:eastAsia="Arial" w:hAnsi="Arial"/>
          <w:sz w:val="15"/>
          <w:szCs w:val="15"/>
          <w:color w:val="auto"/>
        </w:rPr>
        <w:t>. Upon termination of the Plan, the balance in each Participant’s Plan account shall be refunded as soon as practicable after such termination, without any interest thereon.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 OF PLAN</w:t>
      </w:r>
    </w:p>
    <w:p>
      <w:pPr>
        <w:spacing w:after="0" w:line="188" w:lineRule="exact"/>
        <w:rPr>
          <w:sz w:val="20"/>
          <w:szCs w:val="20"/>
          <w:color w:val="auto"/>
        </w:rPr>
      </w:pPr>
    </w:p>
    <w:p>
      <w:pPr>
        <w:ind w:right="160" w:firstLine="556"/>
        <w:spacing w:after="0" w:line="273" w:lineRule="auto"/>
        <w:rPr>
          <w:sz w:val="20"/>
          <w:szCs w:val="20"/>
          <w:color w:val="auto"/>
        </w:rPr>
      </w:pPr>
      <w:r>
        <w:rPr>
          <w:rFonts w:ascii="Arial" w:cs="Arial" w:eastAsia="Arial" w:hAnsi="Arial"/>
          <w:sz w:val="15"/>
          <w:szCs w:val="15"/>
          <w:color w:val="auto"/>
        </w:rPr>
        <w:t>The Plan shall be effective on the Effective Date. The effectiveness of the Plan shall be subject to approval of the Plan by the stockholders of the Company within twelve months following the date the Plan is first approved by the Board. No right may be granted under the Plan prior to such stockholder approval. No rights may be granted under the Plan during any period of suspension of the Plan or after termination of the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ADMINISTRATION</w:t>
      </w:r>
    </w:p>
    <w:p>
      <w:pPr>
        <w:spacing w:after="0" w:line="188" w:lineRule="exact"/>
        <w:rPr>
          <w:sz w:val="20"/>
          <w:szCs w:val="20"/>
          <w:color w:val="auto"/>
        </w:rPr>
      </w:pPr>
    </w:p>
    <w:p>
      <w:pPr>
        <w:ind w:firstLine="556"/>
        <w:spacing w:after="0" w:line="327" w:lineRule="auto"/>
        <w:rPr>
          <w:sz w:val="20"/>
          <w:szCs w:val="20"/>
          <w:color w:val="auto"/>
        </w:rPr>
      </w:pPr>
      <w:r>
        <w:rPr>
          <w:rFonts w:ascii="Arial" w:cs="Arial" w:eastAsia="Arial" w:hAnsi="Arial"/>
          <w:sz w:val="14"/>
          <w:szCs w:val="14"/>
          <w:color w:val="auto"/>
        </w:rPr>
        <w:t xml:space="preserve">11.1 </w:t>
      </w:r>
      <w:r>
        <w:rPr>
          <w:rFonts w:ascii="Arial" w:cs="Arial" w:eastAsia="Arial" w:hAnsi="Arial"/>
          <w:sz w:val="14"/>
          <w:szCs w:val="14"/>
          <w:u w:val="single" w:color="auto"/>
          <w:color w:val="auto"/>
        </w:rPr>
        <w:t>Administrator</w:t>
      </w:r>
      <w:r>
        <w:rPr>
          <w:rFonts w:ascii="Arial" w:cs="Arial" w:eastAsia="Arial" w:hAnsi="Arial"/>
          <w:sz w:val="14"/>
          <w:szCs w:val="14"/>
          <w:color w:val="auto"/>
        </w:rPr>
        <w:t>. Unless otherwise determined by the Board, the Administrator of the Plan shall be the Compensation Committee of the Board (or another committee or a subcommittee of the Board to which the Board delegates administration of the Plan) (such committee, the “</w:t>
      </w:r>
      <w:r>
        <w:rPr>
          <w:rFonts w:ascii="Arial" w:cs="Arial" w:eastAsia="Arial" w:hAnsi="Arial"/>
          <w:sz w:val="14"/>
          <w:szCs w:val="14"/>
          <w:b w:val="1"/>
          <w:bCs w:val="1"/>
          <w:i w:val="1"/>
          <w:iCs w:val="1"/>
          <w:color w:val="auto"/>
        </w:rPr>
        <w:t>Committee</w:t>
      </w:r>
      <w:r>
        <w:rPr>
          <w:rFonts w:ascii="Arial" w:cs="Arial" w:eastAsia="Arial" w:hAnsi="Arial"/>
          <w:sz w:val="14"/>
          <w:szCs w:val="14"/>
          <w:color w:val="auto"/>
        </w:rPr>
        <w:t>”). The Board may at any time vest in the Board any authority or</w:t>
      </w:r>
    </w:p>
    <w:p>
      <w:pPr>
        <w:sectPr>
          <w:pgSz w:w="11900" w:h="16838" w:orient="portrait"/>
          <w:cols w:equalWidth="0" w:num="1">
            <w:col w:w="11440"/>
          </w:cols>
          <w:pgMar w:left="240" w:top="129" w:right="219" w:bottom="0" w:gutter="0" w:footer="0" w:header="0"/>
        </w:sectPr>
      </w:pPr>
    </w:p>
    <w:bookmarkStart w:id="363" w:name="page364"/>
    <w:bookmarkEnd w:id="363"/>
    <w:p>
      <w:pPr>
        <w:spacing w:after="0"/>
        <w:rPr>
          <w:sz w:val="20"/>
          <w:szCs w:val="20"/>
          <w:color w:val="auto"/>
        </w:rPr>
      </w:pPr>
      <w:r>
        <w:rPr>
          <w:rFonts w:ascii="Arial" w:cs="Arial" w:eastAsia="Arial" w:hAnsi="Arial"/>
          <w:sz w:val="15"/>
          <w:szCs w:val="15"/>
          <w:color w:val="auto"/>
        </w:rPr>
        <w:t>duties for administration of the Plan.</w:t>
      </w:r>
    </w:p>
    <w:p>
      <w:pPr>
        <w:spacing w:after="0" w:line="198" w:lineRule="exact"/>
        <w:rPr>
          <w:sz w:val="20"/>
          <w:szCs w:val="20"/>
          <w:color w:val="auto"/>
        </w:rPr>
      </w:pPr>
    </w:p>
    <w:p>
      <w:pPr>
        <w:ind w:right="140" w:firstLine="556"/>
        <w:spacing w:after="0" w:line="293" w:lineRule="auto"/>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u w:val="single" w:color="auto"/>
          <w:color w:val="auto"/>
        </w:rPr>
        <w:t>Action by the Administrator</w:t>
      </w:r>
      <w:r>
        <w:rPr>
          <w:rFonts w:ascii="Arial" w:cs="Arial" w:eastAsia="Arial" w:hAnsi="Arial"/>
          <w:sz w:val="14"/>
          <w:szCs w:val="14"/>
          <w:color w:val="auto"/>
        </w:rPr>
        <w:t>. Unless otherwise established by the Board or in any charter of the Administrator, a majority of the Administrator shall constitute a quorum. The acts of a majority of the members present at any meeting at which a quorum is present and, subject to Applicable Law and the Bylaws of the Company, acts approved in writing by a majority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Designated Subsidiary, the Company’s independent certified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public accountants, or any executive compensation consultant or other professional retained by the Company to assist in the administration of the Plan.</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11.3</w:t>
      </w:r>
      <w:r>
        <w:rPr>
          <w:sz w:val="20"/>
          <w:szCs w:val="20"/>
          <w:color w:val="auto"/>
        </w:rPr>
        <w:tab/>
      </w:r>
      <w:r>
        <w:rPr>
          <w:rFonts w:ascii="Arial" w:cs="Arial" w:eastAsia="Arial" w:hAnsi="Arial"/>
          <w:sz w:val="14"/>
          <w:szCs w:val="14"/>
          <w:u w:val="single" w:color="auto"/>
          <w:color w:val="auto"/>
        </w:rPr>
        <w:t>Authority of Administrator</w:t>
      </w:r>
      <w:r>
        <w:rPr>
          <w:rFonts w:ascii="Arial" w:cs="Arial" w:eastAsia="Arial" w:hAnsi="Arial"/>
          <w:sz w:val="14"/>
          <w:szCs w:val="14"/>
          <w:color w:val="auto"/>
        </w:rPr>
        <w:t>. The Administrator shall have the power, subject to, and within the limitations of, the express provisions of the Plan:</w:t>
      </w:r>
    </w:p>
    <w:p>
      <w:pPr>
        <w:spacing w:after="0" w:line="198" w:lineRule="exact"/>
        <w:rPr>
          <w:sz w:val="20"/>
          <w:szCs w:val="20"/>
          <w:color w:val="auto"/>
        </w:rPr>
      </w:pPr>
    </w:p>
    <w:p>
      <w:pPr>
        <w:ind w:left="1660" w:hanging="556"/>
        <w:spacing w:after="0"/>
        <w:tabs>
          <w:tab w:leader="none" w:pos="1660" w:val="left"/>
        </w:tabs>
        <w:numPr>
          <w:ilvl w:val="0"/>
          <w:numId w:val="324"/>
        </w:numPr>
        <w:rPr>
          <w:rFonts w:ascii="Arial" w:cs="Arial" w:eastAsia="Arial" w:hAnsi="Arial"/>
          <w:sz w:val="14"/>
          <w:szCs w:val="14"/>
          <w:color w:val="auto"/>
        </w:rPr>
      </w:pPr>
      <w:r>
        <w:rPr>
          <w:rFonts w:ascii="Arial" w:cs="Arial" w:eastAsia="Arial" w:hAnsi="Arial"/>
          <w:sz w:val="14"/>
          <w:szCs w:val="14"/>
          <w:color w:val="auto"/>
        </w:rPr>
        <w:t>To determine when and how rights to purchase Common Stock shall be granted and the provisions of each offering of such rights (which need not be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identical).</w:t>
      </w:r>
    </w:p>
    <w:p>
      <w:pPr>
        <w:spacing w:after="0" w:line="188" w:lineRule="exact"/>
        <w:rPr>
          <w:sz w:val="20"/>
          <w:szCs w:val="20"/>
          <w:color w:val="auto"/>
        </w:rPr>
      </w:pPr>
    </w:p>
    <w:p>
      <w:pPr>
        <w:ind w:right="40" w:firstLine="1104"/>
        <w:spacing w:after="0" w:line="289" w:lineRule="auto"/>
        <w:tabs>
          <w:tab w:leader="none" w:pos="1674" w:val="left"/>
        </w:tabs>
        <w:numPr>
          <w:ilvl w:val="0"/>
          <w:numId w:val="325"/>
        </w:numPr>
        <w:rPr>
          <w:rFonts w:ascii="Arial" w:cs="Arial" w:eastAsia="Arial" w:hAnsi="Arial"/>
          <w:sz w:val="15"/>
          <w:szCs w:val="15"/>
          <w:color w:val="auto"/>
        </w:rPr>
      </w:pPr>
      <w:r>
        <w:rPr>
          <w:rFonts w:ascii="Arial" w:cs="Arial" w:eastAsia="Arial" w:hAnsi="Arial"/>
          <w:sz w:val="15"/>
          <w:szCs w:val="15"/>
          <w:color w:val="auto"/>
        </w:rPr>
        <w:t>To designate from time to time which Subsidiaries of the Company shall be Designated Subsidiaries, which designation may be made without the approval of the stockholders of the Company.</w:t>
      </w:r>
    </w:p>
    <w:p>
      <w:pPr>
        <w:spacing w:after="0" w:line="140" w:lineRule="exact"/>
        <w:rPr>
          <w:rFonts w:ascii="Arial" w:cs="Arial" w:eastAsia="Arial" w:hAnsi="Arial"/>
          <w:sz w:val="15"/>
          <w:szCs w:val="15"/>
          <w:color w:val="auto"/>
        </w:rPr>
      </w:pPr>
    </w:p>
    <w:p>
      <w:pPr>
        <w:ind w:firstLine="1104"/>
        <w:spacing w:after="0" w:line="273" w:lineRule="auto"/>
        <w:tabs>
          <w:tab w:leader="none" w:pos="1677" w:val="left"/>
        </w:tabs>
        <w:numPr>
          <w:ilvl w:val="0"/>
          <w:numId w:val="325"/>
        </w:numPr>
        <w:rPr>
          <w:rFonts w:ascii="Arial" w:cs="Arial" w:eastAsia="Arial" w:hAnsi="Arial"/>
          <w:sz w:val="15"/>
          <w:szCs w:val="15"/>
          <w:color w:val="auto"/>
        </w:rPr>
      </w:pPr>
      <w:r>
        <w:rPr>
          <w:rFonts w:ascii="Arial" w:cs="Arial" w:eastAsia="Arial" w:hAnsi="Arial"/>
          <w:sz w:val="15"/>
          <w:szCs w:val="15"/>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52" w:lineRule="exact"/>
        <w:rPr>
          <w:rFonts w:ascii="Arial" w:cs="Arial" w:eastAsia="Arial" w:hAnsi="Arial"/>
          <w:sz w:val="15"/>
          <w:szCs w:val="15"/>
          <w:color w:val="auto"/>
        </w:rPr>
      </w:pPr>
    </w:p>
    <w:p>
      <w:pPr>
        <w:ind w:left="1660" w:hanging="556"/>
        <w:spacing w:after="0"/>
        <w:tabs>
          <w:tab w:leader="none" w:pos="1660" w:val="left"/>
        </w:tabs>
        <w:numPr>
          <w:ilvl w:val="0"/>
          <w:numId w:val="325"/>
        </w:numPr>
        <w:rPr>
          <w:rFonts w:ascii="Arial" w:cs="Arial" w:eastAsia="Arial" w:hAnsi="Arial"/>
          <w:sz w:val="15"/>
          <w:szCs w:val="15"/>
          <w:color w:val="auto"/>
        </w:rPr>
      </w:pPr>
      <w:r>
        <w:rPr>
          <w:rFonts w:ascii="Arial" w:cs="Arial" w:eastAsia="Arial" w:hAnsi="Arial"/>
          <w:sz w:val="15"/>
          <w:szCs w:val="15"/>
          <w:color w:val="auto"/>
        </w:rPr>
        <w:t>To amend, suspend or terminate the Plan as provided in Article IX.</w:t>
      </w:r>
    </w:p>
    <w:p>
      <w:pPr>
        <w:spacing w:after="0" w:line="198" w:lineRule="exact"/>
        <w:rPr>
          <w:rFonts w:ascii="Arial" w:cs="Arial" w:eastAsia="Arial" w:hAnsi="Arial"/>
          <w:sz w:val="15"/>
          <w:szCs w:val="15"/>
          <w:color w:val="auto"/>
        </w:rPr>
      </w:pPr>
    </w:p>
    <w:p>
      <w:pPr>
        <w:ind w:right="80" w:firstLine="1104"/>
        <w:spacing w:after="0" w:line="289" w:lineRule="auto"/>
        <w:tabs>
          <w:tab w:leader="none" w:pos="1677" w:val="left"/>
        </w:tabs>
        <w:numPr>
          <w:ilvl w:val="0"/>
          <w:numId w:val="325"/>
        </w:numPr>
        <w:rPr>
          <w:rFonts w:ascii="Arial" w:cs="Arial" w:eastAsia="Arial" w:hAnsi="Arial"/>
          <w:sz w:val="15"/>
          <w:szCs w:val="15"/>
          <w:color w:val="auto"/>
        </w:rPr>
      </w:pPr>
      <w:r>
        <w:rPr>
          <w:rFonts w:ascii="Arial" w:cs="Arial" w:eastAsia="Arial" w:hAnsi="Arial"/>
          <w:sz w:val="15"/>
          <w:szCs w:val="15"/>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spacing w:after="0" w:line="141" w:lineRule="exact"/>
        <w:rPr>
          <w:sz w:val="20"/>
          <w:szCs w:val="20"/>
          <w:color w:val="auto"/>
        </w:rPr>
      </w:pPr>
    </w:p>
    <w:p>
      <w:pPr>
        <w:ind w:right="740" w:firstLine="556"/>
        <w:spacing w:after="0" w:line="289"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Decisions Binding</w:t>
      </w:r>
      <w:r>
        <w:rPr>
          <w:rFonts w:ascii="Arial" w:cs="Arial" w:eastAsia="Arial" w:hAnsi="Arial"/>
          <w:sz w:val="15"/>
          <w:szCs w:val="15"/>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MISCELLANEOUS</w:t>
      </w:r>
    </w:p>
    <w:p>
      <w:pPr>
        <w:spacing w:after="0" w:line="188" w:lineRule="exact"/>
        <w:rPr>
          <w:sz w:val="20"/>
          <w:szCs w:val="20"/>
          <w:color w:val="auto"/>
        </w:rPr>
      </w:pPr>
    </w:p>
    <w:p>
      <w:pPr>
        <w:ind w:right="80" w:firstLine="556"/>
        <w:spacing w:after="0" w:line="268"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u w:val="single" w:color="auto"/>
          <w:color w:val="auto"/>
        </w:rPr>
        <w:t>Restriction upon Assignment</w:t>
      </w:r>
      <w:r>
        <w:rPr>
          <w:rFonts w:ascii="Arial" w:cs="Arial" w:eastAsia="Arial" w:hAnsi="Arial"/>
          <w:sz w:val="15"/>
          <w:szCs w:val="15"/>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156" w:lineRule="exact"/>
        <w:rPr>
          <w:sz w:val="20"/>
          <w:szCs w:val="20"/>
          <w:color w:val="auto"/>
        </w:rPr>
      </w:pPr>
    </w:p>
    <w:p>
      <w:pPr>
        <w:ind w:right="40" w:firstLine="556"/>
        <w:spacing w:after="0" w:line="293" w:lineRule="auto"/>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u w:val="single" w:color="auto"/>
          <w:color w:val="auto"/>
        </w:rPr>
        <w:t>Rights as a Stockholder</w:t>
      </w:r>
      <w:r>
        <w:rPr>
          <w:rFonts w:ascii="Arial" w:cs="Arial" w:eastAsia="Arial" w:hAnsi="Arial"/>
          <w:sz w:val="14"/>
          <w:szCs w:val="14"/>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40"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12.3</w:t>
      </w:r>
      <w:r>
        <w:rPr>
          <w:sz w:val="20"/>
          <w:szCs w:val="20"/>
          <w:color w:val="auto"/>
        </w:rPr>
        <w:tab/>
      </w:r>
      <w:r>
        <w:rPr>
          <w:rFonts w:ascii="Arial" w:cs="Arial" w:eastAsia="Arial" w:hAnsi="Arial"/>
          <w:sz w:val="13"/>
          <w:szCs w:val="13"/>
          <w:u w:val="single" w:color="auto"/>
          <w:color w:val="auto"/>
        </w:rPr>
        <w:t>Interest</w:t>
      </w:r>
      <w:r>
        <w:rPr>
          <w:rFonts w:ascii="Arial" w:cs="Arial" w:eastAsia="Arial" w:hAnsi="Arial"/>
          <w:sz w:val="13"/>
          <w:szCs w:val="13"/>
          <w:color w:val="auto"/>
        </w:rPr>
        <w:t>. No interest shall accrue on the payroll deductions or contributions of a Participant under the Plan.</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12.4</w:t>
      </w:r>
      <w:r>
        <w:rPr>
          <w:sz w:val="20"/>
          <w:szCs w:val="20"/>
          <w:color w:val="auto"/>
        </w:rPr>
        <w:tab/>
      </w:r>
      <w:r>
        <w:rPr>
          <w:rFonts w:ascii="Arial" w:cs="Arial" w:eastAsia="Arial" w:hAnsi="Arial"/>
          <w:sz w:val="14"/>
          <w:szCs w:val="14"/>
          <w:u w:val="single" w:color="auto"/>
          <w:color w:val="auto"/>
        </w:rPr>
        <w:t>Designation of Beneficiary</w:t>
      </w:r>
      <w:r>
        <w:rPr>
          <w:rFonts w:ascii="Arial" w:cs="Arial" w:eastAsia="Arial" w:hAnsi="Arial"/>
          <w:sz w:val="14"/>
          <w:szCs w:val="14"/>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firstLine="1104"/>
        <w:spacing w:after="0" w:line="289" w:lineRule="auto"/>
        <w:tabs>
          <w:tab w:leader="none" w:pos="1665" w:val="left"/>
        </w:tabs>
        <w:numPr>
          <w:ilvl w:val="0"/>
          <w:numId w:val="326"/>
        </w:numPr>
        <w:rPr>
          <w:rFonts w:ascii="Arial" w:cs="Arial" w:eastAsia="Arial" w:hAnsi="Arial"/>
          <w:sz w:val="14"/>
          <w:szCs w:val="14"/>
          <w:color w:val="auto"/>
        </w:rPr>
      </w:pPr>
      <w:r>
        <w:rPr>
          <w:rFonts w:ascii="Arial" w:cs="Arial" w:eastAsia="Arial" w:hAnsi="Arial"/>
          <w:sz w:val="14"/>
          <w:szCs w:val="14"/>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142" w:lineRule="exact"/>
        <w:rPr>
          <w:rFonts w:ascii="Arial" w:cs="Arial" w:eastAsia="Arial" w:hAnsi="Arial"/>
          <w:sz w:val="14"/>
          <w:szCs w:val="14"/>
          <w:color w:val="auto"/>
        </w:rPr>
      </w:pPr>
    </w:p>
    <w:p>
      <w:pPr>
        <w:ind w:firstLine="1104"/>
        <w:spacing w:after="0" w:line="265" w:lineRule="auto"/>
        <w:tabs>
          <w:tab w:leader="none" w:pos="1674" w:val="left"/>
        </w:tabs>
        <w:numPr>
          <w:ilvl w:val="0"/>
          <w:numId w:val="326"/>
        </w:numPr>
        <w:rPr>
          <w:rFonts w:ascii="Arial" w:cs="Arial" w:eastAsia="Arial" w:hAnsi="Arial"/>
          <w:sz w:val="15"/>
          <w:szCs w:val="15"/>
          <w:color w:val="auto"/>
        </w:rPr>
      </w:pPr>
      <w:r>
        <w:rPr>
          <w:rFonts w:ascii="Arial" w:cs="Arial" w:eastAsia="Arial" w:hAnsi="Arial"/>
          <w:sz w:val="15"/>
          <w:szCs w:val="15"/>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60" w:lineRule="exact"/>
        <w:rPr>
          <w:sz w:val="20"/>
          <w:szCs w:val="20"/>
          <w:color w:val="auto"/>
        </w:rPr>
      </w:pPr>
    </w:p>
    <w:p>
      <w:pPr>
        <w:ind w:right="300" w:firstLine="556"/>
        <w:spacing w:after="0" w:line="289" w:lineRule="auto"/>
        <w:rPr>
          <w:sz w:val="20"/>
          <w:szCs w:val="20"/>
          <w:color w:val="auto"/>
        </w:rPr>
      </w:pPr>
      <w:r>
        <w:rPr>
          <w:rFonts w:ascii="Arial" w:cs="Arial" w:eastAsia="Arial" w:hAnsi="Arial"/>
          <w:sz w:val="15"/>
          <w:szCs w:val="15"/>
          <w:color w:val="auto"/>
        </w:rPr>
        <w:t xml:space="preserve">12.5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41" w:lineRule="exact"/>
        <w:rPr>
          <w:sz w:val="20"/>
          <w:szCs w:val="20"/>
          <w:color w:val="auto"/>
        </w:rPr>
      </w:pPr>
    </w:p>
    <w:p>
      <w:pPr>
        <w:ind w:right="80" w:firstLine="556"/>
        <w:spacing w:after="0" w:line="302" w:lineRule="auto"/>
        <w:rPr>
          <w:sz w:val="20"/>
          <w:szCs w:val="20"/>
          <w:color w:val="auto"/>
        </w:rPr>
      </w:pPr>
      <w:r>
        <w:rPr>
          <w:rFonts w:ascii="Arial" w:cs="Arial" w:eastAsia="Arial" w:hAnsi="Arial"/>
          <w:sz w:val="14"/>
          <w:szCs w:val="14"/>
          <w:color w:val="auto"/>
        </w:rPr>
        <w:t xml:space="preserve">12.6 </w:t>
      </w:r>
      <w:r>
        <w:rPr>
          <w:rFonts w:ascii="Arial" w:cs="Arial" w:eastAsia="Arial" w:hAnsi="Arial"/>
          <w:sz w:val="14"/>
          <w:szCs w:val="14"/>
          <w:u w:val="single" w:color="auto"/>
          <w:color w:val="auto"/>
        </w:rPr>
        <w:t>Equal Rights and Privileges</w:t>
      </w:r>
      <w:r>
        <w:rPr>
          <w:rFonts w:ascii="Arial" w:cs="Arial" w:eastAsia="Arial" w:hAnsi="Arial"/>
          <w:sz w:val="14"/>
          <w:szCs w:val="14"/>
          <w:color w:val="auto"/>
        </w:rPr>
        <w:t>. Subject to Section 5.7, all Eligible Employees will have equal rights and privileges under this Plan so that this Plan qualifies as an “employee stock purchase plan” 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w:t>
      </w:r>
    </w:p>
    <w:p>
      <w:pPr>
        <w:spacing w:after="0" w:line="133" w:lineRule="exact"/>
        <w:rPr>
          <w:sz w:val="20"/>
          <w:szCs w:val="20"/>
          <w:color w:val="auto"/>
        </w:rPr>
      </w:pPr>
    </w:p>
    <w:p>
      <w:pPr>
        <w:ind w:right="40" w:firstLine="556"/>
        <w:spacing w:after="0" w:line="289" w:lineRule="auto"/>
        <w:rPr>
          <w:sz w:val="20"/>
          <w:szCs w:val="20"/>
          <w:color w:val="auto"/>
        </w:rPr>
      </w:pPr>
      <w:r>
        <w:rPr>
          <w:rFonts w:ascii="Arial" w:cs="Arial" w:eastAsia="Arial" w:hAnsi="Arial"/>
          <w:sz w:val="15"/>
          <w:szCs w:val="15"/>
          <w:color w:val="auto"/>
        </w:rPr>
        <w:t xml:space="preserve">12.7 </w:t>
      </w:r>
      <w:r>
        <w:rPr>
          <w:rFonts w:ascii="Arial" w:cs="Arial" w:eastAsia="Arial" w:hAnsi="Arial"/>
          <w:sz w:val="15"/>
          <w:szCs w:val="15"/>
          <w:u w:val="single" w:color="auto"/>
          <w:color w:val="auto"/>
        </w:rPr>
        <w:t>Use of Funds</w:t>
      </w:r>
      <w:r>
        <w:rPr>
          <w:rFonts w:ascii="Arial" w:cs="Arial" w:eastAsia="Arial" w:hAnsi="Arial"/>
          <w:sz w:val="15"/>
          <w:szCs w:val="15"/>
          <w:color w:val="auto"/>
        </w:rPr>
        <w:t>. All payroll deductions received or held by the Company under the Plan may be used by the Company for any corporate purpose, and the Company shall not be obligated to segregate such payroll deductions.</w:t>
      </w:r>
    </w:p>
    <w:p>
      <w:pPr>
        <w:spacing w:after="0" w:line="141" w:lineRule="exact"/>
        <w:rPr>
          <w:sz w:val="20"/>
          <w:szCs w:val="20"/>
          <w:color w:val="auto"/>
        </w:rPr>
      </w:pPr>
    </w:p>
    <w:p>
      <w:pPr>
        <w:ind w:right="160" w:firstLine="556"/>
        <w:spacing w:after="0" w:line="289" w:lineRule="auto"/>
        <w:rPr>
          <w:sz w:val="20"/>
          <w:szCs w:val="20"/>
          <w:color w:val="auto"/>
        </w:rPr>
      </w:pPr>
      <w:r>
        <w:rPr>
          <w:rFonts w:ascii="Arial" w:cs="Arial" w:eastAsia="Arial" w:hAnsi="Arial"/>
          <w:sz w:val="15"/>
          <w:szCs w:val="15"/>
          <w:color w:val="auto"/>
        </w:rPr>
        <w:t xml:space="preserve">12.8 </w:t>
      </w:r>
      <w:r>
        <w:rPr>
          <w:rFonts w:ascii="Arial" w:cs="Arial" w:eastAsia="Arial" w:hAnsi="Arial"/>
          <w:sz w:val="15"/>
          <w:szCs w:val="15"/>
          <w:u w:val="single" w:color="auto"/>
          <w:color w:val="auto"/>
        </w:rPr>
        <w:t>Reports</w:t>
      </w:r>
      <w:r>
        <w:rPr>
          <w:rFonts w:ascii="Arial" w:cs="Arial" w:eastAsia="Arial" w:hAnsi="Arial"/>
          <w:sz w:val="15"/>
          <w:szCs w:val="15"/>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41" w:lineRule="exact"/>
        <w:rPr>
          <w:sz w:val="20"/>
          <w:szCs w:val="20"/>
          <w:color w:val="auto"/>
        </w:rPr>
      </w:pPr>
    </w:p>
    <w:p>
      <w:pPr>
        <w:ind w:right="20" w:firstLine="556"/>
        <w:spacing w:after="0" w:line="273" w:lineRule="auto"/>
        <w:rPr>
          <w:sz w:val="20"/>
          <w:szCs w:val="20"/>
          <w:color w:val="auto"/>
        </w:rPr>
      </w:pPr>
      <w:r>
        <w:rPr>
          <w:rFonts w:ascii="Arial" w:cs="Arial" w:eastAsia="Arial" w:hAnsi="Arial"/>
          <w:sz w:val="15"/>
          <w:szCs w:val="15"/>
          <w:color w:val="auto"/>
        </w:rPr>
        <w:t xml:space="preserve">12.9 </w:t>
      </w:r>
      <w:r>
        <w:rPr>
          <w:rFonts w:ascii="Arial" w:cs="Arial" w:eastAsia="Arial" w:hAnsi="Arial"/>
          <w:sz w:val="15"/>
          <w:szCs w:val="15"/>
          <w:u w:val="single" w:color="auto"/>
          <w:color w:val="auto"/>
        </w:rPr>
        <w:t>No Employment Rights</w:t>
      </w:r>
      <w:r>
        <w:rPr>
          <w:rFonts w:ascii="Arial" w:cs="Arial" w:eastAsia="Arial" w:hAnsi="Arial"/>
          <w:sz w:val="15"/>
          <w:szCs w:val="15"/>
          <w:color w:val="auto"/>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153" w:lineRule="exact"/>
        <w:rPr>
          <w:sz w:val="20"/>
          <w:szCs w:val="20"/>
          <w:color w:val="auto"/>
        </w:rPr>
      </w:pPr>
    </w:p>
    <w:p>
      <w:pPr>
        <w:ind w:right="140" w:firstLine="556"/>
        <w:spacing w:after="0" w:line="268" w:lineRule="auto"/>
        <w:rPr>
          <w:sz w:val="20"/>
          <w:szCs w:val="20"/>
          <w:color w:val="auto"/>
        </w:rPr>
      </w:pPr>
      <w:r>
        <w:rPr>
          <w:rFonts w:ascii="Arial" w:cs="Arial" w:eastAsia="Arial" w:hAnsi="Arial"/>
          <w:sz w:val="15"/>
          <w:szCs w:val="15"/>
          <w:color w:val="auto"/>
        </w:rPr>
        <w:t xml:space="preserve">12.10 </w:t>
      </w:r>
      <w:r>
        <w:rPr>
          <w:rFonts w:ascii="Arial" w:cs="Arial" w:eastAsia="Arial" w:hAnsi="Arial"/>
          <w:sz w:val="15"/>
          <w:szCs w:val="15"/>
          <w:u w:val="single" w:color="auto"/>
          <w:color w:val="auto"/>
        </w:rPr>
        <w:t>Notice of Disposition of Shares</w:t>
      </w:r>
      <w:r>
        <w:rPr>
          <w:rFonts w:ascii="Arial" w:cs="Arial" w:eastAsia="Arial" w:hAnsi="Arial"/>
          <w:sz w:val="15"/>
          <w:szCs w:val="15"/>
          <w:color w:val="auto"/>
        </w:rPr>
        <w:t>.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ectPr>
          <w:pgSz w:w="11900" w:h="16838" w:orient="portrait"/>
          <w:cols w:equalWidth="0" w:num="1">
            <w:col w:w="11440"/>
          </w:cols>
          <w:pgMar w:left="240" w:top="129" w:right="219" w:bottom="0" w:gutter="0" w:footer="0" w:header="0"/>
        </w:sectPr>
      </w:pPr>
    </w:p>
    <w:bookmarkStart w:id="364" w:name="page365"/>
    <w:bookmarkEnd w:id="364"/>
    <w:p>
      <w:pPr>
        <w:jc w:val="center"/>
        <w:ind w:right="-2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5990" cy="2730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220"/>
          </w:cols>
          <w:pgMar w:left="240" w:top="12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80" w:firstLine="556"/>
        <w:spacing w:after="0" w:line="289" w:lineRule="auto"/>
        <w:rPr>
          <w:sz w:val="20"/>
          <w:szCs w:val="20"/>
          <w:color w:val="auto"/>
        </w:rPr>
      </w:pPr>
      <w:r>
        <w:rPr>
          <w:rFonts w:ascii="Arial" w:cs="Arial" w:eastAsia="Arial" w:hAnsi="Arial"/>
          <w:sz w:val="15"/>
          <w:szCs w:val="15"/>
          <w:color w:val="auto"/>
        </w:rPr>
        <w:t xml:space="preserve">12.11 </w:t>
      </w:r>
      <w:r>
        <w:rPr>
          <w:rFonts w:ascii="Arial" w:cs="Arial" w:eastAsia="Arial" w:hAnsi="Arial"/>
          <w:sz w:val="15"/>
          <w:szCs w:val="15"/>
          <w:u w:val="single" w:color="auto"/>
          <w:color w:val="auto"/>
        </w:rPr>
        <w:t>Governing Law</w:t>
      </w:r>
      <w:r>
        <w:rPr>
          <w:rFonts w:ascii="Arial" w:cs="Arial" w:eastAsia="Arial" w:hAnsi="Arial"/>
          <w:sz w:val="15"/>
          <w:szCs w:val="15"/>
          <w:color w:val="auto"/>
        </w:rPr>
        <w:t>. The Plan and any agreements hereunder shall be administered, interpreted and enforced under the internal laws of the State of Delaware without regard to conflicts of laws thereof or of any other jurisdiction.</w:t>
      </w:r>
    </w:p>
    <w:p>
      <w:pPr>
        <w:spacing w:after="0" w:line="141" w:lineRule="exact"/>
        <w:rPr>
          <w:sz w:val="20"/>
          <w:szCs w:val="20"/>
          <w:color w:val="auto"/>
        </w:rPr>
      </w:pPr>
    </w:p>
    <w:p>
      <w:pPr>
        <w:jc w:val="both"/>
        <w:ind w:firstLine="556"/>
        <w:spacing w:after="0" w:line="273" w:lineRule="auto"/>
        <w:rPr>
          <w:sz w:val="20"/>
          <w:szCs w:val="20"/>
          <w:color w:val="auto"/>
        </w:rPr>
      </w:pPr>
      <w:r>
        <w:rPr>
          <w:rFonts w:ascii="Arial" w:cs="Arial" w:eastAsia="Arial" w:hAnsi="Arial"/>
          <w:sz w:val="15"/>
          <w:szCs w:val="15"/>
          <w:color w:val="auto"/>
        </w:rPr>
        <w:t xml:space="preserve">12.12 </w:t>
      </w:r>
      <w:r>
        <w:rPr>
          <w:rFonts w:ascii="Arial" w:cs="Arial" w:eastAsia="Arial" w:hAnsi="Arial"/>
          <w:sz w:val="15"/>
          <w:szCs w:val="15"/>
          <w:u w:val="single" w:color="auto"/>
          <w:color w:val="auto"/>
        </w:rPr>
        <w:t>Electronic Forms</w:t>
      </w:r>
      <w:r>
        <w:rPr>
          <w:rFonts w:ascii="Arial" w:cs="Arial" w:eastAsia="Arial" w:hAnsi="Arial"/>
          <w:sz w:val="15"/>
          <w:szCs w:val="15"/>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 * * * *</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220"/>
          </w:cols>
          <w:pgMar w:left="240" w:top="129" w:right="439" w:bottom="1440" w:gutter="0" w:footer="0" w:header="0"/>
          <w:type w:val="continuous"/>
        </w:sectPr>
      </w:pPr>
    </w:p>
    <w:bookmarkStart w:id="365" w:name="page366"/>
    <w:bookmarkEnd w:id="365"/>
    <w:p>
      <w:pPr>
        <w:jc w:val="right"/>
        <w:spacing w:after="0"/>
        <w:rPr>
          <w:sz w:val="20"/>
          <w:szCs w:val="20"/>
          <w:color w:val="auto"/>
        </w:rPr>
      </w:pPr>
      <w:r>
        <w:rPr>
          <w:rFonts w:ascii="Arial" w:cs="Arial" w:eastAsia="Arial" w:hAnsi="Arial"/>
          <w:sz w:val="15"/>
          <w:szCs w:val="15"/>
          <w:b w:val="1"/>
          <w:bCs w:val="1"/>
          <w:color w:val="auto"/>
        </w:rPr>
        <w:t>EXHIBIT 10.4</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NON-EMPLOYEE DIRECTOR COMPENSATION PROGRAM</w:t>
      </w:r>
    </w:p>
    <w:p>
      <w:pPr>
        <w:spacing w:after="0" w:line="204" w:lineRule="exact"/>
        <w:rPr>
          <w:sz w:val="20"/>
          <w:szCs w:val="20"/>
          <w:color w:val="auto"/>
        </w:rPr>
      </w:pPr>
    </w:p>
    <w:p>
      <w:pPr>
        <w:ind w:left="7" w:right="20" w:firstLine="556"/>
        <w:spacing w:after="0" w:line="261" w:lineRule="auto"/>
        <w:rPr>
          <w:sz w:val="20"/>
          <w:szCs w:val="20"/>
          <w:color w:val="auto"/>
        </w:rPr>
      </w:pPr>
      <w:r>
        <w:rPr>
          <w:rFonts w:ascii="Arial" w:cs="Arial" w:eastAsia="Arial" w:hAnsi="Arial"/>
          <w:sz w:val="15"/>
          <w:szCs w:val="15"/>
          <w:color w:val="auto"/>
        </w:rPr>
        <w:t>Non-employee members of the board of directors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of Selecta Biosciences,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shall receive cash and equity compensation as set forth in this Non-Employee Director Compensation Program (this “</w:t>
      </w:r>
      <w:r>
        <w:rPr>
          <w:rFonts w:ascii="Arial" w:cs="Arial" w:eastAsia="Arial" w:hAnsi="Arial"/>
          <w:sz w:val="15"/>
          <w:szCs w:val="15"/>
          <w:b w:val="1"/>
          <w:bCs w:val="1"/>
          <w:i w:val="1"/>
          <w:iCs w:val="1"/>
          <w:color w:val="auto"/>
        </w:rPr>
        <w:t>Program</w:t>
      </w:r>
      <w:r>
        <w:rPr>
          <w:rFonts w:ascii="Arial" w:cs="Arial" w:eastAsia="Arial" w:hAnsi="Arial"/>
          <w:sz w:val="15"/>
          <w:szCs w:val="15"/>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5"/>
          <w:szCs w:val="15"/>
          <w:b w:val="1"/>
          <w:bCs w:val="1"/>
          <w:i w:val="1"/>
          <w:iCs w:val="1"/>
          <w:color w:val="auto"/>
        </w:rPr>
        <w:t>Non-Employee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Director</w:t>
      </w:r>
      <w:r>
        <w:rPr>
          <w:rFonts w:ascii="Arial" w:cs="Arial" w:eastAsia="Arial" w:hAnsi="Arial"/>
          <w:sz w:val="15"/>
          <w:szCs w:val="15"/>
          <w:color w:val="auto"/>
        </w:rPr>
        <w:t>”) who is entitled to receive such cash or equity compensation, unless such Non-Employee Director declines the receipt of such cash or equity compensation by written notice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 This Program shall become effective on the date of the effectiveness of the Company’s Registration Statement on Form S-1 relating to the initial public offering of common stock (the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w:t>
      </w:r>
    </w:p>
    <w:p>
      <w:pPr>
        <w:spacing w:after="0" w:line="159" w:lineRule="exact"/>
        <w:rPr>
          <w:sz w:val="20"/>
          <w:szCs w:val="20"/>
          <w:color w:val="auto"/>
        </w:rPr>
      </w:pPr>
    </w:p>
    <w:p>
      <w:pPr>
        <w:ind w:left="567" w:hanging="567"/>
        <w:spacing w:after="0"/>
        <w:tabs>
          <w:tab w:leader="none" w:pos="567" w:val="left"/>
        </w:tabs>
        <w:numPr>
          <w:ilvl w:val="0"/>
          <w:numId w:val="327"/>
        </w:numPr>
        <w:rPr>
          <w:rFonts w:ascii="Arial" w:cs="Arial" w:eastAsia="Arial" w:hAnsi="Arial"/>
          <w:sz w:val="15"/>
          <w:szCs w:val="15"/>
          <w:b w:val="1"/>
          <w:bCs w:val="1"/>
          <w:color w:val="auto"/>
        </w:rPr>
      </w:pPr>
      <w:r>
        <w:rPr>
          <w:rFonts w:ascii="Arial" w:cs="Arial" w:eastAsia="Arial" w:hAnsi="Arial"/>
          <w:sz w:val="15"/>
          <w:szCs w:val="15"/>
          <w:b w:val="1"/>
          <w:bCs w:val="1"/>
          <w:color w:val="auto"/>
        </w:rPr>
        <w:t>CASH COMPENSATION</w:t>
      </w:r>
    </w:p>
    <w:p>
      <w:pPr>
        <w:spacing w:after="0" w:line="204" w:lineRule="exact"/>
        <w:rPr>
          <w:rFonts w:ascii="Arial" w:cs="Arial" w:eastAsia="Arial" w:hAnsi="Arial"/>
          <w:sz w:val="15"/>
          <w:szCs w:val="15"/>
          <w:b w:val="1"/>
          <w:bCs w:val="1"/>
          <w:color w:val="auto"/>
        </w:rPr>
      </w:pPr>
    </w:p>
    <w:p>
      <w:pPr>
        <w:ind w:left="1687" w:hanging="576"/>
        <w:spacing w:after="0"/>
        <w:tabs>
          <w:tab w:leader="none" w:pos="1687" w:val="left"/>
        </w:tabs>
        <w:numPr>
          <w:ilvl w:val="1"/>
          <w:numId w:val="327"/>
        </w:numPr>
        <w:rPr>
          <w:rFonts w:ascii="Arial" w:cs="Arial" w:eastAsia="Arial" w:hAnsi="Arial"/>
          <w:sz w:val="15"/>
          <w:szCs w:val="15"/>
          <w:color w:val="auto"/>
        </w:rPr>
      </w:pPr>
      <w:r>
        <w:rPr>
          <w:rFonts w:ascii="Arial" w:cs="Arial" w:eastAsia="Arial" w:hAnsi="Arial"/>
          <w:sz w:val="15"/>
          <w:szCs w:val="15"/>
          <w:u w:val="single" w:color="auto"/>
          <w:color w:val="auto"/>
        </w:rPr>
        <w:t>Annual Retainers</w:t>
      </w:r>
      <w:r>
        <w:rPr>
          <w:rFonts w:ascii="Arial" w:cs="Arial" w:eastAsia="Arial" w:hAnsi="Arial"/>
          <w:sz w:val="15"/>
          <w:szCs w:val="15"/>
          <w:color w:val="auto"/>
        </w:rPr>
        <w:t>. Each Non-Employee Director shall receive an annual retainer of $35,000 for service on the Board.</w:t>
      </w:r>
    </w:p>
    <w:p>
      <w:pPr>
        <w:spacing w:after="0" w:line="198" w:lineRule="exact"/>
        <w:rPr>
          <w:rFonts w:ascii="Arial" w:cs="Arial" w:eastAsia="Arial" w:hAnsi="Arial"/>
          <w:sz w:val="15"/>
          <w:szCs w:val="15"/>
          <w:color w:val="auto"/>
        </w:rPr>
      </w:pPr>
    </w:p>
    <w:p>
      <w:pPr>
        <w:ind w:left="1667" w:hanging="556"/>
        <w:spacing w:after="0"/>
        <w:tabs>
          <w:tab w:leader="none" w:pos="1667" w:val="left"/>
        </w:tabs>
        <w:numPr>
          <w:ilvl w:val="1"/>
          <w:numId w:val="327"/>
        </w:numPr>
        <w:rPr>
          <w:rFonts w:ascii="Arial" w:cs="Arial" w:eastAsia="Arial" w:hAnsi="Arial"/>
          <w:sz w:val="15"/>
          <w:szCs w:val="15"/>
          <w:color w:val="auto"/>
        </w:rPr>
      </w:pPr>
      <w:r>
        <w:rPr>
          <w:rFonts w:ascii="Arial" w:cs="Arial" w:eastAsia="Arial" w:hAnsi="Arial"/>
          <w:sz w:val="15"/>
          <w:szCs w:val="15"/>
          <w:u w:val="single" w:color="auto"/>
          <w:color w:val="auto"/>
        </w:rPr>
        <w:t>Additional Annual Retainers</w:t>
      </w:r>
      <w:r>
        <w:rPr>
          <w:rFonts w:ascii="Arial" w:cs="Arial" w:eastAsia="Arial" w:hAnsi="Arial"/>
          <w:sz w:val="15"/>
          <w:szCs w:val="15"/>
          <w:color w:val="auto"/>
        </w:rPr>
        <w:t>. In addition, each Non-Employee Director shall receive the following annual retainers:</w:t>
      </w:r>
    </w:p>
    <w:p>
      <w:pPr>
        <w:spacing w:after="0" w:line="198" w:lineRule="exact"/>
        <w:rPr>
          <w:rFonts w:ascii="Arial" w:cs="Arial" w:eastAsia="Arial" w:hAnsi="Arial"/>
          <w:sz w:val="15"/>
          <w:szCs w:val="15"/>
          <w:color w:val="auto"/>
        </w:rPr>
      </w:pPr>
    </w:p>
    <w:p>
      <w:pPr>
        <w:ind w:left="7" w:right="160" w:firstLine="1660"/>
        <w:spacing w:after="0" w:line="289" w:lineRule="auto"/>
        <w:tabs>
          <w:tab w:leader="none" w:pos="2231" w:val="left"/>
        </w:tabs>
        <w:numPr>
          <w:ilvl w:val="2"/>
          <w:numId w:val="327"/>
        </w:numPr>
        <w:rPr>
          <w:rFonts w:ascii="Arial" w:cs="Arial" w:eastAsia="Arial" w:hAnsi="Arial"/>
          <w:sz w:val="15"/>
          <w:szCs w:val="15"/>
          <w:color w:val="auto"/>
        </w:rPr>
      </w:pPr>
      <w:r>
        <w:rPr>
          <w:rFonts w:ascii="Arial" w:cs="Arial" w:eastAsia="Arial" w:hAnsi="Arial"/>
          <w:sz w:val="15"/>
          <w:szCs w:val="15"/>
          <w:i w:val="1"/>
          <w:iCs w:val="1"/>
          <w:color w:val="auto"/>
        </w:rPr>
        <w:t>Chairman of the Board or Lead Independent Director</w:t>
      </w:r>
      <w:r>
        <w:rPr>
          <w:rFonts w:ascii="Arial" w:cs="Arial" w:eastAsia="Arial" w:hAnsi="Arial"/>
          <w:sz w:val="15"/>
          <w:szCs w:val="15"/>
          <w:color w:val="auto"/>
        </w:rPr>
        <w:t>. A Non-Employee Director serving as Chairman of the Board or Lead Independent Director</w:t>
      </w:r>
      <w:r>
        <w:rPr>
          <w:rFonts w:ascii="Arial" w:cs="Arial" w:eastAsia="Arial" w:hAnsi="Arial"/>
          <w:sz w:val="15"/>
          <w:szCs w:val="15"/>
          <w:i w:val="1"/>
          <w:iCs w:val="1"/>
          <w:color w:val="auto"/>
        </w:rPr>
        <w:t xml:space="preserve"> </w:t>
      </w:r>
      <w:r>
        <w:rPr>
          <w:rFonts w:ascii="Arial" w:cs="Arial" w:eastAsia="Arial" w:hAnsi="Arial"/>
          <w:sz w:val="15"/>
          <w:szCs w:val="15"/>
          <w:color w:val="auto"/>
        </w:rPr>
        <w:t>shall receive an additional annual retainer of $15,000 for such service.</w:t>
      </w:r>
    </w:p>
    <w:p>
      <w:pPr>
        <w:spacing w:after="0" w:line="140" w:lineRule="exact"/>
        <w:rPr>
          <w:rFonts w:ascii="Arial" w:cs="Arial" w:eastAsia="Arial" w:hAnsi="Arial"/>
          <w:sz w:val="15"/>
          <w:szCs w:val="15"/>
          <w:color w:val="auto"/>
        </w:rPr>
      </w:pPr>
    </w:p>
    <w:p>
      <w:pPr>
        <w:ind w:left="7" w:right="140" w:firstLine="1660"/>
        <w:spacing w:after="0" w:line="273" w:lineRule="auto"/>
        <w:tabs>
          <w:tab w:leader="none" w:pos="2231" w:val="left"/>
        </w:tabs>
        <w:numPr>
          <w:ilvl w:val="2"/>
          <w:numId w:val="327"/>
        </w:numPr>
        <w:rPr>
          <w:rFonts w:ascii="Arial" w:cs="Arial" w:eastAsia="Arial" w:hAnsi="Arial"/>
          <w:sz w:val="15"/>
          <w:szCs w:val="15"/>
          <w:color w:val="auto"/>
        </w:rPr>
      </w:pPr>
      <w:r>
        <w:rPr>
          <w:rFonts w:ascii="Arial" w:cs="Arial" w:eastAsia="Arial" w:hAnsi="Arial"/>
          <w:sz w:val="15"/>
          <w:szCs w:val="15"/>
          <w:i w:val="1"/>
          <w:iCs w:val="1"/>
          <w:color w:val="auto"/>
        </w:rPr>
        <w:t>Audit Committee</w:t>
      </w:r>
      <w:r>
        <w:rPr>
          <w:rFonts w:ascii="Arial" w:cs="Arial" w:eastAsia="Arial" w:hAnsi="Arial"/>
          <w:sz w:val="15"/>
          <w:szCs w:val="15"/>
          <w:color w:val="auto"/>
        </w:rPr>
        <w:t>. A Non-Employee Director serving as Chairperson of the Audit Committee shall receive an additional annual retainer of $15,000</w:t>
      </w:r>
      <w:r>
        <w:rPr>
          <w:rFonts w:ascii="Arial" w:cs="Arial" w:eastAsia="Arial" w:hAnsi="Arial"/>
          <w:sz w:val="15"/>
          <w:szCs w:val="15"/>
          <w:i w:val="1"/>
          <w:iCs w:val="1"/>
          <w:color w:val="auto"/>
        </w:rPr>
        <w:t xml:space="preserve"> </w:t>
      </w:r>
      <w:r>
        <w:rPr>
          <w:rFonts w:ascii="Arial" w:cs="Arial" w:eastAsia="Arial" w:hAnsi="Arial"/>
          <w:sz w:val="15"/>
          <w:szCs w:val="15"/>
          <w:color w:val="auto"/>
        </w:rPr>
        <w:t>for such service. A Non-Employee Director serving as a member other than the Chairperson of the Audit Committee shall receive an additional annual retainer of $7,500 for such service.</w:t>
      </w:r>
    </w:p>
    <w:p>
      <w:pPr>
        <w:spacing w:after="0" w:line="152" w:lineRule="exact"/>
        <w:rPr>
          <w:rFonts w:ascii="Arial" w:cs="Arial" w:eastAsia="Arial" w:hAnsi="Arial"/>
          <w:sz w:val="15"/>
          <w:szCs w:val="15"/>
          <w:color w:val="auto"/>
        </w:rPr>
      </w:pPr>
    </w:p>
    <w:p>
      <w:pPr>
        <w:ind w:left="7" w:right="260" w:firstLine="1660"/>
        <w:spacing w:after="0" w:line="273" w:lineRule="auto"/>
        <w:tabs>
          <w:tab w:leader="none" w:pos="2231" w:val="left"/>
        </w:tabs>
        <w:numPr>
          <w:ilvl w:val="2"/>
          <w:numId w:val="327"/>
        </w:numPr>
        <w:rPr>
          <w:rFonts w:ascii="Arial" w:cs="Arial" w:eastAsia="Arial" w:hAnsi="Arial"/>
          <w:sz w:val="15"/>
          <w:szCs w:val="15"/>
          <w:color w:val="auto"/>
        </w:rPr>
      </w:pPr>
      <w:r>
        <w:rPr>
          <w:rFonts w:ascii="Arial" w:cs="Arial" w:eastAsia="Arial" w:hAnsi="Arial"/>
          <w:sz w:val="15"/>
          <w:szCs w:val="15"/>
          <w:i w:val="1"/>
          <w:iCs w:val="1"/>
          <w:color w:val="auto"/>
        </w:rPr>
        <w:t>Compensation Committee</w:t>
      </w:r>
      <w:r>
        <w:rPr>
          <w:rFonts w:ascii="Arial" w:cs="Arial" w:eastAsia="Arial" w:hAnsi="Arial"/>
          <w:sz w:val="15"/>
          <w:szCs w:val="15"/>
          <w:color w:val="auto"/>
        </w:rPr>
        <w:t>. A Non-Employee Director serving as Chairperson of the Compensation Committee shall receive an additional annual</w:t>
      </w:r>
      <w:r>
        <w:rPr>
          <w:rFonts w:ascii="Arial" w:cs="Arial" w:eastAsia="Arial" w:hAnsi="Arial"/>
          <w:sz w:val="15"/>
          <w:szCs w:val="15"/>
          <w:i w:val="1"/>
          <w:iCs w:val="1"/>
          <w:color w:val="auto"/>
        </w:rPr>
        <w:t xml:space="preserve"> </w:t>
      </w:r>
      <w:r>
        <w:rPr>
          <w:rFonts w:ascii="Arial" w:cs="Arial" w:eastAsia="Arial" w:hAnsi="Arial"/>
          <w:sz w:val="15"/>
          <w:szCs w:val="15"/>
          <w:color w:val="auto"/>
        </w:rPr>
        <w:t>retainer of $10,000 for such service. A Non-Employee Director serving as a member other than the Chairperson of the Compensation Committee shall receive an additional annual retainer of $5,000 for such service.</w:t>
      </w:r>
    </w:p>
    <w:p>
      <w:pPr>
        <w:spacing w:after="0" w:line="152" w:lineRule="exact"/>
        <w:rPr>
          <w:rFonts w:ascii="Arial" w:cs="Arial" w:eastAsia="Arial" w:hAnsi="Arial"/>
          <w:sz w:val="15"/>
          <w:szCs w:val="15"/>
          <w:color w:val="auto"/>
        </w:rPr>
      </w:pPr>
    </w:p>
    <w:p>
      <w:pPr>
        <w:ind w:left="7" w:right="740" w:firstLine="1660"/>
        <w:spacing w:after="0" w:line="289" w:lineRule="auto"/>
        <w:tabs>
          <w:tab w:leader="none" w:pos="2231" w:val="left"/>
        </w:tabs>
        <w:numPr>
          <w:ilvl w:val="2"/>
          <w:numId w:val="327"/>
        </w:numPr>
        <w:rPr>
          <w:rFonts w:ascii="Arial" w:cs="Arial" w:eastAsia="Arial" w:hAnsi="Arial"/>
          <w:sz w:val="15"/>
          <w:szCs w:val="15"/>
          <w:color w:val="auto"/>
        </w:rPr>
      </w:pPr>
      <w:r>
        <w:rPr>
          <w:rFonts w:ascii="Arial" w:cs="Arial" w:eastAsia="Arial" w:hAnsi="Arial"/>
          <w:sz w:val="15"/>
          <w:szCs w:val="15"/>
          <w:i w:val="1"/>
          <w:iCs w:val="1"/>
          <w:color w:val="auto"/>
        </w:rPr>
        <w:t>Nominating and Corporate Governance Committee</w:t>
      </w:r>
      <w:r>
        <w:rPr>
          <w:rFonts w:ascii="Arial" w:cs="Arial" w:eastAsia="Arial" w:hAnsi="Arial"/>
          <w:sz w:val="15"/>
          <w:szCs w:val="15"/>
          <w:color w:val="auto"/>
        </w:rPr>
        <w:t>. A Non-Employee Director serving as Chairperson of the Nominating and Corporate</w:t>
      </w:r>
      <w:r>
        <w:rPr>
          <w:rFonts w:ascii="Arial" w:cs="Arial" w:eastAsia="Arial" w:hAnsi="Arial"/>
          <w:sz w:val="15"/>
          <w:szCs w:val="15"/>
          <w:i w:val="1"/>
          <w:iCs w:val="1"/>
          <w:color w:val="auto"/>
        </w:rPr>
        <w:t xml:space="preserve"> </w:t>
      </w:r>
      <w:r>
        <w:rPr>
          <w:rFonts w:ascii="Arial" w:cs="Arial" w:eastAsia="Arial" w:hAnsi="Arial"/>
          <w:sz w:val="15"/>
          <w:szCs w:val="15"/>
          <w:color w:val="auto"/>
        </w:rPr>
        <w:t>Governance Committee shall receive an additional annual retainer of $7,500 for such service. A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285990" cy="2730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7" w:right="220"/>
        <w:spacing w:after="0" w:line="289" w:lineRule="auto"/>
        <w:rPr>
          <w:sz w:val="20"/>
          <w:szCs w:val="20"/>
          <w:color w:val="auto"/>
        </w:rPr>
      </w:pPr>
      <w:r>
        <w:rPr>
          <w:rFonts w:ascii="Arial" w:cs="Arial" w:eastAsia="Arial" w:hAnsi="Arial"/>
          <w:sz w:val="15"/>
          <w:szCs w:val="15"/>
          <w:color w:val="auto"/>
        </w:rPr>
        <w:t>Employee Director serving as a member other than the Chairperson of the Nominating and Corporate Governance Committee shall receive an additional annual retainer of $3,500 for such service.</w:t>
      </w:r>
    </w:p>
    <w:p>
      <w:pPr>
        <w:spacing w:after="0" w:line="141" w:lineRule="exact"/>
        <w:rPr>
          <w:sz w:val="20"/>
          <w:szCs w:val="20"/>
          <w:color w:val="auto"/>
        </w:rPr>
      </w:pPr>
    </w:p>
    <w:p>
      <w:pPr>
        <w:ind w:left="7" w:right="160" w:firstLine="1104"/>
        <w:spacing w:after="0" w:line="268" w:lineRule="auto"/>
        <w:tabs>
          <w:tab w:leader="none" w:pos="1678" w:val="left"/>
        </w:tabs>
        <w:numPr>
          <w:ilvl w:val="1"/>
          <w:numId w:val="328"/>
        </w:numPr>
        <w:rPr>
          <w:rFonts w:ascii="Arial" w:cs="Arial" w:eastAsia="Arial" w:hAnsi="Arial"/>
          <w:sz w:val="15"/>
          <w:szCs w:val="15"/>
          <w:color w:val="auto"/>
        </w:rPr>
      </w:pPr>
      <w:r>
        <w:rPr>
          <w:rFonts w:ascii="Arial" w:cs="Arial" w:eastAsia="Arial" w:hAnsi="Arial"/>
          <w:sz w:val="15"/>
          <w:szCs w:val="15"/>
          <w:u w:val="single" w:color="auto"/>
          <w:color w:val="auto"/>
        </w:rPr>
        <w:t>Payment of Retainers</w:t>
      </w:r>
      <w:r>
        <w:rPr>
          <w:rFonts w:ascii="Arial" w:cs="Arial" w:eastAsia="Arial" w:hAnsi="Arial"/>
          <w:sz w:val="15"/>
          <w:szCs w:val="15"/>
          <w:color w:val="auto"/>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150" w:lineRule="exact"/>
        <w:rPr>
          <w:rFonts w:ascii="Arial" w:cs="Arial" w:eastAsia="Arial" w:hAnsi="Arial"/>
          <w:sz w:val="15"/>
          <w:szCs w:val="15"/>
          <w:color w:val="auto"/>
        </w:rPr>
      </w:pPr>
    </w:p>
    <w:p>
      <w:pPr>
        <w:ind w:left="567" w:hanging="567"/>
        <w:spacing w:after="0"/>
        <w:tabs>
          <w:tab w:leader="none" w:pos="567" w:val="left"/>
        </w:tabs>
        <w:numPr>
          <w:ilvl w:val="0"/>
          <w:numId w:val="329"/>
        </w:numPr>
        <w:rPr>
          <w:rFonts w:ascii="Arial" w:cs="Arial" w:eastAsia="Arial" w:hAnsi="Arial"/>
          <w:sz w:val="15"/>
          <w:szCs w:val="15"/>
          <w:b w:val="1"/>
          <w:bCs w:val="1"/>
          <w:color w:val="auto"/>
        </w:rPr>
      </w:pPr>
      <w:r>
        <w:rPr>
          <w:rFonts w:ascii="Arial" w:cs="Arial" w:eastAsia="Arial" w:hAnsi="Arial"/>
          <w:sz w:val="15"/>
          <w:szCs w:val="15"/>
          <w:b w:val="1"/>
          <w:bCs w:val="1"/>
          <w:color w:val="auto"/>
        </w:rPr>
        <w:t>EQUITY COMPENSATION</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Non-Employee Directors shall be granted the equity awards described below. The awards described below shall be granted under and shall be subject to the terms and</w:t>
      </w:r>
    </w:p>
    <w:p>
      <w:pPr>
        <w:spacing w:after="0" w:line="35" w:lineRule="exact"/>
        <w:rPr>
          <w:sz w:val="20"/>
          <w:szCs w:val="20"/>
          <w:color w:val="auto"/>
        </w:rPr>
      </w:pPr>
    </w:p>
    <w:p>
      <w:pPr>
        <w:ind w:left="7" w:right="220"/>
        <w:spacing w:after="0" w:line="285" w:lineRule="auto"/>
        <w:rPr>
          <w:sz w:val="20"/>
          <w:szCs w:val="20"/>
          <w:color w:val="auto"/>
        </w:rPr>
      </w:pPr>
      <w:r>
        <w:rPr>
          <w:rFonts w:ascii="Arial" w:cs="Arial" w:eastAsia="Arial" w:hAnsi="Arial"/>
          <w:sz w:val="14"/>
          <w:szCs w:val="14"/>
          <w:color w:val="auto"/>
        </w:rPr>
        <w:t>provisions of the Company’s 2016 Incentive Award Plan or any other applicable Company equity incentive plan then-maintained by the Company (the “</w:t>
      </w:r>
      <w:r>
        <w:rPr>
          <w:rFonts w:ascii="Arial" w:cs="Arial" w:eastAsia="Arial" w:hAnsi="Arial"/>
          <w:sz w:val="14"/>
          <w:szCs w:val="14"/>
          <w:b w:val="1"/>
          <w:bCs w:val="1"/>
          <w:i w:val="1"/>
          <w:iCs w:val="1"/>
          <w:color w:val="auto"/>
        </w:rPr>
        <w:t>Equity Plan</w:t>
      </w:r>
      <w:r>
        <w:rPr>
          <w:rFonts w:ascii="Arial" w:cs="Arial" w:eastAsia="Arial" w:hAnsi="Arial"/>
          <w:sz w:val="14"/>
          <w:szCs w:val="14"/>
          <w:color w:val="auto"/>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 including without limitation with respect to any stock dividend, stock split, reverse stock split or other similar event affecting the Company’s common stock that is effected prior to the Effective Date.</w:t>
      </w:r>
    </w:p>
    <w:p>
      <w:pPr>
        <w:spacing w:after="0" w:line="146" w:lineRule="exact"/>
        <w:rPr>
          <w:sz w:val="20"/>
          <w:szCs w:val="20"/>
          <w:color w:val="auto"/>
        </w:rPr>
      </w:pPr>
    </w:p>
    <w:p>
      <w:pPr>
        <w:jc w:val="both"/>
        <w:ind w:left="7" w:right="220" w:firstLine="1104"/>
        <w:spacing w:after="0" w:line="273" w:lineRule="auto"/>
        <w:tabs>
          <w:tab w:leader="none" w:pos="1686" w:val="left"/>
        </w:tabs>
        <w:numPr>
          <w:ilvl w:val="0"/>
          <w:numId w:val="330"/>
        </w:numPr>
        <w:rPr>
          <w:rFonts w:ascii="Arial" w:cs="Arial" w:eastAsia="Arial" w:hAnsi="Arial"/>
          <w:sz w:val="15"/>
          <w:szCs w:val="15"/>
          <w:color w:val="auto"/>
        </w:rPr>
      </w:pPr>
      <w:r>
        <w:rPr>
          <w:rFonts w:ascii="Arial" w:cs="Arial" w:eastAsia="Arial" w:hAnsi="Arial"/>
          <w:sz w:val="15"/>
          <w:szCs w:val="15"/>
          <w:u w:val="single" w:color="auto"/>
          <w:color w:val="auto"/>
        </w:rPr>
        <w:t>Initial Awards</w:t>
      </w:r>
      <w:r>
        <w:rPr>
          <w:rFonts w:ascii="Arial" w:cs="Arial" w:eastAsia="Arial" w:hAnsi="Arial"/>
          <w:sz w:val="15"/>
          <w:szCs w:val="15"/>
          <w:color w:val="auto"/>
        </w:rPr>
        <w:t>. Each Non-Employee Director who is initially elected or appointed to the Board after the Effective Date shall receive an option to purchase 12,820 shares of the Company’s common stock on the date of such initial election or appointment. The awards described in this Section II(A) shall be referred to as “</w:t>
      </w:r>
      <w:r>
        <w:rPr>
          <w:rFonts w:ascii="Arial" w:cs="Arial" w:eastAsia="Arial" w:hAnsi="Arial"/>
          <w:sz w:val="15"/>
          <w:szCs w:val="15"/>
          <w:b w:val="1"/>
          <w:bCs w:val="1"/>
          <w:i w:val="1"/>
          <w:iCs w:val="1"/>
          <w:color w:val="auto"/>
        </w:rPr>
        <w:t>Initial Awards</w:t>
      </w:r>
      <w:r>
        <w:rPr>
          <w:rFonts w:ascii="Arial" w:cs="Arial" w:eastAsia="Arial" w:hAnsi="Arial"/>
          <w:sz w:val="15"/>
          <w:szCs w:val="15"/>
          <w:color w:val="auto"/>
        </w:rPr>
        <w:t>.” No Non-Employee Director shall be granted more than one Initial Award.</w:t>
      </w:r>
    </w:p>
    <w:p>
      <w:pPr>
        <w:spacing w:after="0" w:line="152" w:lineRule="exact"/>
        <w:rPr>
          <w:rFonts w:ascii="Arial" w:cs="Arial" w:eastAsia="Arial" w:hAnsi="Arial"/>
          <w:sz w:val="15"/>
          <w:szCs w:val="15"/>
          <w:color w:val="auto"/>
        </w:rPr>
      </w:pPr>
    </w:p>
    <w:p>
      <w:pPr>
        <w:ind w:left="7" w:right="160" w:firstLine="1104"/>
        <w:spacing w:after="0" w:line="289" w:lineRule="auto"/>
        <w:tabs>
          <w:tab w:leader="none" w:pos="1678" w:val="left"/>
        </w:tabs>
        <w:numPr>
          <w:ilvl w:val="0"/>
          <w:numId w:val="330"/>
        </w:numPr>
        <w:rPr>
          <w:rFonts w:ascii="Arial" w:cs="Arial" w:eastAsia="Arial" w:hAnsi="Arial"/>
          <w:sz w:val="14"/>
          <w:szCs w:val="14"/>
          <w:color w:val="auto"/>
        </w:rPr>
      </w:pPr>
      <w:r>
        <w:rPr>
          <w:rFonts w:ascii="Arial" w:cs="Arial" w:eastAsia="Arial" w:hAnsi="Arial"/>
          <w:sz w:val="14"/>
          <w:szCs w:val="14"/>
          <w:u w:val="single" w:color="auto"/>
          <w:color w:val="auto"/>
        </w:rPr>
        <w:t>Subsequent Awards</w:t>
      </w:r>
      <w:r>
        <w:rPr>
          <w:rFonts w:ascii="Arial" w:cs="Arial" w:eastAsia="Arial" w:hAnsi="Arial"/>
          <w:sz w:val="14"/>
          <w:szCs w:val="14"/>
          <w:color w:val="auto"/>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be automatically granted an option to purchase 6,410 shares of the Company’s common stock on the date of such annual meeting. The awards described in this Section II(B) shall be referred to as “</w:t>
      </w:r>
      <w:r>
        <w:rPr>
          <w:rFonts w:ascii="Arial" w:cs="Arial" w:eastAsia="Arial" w:hAnsi="Arial"/>
          <w:sz w:val="14"/>
          <w:szCs w:val="14"/>
          <w:b w:val="1"/>
          <w:bCs w:val="1"/>
          <w:i w:val="1"/>
          <w:iCs w:val="1"/>
          <w:color w:val="auto"/>
        </w:rPr>
        <w:t>Subsequent Awards</w:t>
      </w:r>
      <w:r>
        <w:rPr>
          <w:rFonts w:ascii="Arial" w:cs="Arial" w:eastAsia="Arial" w:hAnsi="Arial"/>
          <w:sz w:val="14"/>
          <w:szCs w:val="14"/>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42" w:lineRule="exact"/>
        <w:rPr>
          <w:rFonts w:ascii="Arial" w:cs="Arial" w:eastAsia="Arial" w:hAnsi="Arial"/>
          <w:sz w:val="14"/>
          <w:szCs w:val="14"/>
          <w:color w:val="auto"/>
        </w:rPr>
      </w:pPr>
    </w:p>
    <w:p>
      <w:pPr>
        <w:ind w:left="7" w:right="80" w:firstLine="1104"/>
        <w:spacing w:after="0" w:line="273" w:lineRule="auto"/>
        <w:tabs>
          <w:tab w:leader="none" w:pos="1678" w:val="left"/>
        </w:tabs>
        <w:numPr>
          <w:ilvl w:val="0"/>
          <w:numId w:val="330"/>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of Employee Directors</w:t>
      </w:r>
      <w:r>
        <w:rPr>
          <w:rFonts w:ascii="Arial" w:cs="Arial" w:eastAsia="Arial" w:hAnsi="Arial"/>
          <w:sz w:val="15"/>
          <w:szCs w:val="15"/>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285990" cy="2730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 w:right="220"/>
        <w:spacing w:after="0" w:line="289" w:lineRule="auto"/>
        <w:rPr>
          <w:sz w:val="20"/>
          <w:szCs w:val="20"/>
          <w:color w:val="auto"/>
        </w:rPr>
      </w:pPr>
      <w:r>
        <w:rPr>
          <w:rFonts w:ascii="Arial" w:cs="Arial" w:eastAsia="Arial" w:hAnsi="Arial"/>
          <w:sz w:val="15"/>
          <w:szCs w:val="15"/>
          <w:color w:val="auto"/>
        </w:rPr>
        <w:t>above, but to the extent that they are otherwise entitled, will receive, after termination from employment with the Company and any parent or subsidiary of the Company, Subsequent Awards as described in Section II(B) above.</w:t>
      </w:r>
    </w:p>
    <w:p>
      <w:pPr>
        <w:spacing w:after="0" w:line="141" w:lineRule="exact"/>
        <w:rPr>
          <w:sz w:val="20"/>
          <w:szCs w:val="20"/>
          <w:color w:val="auto"/>
        </w:rPr>
      </w:pPr>
    </w:p>
    <w:p>
      <w:pPr>
        <w:ind w:left="1687" w:hanging="576"/>
        <w:spacing w:after="0"/>
        <w:tabs>
          <w:tab w:leader="none" w:pos="1687" w:val="left"/>
        </w:tabs>
        <w:numPr>
          <w:ilvl w:val="0"/>
          <w:numId w:val="331"/>
        </w:numPr>
        <w:rPr>
          <w:rFonts w:ascii="Arial" w:cs="Arial" w:eastAsia="Arial" w:hAnsi="Arial"/>
          <w:sz w:val="15"/>
          <w:szCs w:val="15"/>
          <w:color w:val="auto"/>
        </w:rPr>
      </w:pPr>
      <w:r>
        <w:rPr>
          <w:rFonts w:ascii="Arial" w:cs="Arial" w:eastAsia="Arial" w:hAnsi="Arial"/>
          <w:sz w:val="15"/>
          <w:szCs w:val="15"/>
          <w:u w:val="single" w:color="auto"/>
          <w:color w:val="auto"/>
        </w:rPr>
        <w:t>Terms of Awards Granted to Non-Employee Directors</w:t>
      </w:r>
    </w:p>
    <w:p>
      <w:pPr>
        <w:spacing w:after="0" w:line="198" w:lineRule="exact"/>
        <w:rPr>
          <w:rFonts w:ascii="Arial" w:cs="Arial" w:eastAsia="Arial" w:hAnsi="Arial"/>
          <w:sz w:val="15"/>
          <w:szCs w:val="15"/>
          <w:color w:val="auto"/>
        </w:rPr>
      </w:pPr>
    </w:p>
    <w:p>
      <w:pPr>
        <w:ind w:left="7" w:right="60" w:firstLine="1660"/>
        <w:spacing w:after="0" w:line="289" w:lineRule="auto"/>
        <w:tabs>
          <w:tab w:leader="none" w:pos="2231" w:val="left"/>
        </w:tabs>
        <w:numPr>
          <w:ilvl w:val="1"/>
          <w:numId w:val="331"/>
        </w:numPr>
        <w:rPr>
          <w:rFonts w:ascii="Arial" w:cs="Arial" w:eastAsia="Arial" w:hAnsi="Arial"/>
          <w:sz w:val="15"/>
          <w:szCs w:val="15"/>
          <w:color w:val="auto"/>
        </w:rPr>
      </w:pPr>
      <w:r>
        <w:rPr>
          <w:rFonts w:ascii="Arial" w:cs="Arial" w:eastAsia="Arial" w:hAnsi="Arial"/>
          <w:sz w:val="15"/>
          <w:szCs w:val="15"/>
          <w:i w:val="1"/>
          <w:iCs w:val="1"/>
          <w:color w:val="auto"/>
        </w:rPr>
        <w:t>Exercise Price</w:t>
      </w:r>
      <w:r>
        <w:rPr>
          <w:rFonts w:ascii="Arial" w:cs="Arial" w:eastAsia="Arial" w:hAnsi="Arial"/>
          <w:sz w:val="15"/>
          <w:szCs w:val="15"/>
          <w:color w:val="auto"/>
        </w:rPr>
        <w:t>. The per share exercise price of each option granted to a Non-Employee Director shall equal the Fair Market Value (as defined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Equity Plan) of a share of common stock on the date the option is granted.</w:t>
      </w:r>
    </w:p>
    <w:p>
      <w:pPr>
        <w:spacing w:after="0" w:line="140" w:lineRule="exact"/>
        <w:rPr>
          <w:rFonts w:ascii="Arial" w:cs="Arial" w:eastAsia="Arial" w:hAnsi="Arial"/>
          <w:sz w:val="15"/>
          <w:szCs w:val="15"/>
          <w:color w:val="auto"/>
        </w:rPr>
      </w:pPr>
    </w:p>
    <w:p>
      <w:pPr>
        <w:ind w:left="7" w:right="60" w:firstLine="1660"/>
        <w:spacing w:after="0" w:line="286" w:lineRule="auto"/>
        <w:tabs>
          <w:tab w:leader="none" w:pos="2231" w:val="left"/>
        </w:tabs>
        <w:numPr>
          <w:ilvl w:val="1"/>
          <w:numId w:val="331"/>
        </w:numPr>
        <w:rPr>
          <w:rFonts w:ascii="Arial" w:cs="Arial" w:eastAsia="Arial" w:hAnsi="Arial"/>
          <w:sz w:val="14"/>
          <w:szCs w:val="14"/>
          <w:color w:val="auto"/>
        </w:rPr>
      </w:pPr>
      <w:r>
        <w:rPr>
          <w:rFonts w:ascii="Arial" w:cs="Arial" w:eastAsia="Arial" w:hAnsi="Arial"/>
          <w:sz w:val="14"/>
          <w:szCs w:val="14"/>
          <w:i w:val="1"/>
          <w:iCs w:val="1"/>
          <w:color w:val="auto"/>
        </w:rPr>
        <w:t>Vesting</w:t>
      </w:r>
      <w:r>
        <w:rPr>
          <w:rFonts w:ascii="Arial" w:cs="Arial" w:eastAsia="Arial" w:hAnsi="Arial"/>
          <w:sz w:val="14"/>
          <w:szCs w:val="14"/>
          <w:color w:val="auto"/>
        </w:rPr>
        <w:t>. Each Initial Award shall vest and become exercisable in thirty-six (36) substantially equal monthly installments following the date of grant,</w:t>
      </w:r>
      <w:r>
        <w:rPr>
          <w:rFonts w:ascii="Arial" w:cs="Arial" w:eastAsia="Arial" w:hAnsi="Arial"/>
          <w:sz w:val="14"/>
          <w:szCs w:val="14"/>
          <w:i w:val="1"/>
          <w:iCs w:val="1"/>
          <w:color w:val="auto"/>
        </w:rPr>
        <w:t xml:space="preserve"> </w:t>
      </w:r>
      <w:r>
        <w:rPr>
          <w:rFonts w:ascii="Arial" w:cs="Arial" w:eastAsia="Arial" w:hAnsi="Arial"/>
          <w:sz w:val="14"/>
          <w:szCs w:val="14"/>
          <w:color w:val="auto"/>
        </w:rPr>
        <w:t>such that the Initial Award shall be fully vested on the third anniversary of the date of grant, subject to the Non-Employee Director continuing in service as a Non-Employee Director through each such vesting date. Each Subsequent Award shall vest and become exercisable on the earlier of the first anniversary of the date of grant or the day immediately prior to the date of the next annual meeting of the Company’s stockholders occurring after the date of grant, in either case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w:t>
      </w:r>
    </w:p>
    <w:p>
      <w:pPr>
        <w:sectPr>
          <w:pgSz w:w="11900" w:h="16838" w:orient="portrait"/>
          <w:cols w:equalWidth="0" w:num="1">
            <w:col w:w="11447"/>
          </w:cols>
          <w:pgMar w:left="233" w:top="331" w:right="219" w:bottom="0" w:gutter="0" w:footer="0" w:header="0"/>
        </w:sectPr>
      </w:pPr>
    </w:p>
    <w:bookmarkStart w:id="366" w:name="page367"/>
    <w:bookmarkEnd w:id="366"/>
    <w:p>
      <w:pPr>
        <w:ind w:left="7" w:right="120"/>
        <w:spacing w:after="0" w:line="289" w:lineRule="auto"/>
        <w:rPr>
          <w:sz w:val="20"/>
          <w:szCs w:val="20"/>
          <w:color w:val="auto"/>
        </w:rPr>
      </w:pPr>
      <w:r>
        <w:rPr>
          <w:rFonts w:ascii="Arial" w:cs="Arial" w:eastAsia="Arial" w:hAnsi="Arial"/>
          <w:sz w:val="15"/>
          <w:szCs w:val="15"/>
          <w:color w:val="auto"/>
        </w:rPr>
        <w:t>service and shall not thereafter become vested and exercisable. All of a Non-Employee Director’s Initial Awards and Subsequent Awards shall vest in full immediately prior to the occurrence of a Change in Control (as defined in the Equity Plan), to the extent outstanding at such time.</w:t>
      </w:r>
    </w:p>
    <w:p>
      <w:pPr>
        <w:spacing w:after="0" w:line="141" w:lineRule="exact"/>
        <w:rPr>
          <w:sz w:val="20"/>
          <w:szCs w:val="20"/>
          <w:color w:val="auto"/>
        </w:rPr>
      </w:pPr>
    </w:p>
    <w:p>
      <w:pPr>
        <w:ind w:left="2227" w:hanging="560"/>
        <w:spacing w:after="0"/>
        <w:tabs>
          <w:tab w:leader="none" w:pos="2227" w:val="left"/>
        </w:tabs>
        <w:numPr>
          <w:ilvl w:val="0"/>
          <w:numId w:val="332"/>
        </w:numPr>
        <w:rPr>
          <w:rFonts w:ascii="Arial" w:cs="Arial" w:eastAsia="Arial" w:hAnsi="Arial"/>
          <w:sz w:val="14"/>
          <w:szCs w:val="14"/>
          <w:color w:val="auto"/>
        </w:rPr>
      </w:pPr>
      <w:r>
        <w:rPr>
          <w:rFonts w:ascii="Arial" w:cs="Arial" w:eastAsia="Arial" w:hAnsi="Arial"/>
          <w:sz w:val="14"/>
          <w:szCs w:val="14"/>
          <w:i w:val="1"/>
          <w:iCs w:val="1"/>
          <w:color w:val="auto"/>
        </w:rPr>
        <w:t>Term</w:t>
      </w:r>
      <w:r>
        <w:rPr>
          <w:rFonts w:ascii="Arial" w:cs="Arial" w:eastAsia="Arial" w:hAnsi="Arial"/>
          <w:sz w:val="14"/>
          <w:szCs w:val="14"/>
          <w:color w:val="auto"/>
        </w:rPr>
        <w:t>. The maximum term of each stock option granted to a Non-Employee Director hereunder shall be ten (10) years from the date the option is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color w:val="auto"/>
        </w:rPr>
        <w:t>granted.</w:t>
      </w:r>
    </w:p>
    <w:p>
      <w:pPr>
        <w:spacing w:after="0" w:line="182" w:lineRule="exact"/>
        <w:rPr>
          <w:sz w:val="20"/>
          <w:szCs w:val="20"/>
          <w:color w:val="auto"/>
        </w:rPr>
      </w:pPr>
    </w:p>
    <w:p>
      <w:pPr>
        <w:ind w:left="567" w:hanging="567"/>
        <w:spacing w:after="0"/>
        <w:tabs>
          <w:tab w:leader="none" w:pos="567" w:val="left"/>
        </w:tabs>
        <w:numPr>
          <w:ilvl w:val="0"/>
          <w:numId w:val="333"/>
        </w:numPr>
        <w:rPr>
          <w:rFonts w:ascii="Arial" w:cs="Arial" w:eastAsia="Arial" w:hAnsi="Arial"/>
          <w:sz w:val="15"/>
          <w:szCs w:val="15"/>
          <w:b w:val="1"/>
          <w:bCs w:val="1"/>
          <w:color w:val="auto"/>
        </w:rPr>
      </w:pPr>
      <w:r>
        <w:rPr>
          <w:rFonts w:ascii="Arial" w:cs="Arial" w:eastAsia="Arial" w:hAnsi="Arial"/>
          <w:sz w:val="15"/>
          <w:szCs w:val="15"/>
          <w:b w:val="1"/>
          <w:bCs w:val="1"/>
          <w:color w:val="auto"/>
        </w:rPr>
        <w:t>COMPENSATION LIMITS</w:t>
      </w:r>
    </w:p>
    <w:p>
      <w:pPr>
        <w:spacing w:after="0" w:line="204" w:lineRule="exact"/>
        <w:rPr>
          <w:sz w:val="20"/>
          <w:szCs w:val="20"/>
          <w:color w:val="auto"/>
        </w:rPr>
      </w:pPr>
    </w:p>
    <w:p>
      <w:pPr>
        <w:ind w:left="7" w:right="360" w:firstLine="556"/>
        <w:spacing w:after="0" w:line="289" w:lineRule="auto"/>
        <w:rPr>
          <w:sz w:val="20"/>
          <w:szCs w:val="20"/>
          <w:color w:val="auto"/>
        </w:rPr>
      </w:pPr>
      <w:r>
        <w:rPr>
          <w:rFonts w:ascii="Arial" w:cs="Arial" w:eastAsia="Arial" w:hAnsi="Arial"/>
          <w:sz w:val="15"/>
          <w:szCs w:val="15"/>
          <w:color w:val="auto"/>
        </w:rPr>
        <w:t>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41" w:lineRule="exact"/>
        <w:rPr>
          <w:sz w:val="20"/>
          <w:szCs w:val="20"/>
          <w:color w:val="auto"/>
        </w:rPr>
      </w:pPr>
    </w:p>
    <w:p>
      <w:pPr>
        <w:jc w:val="center"/>
        <w:ind w:right="-266"/>
        <w:spacing w:after="0"/>
        <w:rPr>
          <w:sz w:val="20"/>
          <w:szCs w:val="20"/>
          <w:color w:val="auto"/>
        </w:rPr>
      </w:pPr>
      <w:r>
        <w:rPr>
          <w:rFonts w:ascii="Arial" w:cs="Arial" w:eastAsia="Arial" w:hAnsi="Arial"/>
          <w:sz w:val="15"/>
          <w:szCs w:val="15"/>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285990" cy="2730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187"/>
          </w:cols>
          <w:pgMar w:left="233" w:top="129" w:right="479" w:bottom="1440" w:gutter="0" w:footer="0" w:header="0"/>
        </w:sectPr>
      </w:pPr>
    </w:p>
    <w:bookmarkStart w:id="367" w:name="page368"/>
    <w:bookmarkEnd w:id="367"/>
    <w:p>
      <w:pPr>
        <w:jc w:val="right"/>
        <w:spacing w:after="0"/>
        <w:rPr>
          <w:sz w:val="20"/>
          <w:szCs w:val="20"/>
          <w:color w:val="auto"/>
        </w:rPr>
      </w:pPr>
      <w:r>
        <w:rPr>
          <w:rFonts w:ascii="Arial" w:cs="Arial" w:eastAsia="Arial" w:hAnsi="Arial"/>
          <w:sz w:val="15"/>
          <w:szCs w:val="15"/>
          <w:b w:val="1"/>
          <w:bCs w:val="1"/>
          <w:color w:val="auto"/>
        </w:rPr>
        <w:t>Exhibit 10.16</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Summary of Oral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between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Dr. Omid Farokhzad and Selecta Biosciences, Inc.</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During 2012, Selecta Biosciences, Inc. (the “</w:t>
      </w:r>
      <w:r>
        <w:rPr>
          <w:rFonts w:ascii="Arial" w:cs="Arial" w:eastAsia="Arial" w:hAnsi="Arial"/>
          <w:sz w:val="15"/>
          <w:szCs w:val="15"/>
          <w:u w:val="single" w:color="auto"/>
          <w:color w:val="auto"/>
        </w:rPr>
        <w:t>Company</w:t>
      </w:r>
      <w:r>
        <w:rPr>
          <w:rFonts w:ascii="Arial" w:cs="Arial" w:eastAsia="Arial" w:hAnsi="Arial"/>
          <w:sz w:val="15"/>
          <w:szCs w:val="15"/>
          <w:color w:val="auto"/>
        </w:rPr>
        <w:t>”) agreed to pay Dr. Farokhzad $72,000 per year for consulting services (the “</w:t>
      </w:r>
      <w:r>
        <w:rPr>
          <w:rFonts w:ascii="Arial" w:cs="Arial" w:eastAsia="Arial" w:hAnsi="Arial"/>
          <w:sz w:val="15"/>
          <w:szCs w:val="15"/>
          <w:u w:val="single" w:color="auto"/>
          <w:color w:val="auto"/>
        </w:rPr>
        <w:t>Oral Agreement</w:t>
      </w:r>
      <w:r>
        <w:rPr>
          <w:rFonts w:ascii="Arial" w:cs="Arial" w:eastAsia="Arial" w:hAnsi="Arial"/>
          <w:sz w:val="15"/>
          <w:szCs w:val="15"/>
          <w:color w:val="auto"/>
        </w:rPr>
        <w:t>”). The Oral Agreement was in addition to payments the Company agreed to make under that certain Consulting Agreement, dated as of March 10, 2008, by and between the Company and Dr. Farokhzad, as amended by the First Amendment to Consulting Agreement, dated as of January 1, 2012 (the “</w:t>
      </w:r>
      <w:r>
        <w:rPr>
          <w:rFonts w:ascii="Arial" w:cs="Arial" w:eastAsia="Arial" w:hAnsi="Arial"/>
          <w:sz w:val="15"/>
          <w:szCs w:val="15"/>
          <w:u w:val="single" w:color="auto"/>
          <w:color w:val="auto"/>
        </w:rPr>
        <w:t>Consulting Agreement</w:t>
      </w:r>
      <w:r>
        <w:rPr>
          <w:rFonts w:ascii="Arial" w:cs="Arial" w:eastAsia="Arial" w:hAnsi="Arial"/>
          <w:sz w:val="15"/>
          <w:szCs w:val="15"/>
          <w:color w:val="auto"/>
        </w:rPr>
        <w:t>”). The Company and Dr. Farokhzad have agreed to terminate the Oral Agreement effective upon the closing of the initial public offering of the Company’s common stock pursuant to the registration statement on Form S-1 (Reg. No. 333-211555). From and after the termination of the Oral Agreement, the Consulting Agreement will constitute the entire agreement between the Company and Dr. Farokhzad with respect to consulting services and supersede all other agreements and understandings prior to the date of thereof, both written and oral, between Dr. Farokhzad and the Company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85990" cy="2730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368" w:name="page369"/>
    <w:bookmarkEnd w:id="368"/>
    <w:p>
      <w:pPr>
        <w:jc w:val="right"/>
        <w:spacing w:after="0"/>
        <w:rPr>
          <w:sz w:val="20"/>
          <w:szCs w:val="20"/>
          <w:color w:val="auto"/>
        </w:rPr>
      </w:pPr>
      <w:r>
        <w:rPr>
          <w:rFonts w:ascii="Arial" w:cs="Arial" w:eastAsia="Arial" w:hAnsi="Arial"/>
          <w:sz w:val="15"/>
          <w:szCs w:val="15"/>
          <w:b w:val="1"/>
          <w:bCs w:val="1"/>
          <w:color w:val="auto"/>
        </w:rPr>
        <w:t>Exhibit 10.17</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Employment Agreement</w:t>
      </w:r>
    </w:p>
    <w:p>
      <w:pPr>
        <w:spacing w:after="0" w:line="204" w:lineRule="exact"/>
        <w:rPr>
          <w:sz w:val="20"/>
          <w:szCs w:val="20"/>
          <w:color w:val="auto"/>
        </w:rPr>
      </w:pPr>
    </w:p>
    <w:p>
      <w:pPr>
        <w:ind w:left="7" w:right="440" w:firstLine="556"/>
        <w:spacing w:after="0" w:line="327" w:lineRule="auto"/>
        <w:rPr>
          <w:sz w:val="20"/>
          <w:szCs w:val="20"/>
          <w:color w:val="auto"/>
        </w:rPr>
      </w:pPr>
      <w:r>
        <w:rPr>
          <w:rFonts w:ascii="Arial" w:cs="Arial" w:eastAsia="Arial" w:hAnsi="Arial"/>
          <w:sz w:val="14"/>
          <w:szCs w:val="14"/>
          <w:color w:val="auto"/>
        </w:rPr>
        <w:t>This Employment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June 6, 2016, is made by and between Selecta Biosciences, Inc., a Delaware corporation (together with any successor thereto, the “</w:t>
      </w:r>
      <w:r>
        <w:rPr>
          <w:rFonts w:ascii="Arial" w:cs="Arial" w:eastAsia="Arial" w:hAnsi="Arial"/>
          <w:sz w:val="14"/>
          <w:szCs w:val="14"/>
          <w:u w:val="single" w:color="auto"/>
          <w:color w:val="auto"/>
        </w:rPr>
        <w:t>Company</w:t>
      </w:r>
      <w:r>
        <w:rPr>
          <w:rFonts w:ascii="Arial" w:cs="Arial" w:eastAsia="Arial" w:hAnsi="Arial"/>
          <w:sz w:val="14"/>
          <w:szCs w:val="14"/>
          <w:color w:val="auto"/>
        </w:rPr>
        <w:t>”), and Werner Cautreels, Ph.D. (“</w:t>
      </w:r>
      <w:r>
        <w:rPr>
          <w:rFonts w:ascii="Arial" w:cs="Arial" w:eastAsia="Arial" w:hAnsi="Arial"/>
          <w:sz w:val="14"/>
          <w:szCs w:val="14"/>
          <w:u w:val="single" w:color="auto"/>
          <w:color w:val="auto"/>
        </w:rPr>
        <w:t>Executive</w:t>
      </w:r>
      <w:r>
        <w:rPr>
          <w:rFonts w:ascii="Arial" w:cs="Arial" w:eastAsia="Arial" w:hAnsi="Arial"/>
          <w:sz w:val="14"/>
          <w:szCs w:val="14"/>
          <w:color w:val="auto"/>
        </w:rPr>
        <w:t>”) (collectively referred to as the “</w:t>
      </w:r>
      <w:r>
        <w:rPr>
          <w:rFonts w:ascii="Arial" w:cs="Arial" w:eastAsia="Arial" w:hAnsi="Arial"/>
          <w:sz w:val="14"/>
          <w:szCs w:val="14"/>
          <w:u w:val="single" w:color="auto"/>
          <w:color w:val="auto"/>
        </w:rPr>
        <w:t>Parties</w:t>
      </w:r>
      <w:r>
        <w:rPr>
          <w:rFonts w:ascii="Arial" w:cs="Arial" w:eastAsia="Arial" w:hAnsi="Arial"/>
          <w:sz w:val="14"/>
          <w:szCs w:val="14"/>
          <w:color w:val="auto"/>
        </w:rPr>
        <w:t>” or individually referred to as a “</w:t>
      </w:r>
      <w:r>
        <w:rPr>
          <w:rFonts w:ascii="Arial" w:cs="Arial" w:eastAsia="Arial" w:hAnsi="Arial"/>
          <w:sz w:val="14"/>
          <w:szCs w:val="14"/>
          <w:u w:val="single" w:color="auto"/>
          <w:color w:val="auto"/>
        </w:rPr>
        <w:t>Party</w:t>
      </w:r>
      <w:r>
        <w:rPr>
          <w:rFonts w:ascii="Arial" w:cs="Arial" w:eastAsia="Arial" w:hAnsi="Arial"/>
          <w:sz w:val="14"/>
          <w:szCs w:val="14"/>
          <w:color w:val="auto"/>
        </w:rPr>
        <w:t>”).</w:t>
      </w:r>
    </w:p>
    <w:p>
      <w:pPr>
        <w:spacing w:after="0" w:line="11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RECITALS</w:t>
      </w:r>
    </w:p>
    <w:p>
      <w:pPr>
        <w:spacing w:after="0" w:line="204" w:lineRule="exact"/>
        <w:rPr>
          <w:sz w:val="20"/>
          <w:szCs w:val="20"/>
          <w:color w:val="auto"/>
        </w:rPr>
      </w:pPr>
    </w:p>
    <w:p>
      <w:pPr>
        <w:ind w:left="567" w:hanging="567"/>
        <w:spacing w:after="0"/>
        <w:tabs>
          <w:tab w:leader="none" w:pos="567" w:val="left"/>
        </w:tabs>
        <w:numPr>
          <w:ilvl w:val="0"/>
          <w:numId w:val="334"/>
        </w:numPr>
        <w:rPr>
          <w:rFonts w:ascii="Arial" w:cs="Arial" w:eastAsia="Arial" w:hAnsi="Arial"/>
          <w:sz w:val="14"/>
          <w:szCs w:val="14"/>
          <w:color w:val="auto"/>
        </w:rPr>
      </w:pPr>
      <w:r>
        <w:rPr>
          <w:rFonts w:ascii="Arial" w:cs="Arial" w:eastAsia="Arial" w:hAnsi="Arial"/>
          <w:sz w:val="14"/>
          <w:szCs w:val="14"/>
          <w:color w:val="auto"/>
        </w:rPr>
        <w:t>It is the desire of the Company to assure itself of the services of Executive following the Effective Date (as defined below) and thereafter by entering into this Agreement.</w:t>
      </w:r>
    </w:p>
    <w:p>
      <w:pPr>
        <w:spacing w:after="0" w:line="209" w:lineRule="exact"/>
        <w:rPr>
          <w:rFonts w:ascii="Arial" w:cs="Arial" w:eastAsia="Arial" w:hAnsi="Arial"/>
          <w:sz w:val="14"/>
          <w:szCs w:val="14"/>
          <w:color w:val="auto"/>
        </w:rPr>
      </w:pPr>
    </w:p>
    <w:p>
      <w:pPr>
        <w:ind w:left="567" w:hanging="567"/>
        <w:spacing w:after="0"/>
        <w:tabs>
          <w:tab w:leader="none" w:pos="567" w:val="left"/>
        </w:tabs>
        <w:numPr>
          <w:ilvl w:val="0"/>
          <w:numId w:val="334"/>
        </w:numPr>
        <w:rPr>
          <w:rFonts w:ascii="Arial" w:cs="Arial" w:eastAsia="Arial" w:hAnsi="Arial"/>
          <w:sz w:val="15"/>
          <w:szCs w:val="15"/>
          <w:color w:val="auto"/>
        </w:rPr>
      </w:pPr>
      <w:r>
        <w:rPr>
          <w:rFonts w:ascii="Arial" w:cs="Arial" w:eastAsia="Arial" w:hAnsi="Arial"/>
          <w:sz w:val="15"/>
          <w:szCs w:val="15"/>
          <w:color w:val="auto"/>
        </w:rPr>
        <w:t>Executive and the Company mutually desire that Executive provide services to the Company on the terms herein provided.</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AGREEMENT</w:t>
      </w:r>
    </w:p>
    <w:p>
      <w:pPr>
        <w:spacing w:after="0" w:line="204" w:lineRule="exact"/>
        <w:rPr>
          <w:sz w:val="20"/>
          <w:szCs w:val="20"/>
          <w:color w:val="auto"/>
        </w:rPr>
      </w:pPr>
    </w:p>
    <w:p>
      <w:pPr>
        <w:ind w:left="547"/>
        <w:spacing w:after="0"/>
        <w:rPr>
          <w:sz w:val="20"/>
          <w:szCs w:val="20"/>
          <w:color w:val="auto"/>
        </w:rPr>
      </w:pPr>
      <w:r>
        <w:rPr>
          <w:rFonts w:ascii="Arial" w:cs="Arial" w:eastAsia="Arial" w:hAnsi="Arial"/>
          <w:sz w:val="15"/>
          <w:szCs w:val="15"/>
          <w:color w:val="auto"/>
        </w:rPr>
        <w:t>NOW, THEREFORE, in consideration of the foregoing and of the respective covenants and agreements set forth below, the Parties hereto agree as follows:</w:t>
      </w:r>
    </w:p>
    <w:p>
      <w:pPr>
        <w:spacing w:after="0" w:line="192" w:lineRule="exact"/>
        <w:rPr>
          <w:sz w:val="20"/>
          <w:szCs w:val="20"/>
          <w:color w:val="auto"/>
        </w:rPr>
      </w:pPr>
    </w:p>
    <w:p>
      <w:pPr>
        <w:ind w:left="547" w:hanging="547"/>
        <w:spacing w:after="0"/>
        <w:tabs>
          <w:tab w:leader="none" w:pos="547" w:val="left"/>
        </w:tabs>
        <w:numPr>
          <w:ilvl w:val="0"/>
          <w:numId w:val="33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Employment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60" w:firstLine="549"/>
        <w:spacing w:after="0" w:line="273" w:lineRule="auto"/>
        <w:tabs>
          <w:tab w:leader="none" w:pos="1117" w:val="left"/>
        </w:tabs>
        <w:numPr>
          <w:ilvl w:val="1"/>
          <w:numId w:val="335"/>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Effective on the closing of the Company’s initial public offering of stock pursuant to an effective registration statement filed under the Securities Act of 1933, as amended (the “</w:t>
      </w:r>
      <w:r>
        <w:rPr>
          <w:rFonts w:ascii="Arial" w:cs="Arial" w:eastAsia="Arial" w:hAnsi="Arial"/>
          <w:sz w:val="15"/>
          <w:szCs w:val="15"/>
          <w:u w:val="single" w:color="auto"/>
          <w:color w:val="auto"/>
        </w:rPr>
        <w:t>Effective Date</w:t>
      </w:r>
      <w:r>
        <w:rPr>
          <w:rFonts w:ascii="Arial" w:cs="Arial" w:eastAsia="Arial" w:hAnsi="Arial"/>
          <w:sz w:val="15"/>
          <w:szCs w:val="15"/>
          <w:color w:val="auto"/>
        </w:rPr>
        <w:t xml:space="preserve">”), the Company shall employ Executive and Executive shall remain in the employ of the Company, for the period and in the positions set forth in this </w:t>
      </w:r>
      <w:r>
        <w:rPr>
          <w:rFonts w:ascii="Arial" w:cs="Arial" w:eastAsia="Arial" w:hAnsi="Arial"/>
          <w:sz w:val="15"/>
          <w:szCs w:val="15"/>
          <w:u w:val="single" w:color="auto"/>
          <w:color w:val="auto"/>
        </w:rPr>
        <w:t>Section 1</w:t>
      </w:r>
      <w:r>
        <w:rPr>
          <w:rFonts w:ascii="Arial" w:cs="Arial" w:eastAsia="Arial" w:hAnsi="Arial"/>
          <w:sz w:val="15"/>
          <w:szCs w:val="15"/>
          <w:color w:val="auto"/>
        </w:rPr>
        <w:t>, and subject to the other terms and conditions herein provided.</w:t>
      </w:r>
    </w:p>
    <w:p>
      <w:pPr>
        <w:spacing w:after="0" w:line="152" w:lineRule="exact"/>
        <w:rPr>
          <w:rFonts w:ascii="Arial" w:cs="Arial" w:eastAsia="Arial" w:hAnsi="Arial"/>
          <w:sz w:val="15"/>
          <w:szCs w:val="15"/>
          <w:color w:val="auto"/>
        </w:rPr>
      </w:pPr>
    </w:p>
    <w:p>
      <w:pPr>
        <w:ind w:left="7" w:firstLine="549"/>
        <w:spacing w:after="0" w:line="264" w:lineRule="auto"/>
        <w:tabs>
          <w:tab w:leader="none" w:pos="1125" w:val="left"/>
        </w:tabs>
        <w:numPr>
          <w:ilvl w:val="1"/>
          <w:numId w:val="335"/>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5"/>
          <w:szCs w:val="15"/>
          <w:u w:val="single" w:color="auto"/>
          <w:color w:val="auto"/>
        </w:rPr>
        <w:t>Section 3(b)</w:t>
      </w:r>
      <w:r>
        <w:rPr>
          <w:rFonts w:ascii="Arial" w:cs="Arial" w:eastAsia="Arial" w:hAnsi="Arial"/>
          <w:sz w:val="15"/>
          <w:szCs w:val="15"/>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5"/>
          <w:szCs w:val="15"/>
          <w:u w:val="single" w:color="auto"/>
          <w:color w:val="auto"/>
        </w:rPr>
        <w:t>Term</w:t>
      </w:r>
      <w:r>
        <w:rPr>
          <w:rFonts w:ascii="Arial" w:cs="Arial" w:eastAsia="Arial" w:hAnsi="Arial"/>
          <w:sz w:val="15"/>
          <w:szCs w:val="15"/>
          <w:color w:val="auto"/>
        </w:rPr>
        <w:t xml:space="preserve">”) shall commence on the Effective Date and end on the date this Agreement is terminated under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left="7" w:right="40" w:firstLine="549"/>
        <w:spacing w:after="0" w:line="263" w:lineRule="auto"/>
        <w:tabs>
          <w:tab w:leader="none" w:pos="1128" w:val="left"/>
        </w:tabs>
        <w:numPr>
          <w:ilvl w:val="1"/>
          <w:numId w:val="335"/>
        </w:numPr>
        <w:rPr>
          <w:rFonts w:ascii="Arial" w:cs="Arial" w:eastAsia="Arial" w:hAnsi="Arial"/>
          <w:sz w:val="15"/>
          <w:szCs w:val="15"/>
          <w:color w:val="auto"/>
        </w:rPr>
      </w:pPr>
      <w:r>
        <w:rPr>
          <w:rFonts w:ascii="Arial" w:cs="Arial" w:eastAsia="Arial" w:hAnsi="Arial"/>
          <w:sz w:val="15"/>
          <w:szCs w:val="15"/>
          <w:u w:val="single" w:color="auto"/>
          <w:color w:val="auto"/>
        </w:rPr>
        <w:t>Positions and Duties</w:t>
      </w:r>
      <w:r>
        <w:rPr>
          <w:rFonts w:ascii="Arial" w:cs="Arial" w:eastAsia="Arial" w:hAnsi="Arial"/>
          <w:sz w:val="15"/>
          <w:szCs w:val="15"/>
          <w:color w:val="auto"/>
        </w:rPr>
        <w:t>. Executive shall serve as President and Chief Executive Officer of the Company with such responsibilities, duties and authority normally associated with such positions and as may from time to time be reasonably assigned to Executive by the Board of Directors of the Company or an authorized committee of the Board (in either case, the “</w:t>
      </w:r>
      <w:r>
        <w:rPr>
          <w:rFonts w:ascii="Arial" w:cs="Arial" w:eastAsia="Arial" w:hAnsi="Arial"/>
          <w:sz w:val="15"/>
          <w:szCs w:val="15"/>
          <w:u w:val="single" w:color="auto"/>
          <w:color w:val="auto"/>
        </w:rPr>
        <w:t>Board</w:t>
      </w:r>
      <w:r>
        <w:rPr>
          <w:rFonts w:ascii="Arial" w:cs="Arial" w:eastAsia="Arial" w:hAnsi="Arial"/>
          <w:sz w:val="15"/>
          <w:szCs w:val="15"/>
          <w:color w:val="auto"/>
        </w:rPr>
        <w:t>”).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Arial" w:cs="Arial" w:eastAsia="Arial" w:hAnsi="Arial"/>
          <w:sz w:val="15"/>
          <w:szCs w:val="15"/>
          <w:u w:val="single" w:color="auto"/>
          <w:color w:val="auto"/>
        </w:rPr>
        <w:t>Restrictive Covenant Agreement</w:t>
      </w:r>
      <w:r>
        <w:rPr>
          <w:rFonts w:ascii="Arial" w:cs="Arial" w:eastAsia="Arial" w:hAnsi="Arial"/>
          <w:sz w:val="15"/>
          <w:szCs w:val="15"/>
          <w:color w:val="auto"/>
        </w:rPr>
        <w:t>”). Executive agrees to observe and comply with the rules and policies of the Company as adopted by the Company from time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7285990" cy="2730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
        <w:spacing w:after="0"/>
        <w:rPr>
          <w:sz w:val="20"/>
          <w:szCs w:val="20"/>
          <w:color w:val="auto"/>
        </w:rPr>
      </w:pPr>
      <w:r>
        <w:rPr>
          <w:rFonts w:ascii="Arial" w:cs="Arial" w:eastAsia="Arial" w:hAnsi="Arial"/>
          <w:sz w:val="15"/>
          <w:szCs w:val="15"/>
          <w:color w:val="auto"/>
        </w:rPr>
        <w:t>time, in each case as amended from time to time, as set forth in writing, and as delivered or made available to Executive (each, a “</w:t>
      </w:r>
      <w:r>
        <w:rPr>
          <w:rFonts w:ascii="Arial" w:cs="Arial" w:eastAsia="Arial" w:hAnsi="Arial"/>
          <w:sz w:val="15"/>
          <w:szCs w:val="15"/>
          <w:u w:val="single" w:color="auto"/>
          <w:color w:val="auto"/>
        </w:rPr>
        <w:t>Policy</w:t>
      </w:r>
      <w:r>
        <w:rPr>
          <w:rFonts w:ascii="Arial" w:cs="Arial" w:eastAsia="Arial" w:hAnsi="Arial"/>
          <w:sz w:val="15"/>
          <w:szCs w:val="15"/>
          <w:color w:val="auto"/>
        </w:rPr>
        <w:t>”).</w:t>
      </w:r>
    </w:p>
    <w:p>
      <w:pPr>
        <w:spacing w:after="0" w:line="192" w:lineRule="exact"/>
        <w:rPr>
          <w:sz w:val="20"/>
          <w:szCs w:val="20"/>
          <w:color w:val="auto"/>
        </w:rPr>
      </w:pPr>
    </w:p>
    <w:p>
      <w:pPr>
        <w:ind w:left="547" w:hanging="547"/>
        <w:spacing w:after="0"/>
        <w:tabs>
          <w:tab w:leader="none" w:pos="547" w:val="left"/>
        </w:tabs>
        <w:numPr>
          <w:ilvl w:val="0"/>
          <w:numId w:val="33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Compensation and Related Matters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jc w:val="both"/>
        <w:ind w:left="7" w:right="240" w:firstLine="549"/>
        <w:spacing w:after="0" w:line="273" w:lineRule="auto"/>
        <w:tabs>
          <w:tab w:leader="none" w:pos="1117" w:val="left"/>
        </w:tabs>
        <w:numPr>
          <w:ilvl w:val="1"/>
          <w:numId w:val="336"/>
        </w:numPr>
        <w:rPr>
          <w:rFonts w:ascii="Arial" w:cs="Arial" w:eastAsia="Arial" w:hAnsi="Arial"/>
          <w:sz w:val="15"/>
          <w:szCs w:val="15"/>
          <w:color w:val="auto"/>
        </w:rPr>
      </w:pPr>
      <w:r>
        <w:rPr>
          <w:rFonts w:ascii="Arial" w:cs="Arial" w:eastAsia="Arial" w:hAnsi="Arial"/>
          <w:sz w:val="15"/>
          <w:szCs w:val="15"/>
          <w:u w:val="single" w:color="auto"/>
          <w:color w:val="auto"/>
        </w:rPr>
        <w:t>Annual Base Salary</w:t>
      </w:r>
      <w:r>
        <w:rPr>
          <w:rFonts w:ascii="Arial" w:cs="Arial" w:eastAsia="Arial" w:hAnsi="Arial"/>
          <w:sz w:val="15"/>
          <w:szCs w:val="15"/>
          <w:color w:val="auto"/>
        </w:rPr>
        <w:t>. During the Term, Executive shall receive a base salary at a rate of $425,000 per annum, which shall be paid in accordance with the customary payroll practices of the Company and shall be pro-rated for partial years of employment. Such annual base salary shall be reviewed (and may be increased) from time to time by the Board (such annual base salary, as it may be increased from time to time, the “</w:t>
      </w:r>
      <w:r>
        <w:rPr>
          <w:rFonts w:ascii="Arial" w:cs="Arial" w:eastAsia="Arial" w:hAnsi="Arial"/>
          <w:sz w:val="15"/>
          <w:szCs w:val="15"/>
          <w:u w:val="single" w:color="auto"/>
          <w:color w:val="auto"/>
        </w:rPr>
        <w:t>Annual Base Salary</w:t>
      </w:r>
      <w:r>
        <w:rPr>
          <w:rFonts w:ascii="Arial" w:cs="Arial" w:eastAsia="Arial" w:hAnsi="Arial"/>
          <w:sz w:val="15"/>
          <w:szCs w:val="15"/>
          <w:color w:val="auto"/>
        </w:rPr>
        <w:t>”).</w:t>
      </w:r>
    </w:p>
    <w:p>
      <w:pPr>
        <w:spacing w:after="0" w:line="152" w:lineRule="exact"/>
        <w:rPr>
          <w:rFonts w:ascii="Arial" w:cs="Arial" w:eastAsia="Arial" w:hAnsi="Arial"/>
          <w:sz w:val="15"/>
          <w:szCs w:val="15"/>
          <w:color w:val="auto"/>
        </w:rPr>
      </w:pPr>
    </w:p>
    <w:p>
      <w:pPr>
        <w:ind w:left="7" w:firstLine="549"/>
        <w:spacing w:after="0" w:line="268" w:lineRule="auto"/>
        <w:tabs>
          <w:tab w:leader="none" w:pos="1125" w:val="left"/>
        </w:tabs>
        <w:numPr>
          <w:ilvl w:val="1"/>
          <w:numId w:val="336"/>
        </w:numPr>
        <w:rPr>
          <w:rFonts w:ascii="Arial" w:cs="Arial" w:eastAsia="Arial" w:hAnsi="Arial"/>
          <w:sz w:val="15"/>
          <w:szCs w:val="15"/>
          <w:color w:val="auto"/>
        </w:rPr>
      </w:pPr>
      <w:r>
        <w:rPr>
          <w:rFonts w:ascii="Arial" w:cs="Arial" w:eastAsia="Arial" w:hAnsi="Arial"/>
          <w:sz w:val="15"/>
          <w:szCs w:val="15"/>
          <w:u w:val="single" w:color="auto"/>
          <w:color w:val="auto"/>
        </w:rPr>
        <w:t>Bonus</w:t>
      </w:r>
      <w:r>
        <w:rPr>
          <w:rFonts w:ascii="Arial" w:cs="Arial" w:eastAsia="Arial" w:hAnsi="Arial"/>
          <w:sz w:val="15"/>
          <w:szCs w:val="15"/>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5"/>
          <w:szCs w:val="15"/>
          <w:u w:val="single" w:color="auto"/>
          <w:color w:val="auto"/>
        </w:rPr>
        <w:t>Annual Bonus</w:t>
      </w:r>
      <w:r>
        <w:rPr>
          <w:rFonts w:ascii="Arial" w:cs="Arial" w:eastAsia="Arial" w:hAnsi="Arial"/>
          <w:sz w:val="15"/>
          <w:szCs w:val="15"/>
          <w:color w:val="auto"/>
        </w:rPr>
        <w:t>”) shall be targeted at 45% of Executive’s Annual Base Salary (the “</w:t>
      </w:r>
      <w:r>
        <w:rPr>
          <w:rFonts w:ascii="Arial" w:cs="Arial" w:eastAsia="Arial" w:hAnsi="Arial"/>
          <w:sz w:val="15"/>
          <w:szCs w:val="15"/>
          <w:u w:val="single" w:color="auto"/>
          <w:color w:val="auto"/>
        </w:rPr>
        <w:t>Target Bonus</w:t>
      </w:r>
      <w:r>
        <w:rPr>
          <w:rFonts w:ascii="Arial" w:cs="Arial" w:eastAsia="Arial" w:hAnsi="Arial"/>
          <w:sz w:val="15"/>
          <w:szCs w:val="15"/>
          <w:color w:val="auto"/>
        </w:rPr>
        <w:t>”). The Annual Bonus payable under the incentive program shall be based on the achievement of performance goals to be determined by the Board. The payment of any Annual Bonus pursuant to the incentive program will be made on or before March 15 of the year following the year in which such Annual Bonus is earned.</w:t>
      </w:r>
    </w:p>
    <w:p>
      <w:pPr>
        <w:spacing w:after="0" w:line="156" w:lineRule="exact"/>
        <w:rPr>
          <w:rFonts w:ascii="Arial" w:cs="Arial" w:eastAsia="Arial" w:hAnsi="Arial"/>
          <w:sz w:val="15"/>
          <w:szCs w:val="15"/>
          <w:color w:val="auto"/>
        </w:rPr>
      </w:pPr>
    </w:p>
    <w:p>
      <w:pPr>
        <w:ind w:left="7" w:right="100" w:firstLine="549"/>
        <w:spacing w:after="0" w:line="273" w:lineRule="auto"/>
        <w:tabs>
          <w:tab w:leader="none" w:pos="1128" w:val="left"/>
        </w:tabs>
        <w:numPr>
          <w:ilvl w:val="1"/>
          <w:numId w:val="336"/>
        </w:numPr>
        <w:rPr>
          <w:rFonts w:ascii="Arial" w:cs="Arial" w:eastAsia="Arial" w:hAnsi="Arial"/>
          <w:sz w:val="15"/>
          <w:szCs w:val="15"/>
          <w:color w:val="auto"/>
        </w:rPr>
      </w:pPr>
      <w:r>
        <w:rPr>
          <w:rFonts w:ascii="Arial" w:cs="Arial" w:eastAsia="Arial" w:hAnsi="Arial"/>
          <w:sz w:val="15"/>
          <w:szCs w:val="15"/>
          <w:u w:val="single" w:color="auto"/>
          <w:color w:val="auto"/>
        </w:rPr>
        <w:t>Benefits</w:t>
      </w:r>
      <w:r>
        <w:rPr>
          <w:rFonts w:ascii="Arial" w:cs="Arial" w:eastAsia="Arial" w:hAnsi="Arial"/>
          <w:sz w:val="15"/>
          <w:szCs w:val="15"/>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this Agreement.</w:t>
      </w:r>
    </w:p>
    <w:p>
      <w:pPr>
        <w:spacing w:after="0" w:line="152" w:lineRule="exact"/>
        <w:rPr>
          <w:rFonts w:ascii="Arial" w:cs="Arial" w:eastAsia="Arial" w:hAnsi="Arial"/>
          <w:sz w:val="15"/>
          <w:szCs w:val="15"/>
          <w:color w:val="auto"/>
        </w:rPr>
      </w:pPr>
    </w:p>
    <w:p>
      <w:pPr>
        <w:ind w:left="7" w:right="60" w:firstLine="549"/>
        <w:spacing w:after="0" w:line="302" w:lineRule="auto"/>
        <w:tabs>
          <w:tab w:leader="none" w:pos="1125" w:val="left"/>
        </w:tabs>
        <w:numPr>
          <w:ilvl w:val="1"/>
          <w:numId w:val="336"/>
        </w:numPr>
        <w:rPr>
          <w:rFonts w:ascii="Arial" w:cs="Arial" w:eastAsia="Arial" w:hAnsi="Arial"/>
          <w:sz w:val="14"/>
          <w:szCs w:val="14"/>
          <w:color w:val="auto"/>
        </w:rPr>
      </w:pPr>
      <w:r>
        <w:rPr>
          <w:rFonts w:ascii="Arial" w:cs="Arial" w:eastAsia="Arial" w:hAnsi="Arial"/>
          <w:sz w:val="14"/>
          <w:szCs w:val="14"/>
          <w:u w:val="single" w:color="auto"/>
          <w:color w:val="auto"/>
        </w:rPr>
        <w:t>Vacation</w:t>
      </w:r>
      <w:r>
        <w:rPr>
          <w:rFonts w:ascii="Arial" w:cs="Arial" w:eastAsia="Arial" w:hAnsi="Arial"/>
          <w:sz w:val="14"/>
          <w:szCs w:val="14"/>
          <w:color w:val="auto"/>
        </w:rPr>
        <w:t>. During the Term, Executive shall be entitled to four weeks of paid personal leave, or paid personal leave per calendar year in accordance with the Company’s Policies, whichever is greater. Vacation days accrued, but not used by the end of any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33" w:lineRule="exact"/>
        <w:rPr>
          <w:rFonts w:ascii="Arial" w:cs="Arial" w:eastAsia="Arial" w:hAnsi="Arial"/>
          <w:sz w:val="14"/>
          <w:szCs w:val="14"/>
          <w:color w:val="auto"/>
        </w:rPr>
      </w:pPr>
    </w:p>
    <w:p>
      <w:pPr>
        <w:ind w:left="7" w:right="400" w:firstLine="549"/>
        <w:spacing w:after="0" w:line="289" w:lineRule="auto"/>
        <w:tabs>
          <w:tab w:leader="none" w:pos="1128" w:val="left"/>
        </w:tabs>
        <w:numPr>
          <w:ilvl w:val="1"/>
          <w:numId w:val="336"/>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40" w:lineRule="exact"/>
        <w:rPr>
          <w:rFonts w:ascii="Arial" w:cs="Arial" w:eastAsia="Arial" w:hAnsi="Arial"/>
          <w:sz w:val="15"/>
          <w:szCs w:val="15"/>
          <w:color w:val="auto"/>
        </w:rPr>
      </w:pPr>
    </w:p>
    <w:p>
      <w:pPr>
        <w:ind w:left="7" w:right="20" w:firstLine="549"/>
        <w:spacing w:after="0" w:line="265" w:lineRule="auto"/>
        <w:tabs>
          <w:tab w:leader="none" w:pos="1123" w:val="left"/>
        </w:tabs>
        <w:numPr>
          <w:ilvl w:val="1"/>
          <w:numId w:val="336"/>
        </w:numPr>
        <w:rPr>
          <w:rFonts w:ascii="Arial" w:cs="Arial" w:eastAsia="Arial" w:hAnsi="Arial"/>
          <w:sz w:val="15"/>
          <w:szCs w:val="15"/>
          <w:color w:val="auto"/>
        </w:rPr>
      </w:pPr>
      <w:r>
        <w:rPr>
          <w:rFonts w:ascii="Arial" w:cs="Arial" w:eastAsia="Arial" w:hAnsi="Arial"/>
          <w:sz w:val="15"/>
          <w:szCs w:val="15"/>
          <w:u w:val="single" w:color="auto"/>
          <w:color w:val="auto"/>
        </w:rPr>
        <w:t>Key Person Insurance</w:t>
      </w:r>
      <w:r>
        <w:rPr>
          <w:rFonts w:ascii="Arial" w:cs="Arial" w:eastAsia="Arial" w:hAnsi="Arial"/>
          <w:sz w:val="15"/>
          <w:szCs w:val="15"/>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53" w:lineRule="exact"/>
        <w:rPr>
          <w:rFonts w:ascii="Arial" w:cs="Arial" w:eastAsia="Arial" w:hAnsi="Arial"/>
          <w:sz w:val="15"/>
          <w:szCs w:val="15"/>
          <w:color w:val="auto"/>
        </w:rPr>
      </w:pPr>
    </w:p>
    <w:p>
      <w:pPr>
        <w:ind w:left="547" w:hanging="547"/>
        <w:spacing w:after="0"/>
        <w:tabs>
          <w:tab w:leader="none" w:pos="547" w:val="left"/>
        </w:tabs>
        <w:numPr>
          <w:ilvl w:val="0"/>
          <w:numId w:val="33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w:t>
      </w:r>
    </w:p>
    <w:p>
      <w:pPr>
        <w:spacing w:after="0" w:line="204" w:lineRule="exact"/>
        <w:rPr>
          <w:sz w:val="20"/>
          <w:szCs w:val="20"/>
          <w:color w:val="auto"/>
        </w:rPr>
      </w:pPr>
    </w:p>
    <w:p>
      <w:pPr>
        <w:jc w:val="center"/>
        <w:ind w:left="440"/>
        <w:spacing w:after="0"/>
        <w:rPr>
          <w:sz w:val="20"/>
          <w:szCs w:val="20"/>
          <w:color w:val="auto"/>
        </w:rPr>
      </w:pPr>
      <w:r>
        <w:rPr>
          <w:rFonts w:ascii="Arial" w:cs="Arial" w:eastAsia="Arial" w:hAnsi="Arial"/>
          <w:sz w:val="14"/>
          <w:szCs w:val="14"/>
          <w:color w:val="auto"/>
        </w:rPr>
        <w:t>Executive’s employment hereunder may be terminated by the Company or Executive, as applicable, without any breach of this Agreement under the following circumstances:</w:t>
      </w: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7" w:hanging="551"/>
        <w:spacing w:after="0"/>
        <w:tabs>
          <w:tab w:leader="none" w:pos="1107" w:val="left"/>
        </w:tabs>
        <w:numPr>
          <w:ilvl w:val="0"/>
          <w:numId w:val="337"/>
        </w:numPr>
        <w:rPr>
          <w:rFonts w:ascii="Arial" w:cs="Arial" w:eastAsia="Arial" w:hAnsi="Arial"/>
          <w:sz w:val="15"/>
          <w:szCs w:val="15"/>
          <w:color w:val="auto"/>
        </w:rPr>
      </w:pPr>
      <w:r>
        <w:rPr>
          <w:rFonts w:ascii="Arial" w:cs="Arial" w:eastAsia="Arial" w:hAnsi="Arial"/>
          <w:sz w:val="15"/>
          <w:szCs w:val="15"/>
          <w:u w:val="single" w:color="auto"/>
          <w:color w:val="auto"/>
        </w:rPr>
        <w:t>Circumstances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337"/>
        </w:numPr>
        <w:rPr>
          <w:rFonts w:ascii="Arial" w:cs="Arial" w:eastAsia="Arial" w:hAnsi="Arial"/>
          <w:sz w:val="15"/>
          <w:szCs w:val="15"/>
          <w:color w:val="auto"/>
        </w:rPr>
      </w:pPr>
      <w:r>
        <w:rPr>
          <w:rFonts w:ascii="Arial" w:cs="Arial" w:eastAsia="Arial" w:hAnsi="Arial"/>
          <w:sz w:val="15"/>
          <w:szCs w:val="15"/>
          <w:i w:val="1"/>
          <w:iCs w:val="1"/>
          <w:color w:val="auto"/>
        </w:rPr>
        <w:t>Death</w:t>
      </w:r>
      <w:r>
        <w:rPr>
          <w:rFonts w:ascii="Arial" w:cs="Arial" w:eastAsia="Arial" w:hAnsi="Arial"/>
          <w:sz w:val="15"/>
          <w:szCs w:val="15"/>
          <w:color w:val="auto"/>
        </w:rPr>
        <w:t>. Executive’s employment hereunder shall terminate upon Executive’s death.</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337"/>
        </w:numPr>
        <w:rPr>
          <w:rFonts w:ascii="Arial" w:cs="Arial" w:eastAsia="Arial" w:hAnsi="Arial"/>
          <w:sz w:val="15"/>
          <w:szCs w:val="15"/>
          <w:color w:val="auto"/>
        </w:rPr>
      </w:pPr>
      <w:r>
        <w:rPr>
          <w:rFonts w:ascii="Arial" w:cs="Arial" w:eastAsia="Arial" w:hAnsi="Arial"/>
          <w:sz w:val="15"/>
          <w:szCs w:val="15"/>
          <w:i w:val="1"/>
          <w:iCs w:val="1"/>
          <w:color w:val="auto"/>
        </w:rPr>
        <w:t>Disability</w:t>
      </w:r>
      <w:r>
        <w:rPr>
          <w:rFonts w:ascii="Arial" w:cs="Arial" w:eastAsia="Arial" w:hAnsi="Arial"/>
          <w:sz w:val="15"/>
          <w:szCs w:val="15"/>
          <w:color w:val="auto"/>
        </w:rPr>
        <w:t>. If Executive has incurred a Disability, as defined below, the Company may terminate Executive’s employment.</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1"/>
          <w:numId w:val="337"/>
        </w:numPr>
        <w:rPr>
          <w:rFonts w:ascii="Arial" w:cs="Arial" w:eastAsia="Arial" w:hAnsi="Arial"/>
          <w:sz w:val="15"/>
          <w:szCs w:val="15"/>
          <w:color w:val="auto"/>
        </w:rPr>
      </w:pPr>
      <w:r>
        <w:rPr>
          <w:rFonts w:ascii="Arial" w:cs="Arial" w:eastAsia="Arial" w:hAnsi="Arial"/>
          <w:sz w:val="15"/>
          <w:szCs w:val="15"/>
          <w:i w:val="1"/>
          <w:iCs w:val="1"/>
          <w:color w:val="auto"/>
        </w:rPr>
        <w:t>Termination for Cause</w:t>
      </w:r>
      <w:r>
        <w:rPr>
          <w:rFonts w:ascii="Arial" w:cs="Arial" w:eastAsia="Arial" w:hAnsi="Arial"/>
          <w:sz w:val="15"/>
          <w:szCs w:val="15"/>
          <w:color w:val="auto"/>
        </w:rPr>
        <w:t>. The Company may terminate Executive’s employment for Cause, as defined below.</w:t>
      </w:r>
    </w:p>
    <w:p>
      <w:pPr>
        <w:sectPr>
          <w:pgSz w:w="11900" w:h="16838" w:orient="portrait"/>
          <w:cols w:equalWidth="0" w:num="1">
            <w:col w:w="11447"/>
          </w:cols>
          <w:pgMar w:left="233" w:top="332" w:right="219" w:bottom="0" w:gutter="0" w:footer="0" w:header="0"/>
        </w:sectPr>
      </w:pPr>
    </w:p>
    <w:bookmarkStart w:id="369" w:name="page370"/>
    <w:bookmarkEnd w:id="369"/>
    <w:p>
      <w:pPr>
        <w:ind w:left="1687" w:hanging="576"/>
        <w:spacing w:after="0"/>
        <w:tabs>
          <w:tab w:leader="none" w:pos="1687" w:val="left"/>
        </w:tabs>
        <w:numPr>
          <w:ilvl w:val="2"/>
          <w:numId w:val="338"/>
        </w:numPr>
        <w:rPr>
          <w:rFonts w:ascii="Arial" w:cs="Arial" w:eastAsia="Arial" w:hAnsi="Arial"/>
          <w:sz w:val="15"/>
          <w:szCs w:val="15"/>
          <w:color w:val="auto"/>
        </w:rPr>
      </w:pPr>
      <w:r>
        <w:rPr>
          <w:rFonts w:ascii="Arial" w:cs="Arial" w:eastAsia="Arial" w:hAnsi="Arial"/>
          <w:sz w:val="15"/>
          <w:szCs w:val="15"/>
          <w:i w:val="1"/>
          <w:iCs w:val="1"/>
          <w:color w:val="auto"/>
        </w:rPr>
        <w:t>Termination without Cause</w:t>
      </w:r>
      <w:r>
        <w:rPr>
          <w:rFonts w:ascii="Arial" w:cs="Arial" w:eastAsia="Arial" w:hAnsi="Arial"/>
          <w:sz w:val="15"/>
          <w:szCs w:val="15"/>
          <w:color w:val="auto"/>
        </w:rPr>
        <w:t>. The Company may terminate Executive’s employment without Cause.</w:t>
      </w:r>
    </w:p>
    <w:p>
      <w:pPr>
        <w:spacing w:after="0" w:line="198" w:lineRule="exact"/>
        <w:rPr>
          <w:rFonts w:ascii="Arial" w:cs="Arial" w:eastAsia="Arial" w:hAnsi="Arial"/>
          <w:sz w:val="15"/>
          <w:szCs w:val="15"/>
          <w:color w:val="auto"/>
        </w:rPr>
      </w:pPr>
    </w:p>
    <w:p>
      <w:pPr>
        <w:ind w:left="1667" w:hanging="556"/>
        <w:spacing w:after="0"/>
        <w:tabs>
          <w:tab w:leader="none" w:pos="1667" w:val="left"/>
        </w:tabs>
        <w:numPr>
          <w:ilvl w:val="2"/>
          <w:numId w:val="338"/>
        </w:numPr>
        <w:rPr>
          <w:rFonts w:ascii="Arial" w:cs="Arial" w:eastAsia="Arial" w:hAnsi="Arial"/>
          <w:sz w:val="14"/>
          <w:szCs w:val="14"/>
          <w:color w:val="auto"/>
        </w:rPr>
      </w:pPr>
      <w:r>
        <w:rPr>
          <w:rFonts w:ascii="Arial" w:cs="Arial" w:eastAsia="Arial" w:hAnsi="Arial"/>
          <w:sz w:val="14"/>
          <w:szCs w:val="14"/>
          <w:i w:val="1"/>
          <w:iCs w:val="1"/>
          <w:color w:val="auto"/>
        </w:rPr>
        <w:t xml:space="preserve">Resignation from the Company with Good Reason. </w:t>
      </w:r>
      <w:r>
        <w:rPr>
          <w:rFonts w:ascii="Arial" w:cs="Arial" w:eastAsia="Arial" w:hAnsi="Arial"/>
          <w:sz w:val="14"/>
          <w:szCs w:val="14"/>
          <w:color w:val="auto"/>
        </w:rPr>
        <w:t>Executive may resign Executive’s employment with the Company with Good Reason, as defined below.</w:t>
      </w:r>
    </w:p>
    <w:p>
      <w:pPr>
        <w:spacing w:after="0" w:line="209" w:lineRule="exact"/>
        <w:rPr>
          <w:rFonts w:ascii="Arial" w:cs="Arial" w:eastAsia="Arial" w:hAnsi="Arial"/>
          <w:sz w:val="14"/>
          <w:szCs w:val="14"/>
          <w:color w:val="auto"/>
        </w:rPr>
      </w:pPr>
    </w:p>
    <w:p>
      <w:pPr>
        <w:ind w:left="547" w:right="260" w:firstLine="564"/>
        <w:spacing w:after="0" w:line="289" w:lineRule="auto"/>
        <w:tabs>
          <w:tab w:leader="none" w:pos="1674" w:val="left"/>
        </w:tabs>
        <w:numPr>
          <w:ilvl w:val="2"/>
          <w:numId w:val="338"/>
        </w:numPr>
        <w:rPr>
          <w:rFonts w:ascii="Arial" w:cs="Arial" w:eastAsia="Arial" w:hAnsi="Arial"/>
          <w:sz w:val="15"/>
          <w:szCs w:val="15"/>
          <w:color w:val="auto"/>
        </w:rPr>
      </w:pPr>
      <w:r>
        <w:rPr>
          <w:rFonts w:ascii="Arial" w:cs="Arial" w:eastAsia="Arial" w:hAnsi="Arial"/>
          <w:sz w:val="15"/>
          <w:szCs w:val="15"/>
          <w:i w:val="1"/>
          <w:iCs w:val="1"/>
          <w:color w:val="auto"/>
        </w:rPr>
        <w:t>Resignation from the Company Without Good Reason</w:t>
      </w:r>
      <w:r>
        <w:rPr>
          <w:rFonts w:ascii="Arial" w:cs="Arial" w:eastAsia="Arial" w:hAnsi="Arial"/>
          <w:sz w:val="15"/>
          <w:szCs w:val="15"/>
          <w:color w:val="auto"/>
        </w:rPr>
        <w:t>. Executive may resign Executive’s employment with the Company for any reason other than Good</w:t>
      </w:r>
      <w:r>
        <w:rPr>
          <w:rFonts w:ascii="Arial" w:cs="Arial" w:eastAsia="Arial" w:hAnsi="Arial"/>
          <w:sz w:val="15"/>
          <w:szCs w:val="15"/>
          <w:i w:val="1"/>
          <w:iCs w:val="1"/>
          <w:color w:val="auto"/>
        </w:rPr>
        <w:t xml:space="preserve"> </w:t>
      </w:r>
      <w:r>
        <w:rPr>
          <w:rFonts w:ascii="Arial" w:cs="Arial" w:eastAsia="Arial" w:hAnsi="Arial"/>
          <w:sz w:val="15"/>
          <w:szCs w:val="15"/>
          <w:color w:val="auto"/>
        </w:rPr>
        <w:t>Reason or for no reason.</w:t>
      </w:r>
    </w:p>
    <w:p>
      <w:pPr>
        <w:spacing w:after="0" w:line="140" w:lineRule="exact"/>
        <w:rPr>
          <w:rFonts w:ascii="Arial" w:cs="Arial" w:eastAsia="Arial" w:hAnsi="Arial"/>
          <w:sz w:val="15"/>
          <w:szCs w:val="15"/>
          <w:color w:val="auto"/>
        </w:rPr>
      </w:pPr>
    </w:p>
    <w:p>
      <w:pPr>
        <w:ind w:left="7" w:right="80" w:firstLine="549"/>
        <w:spacing w:after="0" w:line="280" w:lineRule="auto"/>
        <w:tabs>
          <w:tab w:leader="none" w:pos="1125" w:val="left"/>
        </w:tabs>
        <w:numPr>
          <w:ilvl w:val="1"/>
          <w:numId w:val="339"/>
        </w:numPr>
        <w:rPr>
          <w:rFonts w:ascii="Arial" w:cs="Arial" w:eastAsia="Arial" w:hAnsi="Arial"/>
          <w:sz w:val="14"/>
          <w:szCs w:val="14"/>
          <w:color w:val="auto"/>
        </w:rPr>
      </w:pP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Any termination of Executive’s employment by the Company or by Executive under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(other than termination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shall be at least thirty (30) days following the date of such notice, but no more than forty</w:t>
      </w:r>
    </w:p>
    <w:p>
      <w:pPr>
        <w:ind w:left="7" w:right="60" w:hanging="7"/>
        <w:spacing w:after="0" w:line="259" w:lineRule="auto"/>
        <w:tabs>
          <w:tab w:leader="none" w:pos="303" w:val="left"/>
        </w:tabs>
        <w:numPr>
          <w:ilvl w:val="0"/>
          <w:numId w:val="340"/>
        </w:numPr>
        <w:rPr>
          <w:rFonts w:ascii="Arial" w:cs="Arial" w:eastAsia="Arial" w:hAnsi="Arial"/>
          <w:sz w:val="15"/>
          <w:szCs w:val="15"/>
          <w:color w:val="auto"/>
        </w:rPr>
      </w:pPr>
      <w:r>
        <w:rPr>
          <w:rFonts w:ascii="Arial" w:cs="Arial" w:eastAsia="Arial" w:hAnsi="Arial"/>
          <w:sz w:val="15"/>
          <w:szCs w:val="15"/>
          <w:color w:val="auto"/>
        </w:rPr>
        <w:t>days following the date of such notice (a “</w:t>
      </w:r>
      <w:r>
        <w:rPr>
          <w:rFonts w:ascii="Arial" w:cs="Arial" w:eastAsia="Arial" w:hAnsi="Arial"/>
          <w:sz w:val="15"/>
          <w:szCs w:val="15"/>
          <w:u w:val="single" w:color="auto"/>
          <w:color w:val="auto"/>
        </w:rPr>
        <w:t>Notice of Termination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5"/>
          <w:szCs w:val="15"/>
          <w:i w:val="1"/>
          <w:iCs w:val="1"/>
          <w:color w:val="auto"/>
        </w:rPr>
        <w:t>provided</w:t>
      </w:r>
      <w:r>
        <w:rPr>
          <w:rFonts w:ascii="Arial" w:cs="Arial" w:eastAsia="Arial" w:hAnsi="Arial"/>
          <w:sz w:val="15"/>
          <w:szCs w:val="15"/>
          <w:color w:val="auto"/>
        </w:rPr>
        <w:t>, in either case,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 Any decision to terminate Executive’s employment for Cause shall be made by a majority vote of the Board after Executive has received written notice from the Board setting forth in reasonable detail the facts and circumstances claimed to provide the basis for the Cause and the Board has provided the Executive reasonable opportunity to be heard by the Board with counsel present if he chooses.</w:t>
      </w:r>
    </w:p>
    <w:p>
      <w:pPr>
        <w:spacing w:after="0" w:line="166" w:lineRule="exact"/>
        <w:rPr>
          <w:rFonts w:ascii="Arial" w:cs="Arial" w:eastAsia="Arial" w:hAnsi="Arial"/>
          <w:sz w:val="15"/>
          <w:szCs w:val="15"/>
          <w:color w:val="auto"/>
        </w:rPr>
      </w:pPr>
    </w:p>
    <w:p>
      <w:pPr>
        <w:ind w:left="7" w:right="240" w:firstLine="549"/>
        <w:spacing w:after="0" w:line="302" w:lineRule="auto"/>
        <w:tabs>
          <w:tab w:leader="none" w:pos="1128" w:val="left"/>
        </w:tabs>
        <w:numPr>
          <w:ilvl w:val="1"/>
          <w:numId w:val="340"/>
        </w:numPr>
        <w:rPr>
          <w:rFonts w:ascii="Arial" w:cs="Arial" w:eastAsia="Arial" w:hAnsi="Arial"/>
          <w:sz w:val="14"/>
          <w:szCs w:val="14"/>
          <w:color w:val="auto"/>
        </w:rPr>
      </w:pPr>
      <w:r>
        <w:rPr>
          <w:rFonts w:ascii="Arial" w:cs="Arial" w:eastAsia="Arial" w:hAnsi="Arial"/>
          <w:sz w:val="14"/>
          <w:szCs w:val="14"/>
          <w:u w:val="single" w:color="auto"/>
          <w:color w:val="auto"/>
        </w:rPr>
        <w:t>Company Obligations upon Termination</w:t>
      </w:r>
      <w:r>
        <w:rPr>
          <w:rFonts w:ascii="Arial" w:cs="Arial" w:eastAsia="Arial" w:hAnsi="Arial"/>
          <w:sz w:val="14"/>
          <w:szCs w:val="14"/>
          <w:color w:val="auto"/>
        </w:rPr>
        <w:t xml:space="preserve">. Upon termination of Executive’s employment pursuant to any of the circumstances listed in this </w:t>
      </w:r>
      <w:r>
        <w:rPr>
          <w:rFonts w:ascii="Arial" w:cs="Arial" w:eastAsia="Arial" w:hAnsi="Arial"/>
          <w:sz w:val="14"/>
          <w:szCs w:val="14"/>
          <w:u w:val="single" w:color="auto"/>
          <w:color w:val="auto"/>
        </w:rPr>
        <w:t>Section 3</w:t>
      </w:r>
      <w:r>
        <w:rPr>
          <w:rFonts w:ascii="Arial" w:cs="Arial" w:eastAsia="Arial" w:hAnsi="Arial"/>
          <w:sz w:val="14"/>
          <w:szCs w:val="14"/>
          <w:color w:val="auto"/>
        </w:rPr>
        <w:t>,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w:t>
      </w:r>
    </w:p>
    <w:p>
      <w:pPr>
        <w:spacing w:after="0" w:line="13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20"/>
        <w:spacing w:after="0" w:line="283" w:lineRule="auto"/>
        <w:rPr>
          <w:sz w:val="20"/>
          <w:szCs w:val="20"/>
          <w:color w:val="auto"/>
        </w:rPr>
      </w:pPr>
      <w:r>
        <w:rPr>
          <w:rFonts w:ascii="Arial" w:cs="Arial" w:eastAsia="Arial" w:hAnsi="Arial"/>
          <w:sz w:val="14"/>
          <w:szCs w:val="14"/>
          <w:color w:val="auto"/>
        </w:rPr>
        <w:t xml:space="preserve">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4"/>
          <w:szCs w:val="14"/>
          <w:u w:val="single" w:color="auto"/>
          <w:color w:val="auto"/>
        </w:rPr>
        <w:t>Section 2(e)</w:t>
      </w:r>
      <w:r>
        <w:rPr>
          <w:rFonts w:ascii="Arial" w:cs="Arial" w:eastAsia="Arial" w:hAnsi="Arial"/>
          <w:sz w:val="14"/>
          <w:szCs w:val="14"/>
          <w:color w:val="auto"/>
        </w:rPr>
        <w:t>; and</w:t>
      </w:r>
    </w:p>
    <w:p>
      <w:pPr>
        <w:spacing w:after="0" w:line="1" w:lineRule="exact"/>
        <w:rPr>
          <w:sz w:val="20"/>
          <w:szCs w:val="20"/>
          <w:color w:val="auto"/>
        </w:rPr>
      </w:pPr>
    </w:p>
    <w:p>
      <w:pPr>
        <w:ind w:left="7" w:hanging="7"/>
        <w:spacing w:after="0" w:line="263" w:lineRule="auto"/>
        <w:tabs>
          <w:tab w:leader="none" w:pos="269" w:val="left"/>
        </w:tabs>
        <w:numPr>
          <w:ilvl w:val="0"/>
          <w:numId w:val="341"/>
        </w:numPr>
        <w:rPr>
          <w:rFonts w:ascii="Arial" w:cs="Arial" w:eastAsia="Arial" w:hAnsi="Arial"/>
          <w:sz w:val="15"/>
          <w:szCs w:val="15"/>
          <w:color w:val="auto"/>
        </w:rPr>
      </w:pPr>
      <w:r>
        <w:rPr>
          <w:rFonts w:ascii="Arial" w:cs="Arial" w:eastAsia="Arial" w:hAnsi="Arial"/>
          <w:sz w:val="15"/>
          <w:szCs w:val="15"/>
          <w:color w:val="auto"/>
        </w:rPr>
        <w:t>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5"/>
          <w:szCs w:val="15"/>
          <w:u w:val="single" w:color="auto"/>
          <w:color w:val="auto"/>
        </w:rPr>
        <w:t>Company Arrangements</w:t>
      </w:r>
      <w:r>
        <w:rPr>
          <w:rFonts w:ascii="Arial" w:cs="Arial" w:eastAsia="Arial" w:hAnsi="Arial"/>
          <w:sz w:val="15"/>
          <w:szCs w:val="15"/>
          <w:color w:val="auto"/>
        </w:rPr>
        <w:t>”). Except as otherwise expressly required by law (</w:t>
      </w:r>
      <w:r>
        <w:rPr>
          <w:rFonts w:ascii="Arial" w:cs="Arial" w:eastAsia="Arial" w:hAnsi="Arial"/>
          <w:sz w:val="15"/>
          <w:szCs w:val="15"/>
          <w:u w:val="single" w:color="auto"/>
          <w:color w:val="auto"/>
        </w:rPr>
        <w:t>e.g.</w:t>
      </w:r>
      <w:r>
        <w:rPr>
          <w:rFonts w:ascii="Arial" w:cs="Arial" w:eastAsia="Arial" w:hAnsi="Arial"/>
          <w:sz w:val="15"/>
          <w:szCs w:val="15"/>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60" w:lineRule="exact"/>
        <w:rPr>
          <w:rFonts w:ascii="Arial" w:cs="Arial" w:eastAsia="Arial" w:hAnsi="Arial"/>
          <w:sz w:val="15"/>
          <w:szCs w:val="15"/>
          <w:color w:val="auto"/>
        </w:rPr>
      </w:pPr>
    </w:p>
    <w:p>
      <w:pPr>
        <w:ind w:left="7" w:right="120" w:firstLine="549"/>
        <w:spacing w:after="0" w:line="289" w:lineRule="auto"/>
        <w:tabs>
          <w:tab w:leader="none" w:pos="1125" w:val="left"/>
        </w:tabs>
        <w:numPr>
          <w:ilvl w:val="1"/>
          <w:numId w:val="341"/>
        </w:numPr>
        <w:rPr>
          <w:rFonts w:ascii="Arial" w:cs="Arial" w:eastAsia="Arial" w:hAnsi="Arial"/>
          <w:sz w:val="15"/>
          <w:szCs w:val="15"/>
          <w:color w:val="auto"/>
        </w:rPr>
      </w:pPr>
      <w:r>
        <w:rPr>
          <w:rFonts w:ascii="Arial" w:cs="Arial" w:eastAsia="Arial" w:hAnsi="Arial"/>
          <w:sz w:val="15"/>
          <w:szCs w:val="15"/>
          <w:u w:val="single" w:color="auto"/>
          <w:color w:val="auto"/>
        </w:rPr>
        <w:t>Deemed Resignation</w:t>
      </w:r>
      <w:r>
        <w:rPr>
          <w:rFonts w:ascii="Arial" w:cs="Arial" w:eastAsia="Arial" w:hAnsi="Arial"/>
          <w:sz w:val="15"/>
          <w:szCs w:val="15"/>
          <w:color w:val="auto"/>
        </w:rPr>
        <w:t>. Upon termination of Executive’s employment for any reason, Executive shall be deemed to have resigned from all offices and directorships, if any, then held with the Company or any of its subsidiaries.</w:t>
      </w:r>
    </w:p>
    <w:p>
      <w:pPr>
        <w:spacing w:after="0" w:line="135" w:lineRule="exact"/>
        <w:rPr>
          <w:sz w:val="20"/>
          <w:szCs w:val="20"/>
          <w:color w:val="auto"/>
        </w:rPr>
      </w:pPr>
    </w:p>
    <w:p>
      <w:pPr>
        <w:ind w:left="547" w:hanging="547"/>
        <w:spacing w:after="0"/>
        <w:tabs>
          <w:tab w:leader="none" w:pos="547" w:val="left"/>
        </w:tabs>
        <w:numPr>
          <w:ilvl w:val="0"/>
          <w:numId w:val="34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firstLine="549"/>
        <w:spacing w:after="0" w:line="302" w:lineRule="auto"/>
        <w:tabs>
          <w:tab w:leader="none" w:pos="1117" w:val="left"/>
        </w:tabs>
        <w:numPr>
          <w:ilvl w:val="1"/>
          <w:numId w:val="342"/>
        </w:numPr>
        <w:rPr>
          <w:rFonts w:ascii="Arial" w:cs="Arial" w:eastAsia="Arial" w:hAnsi="Arial"/>
          <w:sz w:val="14"/>
          <w:szCs w:val="14"/>
          <w:color w:val="auto"/>
        </w:rPr>
      </w:pPr>
      <w:r>
        <w:rPr>
          <w:rFonts w:ascii="Arial" w:cs="Arial" w:eastAsia="Arial" w:hAnsi="Arial"/>
          <w:sz w:val="14"/>
          <w:szCs w:val="14"/>
          <w:u w:val="single" w:color="auto"/>
          <w:color w:val="auto"/>
        </w:rPr>
        <w:t>Termination for Cause, or Termination Upon Death, Disability or Resignation from the Company Without Good Reason</w:t>
      </w:r>
      <w:r>
        <w:rPr>
          <w:rFonts w:ascii="Arial" w:cs="Arial" w:eastAsia="Arial" w:hAnsi="Arial"/>
          <w:sz w:val="14"/>
          <w:szCs w:val="14"/>
          <w:color w:val="auto"/>
        </w:rPr>
        <w:t xml:space="preserve">. If Executive’s employment shall terminate as a result of Executive’s death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or Disability pursuant to </w:t>
      </w:r>
      <w:r>
        <w:rPr>
          <w:rFonts w:ascii="Arial" w:cs="Arial" w:eastAsia="Arial" w:hAnsi="Arial"/>
          <w:sz w:val="14"/>
          <w:szCs w:val="14"/>
          <w:u w:val="single" w:color="auto"/>
          <w:color w:val="auto"/>
        </w:rPr>
        <w:t>Section 3(a)(ii)</w:t>
      </w:r>
      <w:r>
        <w:rPr>
          <w:rFonts w:ascii="Arial" w:cs="Arial" w:eastAsia="Arial" w:hAnsi="Arial"/>
          <w:sz w:val="14"/>
          <w:szCs w:val="14"/>
          <w:color w:val="auto"/>
        </w:rPr>
        <w:t xml:space="preserve">,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xml:space="preserve"> for Cause, or pursuant to </w:t>
      </w:r>
      <w:r>
        <w:rPr>
          <w:rFonts w:ascii="Arial" w:cs="Arial" w:eastAsia="Arial" w:hAnsi="Arial"/>
          <w:sz w:val="14"/>
          <w:szCs w:val="14"/>
          <w:u w:val="single" w:color="auto"/>
          <w:color w:val="auto"/>
        </w:rPr>
        <w:t>Section 3(a)(vi)</w:t>
      </w:r>
      <w:r>
        <w:rPr>
          <w:rFonts w:ascii="Arial" w:cs="Arial" w:eastAsia="Arial" w:hAnsi="Arial"/>
          <w:sz w:val="14"/>
          <w:szCs w:val="14"/>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4"/>
          <w:szCs w:val="14"/>
          <w:u w:val="single" w:color="auto"/>
          <w:color w:val="auto"/>
        </w:rPr>
        <w:t>Section 3(c)</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ind w:left="7" w:right="20" w:firstLine="549"/>
        <w:spacing w:after="0" w:line="245" w:lineRule="auto"/>
        <w:tabs>
          <w:tab w:leader="none" w:pos="1125" w:val="left"/>
        </w:tabs>
        <w:numPr>
          <w:ilvl w:val="1"/>
          <w:numId w:val="342"/>
        </w:numPr>
        <w:rPr>
          <w:rFonts w:ascii="Arial" w:cs="Arial" w:eastAsia="Arial" w:hAnsi="Arial"/>
          <w:sz w:val="15"/>
          <w:szCs w:val="15"/>
          <w:color w:val="auto"/>
        </w:rPr>
      </w:pPr>
      <w:r>
        <w:rPr>
          <w:rFonts w:ascii="Arial" w:cs="Arial" w:eastAsia="Arial" w:hAnsi="Arial"/>
          <w:sz w:val="15"/>
          <w:szCs w:val="15"/>
          <w:u w:val="single" w:color="auto"/>
          <w:color w:val="auto"/>
        </w:rPr>
        <w:t>Termination without Cause, or Resignation from the Company with Good Reason</w:t>
      </w:r>
      <w:r>
        <w:rPr>
          <w:rFonts w:ascii="Arial" w:cs="Arial" w:eastAsia="Arial" w:hAnsi="Arial"/>
          <w:sz w:val="15"/>
          <w:szCs w:val="15"/>
          <w:color w:val="auto"/>
        </w:rPr>
        <w:t xml:space="preserve">. If Executive’s employment terminates without Cause pursuant to </w:t>
      </w:r>
      <w:r>
        <w:rPr>
          <w:rFonts w:ascii="Arial" w:cs="Arial" w:eastAsia="Arial" w:hAnsi="Arial"/>
          <w:sz w:val="15"/>
          <w:szCs w:val="15"/>
          <w:u w:val="single" w:color="auto"/>
          <w:color w:val="auto"/>
        </w:rPr>
        <w:t>Section 3(a)(iv)</w:t>
      </w:r>
      <w:r>
        <w:rPr>
          <w:rFonts w:ascii="Arial" w:cs="Arial" w:eastAsia="Arial" w:hAnsi="Arial"/>
          <w:sz w:val="15"/>
          <w:szCs w:val="15"/>
          <w:color w:val="auto"/>
        </w:rPr>
        <w:t xml:space="preserve">, or pursuant to </w:t>
      </w:r>
      <w:r>
        <w:rPr>
          <w:rFonts w:ascii="Arial" w:cs="Arial" w:eastAsia="Arial" w:hAnsi="Arial"/>
          <w:sz w:val="15"/>
          <w:szCs w:val="15"/>
          <w:u w:val="single" w:color="auto"/>
          <w:color w:val="auto"/>
        </w:rPr>
        <w:t>Section 3(a)(v)</w:t>
      </w:r>
      <w:r>
        <w:rPr>
          <w:rFonts w:ascii="Arial" w:cs="Arial" w:eastAsia="Arial" w:hAnsi="Arial"/>
          <w:sz w:val="15"/>
          <w:szCs w:val="15"/>
          <w:color w:val="auto"/>
        </w:rPr>
        <w:t xml:space="preserve"> due to Executive’s resignation with Good Reason, then, subject to Executive signing on or before the 60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this Agreement (the “</w:t>
      </w: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and Executive’s continued compliance with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Executive shall receive, in addition to payments and benefits set forth in </w:t>
      </w:r>
      <w:r>
        <w:rPr>
          <w:rFonts w:ascii="Arial" w:cs="Arial" w:eastAsia="Arial" w:hAnsi="Arial"/>
          <w:sz w:val="15"/>
          <w:szCs w:val="15"/>
          <w:u w:val="single" w:color="auto"/>
          <w:color w:val="auto"/>
        </w:rPr>
        <w:t>Section 3(c)</w:t>
      </w:r>
      <w:r>
        <w:rPr>
          <w:rFonts w:ascii="Arial" w:cs="Arial" w:eastAsia="Arial" w:hAnsi="Arial"/>
          <w:sz w:val="15"/>
          <w:szCs w:val="15"/>
          <w:color w:val="auto"/>
        </w:rPr>
        <w:t>, the following:</w:t>
      </w:r>
    </w:p>
    <w:p>
      <w:pPr>
        <w:spacing w:after="0" w:line="172" w:lineRule="exact"/>
        <w:rPr>
          <w:rFonts w:ascii="Arial" w:cs="Arial" w:eastAsia="Arial" w:hAnsi="Arial"/>
          <w:sz w:val="15"/>
          <w:szCs w:val="15"/>
          <w:color w:val="auto"/>
        </w:rPr>
      </w:pPr>
    </w:p>
    <w:p>
      <w:pPr>
        <w:ind w:left="547" w:right="40" w:firstLine="564"/>
        <w:spacing w:after="0" w:line="289" w:lineRule="auto"/>
        <w:tabs>
          <w:tab w:leader="none" w:pos="1677" w:val="left"/>
        </w:tabs>
        <w:numPr>
          <w:ilvl w:val="2"/>
          <w:numId w:val="342"/>
        </w:numPr>
        <w:rPr>
          <w:rFonts w:ascii="Arial" w:cs="Arial" w:eastAsia="Arial" w:hAnsi="Arial"/>
          <w:sz w:val="15"/>
          <w:szCs w:val="15"/>
          <w:color w:val="auto"/>
        </w:rPr>
      </w:pPr>
      <w:r>
        <w:rPr>
          <w:rFonts w:ascii="Arial" w:cs="Arial" w:eastAsia="Arial" w:hAnsi="Arial"/>
          <w:sz w:val="15"/>
          <w:szCs w:val="15"/>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15"/>
          <w:szCs w:val="15"/>
          <w:u w:val="single" w:color="auto"/>
          <w:color w:val="auto"/>
        </w:rPr>
        <w:t>Severance Period</w:t>
      </w:r>
      <w:r>
        <w:rPr>
          <w:rFonts w:ascii="Arial" w:cs="Arial" w:eastAsia="Arial" w:hAnsi="Arial"/>
          <w:sz w:val="15"/>
          <w:szCs w:val="15"/>
          <w:color w:val="auto"/>
        </w:rPr>
        <w:t>”) in accordance with the Company’s normal payroll practices;</w:t>
      </w:r>
    </w:p>
    <w:p>
      <w:pPr>
        <w:spacing w:after="0" w:line="140" w:lineRule="exact"/>
        <w:rPr>
          <w:rFonts w:ascii="Arial" w:cs="Arial" w:eastAsia="Arial" w:hAnsi="Arial"/>
          <w:sz w:val="15"/>
          <w:szCs w:val="15"/>
          <w:color w:val="auto"/>
        </w:rPr>
      </w:pPr>
    </w:p>
    <w:p>
      <w:pPr>
        <w:ind w:left="547" w:right="20" w:firstLine="564"/>
        <w:spacing w:after="0" w:line="268" w:lineRule="auto"/>
        <w:tabs>
          <w:tab w:leader="none" w:pos="1686" w:val="left"/>
        </w:tabs>
        <w:numPr>
          <w:ilvl w:val="2"/>
          <w:numId w:val="342"/>
        </w:numPr>
        <w:rPr>
          <w:rFonts w:ascii="Arial" w:cs="Arial" w:eastAsia="Arial" w:hAnsi="Arial"/>
          <w:sz w:val="15"/>
          <w:szCs w:val="15"/>
          <w:color w:val="auto"/>
        </w:rPr>
      </w:pPr>
      <w:r>
        <w:rPr>
          <w:rFonts w:ascii="Arial" w:cs="Arial" w:eastAsia="Arial" w:hAnsi="Arial"/>
          <w:sz w:val="15"/>
          <w:szCs w:val="15"/>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or an authorized committee thereof, if the Date of Termination occurs after the first quarter of the calendar year, multiplied by (B) a fraction, using the number of full months of the year elapsed prior to the Date of Termination as the numerator and 12 as the denominator; and</w:t>
      </w:r>
    </w:p>
    <w:p>
      <w:pPr>
        <w:spacing w:after="0" w:line="156" w:lineRule="exact"/>
        <w:rPr>
          <w:rFonts w:ascii="Arial" w:cs="Arial" w:eastAsia="Arial" w:hAnsi="Arial"/>
          <w:sz w:val="15"/>
          <w:szCs w:val="15"/>
          <w:color w:val="auto"/>
        </w:rPr>
      </w:pPr>
    </w:p>
    <w:p>
      <w:pPr>
        <w:jc w:val="both"/>
        <w:ind w:left="547" w:right="160" w:firstLine="564"/>
        <w:spacing w:after="0" w:line="273" w:lineRule="auto"/>
        <w:tabs>
          <w:tab w:leader="none" w:pos="1694" w:val="left"/>
        </w:tabs>
        <w:numPr>
          <w:ilvl w:val="2"/>
          <w:numId w:val="342"/>
        </w:numPr>
        <w:rPr>
          <w:rFonts w:ascii="Arial" w:cs="Arial" w:eastAsia="Arial" w:hAnsi="Arial"/>
          <w:sz w:val="15"/>
          <w:szCs w:val="15"/>
          <w:color w:val="auto"/>
        </w:rPr>
      </w:pPr>
      <w:r>
        <w:rPr>
          <w:rFonts w:ascii="Arial" w:cs="Arial" w:eastAsia="Arial" w:hAnsi="Arial"/>
          <w:sz w:val="15"/>
          <w:szCs w:val="15"/>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5"/>
          <w:szCs w:val="15"/>
          <w:u w:val="single" w:color="auto"/>
          <w:color w:val="auto"/>
        </w:rPr>
        <w:t>COBRA</w:t>
      </w:r>
      <w:r>
        <w:rPr>
          <w:rFonts w:ascii="Arial" w:cs="Arial" w:eastAsia="Arial" w:hAnsi="Arial"/>
          <w:sz w:val="15"/>
          <w:szCs w:val="15"/>
          <w:color w:val="auto"/>
        </w:rPr>
        <w:t>”), the Company shall directly pay, or reimburse Executive for, the COBRA premiums for Executive and Executive’s covered dependents under such plans during the period commencing on Executive’s Separation</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right="40"/>
        <w:spacing w:after="0" w:line="264" w:lineRule="auto"/>
        <w:rPr>
          <w:sz w:val="20"/>
          <w:szCs w:val="20"/>
          <w:color w:val="auto"/>
        </w:rPr>
      </w:pPr>
      <w:r>
        <w:rPr>
          <w:rFonts w:ascii="Arial" w:cs="Arial" w:eastAsia="Arial" w:hAnsi="Arial"/>
          <w:sz w:val="15"/>
          <w:szCs w:val="15"/>
          <w:color w:val="auto"/>
        </w:rPr>
        <w:t>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59" w:lineRule="exact"/>
        <w:rPr>
          <w:sz w:val="20"/>
          <w:szCs w:val="20"/>
          <w:color w:val="auto"/>
        </w:rPr>
      </w:pPr>
    </w:p>
    <w:p>
      <w:pPr>
        <w:ind w:left="7" w:right="40" w:firstLine="549"/>
        <w:spacing w:after="0" w:line="271" w:lineRule="auto"/>
        <w:tabs>
          <w:tab w:leader="none" w:pos="1128" w:val="left"/>
        </w:tabs>
        <w:numPr>
          <w:ilvl w:val="1"/>
          <w:numId w:val="343"/>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4"/>
          <w:szCs w:val="14"/>
          <w:u w:val="single" w:color="auto"/>
          <w:color w:val="auto"/>
        </w:rPr>
        <w:t>Section 3(a)(iv)</w:t>
      </w:r>
      <w:r>
        <w:rPr>
          <w:rFonts w:ascii="Arial" w:cs="Arial" w:eastAsia="Arial" w:hAnsi="Arial"/>
          <w:sz w:val="14"/>
          <w:szCs w:val="14"/>
          <w:color w:val="auto"/>
        </w:rPr>
        <w:t xml:space="preserve">, or pursuant to </w:t>
      </w:r>
      <w:r>
        <w:rPr>
          <w:rFonts w:ascii="Arial" w:cs="Arial" w:eastAsia="Arial" w:hAnsi="Arial"/>
          <w:sz w:val="14"/>
          <w:szCs w:val="14"/>
          <w:u w:val="single" w:color="auto"/>
          <w:color w:val="auto"/>
        </w:rPr>
        <w:t>Section 3(a)(v)</w:t>
      </w:r>
      <w:r>
        <w:rPr>
          <w:rFonts w:ascii="Arial" w:cs="Arial" w:eastAsia="Arial" w:hAnsi="Arial"/>
          <w:sz w:val="14"/>
          <w:szCs w:val="14"/>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Executive shall receive, in addition to the payments and benefits set forth in </w:t>
      </w:r>
      <w:r>
        <w:rPr>
          <w:rFonts w:ascii="Arial" w:cs="Arial" w:eastAsia="Arial" w:hAnsi="Arial"/>
          <w:sz w:val="14"/>
          <w:szCs w:val="14"/>
          <w:u w:val="single" w:color="auto"/>
          <w:color w:val="auto"/>
        </w:rPr>
        <w:t>Section 3(c)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4(b)</w:t>
      </w:r>
      <w:r>
        <w:rPr>
          <w:rFonts w:ascii="Arial" w:cs="Arial" w:eastAsia="Arial" w:hAnsi="Arial"/>
          <w:sz w:val="14"/>
          <w:szCs w:val="14"/>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58" w:lineRule="exact"/>
        <w:rPr>
          <w:rFonts w:ascii="Arial" w:cs="Arial" w:eastAsia="Arial" w:hAnsi="Arial"/>
          <w:sz w:val="14"/>
          <w:szCs w:val="14"/>
          <w:color w:val="auto"/>
        </w:rPr>
      </w:pPr>
    </w:p>
    <w:p>
      <w:pPr>
        <w:ind w:left="7" w:right="60" w:firstLine="549"/>
        <w:spacing w:after="0" w:line="289" w:lineRule="auto"/>
        <w:tabs>
          <w:tab w:leader="none" w:pos="1125" w:val="left"/>
        </w:tabs>
        <w:numPr>
          <w:ilvl w:val="1"/>
          <w:numId w:val="343"/>
        </w:numPr>
        <w:rPr>
          <w:rFonts w:ascii="Arial" w:cs="Arial" w:eastAsia="Arial" w:hAnsi="Arial"/>
          <w:sz w:val="15"/>
          <w:szCs w:val="15"/>
          <w:color w:val="auto"/>
        </w:rPr>
      </w:pP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Notwithstanding anything to the contrary in this Agreement, the provisions of </w:t>
      </w:r>
      <w:r>
        <w:rPr>
          <w:rFonts w:ascii="Arial" w:cs="Arial" w:eastAsia="Arial" w:hAnsi="Arial"/>
          <w:sz w:val="15"/>
          <w:szCs w:val="15"/>
          <w:u w:val="single" w:color="auto"/>
          <w:color w:val="auto"/>
        </w:rPr>
        <w:t>Sections 5</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9</w:t>
      </w:r>
      <w:r>
        <w:rPr>
          <w:rFonts w:ascii="Arial" w:cs="Arial" w:eastAsia="Arial" w:hAnsi="Arial"/>
          <w:sz w:val="15"/>
          <w:szCs w:val="15"/>
          <w:color w:val="auto"/>
        </w:rPr>
        <w:t xml:space="preserve"> will survive the termination of Executive’s employment and the termination of the Term.</w:t>
      </w:r>
    </w:p>
    <w:p>
      <w:pPr>
        <w:spacing w:after="0" w:line="134" w:lineRule="exact"/>
        <w:rPr>
          <w:rFonts w:ascii="Arial" w:cs="Arial" w:eastAsia="Arial" w:hAnsi="Arial"/>
          <w:sz w:val="15"/>
          <w:szCs w:val="15"/>
          <w:color w:val="auto"/>
        </w:rPr>
      </w:pPr>
    </w:p>
    <w:p>
      <w:pPr>
        <w:ind w:left="7" w:right="40" w:hanging="7"/>
        <w:spacing w:after="0" w:line="336" w:lineRule="auto"/>
        <w:tabs>
          <w:tab w:leader="none" w:pos="563" w:val="left"/>
        </w:tabs>
        <w:numPr>
          <w:ilvl w:val="0"/>
          <w:numId w:val="34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Restrictive Covenants</w:t>
      </w:r>
      <w:r>
        <w:rPr>
          <w:rFonts w:ascii="Arial" w:cs="Arial" w:eastAsia="Arial" w:hAnsi="Arial"/>
          <w:sz w:val="14"/>
          <w:szCs w:val="14"/>
          <w:b w:val="1"/>
          <w:bCs w:val="1"/>
          <w:color w:val="auto"/>
        </w:rPr>
        <w:t xml:space="preserve">. </w:t>
      </w:r>
      <w:r>
        <w:rPr>
          <w:rFonts w:ascii="Arial" w:cs="Arial" w:eastAsia="Arial" w:hAnsi="Arial"/>
          <w:sz w:val="14"/>
          <w:szCs w:val="14"/>
          <w:color w:val="auto"/>
        </w:rPr>
        <w:t>As a condition to the effectiveness of this Agreement, Executive will execute and deliver to the Company contemporaneously herewith the Restrictive</w:t>
      </w:r>
      <w:r>
        <w:rPr>
          <w:rFonts w:ascii="Arial" w:cs="Arial" w:eastAsia="Arial" w:hAnsi="Arial"/>
          <w:sz w:val="14"/>
          <w:szCs w:val="14"/>
          <w:b w:val="1"/>
          <w:bCs w:val="1"/>
          <w:color w:val="auto"/>
        </w:rPr>
        <w:t xml:space="preserve"> </w:t>
      </w:r>
      <w:r>
        <w:rPr>
          <w:rFonts w:ascii="Arial" w:cs="Arial" w:eastAsia="Arial" w:hAnsi="Arial"/>
          <w:sz w:val="14"/>
          <w:szCs w:val="14"/>
          <w:color w:val="auto"/>
        </w:rPr>
        <w:t>Covenant Agreement. Executive agrees to abide by the terms of the Restrictive Covenant Agreement, which are hereby incorporated by reference into this Agreement. Executive</w:t>
      </w:r>
    </w:p>
    <w:p>
      <w:pPr>
        <w:sectPr>
          <w:pgSz w:w="11900" w:h="16838" w:orient="portrait"/>
          <w:cols w:equalWidth="0" w:num="1">
            <w:col w:w="11427"/>
          </w:cols>
          <w:pgMar w:left="233" w:top="129" w:right="239" w:bottom="0" w:gutter="0" w:footer="0" w:header="0"/>
        </w:sectPr>
      </w:pPr>
    </w:p>
    <w:bookmarkStart w:id="370" w:name="page371"/>
    <w:bookmarkEnd w:id="370"/>
    <w:p>
      <w:pPr>
        <w:ind w:left="7" w:right="280"/>
        <w:spacing w:after="0" w:line="289" w:lineRule="auto"/>
        <w:rPr>
          <w:sz w:val="20"/>
          <w:szCs w:val="20"/>
          <w:color w:val="auto"/>
        </w:rPr>
      </w:pPr>
      <w:r>
        <w:rPr>
          <w:rFonts w:ascii="Arial" w:cs="Arial" w:eastAsia="Arial" w:hAnsi="Arial"/>
          <w:sz w:val="15"/>
          <w:szCs w:val="15"/>
          <w:color w:val="auto"/>
        </w:rPr>
        <w:t>acknowledges that the provisions of the Restrictive Covenant Agreement will survive the termination of Executive’s employment and the termination of the Term for the periods set forth in the Restrictive Covenant Agreement.</w:t>
      </w:r>
    </w:p>
    <w:p>
      <w:pPr>
        <w:spacing w:after="0" w:line="135" w:lineRule="exact"/>
        <w:rPr>
          <w:sz w:val="20"/>
          <w:szCs w:val="20"/>
          <w:color w:val="auto"/>
        </w:rPr>
      </w:pPr>
    </w:p>
    <w:p>
      <w:pPr>
        <w:ind w:left="547" w:hanging="547"/>
        <w:spacing w:after="0"/>
        <w:tabs>
          <w:tab w:leader="none" w:pos="547" w:val="left"/>
        </w:tabs>
        <w:numPr>
          <w:ilvl w:val="0"/>
          <w:numId w:val="34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Assignment and Successors</w:t>
      </w:r>
      <w:r>
        <w:rPr>
          <w:rFonts w:ascii="Arial" w:cs="Arial" w:eastAsia="Arial" w:hAnsi="Arial"/>
          <w:sz w:val="15"/>
          <w:szCs w:val="15"/>
          <w:b w:val="1"/>
          <w:bCs w:val="1"/>
          <w:color w:val="auto"/>
        </w:rPr>
        <w:t>.</w:t>
      </w:r>
    </w:p>
    <w:p>
      <w:pPr>
        <w:spacing w:after="0" w:line="204" w:lineRule="exact"/>
        <w:rPr>
          <w:sz w:val="20"/>
          <w:szCs w:val="20"/>
          <w:color w:val="auto"/>
        </w:rPr>
      </w:pPr>
    </w:p>
    <w:p>
      <w:pPr>
        <w:ind w:left="7" w:right="60" w:firstLine="556"/>
        <w:spacing w:after="0" w:line="264" w:lineRule="auto"/>
        <w:rPr>
          <w:sz w:val="20"/>
          <w:szCs w:val="20"/>
          <w:color w:val="auto"/>
        </w:rPr>
      </w:pPr>
      <w:r>
        <w:rPr>
          <w:rFonts w:ascii="Arial" w:cs="Arial" w:eastAsia="Arial" w:hAnsi="Arial"/>
          <w:sz w:val="15"/>
          <w:szCs w:val="15"/>
          <w:color w:val="auto"/>
        </w:rPr>
        <w:t>The Company must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53" w:lineRule="exact"/>
        <w:rPr>
          <w:sz w:val="20"/>
          <w:szCs w:val="20"/>
          <w:color w:val="auto"/>
        </w:rPr>
      </w:pPr>
    </w:p>
    <w:p>
      <w:pPr>
        <w:ind w:left="547" w:hanging="547"/>
        <w:spacing w:after="0"/>
        <w:tabs>
          <w:tab w:leader="none" w:pos="547" w:val="left"/>
        </w:tabs>
        <w:numPr>
          <w:ilvl w:val="0"/>
          <w:numId w:val="34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Certain Definitions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687" w:right="5380" w:hanging="5131"/>
        <w:spacing w:after="0" w:line="604" w:lineRule="auto"/>
        <w:tabs>
          <w:tab w:leader="none" w:pos="1114" w:val="left"/>
        </w:tabs>
        <w:numPr>
          <w:ilvl w:val="1"/>
          <w:numId w:val="346"/>
        </w:numPr>
        <w:rPr>
          <w:rFonts w:ascii="Arial" w:cs="Arial" w:eastAsia="Arial" w:hAnsi="Arial"/>
          <w:sz w:val="14"/>
          <w:szCs w:val="14"/>
          <w:color w:val="auto"/>
        </w:rPr>
      </w:pPr>
      <w:r>
        <w:rPr>
          <w:rFonts w:ascii="Arial" w:cs="Arial" w:eastAsia="Arial" w:hAnsi="Arial"/>
          <w:sz w:val="14"/>
          <w:szCs w:val="14"/>
          <w:u w:val="single" w:color="auto"/>
          <w:color w:val="auto"/>
        </w:rPr>
        <w:t>Cause</w:t>
      </w:r>
      <w:r>
        <w:rPr>
          <w:rFonts w:ascii="Arial" w:cs="Arial" w:eastAsia="Arial" w:hAnsi="Arial"/>
          <w:sz w:val="14"/>
          <w:szCs w:val="14"/>
          <w:color w:val="auto"/>
        </w:rPr>
        <w:t>. The Company shall have “Cause” to terminate Executive’s employment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285990" cy="2730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39" w:lineRule="exact"/>
        <w:rPr>
          <w:sz w:val="20"/>
          <w:szCs w:val="20"/>
          <w:color w:val="auto"/>
        </w:rPr>
      </w:pPr>
    </w:p>
    <w:p>
      <w:pPr>
        <w:ind w:left="7"/>
        <w:spacing w:after="0"/>
        <w:rPr>
          <w:sz w:val="20"/>
          <w:szCs w:val="20"/>
          <w:color w:val="auto"/>
        </w:rPr>
      </w:pPr>
      <w:r>
        <w:rPr>
          <w:rFonts w:ascii="Arial" w:cs="Arial" w:eastAsia="Arial" w:hAnsi="Arial"/>
          <w:sz w:val="15"/>
          <w:szCs w:val="15"/>
          <w:color w:val="auto"/>
        </w:rPr>
        <w:t>hereunder upon:</w:t>
      </w:r>
    </w:p>
    <w:p>
      <w:pPr>
        <w:spacing w:after="0" w:line="198" w:lineRule="exact"/>
        <w:rPr>
          <w:sz w:val="20"/>
          <w:szCs w:val="20"/>
          <w:color w:val="auto"/>
        </w:rPr>
      </w:pPr>
    </w:p>
    <w:p>
      <w:pPr>
        <w:ind w:left="1687" w:hanging="576"/>
        <w:spacing w:after="0"/>
        <w:tabs>
          <w:tab w:leader="none" w:pos="1687" w:val="left"/>
        </w:tabs>
        <w:numPr>
          <w:ilvl w:val="1"/>
          <w:numId w:val="347"/>
        </w:numPr>
        <w:rPr>
          <w:rFonts w:ascii="Arial" w:cs="Arial" w:eastAsia="Arial" w:hAnsi="Arial"/>
          <w:sz w:val="15"/>
          <w:szCs w:val="15"/>
          <w:color w:val="auto"/>
        </w:rPr>
      </w:pPr>
      <w:r>
        <w:rPr>
          <w:rFonts w:ascii="Arial" w:cs="Arial" w:eastAsia="Arial" w:hAnsi="Arial"/>
          <w:sz w:val="15"/>
          <w:szCs w:val="15"/>
          <w:color w:val="auto"/>
        </w:rPr>
        <w:t>Executive’s commission of, or indictment or conviction of, any felony or any crime involving dishonesty by Executive;</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347"/>
        </w:numPr>
        <w:rPr>
          <w:rFonts w:ascii="Arial" w:cs="Arial" w:eastAsia="Arial" w:hAnsi="Arial"/>
          <w:sz w:val="15"/>
          <w:szCs w:val="15"/>
          <w:color w:val="auto"/>
        </w:rPr>
      </w:pPr>
      <w:r>
        <w:rPr>
          <w:rFonts w:ascii="Arial" w:cs="Arial" w:eastAsia="Arial" w:hAnsi="Arial"/>
          <w:sz w:val="15"/>
          <w:szCs w:val="15"/>
          <w:color w:val="auto"/>
        </w:rPr>
        <w:t>Executive’s participation in any fraud against the Company;</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1"/>
          <w:numId w:val="347"/>
        </w:numPr>
        <w:rPr>
          <w:rFonts w:ascii="Arial" w:cs="Arial" w:eastAsia="Arial" w:hAnsi="Arial"/>
          <w:sz w:val="15"/>
          <w:szCs w:val="15"/>
          <w:color w:val="auto"/>
        </w:rPr>
      </w:pPr>
      <w:r>
        <w:rPr>
          <w:rFonts w:ascii="Arial" w:cs="Arial" w:eastAsia="Arial" w:hAnsi="Arial"/>
          <w:sz w:val="15"/>
          <w:szCs w:val="15"/>
          <w:color w:val="auto"/>
        </w:rPr>
        <w:t>any intentional damage to any property of the Company by Executive;</w:t>
      </w:r>
    </w:p>
    <w:p>
      <w:pPr>
        <w:spacing w:after="0" w:line="198" w:lineRule="exact"/>
        <w:rPr>
          <w:rFonts w:ascii="Arial" w:cs="Arial" w:eastAsia="Arial" w:hAnsi="Arial"/>
          <w:sz w:val="15"/>
          <w:szCs w:val="15"/>
          <w:color w:val="auto"/>
        </w:rPr>
      </w:pPr>
    </w:p>
    <w:p>
      <w:pPr>
        <w:ind w:left="547" w:right="40" w:firstLine="564"/>
        <w:spacing w:after="0" w:line="289" w:lineRule="auto"/>
        <w:tabs>
          <w:tab w:leader="none" w:pos="1674" w:val="left"/>
        </w:tabs>
        <w:numPr>
          <w:ilvl w:val="1"/>
          <w:numId w:val="347"/>
        </w:numPr>
        <w:rPr>
          <w:rFonts w:ascii="Arial" w:cs="Arial" w:eastAsia="Arial" w:hAnsi="Arial"/>
          <w:sz w:val="15"/>
          <w:szCs w:val="15"/>
          <w:color w:val="auto"/>
        </w:rPr>
      </w:pPr>
      <w:r>
        <w:rPr>
          <w:rFonts w:ascii="Arial" w:cs="Arial" w:eastAsia="Arial" w:hAnsi="Arial"/>
          <w:sz w:val="15"/>
          <w:szCs w:val="15"/>
          <w:color w:val="auto"/>
        </w:rPr>
        <w:t>Executive’s misconduct which materially and adversely reflects upon the business, operations, or reputation of the Company, which misconduct has not been cured (or cannot be cured) within thirty (30) days after the Company gives written notice to Executive regarding such misconduct; or</w:t>
      </w:r>
    </w:p>
    <w:p>
      <w:pPr>
        <w:spacing w:after="0" w:line="140" w:lineRule="exact"/>
        <w:rPr>
          <w:rFonts w:ascii="Arial" w:cs="Arial" w:eastAsia="Arial" w:hAnsi="Arial"/>
          <w:sz w:val="15"/>
          <w:szCs w:val="15"/>
          <w:color w:val="auto"/>
        </w:rPr>
      </w:pPr>
    </w:p>
    <w:p>
      <w:pPr>
        <w:ind w:left="547" w:right="80" w:firstLine="564"/>
        <w:spacing w:after="0" w:line="289" w:lineRule="auto"/>
        <w:tabs>
          <w:tab w:leader="none" w:pos="1665" w:val="left"/>
        </w:tabs>
        <w:numPr>
          <w:ilvl w:val="1"/>
          <w:numId w:val="347"/>
        </w:numPr>
        <w:rPr>
          <w:rFonts w:ascii="Arial" w:cs="Arial" w:eastAsia="Arial" w:hAnsi="Arial"/>
          <w:sz w:val="15"/>
          <w:szCs w:val="15"/>
          <w:color w:val="auto"/>
        </w:rPr>
      </w:pPr>
      <w:r>
        <w:rPr>
          <w:rFonts w:ascii="Arial" w:cs="Arial" w:eastAsia="Arial" w:hAnsi="Arial"/>
          <w:sz w:val="15"/>
          <w:szCs w:val="15"/>
          <w:color w:val="auto"/>
        </w:rPr>
        <w:t>Executive’s breach of any material provision of this Agreement or any other written agreement between Executive and the Company and failure to cure such breach (if capable of cure) within thirty (30) days after the Company gives written notice to Executive regarding such breach.</w:t>
      </w:r>
    </w:p>
    <w:p>
      <w:pPr>
        <w:spacing w:after="0" w:line="140" w:lineRule="exact"/>
        <w:rPr>
          <w:rFonts w:ascii="Arial" w:cs="Arial" w:eastAsia="Arial" w:hAnsi="Arial"/>
          <w:sz w:val="15"/>
          <w:szCs w:val="15"/>
          <w:color w:val="auto"/>
        </w:rPr>
      </w:pPr>
    </w:p>
    <w:p>
      <w:pPr>
        <w:ind w:left="1127" w:hanging="571"/>
        <w:spacing w:after="0"/>
        <w:tabs>
          <w:tab w:leader="none" w:pos="1127" w:val="left"/>
        </w:tabs>
        <w:numPr>
          <w:ilvl w:val="0"/>
          <w:numId w:val="348"/>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“Change in Control” shall have the meaning set forth in the version of the Selecta Biosciences, Inc. 2016 Incentive Award Plan in effect on the</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Effective Date.</w:t>
      </w:r>
    </w:p>
    <w:p>
      <w:pPr>
        <w:spacing w:after="0" w:line="187" w:lineRule="exact"/>
        <w:rPr>
          <w:rFonts w:ascii="Arial" w:cs="Arial" w:eastAsia="Arial" w:hAnsi="Arial"/>
          <w:sz w:val="14"/>
          <w:szCs w:val="14"/>
          <w:color w:val="auto"/>
        </w:rPr>
      </w:pPr>
    </w:p>
    <w:p>
      <w:pPr>
        <w:ind w:left="1127" w:hanging="571"/>
        <w:spacing w:after="0"/>
        <w:tabs>
          <w:tab w:leader="none" w:pos="1127" w:val="left"/>
        </w:tabs>
        <w:numPr>
          <w:ilvl w:val="0"/>
          <w:numId w:val="348"/>
        </w:numPr>
        <w:rPr>
          <w:rFonts w:ascii="Arial" w:cs="Arial" w:eastAsia="Arial" w:hAnsi="Arial"/>
          <w:sz w:val="15"/>
          <w:szCs w:val="15"/>
          <w:color w:val="auto"/>
        </w:rPr>
      </w:pPr>
      <w:r>
        <w:rPr>
          <w:rFonts w:ascii="Arial" w:cs="Arial" w:eastAsia="Arial" w:hAnsi="Arial"/>
          <w:sz w:val="15"/>
          <w:szCs w:val="15"/>
          <w:u w:val="single" w:color="auto"/>
          <w:color w:val="auto"/>
        </w:rPr>
        <w:t>Code</w:t>
      </w:r>
      <w:r>
        <w:rPr>
          <w:rFonts w:ascii="Arial" w:cs="Arial" w:eastAsia="Arial" w:hAnsi="Arial"/>
          <w:sz w:val="15"/>
          <w:szCs w:val="15"/>
          <w:color w:val="auto"/>
        </w:rPr>
        <w:t>. “Code” shall mean the Internal Revenue Code of 1986, as amended, and the regulations and guidance promulgated thereunder.</w:t>
      </w:r>
    </w:p>
    <w:p>
      <w:pPr>
        <w:spacing w:after="0" w:line="198" w:lineRule="exact"/>
        <w:rPr>
          <w:rFonts w:ascii="Arial" w:cs="Arial" w:eastAsia="Arial" w:hAnsi="Arial"/>
          <w:sz w:val="15"/>
          <w:szCs w:val="15"/>
          <w:color w:val="auto"/>
        </w:rPr>
      </w:pPr>
    </w:p>
    <w:p>
      <w:pPr>
        <w:ind w:left="7" w:right="380" w:firstLine="549"/>
        <w:spacing w:after="0" w:line="273" w:lineRule="auto"/>
        <w:tabs>
          <w:tab w:leader="none" w:pos="1125" w:val="left"/>
        </w:tabs>
        <w:numPr>
          <w:ilvl w:val="0"/>
          <w:numId w:val="348"/>
        </w:numPr>
        <w:rPr>
          <w:rFonts w:ascii="Arial" w:cs="Arial" w:eastAsia="Arial" w:hAnsi="Arial"/>
          <w:sz w:val="15"/>
          <w:szCs w:val="15"/>
          <w:color w:val="auto"/>
        </w:rPr>
      </w:pPr>
      <w:r>
        <w:rPr>
          <w:rFonts w:ascii="Arial" w:cs="Arial" w:eastAsia="Arial" w:hAnsi="Arial"/>
          <w:sz w:val="15"/>
          <w:szCs w:val="15"/>
          <w:u w:val="single" w:color="auto"/>
          <w:color w:val="auto"/>
        </w:rPr>
        <w:t>Date of Termination</w:t>
      </w:r>
      <w:r>
        <w:rPr>
          <w:rFonts w:ascii="Arial" w:cs="Arial" w:eastAsia="Arial" w:hAnsi="Arial"/>
          <w:sz w:val="15"/>
          <w:szCs w:val="15"/>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5"/>
          <w:szCs w:val="15"/>
          <w:u w:val="single" w:color="auto"/>
          <w:color w:val="auto"/>
        </w:rPr>
        <w:t>Section 3(a)(ii) — (vi)</w:t>
      </w:r>
      <w:r>
        <w:rPr>
          <w:rFonts w:ascii="Arial" w:cs="Arial" w:eastAsia="Arial" w:hAnsi="Arial"/>
          <w:sz w:val="15"/>
          <w:szCs w:val="15"/>
          <w:color w:val="auto"/>
        </w:rPr>
        <w:t xml:space="preserve"> either the date indicated in the Notice of Termination or the date specified by the Company pursuant to </w:t>
      </w:r>
      <w:r>
        <w:rPr>
          <w:rFonts w:ascii="Arial" w:cs="Arial" w:eastAsia="Arial" w:hAnsi="Arial"/>
          <w:sz w:val="15"/>
          <w:szCs w:val="15"/>
          <w:u w:val="single" w:color="auto"/>
          <w:color w:val="auto"/>
        </w:rPr>
        <w:t>Section 3(b)</w:t>
      </w:r>
      <w:r>
        <w:rPr>
          <w:rFonts w:ascii="Arial" w:cs="Arial" w:eastAsia="Arial" w:hAnsi="Arial"/>
          <w:sz w:val="15"/>
          <w:szCs w:val="15"/>
          <w:color w:val="auto"/>
        </w:rPr>
        <w:t>, whichever is earlier.</w:t>
      </w:r>
    </w:p>
    <w:p>
      <w:pPr>
        <w:spacing w:after="0" w:line="152" w:lineRule="exact"/>
        <w:rPr>
          <w:rFonts w:ascii="Arial" w:cs="Arial" w:eastAsia="Arial" w:hAnsi="Arial"/>
          <w:sz w:val="15"/>
          <w:szCs w:val="15"/>
          <w:color w:val="auto"/>
        </w:rPr>
      </w:pPr>
    </w:p>
    <w:p>
      <w:pPr>
        <w:ind w:left="7" w:firstLine="549"/>
        <w:spacing w:after="0" w:line="261" w:lineRule="auto"/>
        <w:tabs>
          <w:tab w:leader="none" w:pos="1128" w:val="left"/>
        </w:tabs>
        <w:numPr>
          <w:ilvl w:val="0"/>
          <w:numId w:val="348"/>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5"/>
          <w:szCs w:val="15"/>
          <w:i w:val="1"/>
          <w:iCs w:val="1"/>
          <w:color w:val="auto"/>
        </w:rPr>
        <w:t>provided, however</w:t>
      </w:r>
      <w:r>
        <w:rPr>
          <w:rFonts w:ascii="Arial" w:cs="Arial" w:eastAsia="Arial" w:hAnsi="Arial"/>
          <w:sz w:val="15"/>
          <w:szCs w:val="15"/>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64" w:lineRule="exact"/>
        <w:rPr>
          <w:rFonts w:ascii="Arial" w:cs="Arial" w:eastAsia="Arial" w:hAnsi="Arial"/>
          <w:sz w:val="15"/>
          <w:szCs w:val="15"/>
          <w:color w:val="auto"/>
        </w:rPr>
      </w:pPr>
    </w:p>
    <w:p>
      <w:pPr>
        <w:ind w:left="7" w:right="340" w:firstLine="549"/>
        <w:spacing w:after="0" w:line="273" w:lineRule="auto"/>
        <w:tabs>
          <w:tab w:leader="none" w:pos="1123" w:val="left"/>
        </w:tabs>
        <w:numPr>
          <w:ilvl w:val="0"/>
          <w:numId w:val="348"/>
        </w:numPr>
        <w:rPr>
          <w:rFonts w:ascii="Arial" w:cs="Arial" w:eastAsia="Arial" w:hAnsi="Arial"/>
          <w:sz w:val="15"/>
          <w:szCs w:val="15"/>
          <w:color w:val="auto"/>
        </w:rPr>
      </w:pPr>
      <w:r>
        <w:rPr>
          <w:rFonts w:ascii="Arial" w:cs="Arial" w:eastAsia="Arial" w:hAnsi="Arial"/>
          <w:sz w:val="15"/>
          <w:szCs w:val="15"/>
          <w:u w:val="single" w:color="auto"/>
          <w:color w:val="auto"/>
        </w:rPr>
        <w:t>Good Reason</w:t>
      </w:r>
      <w:r>
        <w:rPr>
          <w:rFonts w:ascii="Arial" w:cs="Arial" w:eastAsia="Arial" w:hAnsi="Arial"/>
          <w:sz w:val="15"/>
          <w:szCs w:val="15"/>
          <w:color w:val="auto"/>
        </w:rPr>
        <w:t>. For the sole purpose of determining Executive’s right to severance payments and benefits as described above, Executive’s resignation will be with “Good Reason” if Executive resigns within one year after any of the following events, unless Executive consents to the applicable event in writing: (i) a material reduction in Executive’s Annual Base Salary or Target Bonus, (ii) a material diminution in Executive’s authority, title, duties or areas of responsibility, (iii) the</w:t>
      </w:r>
    </w:p>
    <w:p>
      <w:pPr>
        <w:spacing w:after="0" w:line="153"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40"/>
        <w:spacing w:after="0" w:line="265" w:lineRule="auto"/>
        <w:rPr>
          <w:sz w:val="20"/>
          <w:szCs w:val="20"/>
          <w:color w:val="auto"/>
        </w:rPr>
      </w:pPr>
      <w:r>
        <w:rPr>
          <w:rFonts w:ascii="Arial" w:cs="Arial" w:eastAsia="Arial" w:hAnsi="Arial"/>
          <w:sz w:val="15"/>
          <w:szCs w:val="15"/>
          <w:color w:val="auto"/>
        </w:rPr>
        <w:t>requirement that Executive report to someone other than the Board, (iv) the relocation of Executive’s primary office to a location more than 40 miles from the Boston metropolitan area, or (v) a 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thirty (30) days after the receipt of such notice.</w:t>
      </w:r>
    </w:p>
    <w:p>
      <w:pPr>
        <w:spacing w:after="0" w:line="154" w:lineRule="exact"/>
        <w:rPr>
          <w:sz w:val="20"/>
          <w:szCs w:val="20"/>
          <w:color w:val="auto"/>
        </w:rPr>
      </w:pPr>
    </w:p>
    <w:p>
      <w:pPr>
        <w:ind w:left="547" w:hanging="547"/>
        <w:spacing w:after="0"/>
        <w:tabs>
          <w:tab w:leader="none" w:pos="547" w:val="left"/>
        </w:tabs>
        <w:numPr>
          <w:ilvl w:val="0"/>
          <w:numId w:val="34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Parachute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 w:firstLine="549"/>
        <w:spacing w:after="0" w:line="282" w:lineRule="auto"/>
        <w:tabs>
          <w:tab w:leader="none" w:pos="1117" w:val="left"/>
        </w:tabs>
        <w:numPr>
          <w:ilvl w:val="1"/>
          <w:numId w:val="349"/>
        </w:numPr>
        <w:rPr>
          <w:rFonts w:ascii="Arial" w:cs="Arial" w:eastAsia="Arial" w:hAnsi="Arial"/>
          <w:sz w:val="14"/>
          <w:szCs w:val="14"/>
          <w:color w:val="auto"/>
        </w:rPr>
      </w:pPr>
      <w:r>
        <w:rPr>
          <w:rFonts w:ascii="Arial" w:cs="Arial" w:eastAsia="Arial" w:hAnsi="Arial"/>
          <w:sz w:val="14"/>
          <w:szCs w:val="14"/>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4"/>
          <w:szCs w:val="14"/>
          <w:u w:val="single" w:color="auto"/>
          <w:color w:val="auto"/>
        </w:rPr>
        <w:t>Section 4(b)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4(c)</w:t>
      </w:r>
      <w:r>
        <w:rPr>
          <w:rFonts w:ascii="Arial" w:cs="Arial" w:eastAsia="Arial" w:hAnsi="Arial"/>
          <w:sz w:val="14"/>
          <w:szCs w:val="14"/>
          <w:color w:val="auto"/>
        </w:rPr>
        <w:t xml:space="preserve"> hereof, being hereinafter referred to as the “</w:t>
      </w:r>
      <w:r>
        <w:rPr>
          <w:rFonts w:ascii="Arial" w:cs="Arial" w:eastAsia="Arial" w:hAnsi="Arial"/>
          <w:sz w:val="14"/>
          <w:szCs w:val="14"/>
          <w:u w:val="single" w:color="auto"/>
          <w:color w:val="auto"/>
        </w:rPr>
        <w:t>Total Payments</w:t>
      </w:r>
      <w:r>
        <w:rPr>
          <w:rFonts w:ascii="Arial" w:cs="Arial" w:eastAsia="Arial" w:hAnsi="Arial"/>
          <w:sz w:val="14"/>
          <w:szCs w:val="14"/>
          <w:color w:val="auto"/>
        </w:rPr>
        <w:t>”), would be subject (in whole or in part) to the excise tax imposed by Section 4999 of the Code (the “</w:t>
      </w:r>
      <w:r>
        <w:rPr>
          <w:rFonts w:ascii="Arial" w:cs="Arial" w:eastAsia="Arial" w:hAnsi="Arial"/>
          <w:sz w:val="14"/>
          <w:szCs w:val="14"/>
          <w:u w:val="single" w:color="auto"/>
          <w:color w:val="auto"/>
        </w:rPr>
        <w:t>Excise Tax</w:t>
      </w:r>
      <w:r>
        <w:rPr>
          <w:rFonts w:ascii="Arial" w:cs="Arial" w:eastAsia="Arial" w:hAnsi="Arial"/>
          <w:sz w:val="14"/>
          <w:szCs w:val="14"/>
          <w:color w:val="auto"/>
        </w:rPr>
        <w:t xml:space="preserve">”), then the Total Payments shall be reduced (in the order provided in </w:t>
      </w:r>
      <w:r>
        <w:rPr>
          <w:rFonts w:ascii="Arial" w:cs="Arial" w:eastAsia="Arial" w:hAnsi="Arial"/>
          <w:sz w:val="14"/>
          <w:szCs w:val="14"/>
          <w:u w:val="single" w:color="auto"/>
          <w:color w:val="auto"/>
        </w:rPr>
        <w:t>Section 8(b)</w:t>
      </w:r>
      <w:r>
        <w:rPr>
          <w:rFonts w:ascii="Arial" w:cs="Arial" w:eastAsia="Arial" w:hAnsi="Arial"/>
          <w:sz w:val="14"/>
          <w:szCs w:val="14"/>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0" w:lineRule="exact"/>
        <w:rPr>
          <w:rFonts w:ascii="Arial" w:cs="Arial" w:eastAsia="Arial" w:hAnsi="Arial"/>
          <w:sz w:val="14"/>
          <w:szCs w:val="14"/>
          <w:color w:val="auto"/>
        </w:rPr>
      </w:pPr>
    </w:p>
    <w:p>
      <w:pPr>
        <w:ind w:left="7" w:right="180" w:firstLine="549"/>
        <w:spacing w:after="0" w:line="265" w:lineRule="auto"/>
        <w:tabs>
          <w:tab w:leader="none" w:pos="1125" w:val="left"/>
        </w:tabs>
        <w:numPr>
          <w:ilvl w:val="1"/>
          <w:numId w:val="349"/>
        </w:numPr>
        <w:rPr>
          <w:rFonts w:ascii="Arial" w:cs="Arial" w:eastAsia="Arial" w:hAnsi="Arial"/>
          <w:sz w:val="15"/>
          <w:szCs w:val="15"/>
          <w:color w:val="auto"/>
        </w:rPr>
      </w:pPr>
      <w:r>
        <w:rPr>
          <w:rFonts w:ascii="Arial" w:cs="Arial" w:eastAsia="Arial" w:hAnsi="Arial"/>
          <w:sz w:val="15"/>
          <w:szCs w:val="15"/>
          <w:color w:val="auto"/>
        </w:rPr>
        <w:t>The Total Payments shall be reduced in the following order: (i) reduction on a pro-rata basis of any cash severance payments that are exempt from Section 409A of the Code (“</w:t>
      </w:r>
      <w:r>
        <w:rPr>
          <w:rFonts w:ascii="Arial" w:cs="Arial" w:eastAsia="Arial" w:hAnsi="Arial"/>
          <w:sz w:val="15"/>
          <w:szCs w:val="15"/>
          <w:u w:val="single" w:color="auto"/>
          <w:color w:val="auto"/>
        </w:rPr>
        <w:t>Section 409A</w:t>
      </w:r>
      <w:r>
        <w:rPr>
          <w:rFonts w:ascii="Arial" w:cs="Arial" w:eastAsia="Arial" w:hAnsi="Arial"/>
          <w:sz w:val="15"/>
          <w:szCs w:val="15"/>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59" w:lineRule="exact"/>
        <w:rPr>
          <w:rFonts w:ascii="Arial" w:cs="Arial" w:eastAsia="Arial" w:hAnsi="Arial"/>
          <w:sz w:val="15"/>
          <w:szCs w:val="15"/>
          <w:color w:val="auto"/>
        </w:rPr>
      </w:pPr>
    </w:p>
    <w:p>
      <w:pPr>
        <w:ind w:left="7" w:right="100" w:firstLine="549"/>
        <w:spacing w:after="0" w:line="302" w:lineRule="auto"/>
        <w:tabs>
          <w:tab w:leader="none" w:pos="1128" w:val="left"/>
        </w:tabs>
        <w:numPr>
          <w:ilvl w:val="1"/>
          <w:numId w:val="349"/>
        </w:numPr>
        <w:rPr>
          <w:rFonts w:ascii="Arial" w:cs="Arial" w:eastAsia="Arial" w:hAnsi="Arial"/>
          <w:sz w:val="14"/>
          <w:szCs w:val="14"/>
          <w:color w:val="auto"/>
        </w:rPr>
      </w:pPr>
      <w:r>
        <w:rPr>
          <w:rFonts w:ascii="Arial" w:cs="Arial" w:eastAsia="Arial" w:hAnsi="Arial"/>
          <w:sz w:val="14"/>
          <w:szCs w:val="14"/>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4"/>
          <w:szCs w:val="14"/>
          <w:u w:val="single" w:color="auto"/>
          <w:color w:val="auto"/>
        </w:rPr>
        <w:t>Independent Advisors</w:t>
      </w:r>
      <w:r>
        <w:rPr>
          <w:rFonts w:ascii="Arial" w:cs="Arial" w:eastAsia="Arial" w:hAnsi="Arial"/>
          <w:sz w:val="14"/>
          <w:szCs w:val="14"/>
          <w:color w:val="auto"/>
        </w:rPr>
        <w:t xml:space="preserve">”) to make determinations regarding the application of this </w:t>
      </w:r>
      <w:r>
        <w:rPr>
          <w:rFonts w:ascii="Arial" w:cs="Arial" w:eastAsia="Arial" w:hAnsi="Arial"/>
          <w:sz w:val="14"/>
          <w:szCs w:val="14"/>
          <w:u w:val="single" w:color="auto"/>
          <w:color w:val="auto"/>
        </w:rPr>
        <w:t>Section 8</w:t>
      </w:r>
      <w:r>
        <w:rPr>
          <w:rFonts w:ascii="Arial" w:cs="Arial" w:eastAsia="Arial" w:hAnsi="Arial"/>
          <w:sz w:val="14"/>
          <w:szCs w:val="14"/>
          <w:color w:val="auto"/>
        </w:rPr>
        <w:t>. For purposes of such determinations, no portion of the Total Payments shall be taken into account which, in the opinion of the Independent Advisors, (i) does not constitute a “parachute payment” within the meaning of Section 280G(b)(2) of the</w:t>
      </w:r>
    </w:p>
    <w:p>
      <w:pPr>
        <w:sectPr>
          <w:pgSz w:w="11900" w:h="16838" w:orient="portrait"/>
          <w:cols w:equalWidth="0" w:num="1">
            <w:col w:w="11427"/>
          </w:cols>
          <w:pgMar w:left="233" w:top="129" w:right="239" w:bottom="0" w:gutter="0" w:footer="0" w:header="0"/>
        </w:sectPr>
      </w:pPr>
    </w:p>
    <w:bookmarkStart w:id="371" w:name="page372"/>
    <w:bookmarkEnd w:id="371"/>
    <w:p>
      <w:pPr>
        <w:ind w:left="7"/>
        <w:spacing w:after="0"/>
        <w:rPr>
          <w:sz w:val="20"/>
          <w:szCs w:val="20"/>
          <w:color w:val="auto"/>
        </w:rPr>
      </w:pPr>
      <w:r>
        <w:rPr>
          <w:rFonts w:ascii="Arial" w:cs="Arial" w:eastAsia="Arial" w:hAnsi="Arial"/>
          <w:sz w:val="14"/>
          <w:szCs w:val="14"/>
          <w:color w:val="auto"/>
        </w:rPr>
        <w:t>Code (including by reason of Section 280G(b)(4)(A) of the Code) or (ii) constitutes reasonable compensation for services actually rendered, within the meaning of Section 280G(b)(4)</w:t>
      </w:r>
    </w:p>
    <w:p>
      <w:pPr>
        <w:spacing w:after="0" w:line="35" w:lineRule="exact"/>
        <w:rPr>
          <w:sz w:val="20"/>
          <w:szCs w:val="20"/>
          <w:color w:val="auto"/>
        </w:rPr>
      </w:pPr>
    </w:p>
    <w:p>
      <w:pPr>
        <w:ind w:left="7" w:right="140" w:hanging="7"/>
        <w:spacing w:after="0" w:line="275" w:lineRule="auto"/>
        <w:tabs>
          <w:tab w:leader="none" w:pos="252" w:val="left"/>
        </w:tabs>
        <w:numPr>
          <w:ilvl w:val="0"/>
          <w:numId w:val="350"/>
        </w:numPr>
        <w:rPr>
          <w:rFonts w:ascii="Arial" w:cs="Arial" w:eastAsia="Arial" w:hAnsi="Arial"/>
          <w:sz w:val="15"/>
          <w:szCs w:val="15"/>
          <w:color w:val="auto"/>
        </w:rPr>
      </w:pPr>
      <w:r>
        <w:rPr>
          <w:rFonts w:ascii="Arial" w:cs="Arial" w:eastAsia="Arial" w:hAnsi="Arial"/>
          <w:sz w:val="15"/>
          <w:szCs w:val="15"/>
          <w:color w:val="auto"/>
        </w:rPr>
        <w:t>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50" w:lineRule="exact"/>
        <w:rPr>
          <w:rFonts w:ascii="Arial" w:cs="Arial" w:eastAsia="Arial" w:hAnsi="Arial"/>
          <w:sz w:val="15"/>
          <w:szCs w:val="15"/>
          <w:color w:val="auto"/>
        </w:rPr>
      </w:pPr>
    </w:p>
    <w:p>
      <w:pPr>
        <w:ind w:left="7" w:right="100" w:firstLine="549"/>
        <w:spacing w:after="0" w:line="289" w:lineRule="auto"/>
        <w:tabs>
          <w:tab w:leader="none" w:pos="1125" w:val="left"/>
        </w:tabs>
        <w:numPr>
          <w:ilvl w:val="1"/>
          <w:numId w:val="350"/>
        </w:numPr>
        <w:rPr>
          <w:rFonts w:ascii="Arial" w:cs="Arial" w:eastAsia="Arial" w:hAnsi="Arial"/>
          <w:sz w:val="15"/>
          <w:szCs w:val="15"/>
          <w:color w:val="auto"/>
        </w:rPr>
      </w:pPr>
      <w:r>
        <w:rPr>
          <w:rFonts w:ascii="Arial" w:cs="Arial" w:eastAsia="Arial" w:hAnsi="Arial"/>
          <w:sz w:val="15"/>
          <w:szCs w:val="15"/>
          <w:color w:val="auto"/>
        </w:rPr>
        <w:t xml:space="preserve">If Executive incurs legal fees or other expenses (including expert witness and accounting fees) in an effort to determine the applicability of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or establish entitlement to or obtain any</w:t>
      </w:r>
    </w:p>
    <w:p>
      <w:pPr>
        <w:spacing w:after="0" w:line="141"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40"/>
        <w:spacing w:after="0" w:line="286" w:lineRule="auto"/>
        <w:rPr>
          <w:sz w:val="20"/>
          <w:szCs w:val="20"/>
          <w:color w:val="auto"/>
        </w:rPr>
      </w:pPr>
      <w:r>
        <w:rPr>
          <w:rFonts w:ascii="Arial" w:cs="Arial" w:eastAsia="Arial" w:hAnsi="Arial"/>
          <w:sz w:val="14"/>
          <w:szCs w:val="14"/>
          <w:color w:val="auto"/>
        </w:rPr>
        <w:t xml:space="preserve">portion of the Total Payments that have been reduced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(collectively, “</w:t>
      </w:r>
      <w:r>
        <w:rPr>
          <w:rFonts w:ascii="Arial" w:cs="Arial" w:eastAsia="Arial" w:hAnsi="Arial"/>
          <w:sz w:val="14"/>
          <w:szCs w:val="14"/>
          <w:u w:val="single" w:color="auto"/>
          <w:color w:val="auto"/>
        </w:rPr>
        <w:t>Legal and Other Expenses</w:t>
      </w:r>
      <w:r>
        <w:rPr>
          <w:rFonts w:ascii="Arial" w:cs="Arial" w:eastAsia="Arial" w:hAnsi="Arial"/>
          <w:sz w:val="14"/>
          <w:szCs w:val="14"/>
          <w:color w:val="auto"/>
        </w:rPr>
        <w:t xml:space="preserve">”), Executive shall be entitled to payment of or reimbursement for such Legal and Other Expenses in accordance with this </w:t>
      </w:r>
      <w:r>
        <w:rPr>
          <w:rFonts w:ascii="Arial" w:cs="Arial" w:eastAsia="Arial" w:hAnsi="Arial"/>
          <w:sz w:val="14"/>
          <w:szCs w:val="14"/>
          <w:u w:val="single" w:color="auto"/>
          <w:color w:val="auto"/>
        </w:rPr>
        <w:t>Section 8(d)</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Sections 9(l)(iv)</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9(m)</w:t>
      </w:r>
      <w:r>
        <w:rPr>
          <w:rFonts w:ascii="Arial" w:cs="Arial" w:eastAsia="Arial" w:hAnsi="Arial"/>
          <w:sz w:val="14"/>
          <w:szCs w:val="14"/>
          <w:color w:val="auto"/>
        </w:rPr>
        <w:t xml:space="preserve"> and the other provisions of this </w:t>
      </w:r>
      <w:r>
        <w:rPr>
          <w:rFonts w:ascii="Arial" w:cs="Arial" w:eastAsia="Arial" w:hAnsi="Arial"/>
          <w:sz w:val="14"/>
          <w:szCs w:val="14"/>
          <w:u w:val="single" w:color="auto"/>
          <w:color w:val="auto"/>
        </w:rPr>
        <w:t>Section 8</w:t>
      </w:r>
      <w:r>
        <w:rPr>
          <w:rFonts w:ascii="Arial" w:cs="Arial" w:eastAsia="Arial" w:hAnsi="Arial"/>
          <w:sz w:val="14"/>
          <w:szCs w:val="14"/>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46" w:lineRule="exact"/>
        <w:rPr>
          <w:sz w:val="20"/>
          <w:szCs w:val="20"/>
          <w:color w:val="auto"/>
        </w:rPr>
      </w:pPr>
    </w:p>
    <w:p>
      <w:pPr>
        <w:ind w:left="7" w:right="40" w:firstLine="549"/>
        <w:spacing w:after="0" w:line="302" w:lineRule="auto"/>
        <w:tabs>
          <w:tab w:leader="none" w:pos="1128" w:val="left"/>
        </w:tabs>
        <w:numPr>
          <w:ilvl w:val="1"/>
          <w:numId w:val="351"/>
        </w:numPr>
        <w:rPr>
          <w:rFonts w:ascii="Arial" w:cs="Arial" w:eastAsia="Arial" w:hAnsi="Arial"/>
          <w:sz w:val="14"/>
          <w:szCs w:val="14"/>
          <w:color w:val="auto"/>
        </w:rPr>
      </w:pPr>
      <w:r>
        <w:rPr>
          <w:rFonts w:ascii="Arial" w:cs="Arial" w:eastAsia="Arial" w:hAnsi="Arial"/>
          <w:sz w:val="14"/>
          <w:szCs w:val="14"/>
          <w:color w:val="auto"/>
        </w:rPr>
        <w:t xml:space="preserve">In the event it is later determined that to implement the objective and intent of this </w:t>
      </w:r>
      <w:r>
        <w:rPr>
          <w:rFonts w:ascii="Arial" w:cs="Arial" w:eastAsia="Arial" w:hAnsi="Arial"/>
          <w:sz w:val="14"/>
          <w:szCs w:val="14"/>
          <w:u w:val="single" w:color="auto"/>
          <w:color w:val="auto"/>
        </w:rPr>
        <w:t>Section 8</w:t>
      </w:r>
      <w:r>
        <w:rPr>
          <w:rFonts w:ascii="Arial" w:cs="Arial" w:eastAsia="Arial" w:hAnsi="Arial"/>
          <w:sz w:val="14"/>
          <w:szCs w:val="14"/>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27" w:lineRule="exact"/>
        <w:rPr>
          <w:rFonts w:ascii="Arial" w:cs="Arial" w:eastAsia="Arial" w:hAnsi="Arial"/>
          <w:sz w:val="14"/>
          <w:szCs w:val="14"/>
          <w:color w:val="auto"/>
        </w:rPr>
      </w:pPr>
    </w:p>
    <w:p>
      <w:pPr>
        <w:ind w:left="547" w:hanging="547"/>
        <w:spacing w:after="0"/>
        <w:tabs>
          <w:tab w:leader="none" w:pos="547" w:val="left"/>
        </w:tabs>
        <w:numPr>
          <w:ilvl w:val="0"/>
          <w:numId w:val="35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 Provisions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180" w:firstLine="549"/>
        <w:spacing w:after="0" w:line="302" w:lineRule="auto"/>
        <w:tabs>
          <w:tab w:leader="none" w:pos="1117" w:val="left"/>
        </w:tabs>
        <w:numPr>
          <w:ilvl w:val="1"/>
          <w:numId w:val="352"/>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33" w:lineRule="exact"/>
        <w:rPr>
          <w:rFonts w:ascii="Arial" w:cs="Arial" w:eastAsia="Arial" w:hAnsi="Arial"/>
          <w:sz w:val="14"/>
          <w:szCs w:val="14"/>
          <w:color w:val="auto"/>
        </w:rPr>
      </w:pPr>
    </w:p>
    <w:p>
      <w:pPr>
        <w:ind w:left="7" w:right="220" w:firstLine="549"/>
        <w:spacing w:after="0" w:line="289" w:lineRule="auto"/>
        <w:tabs>
          <w:tab w:leader="none" w:pos="1125" w:val="left"/>
        </w:tabs>
        <w:numPr>
          <w:ilvl w:val="1"/>
          <w:numId w:val="352"/>
        </w:numPr>
        <w:rPr>
          <w:rFonts w:ascii="Arial" w:cs="Arial" w:eastAsia="Arial" w:hAnsi="Arial"/>
          <w:sz w:val="15"/>
          <w:szCs w:val="15"/>
          <w:color w:val="auto"/>
        </w:rPr>
      </w:pPr>
      <w:r>
        <w:rPr>
          <w:rFonts w:ascii="Arial" w:cs="Arial" w:eastAsia="Arial" w:hAnsi="Arial"/>
          <w:sz w:val="15"/>
          <w:szCs w:val="15"/>
          <w:u w:val="single" w:color="auto"/>
          <w:color w:val="auto"/>
        </w:rPr>
        <w:t>Validity</w:t>
      </w:r>
      <w:r>
        <w:rPr>
          <w:rFonts w:ascii="Arial" w:cs="Arial" w:eastAsia="Arial" w:hAnsi="Arial"/>
          <w:sz w:val="15"/>
          <w:szCs w:val="15"/>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40" w:lineRule="exact"/>
        <w:rPr>
          <w:rFonts w:ascii="Arial" w:cs="Arial" w:eastAsia="Arial" w:hAnsi="Arial"/>
          <w:sz w:val="15"/>
          <w:szCs w:val="15"/>
          <w:color w:val="auto"/>
        </w:rPr>
      </w:pPr>
    </w:p>
    <w:p>
      <w:pPr>
        <w:ind w:left="7" w:right="260" w:firstLine="549"/>
        <w:spacing w:after="0" w:line="289" w:lineRule="auto"/>
        <w:tabs>
          <w:tab w:leader="none" w:pos="1128" w:val="left"/>
        </w:tabs>
        <w:numPr>
          <w:ilvl w:val="1"/>
          <w:numId w:val="352"/>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40" w:lineRule="exact"/>
        <w:rPr>
          <w:rFonts w:ascii="Arial" w:cs="Arial" w:eastAsia="Arial" w:hAnsi="Arial"/>
          <w:sz w:val="15"/>
          <w:szCs w:val="15"/>
          <w:color w:val="auto"/>
        </w:rPr>
      </w:pPr>
    </w:p>
    <w:p>
      <w:pPr>
        <w:ind w:left="1687" w:hanging="576"/>
        <w:spacing w:after="0"/>
        <w:tabs>
          <w:tab w:leader="none" w:pos="1687" w:val="left"/>
        </w:tabs>
        <w:numPr>
          <w:ilvl w:val="2"/>
          <w:numId w:val="352"/>
        </w:numPr>
        <w:rPr>
          <w:rFonts w:ascii="Arial" w:cs="Arial" w:eastAsia="Arial" w:hAnsi="Arial"/>
          <w:sz w:val="15"/>
          <w:szCs w:val="15"/>
          <w:color w:val="auto"/>
        </w:rPr>
      </w:pPr>
      <w:r>
        <w:rPr>
          <w:rFonts w:ascii="Arial" w:cs="Arial" w:eastAsia="Arial" w:hAnsi="Arial"/>
          <w:sz w:val="15"/>
          <w:szCs w:val="15"/>
          <w:color w:val="auto"/>
        </w:rPr>
        <w:t>If to the Company, to the General Counsel of the Company at the Company’s headquarters,</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352"/>
        </w:numPr>
        <w:rPr>
          <w:rFonts w:ascii="Arial" w:cs="Arial" w:eastAsia="Arial" w:hAnsi="Arial"/>
          <w:sz w:val="15"/>
          <w:szCs w:val="15"/>
          <w:color w:val="auto"/>
        </w:rPr>
      </w:pPr>
      <w:r>
        <w:rPr>
          <w:rFonts w:ascii="Arial" w:cs="Arial" w:eastAsia="Arial" w:hAnsi="Arial"/>
          <w:sz w:val="15"/>
          <w:szCs w:val="15"/>
          <w:color w:val="auto"/>
        </w:rPr>
        <w:t>If to Executive, to the last address that the Company has in its personnel records for Executive, or</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352"/>
        </w:numPr>
        <w:rPr>
          <w:rFonts w:ascii="Arial" w:cs="Arial" w:eastAsia="Arial" w:hAnsi="Arial"/>
          <w:sz w:val="15"/>
          <w:szCs w:val="15"/>
          <w:color w:val="auto"/>
        </w:rPr>
      </w:pPr>
      <w:r>
        <w:rPr>
          <w:rFonts w:ascii="Arial" w:cs="Arial" w:eastAsia="Arial" w:hAnsi="Arial"/>
          <w:sz w:val="15"/>
          <w:szCs w:val="15"/>
          <w:color w:val="auto"/>
        </w:rPr>
        <w:t>at any other address as any Party shall have specified by notice in writing to the other Party.</w:t>
      </w:r>
    </w:p>
    <w:p>
      <w:pPr>
        <w:spacing w:after="0" w:line="198" w:lineRule="exact"/>
        <w:rPr>
          <w:rFonts w:ascii="Arial" w:cs="Arial" w:eastAsia="Arial" w:hAnsi="Arial"/>
          <w:sz w:val="15"/>
          <w:szCs w:val="15"/>
          <w:color w:val="auto"/>
        </w:rPr>
      </w:pPr>
    </w:p>
    <w:p>
      <w:pPr>
        <w:ind w:left="7" w:right="80" w:firstLine="549"/>
        <w:spacing w:after="0" w:line="289" w:lineRule="auto"/>
        <w:tabs>
          <w:tab w:leader="none" w:pos="1125" w:val="left"/>
        </w:tabs>
        <w:numPr>
          <w:ilvl w:val="1"/>
          <w:numId w:val="352"/>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40" w:lineRule="exact"/>
        <w:rPr>
          <w:rFonts w:ascii="Arial" w:cs="Arial" w:eastAsia="Arial" w:hAnsi="Arial"/>
          <w:sz w:val="15"/>
          <w:szCs w:val="15"/>
          <w:color w:val="auto"/>
        </w:rPr>
      </w:pPr>
    </w:p>
    <w:p>
      <w:pPr>
        <w:ind w:left="7" w:right="140" w:firstLine="549"/>
        <w:spacing w:after="0" w:line="289" w:lineRule="auto"/>
        <w:tabs>
          <w:tab w:leader="none" w:pos="1128" w:val="left"/>
        </w:tabs>
        <w:numPr>
          <w:ilvl w:val="1"/>
          <w:numId w:val="352"/>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xml:space="preserve">. The terms of this Agreement, the Restrictive Covenant Agreement incorporated herein by reference as set forth in </w:t>
      </w:r>
      <w:r>
        <w:rPr>
          <w:rFonts w:ascii="Arial" w:cs="Arial" w:eastAsia="Arial" w:hAnsi="Arial"/>
          <w:sz w:val="15"/>
          <w:szCs w:val="15"/>
          <w:u w:val="single" w:color="auto"/>
          <w:color w:val="auto"/>
        </w:rPr>
        <w:t>Section 5</w:t>
      </w:r>
      <w:r>
        <w:rPr>
          <w:rFonts w:ascii="Arial" w:cs="Arial" w:eastAsia="Arial" w:hAnsi="Arial"/>
          <w:sz w:val="15"/>
          <w:szCs w:val="15"/>
          <w:color w:val="auto"/>
        </w:rPr>
        <w:t>, the Indemnification Agreement (defined below) and any stock option agreement between the Company and Executive entered into prior to the date hereof</w:t>
      </w:r>
    </w:p>
    <w:p>
      <w:pPr>
        <w:spacing w:after="0" w:line="141"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line="268" w:lineRule="auto"/>
        <w:rPr>
          <w:sz w:val="20"/>
          <w:szCs w:val="20"/>
          <w:color w:val="auto"/>
        </w:rPr>
      </w:pPr>
      <w:r>
        <w:rPr>
          <w:rFonts w:ascii="Arial" w:cs="Arial" w:eastAsia="Arial" w:hAnsi="Arial"/>
          <w:sz w:val="15"/>
          <w:szCs w:val="15"/>
          <w:color w:val="auto"/>
        </w:rPr>
        <w:t>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56" w:lineRule="exact"/>
        <w:rPr>
          <w:sz w:val="20"/>
          <w:szCs w:val="20"/>
          <w:color w:val="auto"/>
        </w:rPr>
      </w:pPr>
    </w:p>
    <w:p>
      <w:pPr>
        <w:ind w:left="1107" w:hanging="551"/>
        <w:spacing w:after="0"/>
        <w:tabs>
          <w:tab w:leader="none" w:pos="1107" w:val="left"/>
        </w:tabs>
        <w:numPr>
          <w:ilvl w:val="1"/>
          <w:numId w:val="353"/>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xml:space="preserve">. The Parties acknowledge that they have or will enter into an Indemnification Agreement in substantially the form attached as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hereto.</w:t>
      </w:r>
    </w:p>
    <w:p>
      <w:pPr>
        <w:spacing w:after="0" w:line="209" w:lineRule="exact"/>
        <w:rPr>
          <w:rFonts w:ascii="Arial" w:cs="Arial" w:eastAsia="Arial" w:hAnsi="Arial"/>
          <w:sz w:val="14"/>
          <w:szCs w:val="14"/>
          <w:color w:val="auto"/>
        </w:rPr>
      </w:pPr>
    </w:p>
    <w:p>
      <w:pPr>
        <w:ind w:left="7" w:firstLine="549"/>
        <w:spacing w:after="0" w:line="265" w:lineRule="auto"/>
        <w:tabs>
          <w:tab w:leader="none" w:pos="1137" w:val="left"/>
        </w:tabs>
        <w:numPr>
          <w:ilvl w:val="1"/>
          <w:numId w:val="353"/>
        </w:numPr>
        <w:rPr>
          <w:rFonts w:ascii="Arial" w:cs="Arial" w:eastAsia="Arial" w:hAnsi="Arial"/>
          <w:sz w:val="15"/>
          <w:szCs w:val="15"/>
          <w:color w:val="auto"/>
        </w:rPr>
      </w:pPr>
      <w:r>
        <w:rPr>
          <w:rFonts w:ascii="Arial" w:cs="Arial" w:eastAsia="Arial" w:hAnsi="Arial"/>
          <w:sz w:val="15"/>
          <w:szCs w:val="15"/>
          <w:u w:val="single" w:color="auto"/>
          <w:color w:val="auto"/>
        </w:rPr>
        <w:t>Amendments; Waivers</w:t>
      </w:r>
      <w:r>
        <w:rPr>
          <w:rFonts w:ascii="Arial" w:cs="Arial" w:eastAsia="Arial" w:hAnsi="Arial"/>
          <w:sz w:val="15"/>
          <w:szCs w:val="15"/>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59" w:lineRule="exact"/>
        <w:rPr>
          <w:rFonts w:ascii="Arial" w:cs="Arial" w:eastAsia="Arial" w:hAnsi="Arial"/>
          <w:sz w:val="15"/>
          <w:szCs w:val="15"/>
          <w:color w:val="auto"/>
        </w:rPr>
      </w:pPr>
    </w:p>
    <w:p>
      <w:pPr>
        <w:ind w:left="7" w:right="380" w:firstLine="549"/>
        <w:spacing w:after="0" w:line="273" w:lineRule="auto"/>
        <w:tabs>
          <w:tab w:leader="none" w:pos="1125" w:val="left"/>
        </w:tabs>
        <w:numPr>
          <w:ilvl w:val="1"/>
          <w:numId w:val="353"/>
        </w:numPr>
        <w:rPr>
          <w:rFonts w:ascii="Arial" w:cs="Arial" w:eastAsia="Arial" w:hAnsi="Arial"/>
          <w:sz w:val="15"/>
          <w:szCs w:val="15"/>
          <w:color w:val="auto"/>
        </w:rPr>
      </w:pPr>
      <w:r>
        <w:rPr>
          <w:rFonts w:ascii="Arial" w:cs="Arial" w:eastAsia="Arial" w:hAnsi="Arial"/>
          <w:sz w:val="15"/>
          <w:szCs w:val="15"/>
          <w:u w:val="single" w:color="auto"/>
          <w:color w:val="auto"/>
        </w:rPr>
        <w:t>No Inconsistent Actions</w:t>
      </w:r>
      <w:r>
        <w:rPr>
          <w:rFonts w:ascii="Arial" w:cs="Arial" w:eastAsia="Arial" w:hAnsi="Arial"/>
          <w:sz w:val="15"/>
          <w:szCs w:val="15"/>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52" w:lineRule="exact"/>
        <w:rPr>
          <w:rFonts w:ascii="Arial" w:cs="Arial" w:eastAsia="Arial" w:hAnsi="Arial"/>
          <w:sz w:val="15"/>
          <w:szCs w:val="15"/>
          <w:color w:val="auto"/>
        </w:rPr>
      </w:pPr>
    </w:p>
    <w:p>
      <w:pPr>
        <w:ind w:left="7" w:right="40" w:firstLine="549"/>
        <w:spacing w:after="0" w:line="279" w:lineRule="auto"/>
        <w:tabs>
          <w:tab w:leader="none" w:pos="1138" w:val="left"/>
        </w:tabs>
        <w:numPr>
          <w:ilvl w:val="1"/>
          <w:numId w:val="353"/>
        </w:numPr>
        <w:rPr>
          <w:rFonts w:ascii="Arial" w:cs="Arial" w:eastAsia="Arial" w:hAnsi="Arial"/>
          <w:sz w:val="14"/>
          <w:szCs w:val="14"/>
          <w:color w:val="auto"/>
        </w:rPr>
      </w:pPr>
      <w:r>
        <w:rPr>
          <w:rFonts w:ascii="Arial" w:cs="Arial" w:eastAsia="Arial" w:hAnsi="Arial"/>
          <w:sz w:val="14"/>
          <w:szCs w:val="14"/>
          <w:u w:val="single" w:color="auto"/>
          <w:color w:val="auto"/>
        </w:rPr>
        <w:t>Construction</w:t>
      </w:r>
      <w:r>
        <w:rPr>
          <w:rFonts w:ascii="Arial" w:cs="Arial" w:eastAsia="Arial" w:hAnsi="Arial"/>
          <w:sz w:val="14"/>
          <w:szCs w:val="14"/>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w:t>
      </w:r>
    </w:p>
    <w:p>
      <w:pPr>
        <w:spacing w:after="0" w:line="1" w:lineRule="exact"/>
        <w:rPr>
          <w:rFonts w:ascii="Arial" w:cs="Arial" w:eastAsia="Arial" w:hAnsi="Arial"/>
          <w:sz w:val="14"/>
          <w:szCs w:val="14"/>
          <w:color w:val="auto"/>
        </w:rPr>
      </w:pPr>
    </w:p>
    <w:p>
      <w:pPr>
        <w:ind w:left="7" w:right="480" w:hanging="7"/>
        <w:spacing w:after="0" w:line="266" w:lineRule="auto"/>
        <w:tabs>
          <w:tab w:leader="none" w:pos="226" w:val="left"/>
        </w:tabs>
        <w:numPr>
          <w:ilvl w:val="0"/>
          <w:numId w:val="354"/>
        </w:numPr>
        <w:rPr>
          <w:rFonts w:ascii="Arial" w:cs="Arial" w:eastAsia="Arial" w:hAnsi="Arial"/>
          <w:sz w:val="15"/>
          <w:szCs w:val="15"/>
          <w:color w:val="auto"/>
        </w:rPr>
      </w:pPr>
      <w:r>
        <w:rPr>
          <w:rFonts w:ascii="Arial" w:cs="Arial" w:eastAsia="Arial" w:hAnsi="Arial"/>
          <w:sz w:val="15"/>
          <w:szCs w:val="15"/>
          <w:color w:val="auto"/>
        </w:rPr>
        <w:t>“herein,”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57" w:lineRule="exact"/>
        <w:rPr>
          <w:rFonts w:ascii="Arial" w:cs="Arial" w:eastAsia="Arial" w:hAnsi="Arial"/>
          <w:sz w:val="15"/>
          <w:szCs w:val="15"/>
          <w:color w:val="auto"/>
        </w:rPr>
      </w:pPr>
    </w:p>
    <w:p>
      <w:pPr>
        <w:ind w:left="7" w:right="80" w:firstLine="549"/>
        <w:spacing w:after="0" w:line="265" w:lineRule="auto"/>
        <w:tabs>
          <w:tab w:leader="none" w:pos="1126" w:val="left"/>
        </w:tabs>
        <w:numPr>
          <w:ilvl w:val="1"/>
          <w:numId w:val="354"/>
        </w:numPr>
        <w:rPr>
          <w:rFonts w:ascii="Arial" w:cs="Arial" w:eastAsia="Arial" w:hAnsi="Arial"/>
          <w:sz w:val="15"/>
          <w:szCs w:val="15"/>
          <w:color w:val="auto"/>
        </w:rPr>
      </w:pPr>
      <w:r>
        <w:rPr>
          <w:rFonts w:ascii="Arial" w:cs="Arial" w:eastAsia="Arial" w:hAnsi="Arial"/>
          <w:sz w:val="15"/>
          <w:szCs w:val="15"/>
          <w:u w:val="single" w:color="auto"/>
          <w:color w:val="auto"/>
        </w:rPr>
        <w:t>Enforcement</w:t>
      </w:r>
      <w:r>
        <w:rPr>
          <w:rFonts w:ascii="Arial" w:cs="Arial" w:eastAsia="Arial" w:hAnsi="Arial"/>
          <w:sz w:val="15"/>
          <w:szCs w:val="15"/>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59" w:lineRule="exact"/>
        <w:rPr>
          <w:rFonts w:ascii="Arial" w:cs="Arial" w:eastAsia="Arial" w:hAnsi="Arial"/>
          <w:sz w:val="15"/>
          <w:szCs w:val="15"/>
          <w:color w:val="auto"/>
        </w:rPr>
      </w:pPr>
    </w:p>
    <w:p>
      <w:pPr>
        <w:ind w:left="7" w:right="280" w:firstLine="549"/>
        <w:spacing w:after="0" w:line="289" w:lineRule="auto"/>
        <w:tabs>
          <w:tab w:leader="none" w:pos="1125" w:val="left"/>
        </w:tabs>
        <w:numPr>
          <w:ilvl w:val="1"/>
          <w:numId w:val="354"/>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shall be entitled to withhold from any amounts payable under this Agreement any federal, state, local or foreign withholding or other taxes or charges which the</w:t>
      </w:r>
    </w:p>
    <w:p>
      <w:pPr>
        <w:spacing w:after="0" w:line="141"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07"/>
          </w:cols>
          <w:pgMar w:left="233" w:top="129" w:right="259" w:bottom="105" w:gutter="0" w:footer="0" w:header="0"/>
        </w:sectPr>
      </w:pPr>
    </w:p>
    <w:bookmarkStart w:id="372" w:name="page373"/>
    <w:bookmarkEnd w:id="372"/>
    <w:p>
      <w:pPr>
        <w:spacing w:after="0" w:line="27" w:lineRule="exact"/>
        <w:rPr>
          <w:sz w:val="20"/>
          <w:szCs w:val="20"/>
          <w:color w:val="auto"/>
        </w:rPr>
      </w:pPr>
    </w:p>
    <w:p>
      <w:pPr>
        <w:ind w:left="7"/>
        <w:spacing w:after="0"/>
        <w:rPr>
          <w:sz w:val="20"/>
          <w:szCs w:val="20"/>
          <w:color w:val="auto"/>
        </w:rPr>
      </w:pPr>
      <w:r>
        <w:rPr>
          <w:rFonts w:ascii="Arial" w:cs="Arial" w:eastAsia="Arial" w:hAnsi="Arial"/>
          <w:sz w:val="15"/>
          <w:szCs w:val="15"/>
          <w:color w:val="auto"/>
        </w:rPr>
        <w:t>Company is required to withhold. The Company shall be entitled to rely on an opinion of counsel if any questions as to the amount or requirement of withholding shall arise.</w:t>
      </w:r>
    </w:p>
    <w:p>
      <w:pPr>
        <w:spacing w:after="0" w:line="198" w:lineRule="exact"/>
        <w:rPr>
          <w:sz w:val="20"/>
          <w:szCs w:val="20"/>
          <w:color w:val="auto"/>
        </w:rPr>
      </w:pPr>
    </w:p>
    <w:p>
      <w:pPr>
        <w:ind w:left="1127" w:hanging="571"/>
        <w:spacing w:after="0"/>
        <w:tabs>
          <w:tab w:leader="none" w:pos="1127" w:val="left"/>
        </w:tabs>
        <w:numPr>
          <w:ilvl w:val="0"/>
          <w:numId w:val="355"/>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47" w:right="80" w:firstLine="564"/>
        <w:spacing w:after="0" w:line="289" w:lineRule="auto"/>
        <w:tabs>
          <w:tab w:leader="none" w:pos="1677" w:val="left"/>
        </w:tabs>
        <w:numPr>
          <w:ilvl w:val="1"/>
          <w:numId w:val="355"/>
        </w:numPr>
        <w:rPr>
          <w:rFonts w:ascii="Arial" w:cs="Arial" w:eastAsia="Arial" w:hAnsi="Arial"/>
          <w:sz w:val="15"/>
          <w:szCs w:val="15"/>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 intent of the Parties is that the payments and benefits under this Agreement comply with or be exempt from Section 409A and, accordingly, to</w:t>
      </w:r>
      <w:r>
        <w:rPr>
          <w:rFonts w:ascii="Arial" w:cs="Arial" w:eastAsia="Arial" w:hAnsi="Arial"/>
          <w:sz w:val="15"/>
          <w:szCs w:val="15"/>
          <w:i w:val="1"/>
          <w:iCs w:val="1"/>
          <w:color w:val="auto"/>
        </w:rPr>
        <w:t xml:space="preserve"> </w:t>
      </w:r>
      <w:r>
        <w:rPr>
          <w:rFonts w:ascii="Arial" w:cs="Arial" w:eastAsia="Arial" w:hAnsi="Arial"/>
          <w:sz w:val="15"/>
          <w:szCs w:val="15"/>
          <w:color w:val="auto"/>
        </w:rPr>
        <w:t>the maximum extent permitted, this Agreement shall be interpreted to be in compliance therewith.</w:t>
      </w:r>
    </w:p>
    <w:p>
      <w:pPr>
        <w:spacing w:after="0" w:line="140" w:lineRule="exact"/>
        <w:rPr>
          <w:rFonts w:ascii="Arial" w:cs="Arial" w:eastAsia="Arial" w:hAnsi="Arial"/>
          <w:sz w:val="15"/>
          <w:szCs w:val="15"/>
          <w:color w:val="auto"/>
        </w:rPr>
      </w:pPr>
    </w:p>
    <w:p>
      <w:pPr>
        <w:ind w:left="547" w:right="80" w:firstLine="564"/>
        <w:spacing w:after="0" w:line="263" w:lineRule="auto"/>
        <w:tabs>
          <w:tab w:leader="none" w:pos="1686" w:val="left"/>
        </w:tabs>
        <w:numPr>
          <w:ilvl w:val="1"/>
          <w:numId w:val="355"/>
        </w:numPr>
        <w:rPr>
          <w:rFonts w:ascii="Arial" w:cs="Arial" w:eastAsia="Arial" w:hAnsi="Arial"/>
          <w:sz w:val="15"/>
          <w:szCs w:val="15"/>
          <w:color w:val="auto"/>
        </w:rPr>
      </w:pPr>
      <w:r>
        <w:rPr>
          <w:rFonts w:ascii="Arial" w:cs="Arial" w:eastAsia="Arial" w:hAnsi="Arial"/>
          <w:sz w:val="15"/>
          <w:szCs w:val="15"/>
          <w:i w:val="1"/>
          <w:iCs w:val="1"/>
          <w:color w:val="auto"/>
        </w:rPr>
        <w:t xml:space="preserve">Separation from Service. </w:t>
      </w:r>
      <w:r>
        <w:rPr>
          <w:rFonts w:ascii="Arial" w:cs="Arial" w:eastAsia="Arial" w:hAnsi="Arial"/>
          <w:sz w:val="15"/>
          <w:szCs w:val="15"/>
          <w:color w:val="auto"/>
        </w:rPr>
        <w:t>Notwithstanding anything in this Agreement to the contrary, any compensation or benefits payable under this Agreement that is</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xml:space="preserve">”) and, except as provided below, any such compensation or benefits described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not be paid, or, in the case of installments, shall not commence payment, until the sixtieth (60th) day following Executive’s Separation from Service (the “</w:t>
      </w:r>
      <w:r>
        <w:rPr>
          <w:rFonts w:ascii="Arial" w:cs="Arial" w:eastAsia="Arial" w:hAnsi="Arial"/>
          <w:sz w:val="15"/>
          <w:szCs w:val="15"/>
          <w:u w:val="single" w:color="auto"/>
          <w:color w:val="auto"/>
        </w:rPr>
        <w:t>First Payment Date</w:t>
      </w:r>
      <w:r>
        <w:rPr>
          <w:rFonts w:ascii="Arial" w:cs="Arial" w:eastAsia="Arial" w:hAnsi="Arial"/>
          <w:sz w:val="15"/>
          <w:szCs w:val="15"/>
          <w:color w:val="auto"/>
        </w:rPr>
        <w:t>”). Any installment payments that would have been made to Executive during the sixty (60) day period immediately following Executive’s Separation from Service but for the preceding sentence shall be paid to Executive on the First Payment Date and the remaining payments shall be made as provided in this Agreement.</w:t>
      </w:r>
    </w:p>
    <w:p>
      <w:pPr>
        <w:spacing w:after="0" w:line="159" w:lineRule="exact"/>
        <w:rPr>
          <w:rFonts w:ascii="Arial" w:cs="Arial" w:eastAsia="Arial" w:hAnsi="Arial"/>
          <w:sz w:val="15"/>
          <w:szCs w:val="15"/>
          <w:color w:val="auto"/>
        </w:rPr>
      </w:pPr>
    </w:p>
    <w:p>
      <w:pPr>
        <w:ind w:left="547" w:right="40" w:firstLine="564"/>
        <w:spacing w:after="0" w:line="286" w:lineRule="auto"/>
        <w:tabs>
          <w:tab w:leader="none" w:pos="1694" w:val="left"/>
        </w:tabs>
        <w:numPr>
          <w:ilvl w:val="1"/>
          <w:numId w:val="355"/>
        </w:numPr>
        <w:rPr>
          <w:rFonts w:ascii="Arial" w:cs="Arial" w:eastAsia="Arial" w:hAnsi="Arial"/>
          <w:sz w:val="14"/>
          <w:szCs w:val="14"/>
          <w:color w:val="auto"/>
        </w:rPr>
      </w:pPr>
      <w:r>
        <w:rPr>
          <w:rFonts w:ascii="Arial" w:cs="Arial" w:eastAsia="Arial" w:hAnsi="Arial"/>
          <w:sz w:val="14"/>
          <w:szCs w:val="14"/>
          <w:i w:val="1"/>
          <w:iCs w:val="1"/>
          <w:color w:val="auto"/>
        </w:rPr>
        <w:t xml:space="preserve">Specified Employee. </w:t>
      </w:r>
      <w:r>
        <w:rPr>
          <w:rFonts w:ascii="Arial" w:cs="Arial" w:eastAsia="Arial" w:hAnsi="Arial"/>
          <w:sz w:val="14"/>
          <w:szCs w:val="14"/>
          <w:color w:val="auto"/>
        </w:rPr>
        <w:t>Notwithstanding anything in this Agreement to the contrary, if Executive is deemed by the Company at the time of Executive’s</w:t>
      </w:r>
      <w:r>
        <w:rPr>
          <w:rFonts w:ascii="Arial" w:cs="Arial" w:eastAsia="Arial" w:hAnsi="Arial"/>
          <w:sz w:val="14"/>
          <w:szCs w:val="14"/>
          <w:i w:val="1"/>
          <w:iCs w:val="1"/>
          <w:color w:val="auto"/>
        </w:rPr>
        <w:t xml:space="preserve"> </w:t>
      </w:r>
      <w:r>
        <w:rPr>
          <w:rFonts w:ascii="Arial" w:cs="Arial" w:eastAsia="Arial" w:hAnsi="Arial"/>
          <w:sz w:val="14"/>
          <w:szCs w:val="14"/>
          <w:color w:val="auto"/>
        </w:rPr>
        <w:t>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46" w:lineRule="exact"/>
        <w:rPr>
          <w:rFonts w:ascii="Arial" w:cs="Arial" w:eastAsia="Arial" w:hAnsi="Arial"/>
          <w:sz w:val="14"/>
          <w:szCs w:val="14"/>
          <w:color w:val="auto"/>
        </w:rPr>
      </w:pPr>
    </w:p>
    <w:p>
      <w:pPr>
        <w:ind w:left="547" w:right="60" w:firstLine="564"/>
        <w:spacing w:after="0" w:line="265" w:lineRule="auto"/>
        <w:tabs>
          <w:tab w:leader="none" w:pos="1674" w:val="left"/>
        </w:tabs>
        <w:numPr>
          <w:ilvl w:val="1"/>
          <w:numId w:val="355"/>
        </w:numPr>
        <w:rPr>
          <w:rFonts w:ascii="Arial" w:cs="Arial" w:eastAsia="Arial" w:hAnsi="Arial"/>
          <w:sz w:val="15"/>
          <w:szCs w:val="15"/>
          <w:color w:val="auto"/>
        </w:rPr>
      </w:pPr>
      <w:r>
        <w:rPr>
          <w:rFonts w:ascii="Arial" w:cs="Arial" w:eastAsia="Arial" w:hAnsi="Arial"/>
          <w:sz w:val="15"/>
          <w:szCs w:val="15"/>
          <w:i w:val="1"/>
          <w:iCs w:val="1"/>
          <w:color w:val="auto"/>
        </w:rPr>
        <w:t xml:space="preserve">Expense Reimbursements. </w:t>
      </w:r>
      <w:r>
        <w:rPr>
          <w:rFonts w:ascii="Arial" w:cs="Arial" w:eastAsia="Arial" w:hAnsi="Arial"/>
          <w:sz w:val="15"/>
          <w:szCs w:val="15"/>
          <w:color w:val="auto"/>
        </w:rPr>
        <w:t>To the extent that any reimbursements under this Agreement are subject to Section 409A, any such reimbursements payable to</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shall be paid to Executive no later than December 31 of the year following the year in which the expense was incurred; provided, that Executive submits Executive’s reimbursement request promptly following the date the expense is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59" w:lineRule="exact"/>
        <w:rPr>
          <w:rFonts w:ascii="Arial" w:cs="Arial" w:eastAsia="Arial" w:hAnsi="Arial"/>
          <w:sz w:val="15"/>
          <w:szCs w:val="15"/>
          <w:color w:val="auto"/>
        </w:rPr>
      </w:pPr>
    </w:p>
    <w:p>
      <w:pPr>
        <w:ind w:left="547" w:right="20" w:firstLine="564"/>
        <w:spacing w:after="0" w:line="268" w:lineRule="auto"/>
        <w:tabs>
          <w:tab w:leader="none" w:pos="1665" w:val="left"/>
        </w:tabs>
        <w:numPr>
          <w:ilvl w:val="1"/>
          <w:numId w:val="355"/>
        </w:numPr>
        <w:rPr>
          <w:rFonts w:ascii="Arial" w:cs="Arial" w:eastAsia="Arial" w:hAnsi="Arial"/>
          <w:sz w:val="15"/>
          <w:szCs w:val="15"/>
          <w:color w:val="auto"/>
        </w:rPr>
      </w:pPr>
      <w:r>
        <w:rPr>
          <w:rFonts w:ascii="Arial" w:cs="Arial" w:eastAsia="Arial" w:hAnsi="Arial"/>
          <w:sz w:val="15"/>
          <w:szCs w:val="15"/>
          <w:i w:val="1"/>
          <w:iCs w:val="1"/>
          <w:color w:val="auto"/>
        </w:rPr>
        <w:t xml:space="preserve">Installments. </w:t>
      </w:r>
      <w:r>
        <w:rPr>
          <w:rFonts w:ascii="Arial" w:cs="Arial" w:eastAsia="Arial" w:hAnsi="Arial"/>
          <w:sz w:val="15"/>
          <w:szCs w:val="15"/>
          <w:color w:val="auto"/>
        </w:rPr>
        <w:t>Executive’s right to receive any installment payments under this Agreement, including without limitation any continuation salary payments that</w:t>
      </w:r>
      <w:r>
        <w:rPr>
          <w:rFonts w:ascii="Arial" w:cs="Arial" w:eastAsia="Arial" w:hAnsi="Arial"/>
          <w:sz w:val="15"/>
          <w:szCs w:val="15"/>
          <w:i w:val="1"/>
          <w:iCs w:val="1"/>
          <w:color w:val="auto"/>
        </w:rPr>
        <w:t xml:space="preserve"> </w:t>
      </w:r>
      <w:r>
        <w:rPr>
          <w:rFonts w:ascii="Arial" w:cs="Arial" w:eastAsia="Arial" w:hAnsi="Arial"/>
          <w:sz w:val="15"/>
          <w:szCs w:val="15"/>
          <w:color w:val="auto"/>
        </w:rPr>
        <w:t>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5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60" w:firstLine="549"/>
        <w:spacing w:after="0" w:line="289" w:lineRule="auto"/>
        <w:tabs>
          <w:tab w:leader="none" w:pos="1122" w:val="left"/>
        </w:tabs>
        <w:numPr>
          <w:ilvl w:val="1"/>
          <w:numId w:val="356"/>
        </w:numPr>
        <w:rPr>
          <w:rFonts w:ascii="Arial" w:cs="Arial" w:eastAsia="Arial" w:hAnsi="Arial"/>
          <w:sz w:val="15"/>
          <w:szCs w:val="15"/>
          <w:color w:val="auto"/>
        </w:rPr>
      </w:pPr>
      <w:r>
        <w:rPr>
          <w:rFonts w:ascii="Arial" w:cs="Arial" w:eastAsia="Arial" w:hAnsi="Arial"/>
          <w:sz w:val="15"/>
          <w:szCs w:val="15"/>
          <w:u w:val="single" w:color="auto"/>
          <w:color w:val="auto"/>
        </w:rPr>
        <w:t>Attorneys’ Fees</w:t>
      </w:r>
      <w:r>
        <w:rPr>
          <w:rFonts w:ascii="Arial" w:cs="Arial" w:eastAsia="Arial" w:hAnsi="Arial"/>
          <w:sz w:val="15"/>
          <w:szCs w:val="15"/>
          <w:color w:val="auto"/>
        </w:rPr>
        <w:t>. In the event that either Party prevails in a dispute with the other Party concerning the rights and obligations hereunder, the non-prevailing Party shall pay the prevailing Party’s reasonable attorneys’ fees and costs.</w:t>
      </w:r>
    </w:p>
    <w:p>
      <w:pPr>
        <w:spacing w:after="0" w:line="134" w:lineRule="exact"/>
        <w:rPr>
          <w:rFonts w:ascii="Arial" w:cs="Arial" w:eastAsia="Arial" w:hAnsi="Arial"/>
          <w:sz w:val="15"/>
          <w:szCs w:val="15"/>
          <w:color w:val="auto"/>
        </w:rPr>
      </w:pPr>
    </w:p>
    <w:p>
      <w:pPr>
        <w:ind w:left="547" w:hanging="547"/>
        <w:spacing w:after="0"/>
        <w:tabs>
          <w:tab w:leader="none" w:pos="547" w:val="left"/>
        </w:tabs>
        <w:numPr>
          <w:ilvl w:val="0"/>
          <w:numId w:val="35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Executive Acknowledgement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Executive acknowledges that Executive has read and understands this Agreement, is fully aware of its legal effect, has not acted in reliance upon any representations or</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color w:val="auto"/>
        </w:rPr>
        <w:t>promises made by the Company other than those contained in writing herein, and has entered into this Agreement freely based on Executive’s own judgment.</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rPr>
          <w:sz w:val="20"/>
          <w:szCs w:val="20"/>
          <w:color w:val="auto"/>
        </w:rPr>
      </w:pPr>
      <w:r>
        <w:rPr>
          <w:rFonts w:ascii="Arial" w:cs="Arial" w:eastAsia="Arial" w:hAnsi="Arial"/>
          <w:sz w:val="15"/>
          <w:szCs w:val="15"/>
          <w:color w:val="auto"/>
        </w:rPr>
        <w:t>IN WITNESS WHEREOF, the Parties have executed this Agreement on the date and year first above written.</w:t>
      </w:r>
    </w:p>
    <w:p>
      <w:pPr>
        <w:spacing w:after="0" w:line="192" w:lineRule="exact"/>
        <w:rPr>
          <w:sz w:val="20"/>
          <w:szCs w:val="20"/>
          <w:color w:val="auto"/>
        </w:rPr>
      </w:pPr>
    </w:p>
    <w:p>
      <w:pPr>
        <w:ind w:left="5727"/>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tbl>
      <w:tblPr>
        <w:tblLayout w:type="fixed"/>
        <w:tblInd w:w="5727" w:type="dxa"/>
        <w:tblCellMar>
          <w:top w:w="0" w:type="dxa"/>
          <w:left w:w="0" w:type="dxa"/>
          <w:bottom w:w="0" w:type="dxa"/>
          <w:right w:w="0" w:type="dxa"/>
        </w:tblCellMar>
      </w:tblP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David Abraham</w:t>
            </w:r>
          </w:p>
        </w:tc>
      </w:tr>
      <w:tr>
        <w:trPr>
          <w:trHeight w:val="166"/>
        </w:trPr>
        <w:tc>
          <w:tcPr>
            <w:tcW w:w="580" w:type="dxa"/>
            <w:vAlign w:val="bottom"/>
          </w:tcPr>
          <w:p>
            <w:pPr>
              <w:spacing w:after="0"/>
              <w:rPr>
                <w:sz w:val="14"/>
                <w:szCs w:val="14"/>
                <w:color w:val="auto"/>
              </w:rPr>
            </w:pPr>
          </w:p>
        </w:tc>
        <w:tc>
          <w:tcPr>
            <w:tcW w:w="54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600" w:type="dxa"/>
            <w:vAlign w:val="bottom"/>
          </w:tcPr>
          <w:p>
            <w:pPr>
              <w:ind w:left="120"/>
              <w:spacing w:after="0" w:line="167" w:lineRule="exact"/>
              <w:rPr>
                <w:sz w:val="20"/>
                <w:szCs w:val="20"/>
                <w:color w:val="auto"/>
              </w:rPr>
            </w:pPr>
            <w:r>
              <w:rPr>
                <w:rFonts w:ascii="Arial" w:cs="Arial" w:eastAsia="Arial" w:hAnsi="Arial"/>
                <w:sz w:val="15"/>
                <w:szCs w:val="15"/>
                <w:color w:val="auto"/>
              </w:rPr>
              <w:t>David Abraham</w:t>
            </w:r>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Title:</w:t>
            </w:r>
          </w:p>
        </w:tc>
        <w:tc>
          <w:tcPr>
            <w:tcW w:w="4600" w:type="dxa"/>
            <w:vAlign w:val="bottom"/>
          </w:tcPr>
          <w:p>
            <w:pPr>
              <w:ind w:left="120"/>
              <w:spacing w:after="0"/>
              <w:rPr>
                <w:sz w:val="20"/>
                <w:szCs w:val="20"/>
                <w:color w:val="auto"/>
              </w:rPr>
            </w:pPr>
            <w:r>
              <w:rPr>
                <w:rFonts w:ascii="Arial" w:cs="Arial" w:eastAsia="Arial" w:hAnsi="Arial"/>
                <w:sz w:val="15"/>
                <w:szCs w:val="15"/>
                <w:color w:val="auto"/>
              </w:rPr>
              <w:t>General Counsel and Corporate Secretary</w:t>
            </w:r>
          </w:p>
        </w:tc>
      </w:tr>
    </w:tbl>
    <w:p>
      <w:pPr>
        <w:spacing w:after="0" w:line="175"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625850" cy="762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Werner Cautreels, Ph.D.</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285990" cy="2730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EXHIBIT A</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Separation Agreement and Release</w:t>
      </w:r>
    </w:p>
    <w:p>
      <w:pPr>
        <w:spacing w:after="0" w:line="204" w:lineRule="exact"/>
        <w:rPr>
          <w:sz w:val="20"/>
          <w:szCs w:val="20"/>
          <w:color w:val="auto"/>
        </w:rPr>
      </w:pPr>
    </w:p>
    <w:p>
      <w:pPr>
        <w:ind w:left="7" w:right="440" w:firstLine="556"/>
        <w:spacing w:after="0" w:line="273" w:lineRule="auto"/>
        <w:rPr>
          <w:sz w:val="20"/>
          <w:szCs w:val="20"/>
          <w:color w:val="auto"/>
        </w:rPr>
      </w:pPr>
      <w:r>
        <w:rPr>
          <w:rFonts w:ascii="Arial" w:cs="Arial" w:eastAsia="Arial" w:hAnsi="Arial"/>
          <w:sz w:val="15"/>
          <w:szCs w:val="15"/>
          <w:color w:val="auto"/>
        </w:rPr>
        <w:t>This Separation Agreement and Release (“Agreement”) is made by and between Werner Cautreels, Ph.D.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153" w:lineRule="exact"/>
        <w:rPr>
          <w:sz w:val="20"/>
          <w:szCs w:val="20"/>
          <w:color w:val="auto"/>
        </w:rPr>
      </w:pPr>
    </w:p>
    <w:p>
      <w:pPr>
        <w:ind w:left="547"/>
        <w:spacing w:after="0"/>
        <w:rPr>
          <w:sz w:val="20"/>
          <w:szCs w:val="20"/>
          <w:color w:val="auto"/>
        </w:rPr>
      </w:pPr>
      <w:r>
        <w:rPr>
          <w:rFonts w:ascii="Arial" w:cs="Arial" w:eastAsia="Arial" w:hAnsi="Arial"/>
          <w:sz w:val="15"/>
          <w:szCs w:val="15"/>
          <w:color w:val="auto"/>
        </w:rPr>
        <w:t>WHEREAS, the Parties have previously entered into that certain Employment Agreement, dated as of June 6, 2016 (the “Employment Agreement”); and</w:t>
      </w:r>
    </w:p>
    <w:p>
      <w:pPr>
        <w:spacing w:after="0" w:line="198" w:lineRule="exact"/>
        <w:rPr>
          <w:sz w:val="20"/>
          <w:szCs w:val="20"/>
          <w:color w:val="auto"/>
        </w:rPr>
      </w:pPr>
    </w:p>
    <w:p>
      <w:pPr>
        <w:ind w:left="7" w:right="80" w:firstLine="556"/>
        <w:spacing w:after="0" w:line="284" w:lineRule="auto"/>
        <w:rPr>
          <w:sz w:val="20"/>
          <w:szCs w:val="20"/>
          <w:color w:val="auto"/>
        </w:rPr>
      </w:pPr>
      <w:r>
        <w:rPr>
          <w:rFonts w:ascii="Arial" w:cs="Arial" w:eastAsia="Arial" w:hAnsi="Arial"/>
          <w:sz w:val="14"/>
          <w:szCs w:val="14"/>
          <w:color w:val="auto"/>
        </w:rPr>
        <w:t>WHEREAS, in connection with Executive’s termination of employment with the Company or a subsidiary or affiliate of the Company effective , 20 ,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149" w:lineRule="exact"/>
        <w:rPr>
          <w:sz w:val="20"/>
          <w:szCs w:val="20"/>
          <w:color w:val="auto"/>
        </w:rPr>
      </w:pPr>
    </w:p>
    <w:p>
      <w:pPr>
        <w:jc w:val="both"/>
        <w:ind w:left="7" w:right="340" w:firstLine="556"/>
        <w:spacing w:after="0" w:line="273" w:lineRule="auto"/>
        <w:rPr>
          <w:sz w:val="20"/>
          <w:szCs w:val="20"/>
          <w:color w:val="auto"/>
        </w:rPr>
      </w:pPr>
      <w:r>
        <w:rPr>
          <w:rFonts w:ascii="Arial" w:cs="Arial" w:eastAsia="Arial" w:hAnsi="Arial"/>
          <w:sz w:val="15"/>
          <w:szCs w:val="15"/>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ectPr>
          <w:pgSz w:w="11900" w:h="16866" w:orient="portrait"/>
          <w:cols w:equalWidth="0" w:num="1">
            <w:col w:w="11447"/>
          </w:cols>
          <w:pgMar w:left="233" w:top="129" w:right="219" w:bottom="0" w:gutter="0" w:footer="0" w:header="0"/>
        </w:sectPr>
      </w:pPr>
    </w:p>
    <w:bookmarkStart w:id="373" w:name="page374"/>
    <w:bookmarkEnd w:id="373"/>
    <w:p>
      <w:pPr>
        <w:ind w:right="420" w:firstLine="549"/>
        <w:spacing w:after="0" w:line="268" w:lineRule="auto"/>
        <w:tabs>
          <w:tab w:leader="none" w:pos="1112" w:val="left"/>
        </w:tabs>
        <w:numPr>
          <w:ilvl w:val="0"/>
          <w:numId w:val="358"/>
        </w:numPr>
        <w:rPr>
          <w:rFonts w:ascii="Arial" w:cs="Arial" w:eastAsia="Arial" w:hAnsi="Arial"/>
          <w:sz w:val="15"/>
          <w:szCs w:val="15"/>
          <w:color w:val="auto"/>
        </w:rPr>
      </w:pPr>
      <w:r>
        <w:rPr>
          <w:rFonts w:ascii="Arial" w:cs="Arial" w:eastAsia="Arial" w:hAnsi="Arial"/>
          <w:sz w:val="15"/>
          <w:szCs w:val="15"/>
          <w:u w:val="single" w:color="auto"/>
          <w:color w:val="auto"/>
        </w:rPr>
        <w:t>Severance Payments; Salary and Benefits</w:t>
      </w:r>
      <w:r>
        <w:rPr>
          <w:rFonts w:ascii="Arial" w:cs="Arial" w:eastAsia="Arial" w:hAnsi="Arial"/>
          <w:sz w:val="15"/>
          <w:szCs w:val="15"/>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56" w:lineRule="exact"/>
        <w:rPr>
          <w:rFonts w:ascii="Arial" w:cs="Arial" w:eastAsia="Arial" w:hAnsi="Arial"/>
          <w:sz w:val="15"/>
          <w:szCs w:val="15"/>
          <w:color w:val="auto"/>
        </w:rPr>
      </w:pPr>
    </w:p>
    <w:p>
      <w:pPr>
        <w:ind w:right="80" w:firstLine="549"/>
        <w:spacing w:after="0" w:line="283" w:lineRule="auto"/>
        <w:tabs>
          <w:tab w:leader="none" w:pos="1112" w:val="left"/>
        </w:tabs>
        <w:numPr>
          <w:ilvl w:val="0"/>
          <w:numId w:val="358"/>
        </w:numPr>
        <w:rPr>
          <w:rFonts w:ascii="Arial" w:cs="Arial" w:eastAsia="Arial" w:hAnsi="Arial"/>
          <w:sz w:val="14"/>
          <w:szCs w:val="14"/>
          <w:color w:val="auto"/>
        </w:rPr>
      </w:pPr>
      <w:r>
        <w:rPr>
          <w:rFonts w:ascii="Arial" w:cs="Arial" w:eastAsia="Arial" w:hAnsi="Arial"/>
          <w:sz w:val="14"/>
          <w:szCs w:val="14"/>
          <w:u w:val="single" w:color="auto"/>
          <w:color w:val="auto"/>
        </w:rPr>
        <w:t>Release of Claims</w:t>
      </w:r>
      <w:r>
        <w:rPr>
          <w:rFonts w:ascii="Arial" w:cs="Arial" w:eastAsia="Arial" w:hAnsi="Arial"/>
          <w:sz w:val="14"/>
          <w:szCs w:val="14"/>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(as defined in Section 7 below), including, without limitation: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ind w:right="80" w:firstLine="1104"/>
        <w:spacing w:after="0" w:line="289" w:lineRule="auto"/>
        <w:tabs>
          <w:tab w:leader="none" w:pos="1665"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employment or service relationship with the Company or any of its direct or indirect subsidiaries or affiliates and the termination of that relationship;</w:t>
      </w:r>
    </w:p>
    <w:p>
      <w:pPr>
        <w:spacing w:after="0" w:line="140" w:lineRule="exact"/>
        <w:rPr>
          <w:rFonts w:ascii="Arial" w:cs="Arial" w:eastAsia="Arial" w:hAnsi="Arial"/>
          <w:sz w:val="15"/>
          <w:szCs w:val="15"/>
          <w:color w:val="auto"/>
        </w:rPr>
      </w:pPr>
    </w:p>
    <w:p>
      <w:pPr>
        <w:ind w:right="60" w:firstLine="1104"/>
        <w:spacing w:after="0" w:line="273" w:lineRule="auto"/>
        <w:tabs>
          <w:tab w:leader="none" w:pos="1674"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2" w:lineRule="exact"/>
        <w:rPr>
          <w:rFonts w:ascii="Arial" w:cs="Arial" w:eastAsia="Arial" w:hAnsi="Arial"/>
          <w:sz w:val="15"/>
          <w:szCs w:val="15"/>
          <w:color w:val="auto"/>
        </w:rPr>
      </w:pPr>
    </w:p>
    <w:p>
      <w:pPr>
        <w:ind w:right="140" w:firstLine="1104"/>
        <w:spacing w:after="0" w:line="268" w:lineRule="auto"/>
        <w:tabs>
          <w:tab w:leader="none" w:pos="1677"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56" w:lineRule="exact"/>
        <w:rPr>
          <w:rFonts w:ascii="Arial" w:cs="Arial" w:eastAsia="Arial" w:hAnsi="Arial"/>
          <w:sz w:val="15"/>
          <w:szCs w:val="15"/>
          <w:color w:val="auto"/>
        </w:rPr>
      </w:pPr>
    </w:p>
    <w:p>
      <w:pPr>
        <w:ind w:right="180" w:firstLine="1104"/>
        <w:spacing w:after="0" w:line="268" w:lineRule="auto"/>
        <w:tabs>
          <w:tab w:leader="none" w:pos="1674"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56" w:lineRule="exact"/>
        <w:rPr>
          <w:rFonts w:ascii="Arial" w:cs="Arial" w:eastAsia="Arial" w:hAnsi="Arial"/>
          <w:sz w:val="15"/>
          <w:szCs w:val="15"/>
          <w:color w:val="auto"/>
        </w:rPr>
      </w:pPr>
    </w:p>
    <w:p>
      <w:pPr>
        <w:ind w:left="1660" w:hanging="556"/>
        <w:spacing w:after="0"/>
        <w:tabs>
          <w:tab w:leader="none" w:pos="1660"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any and all claims for violation of the federal or any state constitution;</w:t>
      </w:r>
    </w:p>
    <w:p>
      <w:pPr>
        <w:spacing w:after="0" w:line="198" w:lineRule="exact"/>
        <w:rPr>
          <w:rFonts w:ascii="Arial" w:cs="Arial" w:eastAsia="Arial" w:hAnsi="Arial"/>
          <w:sz w:val="15"/>
          <w:szCs w:val="15"/>
          <w:color w:val="auto"/>
        </w:rPr>
      </w:pPr>
    </w:p>
    <w:p>
      <w:pPr>
        <w:ind w:left="1660" w:hanging="556"/>
        <w:spacing w:after="0"/>
        <w:tabs>
          <w:tab w:leader="none" w:pos="1660"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any and all claims arising out of any other laws and regulations relating to employment or employment discrimination;</w:t>
      </w:r>
    </w:p>
    <w:p>
      <w:pPr>
        <w:spacing w:after="0" w:line="198" w:lineRule="exact"/>
        <w:rPr>
          <w:rFonts w:ascii="Arial" w:cs="Arial" w:eastAsia="Arial" w:hAnsi="Arial"/>
          <w:sz w:val="15"/>
          <w:szCs w:val="15"/>
          <w:color w:val="auto"/>
        </w:rPr>
      </w:pPr>
    </w:p>
    <w:p>
      <w:pPr>
        <w:ind w:right="20" w:firstLine="1104"/>
        <w:spacing w:after="0" w:line="289" w:lineRule="auto"/>
        <w:tabs>
          <w:tab w:leader="none" w:pos="1686"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any claim for any loss, cost, damage, or expense arising out of any dispute over the non-withholding or other tax treatment of any of the proceeds received by Executive as a result of this Agreement; and</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any and all claims for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-3260090</wp:posOffset>
            </wp:positionV>
            <wp:extent cx="7285990" cy="2730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such monetary relief from the Company or any Releasee),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law and any Retained Claims. This release further does not release claims for breach of Section 3(c), Section 4(b) or Section 4(c) of the Employment Agreement.</w:t>
      </w:r>
    </w:p>
    <w:p>
      <w:pPr>
        <w:spacing w:after="0" w:line="198" w:lineRule="exact"/>
        <w:rPr>
          <w:sz w:val="20"/>
          <w:szCs w:val="20"/>
          <w:color w:val="auto"/>
        </w:rPr>
      </w:pPr>
    </w:p>
    <w:p>
      <w:pPr>
        <w:ind w:firstLine="549"/>
        <w:spacing w:after="0" w:line="281" w:lineRule="auto"/>
        <w:tabs>
          <w:tab w:leader="none" w:pos="1112" w:val="left"/>
        </w:tabs>
        <w:numPr>
          <w:ilvl w:val="0"/>
          <w:numId w:val="359"/>
        </w:numPr>
        <w:rPr>
          <w:rFonts w:ascii="Arial" w:cs="Arial" w:eastAsia="Arial" w:hAnsi="Arial"/>
          <w:sz w:val="14"/>
          <w:szCs w:val="14"/>
          <w:color w:val="auto"/>
        </w:rPr>
      </w:pPr>
      <w:r>
        <w:rPr>
          <w:rFonts w:ascii="Arial" w:cs="Arial" w:eastAsia="Arial" w:hAnsi="Arial"/>
          <w:sz w:val="14"/>
          <w:szCs w:val="14"/>
          <w:u w:val="single" w:color="auto"/>
          <w:color w:val="auto"/>
        </w:rPr>
        <w:t>Acknowledgment of Waiver of Claims under ADEA</w:t>
      </w:r>
      <w:r>
        <w:rPr>
          <w:rFonts w:ascii="Arial" w:cs="Arial" w:eastAsia="Arial" w:hAnsi="Arial"/>
          <w:sz w:val="14"/>
          <w:szCs w:val="14"/>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Effective Date of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53" w:lineRule="exact"/>
        <w:rPr>
          <w:rFonts w:ascii="Arial" w:cs="Arial" w:eastAsia="Arial" w:hAnsi="Arial"/>
          <w:sz w:val="14"/>
          <w:szCs w:val="14"/>
          <w:color w:val="auto"/>
        </w:rPr>
      </w:pPr>
    </w:p>
    <w:p>
      <w:pPr>
        <w:ind w:right="160" w:firstLine="549"/>
        <w:spacing w:after="0" w:line="327" w:lineRule="auto"/>
        <w:tabs>
          <w:tab w:leader="none" w:pos="1112" w:val="left"/>
        </w:tabs>
        <w:numPr>
          <w:ilvl w:val="0"/>
          <w:numId w:val="359"/>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17" w:lineRule="exact"/>
        <w:rPr>
          <w:rFonts w:ascii="Arial" w:cs="Arial" w:eastAsia="Arial" w:hAnsi="Arial"/>
          <w:sz w:val="14"/>
          <w:szCs w:val="14"/>
          <w:color w:val="auto"/>
        </w:rPr>
      </w:pPr>
    </w:p>
    <w:p>
      <w:pPr>
        <w:ind w:left="1100" w:hanging="551"/>
        <w:spacing w:after="0"/>
        <w:tabs>
          <w:tab w:leader="none" w:pos="1100" w:val="left"/>
        </w:tabs>
        <w:numPr>
          <w:ilvl w:val="0"/>
          <w:numId w:val="359"/>
        </w:numPr>
        <w:rPr>
          <w:rFonts w:ascii="Arial" w:cs="Arial" w:eastAsia="Arial" w:hAnsi="Arial"/>
          <w:sz w:val="15"/>
          <w:szCs w:val="15"/>
          <w:color w:val="auto"/>
        </w:rPr>
      </w:pPr>
      <w:r>
        <w:rPr>
          <w:rFonts w:ascii="Arial" w:cs="Arial" w:eastAsia="Arial" w:hAnsi="Arial"/>
          <w:sz w:val="15"/>
          <w:szCs w:val="15"/>
          <w:u w:val="single" w:color="auto"/>
          <w:color w:val="auto"/>
        </w:rPr>
        <w:t>No Oral Modification</w:t>
      </w:r>
      <w:r>
        <w:rPr>
          <w:rFonts w:ascii="Arial" w:cs="Arial" w:eastAsia="Arial" w:hAnsi="Arial"/>
          <w:sz w:val="15"/>
          <w:szCs w:val="15"/>
          <w:color w:val="auto"/>
        </w:rPr>
        <w:t>. This Agreement may only be amended in a writing signed by Executive and a duly authorized officer of the Company.</w:t>
      </w:r>
    </w:p>
    <w:p>
      <w:pPr>
        <w:spacing w:after="0" w:line="198" w:lineRule="exact"/>
        <w:rPr>
          <w:rFonts w:ascii="Arial" w:cs="Arial" w:eastAsia="Arial" w:hAnsi="Arial"/>
          <w:sz w:val="15"/>
          <w:szCs w:val="15"/>
          <w:color w:val="auto"/>
        </w:rPr>
      </w:pPr>
    </w:p>
    <w:p>
      <w:pPr>
        <w:ind w:left="1100" w:hanging="551"/>
        <w:spacing w:after="0"/>
        <w:tabs>
          <w:tab w:leader="none" w:pos="1100" w:val="left"/>
        </w:tabs>
        <w:numPr>
          <w:ilvl w:val="0"/>
          <w:numId w:val="359"/>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subject to the provisions of Sections 9(a) and 9(c) of the Employment Agreement.</w:t>
      </w:r>
    </w:p>
    <w:p>
      <w:pPr>
        <w:spacing w:after="0" w:line="198" w:lineRule="exact"/>
        <w:rPr>
          <w:rFonts w:ascii="Arial" w:cs="Arial" w:eastAsia="Arial" w:hAnsi="Arial"/>
          <w:sz w:val="15"/>
          <w:szCs w:val="15"/>
          <w:color w:val="auto"/>
        </w:rPr>
      </w:pPr>
    </w:p>
    <w:p>
      <w:pPr>
        <w:ind w:right="200" w:firstLine="549"/>
        <w:spacing w:after="0" w:line="268" w:lineRule="auto"/>
        <w:tabs>
          <w:tab w:leader="none" w:pos="1112" w:val="left"/>
        </w:tabs>
        <w:numPr>
          <w:ilvl w:val="0"/>
          <w:numId w:val="359"/>
        </w:numPr>
        <w:rPr>
          <w:rFonts w:ascii="Arial" w:cs="Arial" w:eastAsia="Arial" w:hAnsi="Arial"/>
          <w:sz w:val="15"/>
          <w:szCs w:val="15"/>
          <w:color w:val="auto"/>
        </w:rPr>
      </w:pPr>
      <w:r>
        <w:rPr>
          <w:rFonts w:ascii="Arial" w:cs="Arial" w:eastAsia="Arial" w:hAnsi="Arial"/>
          <w:sz w:val="15"/>
          <w:szCs w:val="15"/>
          <w:u w:val="single" w:color="auto"/>
          <w:color w:val="auto"/>
        </w:rPr>
        <w:t>Effective Date</w:t>
      </w:r>
      <w:r>
        <w:rPr>
          <w:rFonts w:ascii="Arial" w:cs="Arial" w:eastAsia="Arial" w:hAnsi="Arial"/>
          <w:sz w:val="15"/>
          <w:szCs w:val="15"/>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pacing w:after="0" w:line="156" w:lineRule="exact"/>
        <w:rPr>
          <w:rFonts w:ascii="Arial" w:cs="Arial" w:eastAsia="Arial" w:hAnsi="Arial"/>
          <w:sz w:val="15"/>
          <w:szCs w:val="15"/>
          <w:color w:val="auto"/>
        </w:rPr>
      </w:pPr>
    </w:p>
    <w:p>
      <w:pPr>
        <w:ind w:right="120" w:firstLine="549"/>
        <w:spacing w:after="0" w:line="322" w:lineRule="auto"/>
        <w:tabs>
          <w:tab w:leader="none" w:pos="1112" w:val="left"/>
        </w:tabs>
        <w:numPr>
          <w:ilvl w:val="0"/>
          <w:numId w:val="359"/>
        </w:numPr>
        <w:rPr>
          <w:rFonts w:ascii="Arial" w:cs="Arial" w:eastAsia="Arial" w:hAnsi="Arial"/>
          <w:sz w:val="13"/>
          <w:szCs w:val="13"/>
          <w:color w:val="auto"/>
        </w:rPr>
      </w:pPr>
      <w:r>
        <w:rPr>
          <w:rFonts w:ascii="Arial" w:cs="Arial" w:eastAsia="Arial" w:hAnsi="Arial"/>
          <w:sz w:val="13"/>
          <w:szCs w:val="13"/>
          <w:u w:val="single" w:color="auto"/>
          <w:color w:val="auto"/>
        </w:rPr>
        <w:t>Voluntary Execution of Agreement</w:t>
      </w:r>
      <w:r>
        <w:rPr>
          <w:rFonts w:ascii="Arial" w:cs="Arial" w:eastAsia="Arial" w:hAnsi="Arial"/>
          <w:sz w:val="13"/>
          <w:szCs w:val="13"/>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w:t>
      </w:r>
    </w:p>
    <w:p>
      <w:pPr>
        <w:sectPr>
          <w:pgSz w:w="11900" w:h="16838" w:orient="portrait"/>
          <w:cols w:equalWidth="0" w:num="1">
            <w:col w:w="11440"/>
          </w:cols>
          <w:pgMar w:left="240" w:top="314" w:right="219" w:bottom="0" w:gutter="0" w:footer="0" w:header="0"/>
        </w:sectPr>
      </w:pPr>
    </w:p>
    <w:bookmarkStart w:id="374" w:name="page375"/>
    <w:bookmarkEnd w:id="374"/>
    <w:p>
      <w:pPr>
        <w:spacing w:after="0" w:line="16" w:lineRule="exact"/>
        <w:rPr>
          <w:sz w:val="20"/>
          <w:szCs w:val="20"/>
          <w:color w:val="auto"/>
        </w:rPr>
      </w:pPr>
    </w:p>
    <w:p>
      <w:pPr>
        <w:ind w:right="200"/>
        <w:spacing w:after="0" w:line="289" w:lineRule="auto"/>
        <w:rPr>
          <w:sz w:val="20"/>
          <w:szCs w:val="20"/>
          <w:color w:val="auto"/>
        </w:rPr>
      </w:pPr>
      <w:r>
        <w:rPr>
          <w:rFonts w:ascii="Arial" w:cs="Arial" w:eastAsia="Arial" w:hAnsi="Arial"/>
          <w:sz w:val="15"/>
          <w:szCs w:val="15"/>
          <w:color w:val="auto"/>
        </w:rPr>
        <w:t>retain legal counsel; (d) Executive understands the terms and consequences of this Agreement and of the releases it contains; and (e) Executive is fully aware of the legal and binding effect of this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Parties have executed this Agreement on the respective dates set forth below.</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6780530" cy="762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6780530" cy="7620"/>
                    </a:xfrm>
                    <a:prstGeom prst="rect">
                      <a:avLst/>
                    </a:prstGeom>
                    <a:noFill/>
                  </pic:spPr>
                </pic:pic>
              </a:graphicData>
            </a:graphic>
          </wp:anchor>
        </w:drawing>
      </w:r>
    </w:p>
    <w:p>
      <w:pPr>
        <w:spacing w:after="0" w:line="4"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Werner Cautreels, Ph.D.</w:t>
      </w:r>
    </w:p>
    <w:p>
      <w:pPr>
        <w:spacing w:after="0" w:line="192" w:lineRule="exact"/>
        <w:rPr>
          <w:sz w:val="20"/>
          <w:szCs w:val="20"/>
          <w:color w:val="auto"/>
        </w:rPr>
      </w:pPr>
    </w:p>
    <w:p>
      <w:pPr>
        <w:ind w:left="5820"/>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p>
      <w:pPr>
        <w:spacing w:after="0"/>
        <w:tabs>
          <w:tab w:leader="none" w:pos="580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6780530" cy="762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6780530" cy="7620"/>
                    </a:xfrm>
                    <a:prstGeom prst="rect">
                      <a:avLst/>
                    </a:prstGeom>
                    <a:noFill/>
                  </pic:spPr>
                </pic:pic>
              </a:graphicData>
            </a:graphic>
          </wp:anchor>
        </w:drawing>
      </w:r>
    </w:p>
    <w:p>
      <w:pPr>
        <w:spacing w:after="0" w:line="4"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Employee Nondisclosure, Noncompetition and Assignment of Intellectual Property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EMPLOYEE NONDISCLOSURE, NONCOMPETITION AND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ASSIGNMENT OF INTELLECTUAL PROPERTY AGREEMENT</w:t>
      </w:r>
    </w:p>
    <w:p>
      <w:pPr>
        <w:spacing w:after="0" w:line="188"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In consideration and as a condition of my employment by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of the compensation to be paid to me, and in recognition of the fact that as an employee of the Company I will or may have access to confidential information, I agree with the Company as follows:</w:t>
      </w:r>
    </w:p>
    <w:p>
      <w:pPr>
        <w:spacing w:after="0" w:line="141" w:lineRule="exact"/>
        <w:rPr>
          <w:sz w:val="20"/>
          <w:szCs w:val="20"/>
          <w:color w:val="auto"/>
        </w:rPr>
      </w:pPr>
    </w:p>
    <w:p>
      <w:pPr>
        <w:ind w:left="1160" w:hanging="611"/>
        <w:spacing w:after="0"/>
        <w:tabs>
          <w:tab w:leader="none" w:pos="1160" w:val="left"/>
        </w:tabs>
        <w:numPr>
          <w:ilvl w:val="0"/>
          <w:numId w:val="360"/>
        </w:numPr>
        <w:rPr>
          <w:rFonts w:ascii="Arial" w:cs="Arial" w:eastAsia="Arial" w:hAnsi="Arial"/>
          <w:sz w:val="15"/>
          <w:szCs w:val="15"/>
          <w:color w:val="auto"/>
        </w:rPr>
      </w:pPr>
      <w:r>
        <w:rPr>
          <w:rFonts w:ascii="Arial" w:cs="Arial" w:eastAsia="Arial" w:hAnsi="Arial"/>
          <w:sz w:val="15"/>
          <w:szCs w:val="15"/>
          <w:u w:val="single" w:color="auto"/>
          <w:color w:val="auto"/>
        </w:rPr>
        <w:t>Performance: Prior Obligations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firstLine="1104"/>
        <w:spacing w:after="0" w:line="264" w:lineRule="auto"/>
        <w:tabs>
          <w:tab w:leader="none" w:pos="1708" w:val="left"/>
        </w:tabs>
        <w:numPr>
          <w:ilvl w:val="1"/>
          <w:numId w:val="360"/>
        </w:numPr>
        <w:rPr>
          <w:rFonts w:ascii="Arial" w:cs="Arial" w:eastAsia="Arial" w:hAnsi="Arial"/>
          <w:sz w:val="15"/>
          <w:szCs w:val="15"/>
          <w:color w:val="auto"/>
        </w:rPr>
      </w:pPr>
      <w:r>
        <w:rPr>
          <w:rFonts w:ascii="Arial" w:cs="Arial" w:eastAsia="Arial" w:hAnsi="Arial"/>
          <w:sz w:val="15"/>
          <w:szCs w:val="15"/>
          <w:color w:val="auto"/>
        </w:rPr>
        <w:t>I agree to use best efforts to perform my assigned duties diligently, conscientiously, and with reasonable skill, and shall comply with all rules, procedures and standards promulgated from time to time by the Company with regard to my conduct and my access to and use of the Company’s property, equipment and facilities. Among such rules, procedures and standards are those governing ethical and other professional standards for dealing with customers, government agencies, vendors, competitors, consultants, fellow employees, and the public-at-large, security provisions designed to protect Company property and the personal security of Company employees, rules respecting attendance, punctuality, and hours of work, and rules and procedures designed to protect the confidentiality of proprietary information. The Company agrees to make reasonable efforts to inform me of such rules, standards and procedures as are in effect from time to time.</w:t>
      </w:r>
    </w:p>
    <w:p>
      <w:pPr>
        <w:spacing w:after="0" w:line="158" w:lineRule="exact"/>
        <w:rPr>
          <w:rFonts w:ascii="Arial" w:cs="Arial" w:eastAsia="Arial" w:hAnsi="Arial"/>
          <w:sz w:val="15"/>
          <w:szCs w:val="15"/>
          <w:color w:val="auto"/>
        </w:rPr>
      </w:pPr>
    </w:p>
    <w:p>
      <w:pPr>
        <w:ind w:firstLine="1104"/>
        <w:spacing w:after="0" w:line="264" w:lineRule="auto"/>
        <w:tabs>
          <w:tab w:leader="none" w:pos="1716" w:val="left"/>
        </w:tabs>
        <w:numPr>
          <w:ilvl w:val="1"/>
          <w:numId w:val="360"/>
        </w:numPr>
        <w:rPr>
          <w:rFonts w:ascii="Arial" w:cs="Arial" w:eastAsia="Arial" w:hAnsi="Arial"/>
          <w:sz w:val="15"/>
          <w:szCs w:val="15"/>
          <w:color w:val="auto"/>
        </w:rPr>
      </w:pPr>
      <w:r>
        <w:rPr>
          <w:rFonts w:ascii="Arial" w:cs="Arial" w:eastAsia="Arial" w:hAnsi="Arial"/>
          <w:sz w:val="15"/>
          <w:szCs w:val="15"/>
          <w:color w:val="auto"/>
        </w:rPr>
        <w:t>I hereby represent, warrant and agree (i) that I have the full right to enter into this Agreement and perform the services required of me hereunder, without any restriction whatsoever; (ii) that in the course of performing services hereunder, I will not violate the terms or conditions of any agreement between me and any third party or infringe or wrongfully appropriate any patents, copyrights, trade secrets or other intellectual property rights of any person or entity anywhere in the world; (iii) that I have not and will not disclose or use during my employment by the Company any confidential information that I acquired as a result of any previous employment or consulting arrangement or under a previous obligation of confidentiality; and (iv) that I have disclosed to the Company in writing any and all continuing obligations to previous employers or others that require me not to disclose any information to the Company.</w:t>
      </w:r>
    </w:p>
    <w:p>
      <w:pPr>
        <w:spacing w:after="0" w:line="158" w:lineRule="exact"/>
        <w:rPr>
          <w:rFonts w:ascii="Arial" w:cs="Arial" w:eastAsia="Arial" w:hAnsi="Arial"/>
          <w:sz w:val="15"/>
          <w:szCs w:val="15"/>
          <w:color w:val="auto"/>
        </w:rPr>
      </w:pPr>
    </w:p>
    <w:p>
      <w:pPr>
        <w:ind w:right="20" w:firstLine="549"/>
        <w:spacing w:after="0" w:line="264" w:lineRule="auto"/>
        <w:tabs>
          <w:tab w:leader="none" w:pos="1173" w:val="left"/>
        </w:tabs>
        <w:numPr>
          <w:ilvl w:val="0"/>
          <w:numId w:val="360"/>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While employed by the Company and thereafter, I shall not, directly or indirectly, use any Confidential Information (as hereinafter defined) other than pursuant to my employment by and for the benefit of the Company, or disclose any Confidential Information to anyone outside of the Company, whether by private communication, public address, publication or otherwise, or disclose any Confidential Information to anyone within the Company who has not been authorized to receive such information, except as directed in writing by an authorized representative of the Company. The term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as used throughout this Agreement shall mean all trade secrets, proprietary information, know-how, data, designs, specifications, processes, customer lists and other technical or business information (and any tangible evidence, record or representation thereof), whether prepared,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85990" cy="2730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conceived or developed by a consultant or employee of the Company (including myself) or received by the Company from an outside source, which is in the possession of the Company (whether or not the property of the Company), which in any way relates to the present or future business of the Company, which is maintained in confidence by the Company, or which might permit the Company or its customers to obtain a competitive advantage over competitors who do not have access to such trade secrets, proprietary information, or other data or information. Without limiting the generality of the foregoing. Confidential Information shall include, without limitation:</w:t>
      </w:r>
    </w:p>
    <w:p>
      <w:pPr>
        <w:spacing w:after="0" w:line="156" w:lineRule="exact"/>
        <w:rPr>
          <w:sz w:val="20"/>
          <w:szCs w:val="20"/>
          <w:color w:val="auto"/>
        </w:rPr>
      </w:pPr>
    </w:p>
    <w:p>
      <w:pPr>
        <w:ind w:right="80" w:firstLine="1104"/>
        <w:spacing w:after="0" w:line="268" w:lineRule="auto"/>
        <w:tabs>
          <w:tab w:leader="none" w:pos="1708" w:val="left"/>
        </w:tabs>
        <w:numPr>
          <w:ilvl w:val="0"/>
          <w:numId w:val="361"/>
        </w:numPr>
        <w:rPr>
          <w:rFonts w:ascii="Arial" w:cs="Arial" w:eastAsia="Arial" w:hAnsi="Arial"/>
          <w:sz w:val="15"/>
          <w:szCs w:val="15"/>
          <w:color w:val="auto"/>
        </w:rPr>
      </w:pPr>
      <w:r>
        <w:rPr>
          <w:rFonts w:ascii="Arial" w:cs="Arial" w:eastAsia="Arial" w:hAnsi="Arial"/>
          <w:sz w:val="15"/>
          <w:szCs w:val="15"/>
          <w:color w:val="auto"/>
        </w:rPr>
        <w:t>any idea, improvement, invention, innovation, development, concept, technical or clinical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56" w:lineRule="exact"/>
        <w:rPr>
          <w:rFonts w:ascii="Arial" w:cs="Arial" w:eastAsia="Arial" w:hAnsi="Arial"/>
          <w:sz w:val="15"/>
          <w:szCs w:val="15"/>
          <w:color w:val="auto"/>
        </w:rPr>
      </w:pPr>
    </w:p>
    <w:p>
      <w:pPr>
        <w:jc w:val="both"/>
        <w:ind w:right="140" w:firstLine="1104"/>
        <w:spacing w:after="0" w:line="273" w:lineRule="auto"/>
        <w:tabs>
          <w:tab w:leader="none" w:pos="1716" w:val="left"/>
        </w:tabs>
        <w:numPr>
          <w:ilvl w:val="0"/>
          <w:numId w:val="361"/>
        </w:numPr>
        <w:rPr>
          <w:rFonts w:ascii="Arial" w:cs="Arial" w:eastAsia="Arial" w:hAnsi="Arial"/>
          <w:sz w:val="15"/>
          <w:szCs w:val="15"/>
          <w:color w:val="auto"/>
        </w:rPr>
      </w:pPr>
      <w:r>
        <w:rPr>
          <w:rFonts w:ascii="Arial" w:cs="Arial" w:eastAsia="Arial" w:hAnsi="Arial"/>
          <w:sz w:val="15"/>
          <w:szCs w:val="15"/>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53" w:lineRule="exact"/>
        <w:rPr>
          <w:sz w:val="20"/>
          <w:szCs w:val="20"/>
          <w:color w:val="auto"/>
        </w:rPr>
      </w:pPr>
    </w:p>
    <w:p>
      <w:pPr>
        <w:ind w:right="60" w:firstLine="556"/>
        <w:spacing w:after="0" w:line="289" w:lineRule="auto"/>
        <w:rPr>
          <w:sz w:val="20"/>
          <w:szCs w:val="20"/>
          <w:color w:val="auto"/>
        </w:rPr>
      </w:pPr>
      <w:r>
        <w:rPr>
          <w:rFonts w:ascii="Arial" w:cs="Arial" w:eastAsia="Arial" w:hAnsi="Arial"/>
          <w:sz w:val="15"/>
          <w:szCs w:val="15"/>
          <w:color w:val="auto"/>
        </w:rPr>
        <w:t>Notwithstanding the foregoing, the term Confidential Information shall not apply to information which the Company has voluntarily disclosed to the public without restriction, or which has otherwise lawfully entered the public domain.</w:t>
      </w:r>
    </w:p>
    <w:p>
      <w:pPr>
        <w:spacing w:after="0" w:line="141" w:lineRule="exact"/>
        <w:rPr>
          <w:sz w:val="20"/>
          <w:szCs w:val="20"/>
          <w:color w:val="auto"/>
        </w:rPr>
      </w:pPr>
    </w:p>
    <w:p>
      <w:pPr>
        <w:ind w:right="200" w:firstLine="556"/>
        <w:spacing w:after="0" w:line="289" w:lineRule="auto"/>
        <w:rPr>
          <w:sz w:val="20"/>
          <w:szCs w:val="20"/>
          <w:color w:val="auto"/>
        </w:rPr>
      </w:pPr>
      <w:r>
        <w:rPr>
          <w:rFonts w:ascii="Arial" w:cs="Arial" w:eastAsia="Arial" w:hAnsi="Arial"/>
          <w:sz w:val="15"/>
          <w:szCs w:val="15"/>
          <w:color w:val="auto"/>
        </w:rPr>
        <w:t>I shall promptly notify my supervisor or any officer of the Company if I learn of any possible unauthorized use or disclosure of Confidential Information and shall cooperate fully with the Company to enforce its rights in such information.</w:t>
      </w:r>
    </w:p>
    <w:p>
      <w:pPr>
        <w:spacing w:after="0" w:line="141" w:lineRule="exact"/>
        <w:rPr>
          <w:sz w:val="20"/>
          <w:szCs w:val="20"/>
          <w:color w:val="auto"/>
        </w:rPr>
      </w:pPr>
    </w:p>
    <w:p>
      <w:pPr>
        <w:ind w:firstLine="556"/>
        <w:spacing w:after="0" w:line="327" w:lineRule="auto"/>
        <w:rPr>
          <w:sz w:val="20"/>
          <w:szCs w:val="20"/>
          <w:color w:val="auto"/>
        </w:rPr>
      </w:pPr>
      <w:r>
        <w:rPr>
          <w:rFonts w:ascii="Arial" w:cs="Arial" w:eastAsia="Arial" w:hAnsi="Arial"/>
          <w:sz w:val="14"/>
          <w:szCs w:val="14"/>
          <w:color w:val="auto"/>
        </w:rPr>
        <w:t>I understand that the Company from time to time has in its possession information (including product and development plans and specifications) which is claimed by customers and others to be proprietary and which the Company has agreed to keep confidential. I agree that all such information shall be Confidential Information for purposes of this Agreement.</w:t>
      </w:r>
    </w:p>
    <w:p>
      <w:pPr>
        <w:spacing w:after="0" w:line="117" w:lineRule="exact"/>
        <w:rPr>
          <w:sz w:val="20"/>
          <w:szCs w:val="20"/>
          <w:color w:val="auto"/>
        </w:rPr>
      </w:pPr>
    </w:p>
    <w:p>
      <w:pPr>
        <w:ind w:left="1160" w:hanging="611"/>
        <w:spacing w:after="0"/>
        <w:tabs>
          <w:tab w:leader="none" w:pos="1160" w:val="left"/>
        </w:tabs>
        <w:numPr>
          <w:ilvl w:val="0"/>
          <w:numId w:val="362"/>
        </w:numPr>
        <w:rPr>
          <w:rFonts w:ascii="Arial" w:cs="Arial" w:eastAsia="Arial" w:hAnsi="Arial"/>
          <w:sz w:val="15"/>
          <w:szCs w:val="15"/>
          <w:color w:val="auto"/>
        </w:rPr>
      </w:pPr>
      <w:r>
        <w:rPr>
          <w:rFonts w:ascii="Arial" w:cs="Arial" w:eastAsia="Arial" w:hAnsi="Arial"/>
          <w:sz w:val="15"/>
          <w:szCs w:val="15"/>
          <w:u w:val="single" w:color="auto"/>
          <w:color w:val="auto"/>
        </w:rPr>
        <w:t>Ownership and Assignment of Intellectual Property</w:t>
      </w:r>
      <w:r>
        <w:rPr>
          <w:rFonts w:ascii="Arial" w:cs="Arial" w:eastAsia="Arial" w:hAnsi="Arial"/>
          <w:sz w:val="15"/>
          <w:szCs w:val="15"/>
          <w:color w:val="auto"/>
        </w:rPr>
        <w:t>.</w:t>
      </w:r>
    </w:p>
    <w:p>
      <w:pPr>
        <w:sectPr>
          <w:pgSz w:w="11900" w:h="16855" w:orient="portrait"/>
          <w:cols w:equalWidth="0" w:num="1">
            <w:col w:w="11420"/>
          </w:cols>
          <w:pgMar w:left="240" w:top="128" w:right="239" w:bottom="0" w:gutter="0" w:footer="0" w:header="0"/>
        </w:sectPr>
      </w:pPr>
    </w:p>
    <w:bookmarkStart w:id="375" w:name="page376"/>
    <w:bookmarkEnd w:id="375"/>
    <w:p>
      <w:pPr>
        <w:spacing w:after="0" w:line="1" w:lineRule="exact"/>
        <w:rPr>
          <w:sz w:val="20"/>
          <w:szCs w:val="20"/>
          <w:color w:val="auto"/>
        </w:rPr>
      </w:pPr>
    </w:p>
    <w:p>
      <w:pPr>
        <w:ind w:right="40" w:firstLine="1104"/>
        <w:spacing w:after="0" w:line="302" w:lineRule="auto"/>
        <w:tabs>
          <w:tab w:leader="none" w:pos="1708" w:val="left"/>
        </w:tabs>
        <w:numPr>
          <w:ilvl w:val="0"/>
          <w:numId w:val="363"/>
        </w:numPr>
        <w:rPr>
          <w:rFonts w:ascii="Arial" w:cs="Arial" w:eastAsia="Arial" w:hAnsi="Arial"/>
          <w:sz w:val="14"/>
          <w:szCs w:val="14"/>
          <w:color w:val="auto"/>
        </w:rPr>
      </w:pPr>
      <w:r>
        <w:rPr>
          <w:rFonts w:ascii="Arial" w:cs="Arial" w:eastAsia="Arial" w:hAnsi="Arial"/>
          <w:sz w:val="14"/>
          <w:szCs w:val="14"/>
          <w:color w:val="auto"/>
        </w:rPr>
        <w:t>I agree that all originals and all copies of all manuscripts, drawings, prints, manuals, diagrams, letters, notes, notebooks, reports, models, records, files, memoranda, plans, sketches and all other documents and materials containing, representing, evidencing, recording, or constituting any Confidential Information (as defined in Section 2 above), however and whenever produced (whether by myself or others) during the course of my employment, shall be the sole property of the Company.</w:t>
      </w:r>
    </w:p>
    <w:p>
      <w:pPr>
        <w:spacing w:after="0" w:line="133" w:lineRule="exact"/>
        <w:rPr>
          <w:rFonts w:ascii="Arial" w:cs="Arial" w:eastAsia="Arial" w:hAnsi="Arial"/>
          <w:sz w:val="14"/>
          <w:szCs w:val="14"/>
          <w:color w:val="auto"/>
        </w:rPr>
      </w:pPr>
    </w:p>
    <w:p>
      <w:pPr>
        <w:ind w:right="540" w:firstLine="1104"/>
        <w:spacing w:after="0" w:line="289" w:lineRule="auto"/>
        <w:tabs>
          <w:tab w:leader="none" w:pos="1716" w:val="left"/>
        </w:tabs>
        <w:numPr>
          <w:ilvl w:val="0"/>
          <w:numId w:val="363"/>
        </w:numPr>
        <w:rPr>
          <w:rFonts w:ascii="Arial" w:cs="Arial" w:eastAsia="Arial" w:hAnsi="Arial"/>
          <w:sz w:val="15"/>
          <w:szCs w:val="15"/>
          <w:color w:val="auto"/>
        </w:rPr>
      </w:pPr>
      <w:r>
        <w:rPr>
          <w:rFonts w:ascii="Arial" w:cs="Arial" w:eastAsia="Arial" w:hAnsi="Arial"/>
          <w:sz w:val="15"/>
          <w:szCs w:val="15"/>
          <w:color w:val="auto"/>
        </w:rPr>
        <w:t>I agree that all Confidential Information and all other discoveries, inventions, ideas, concepts, trademarks, service marks, logos, processes, products, formulas, computer programs or software, source codes, object codes, algorithms, machines, apparatuses,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me, either alone or with others, and related to the business of the Company or to tasks assigned to me during the course of my employment, whether or not made during my regular working hours, whether or not conceived, developed, reduced to practice or made on the Company’s premises and whether or not disclosed by me to the Company (collectively “</w:t>
      </w:r>
      <w:r>
        <w:rPr>
          <w:rFonts w:ascii="Arial" w:cs="Arial" w:eastAsia="Arial" w:hAnsi="Arial"/>
          <w:sz w:val="15"/>
          <w:szCs w:val="15"/>
          <w:u w:val="single" w:color="auto"/>
          <w:color w:val="auto"/>
        </w:rPr>
        <w:t>Company Inventions</w:t>
      </w:r>
      <w:r>
        <w:rPr>
          <w:rFonts w:ascii="Arial" w:cs="Arial" w:eastAsia="Arial" w:hAnsi="Arial"/>
          <w:sz w:val="15"/>
          <w:szCs w:val="15"/>
          <w:color w:val="auto"/>
        </w:rPr>
        <w:t>”), and any and all services and products which embody, emulate or employ any such Company Invention or Confidential Information shall be the sole property of the Company and all copyrights, patents, patent rights, trademarks and reproduction rights to, and other proprietary rights in, each such Company Invention or Confidential Information, whether or not patentable or copyrightable, shall belong exclusively to the Company. For the avoidance of doubt, Confidential Information shall only include information that relates to the present or future business of the Company, and Company Inventions shall only include inventions that relate to the business of the Company or to tasks assigned to me during the course of my employment.</w:t>
      </w:r>
    </w:p>
    <w:p>
      <w:pPr>
        <w:spacing w:after="0" w:line="165" w:lineRule="exact"/>
        <w:rPr>
          <w:sz w:val="20"/>
          <w:szCs w:val="20"/>
          <w:color w:val="auto"/>
        </w:rPr>
      </w:pPr>
    </w:p>
    <w:p>
      <w:pPr>
        <w:ind w:right="80" w:firstLine="1104"/>
        <w:spacing w:after="0" w:line="264" w:lineRule="auto"/>
        <w:tabs>
          <w:tab w:leader="none" w:pos="1708" w:val="left"/>
        </w:tabs>
        <w:numPr>
          <w:ilvl w:val="1"/>
          <w:numId w:val="364"/>
        </w:numPr>
        <w:rPr>
          <w:rFonts w:ascii="Arial" w:cs="Arial" w:eastAsia="Arial" w:hAnsi="Arial"/>
          <w:sz w:val="15"/>
          <w:szCs w:val="15"/>
          <w:color w:val="auto"/>
        </w:rPr>
      </w:pPr>
      <w:r>
        <w:rPr>
          <w:rFonts w:ascii="Arial" w:cs="Arial" w:eastAsia="Arial" w:hAnsi="Arial"/>
          <w:sz w:val="15"/>
          <w:szCs w:val="15"/>
          <w:color w:val="auto"/>
        </w:rPr>
        <w:t>I agree to, and hereby do, assign to the Company all my right, title and interest throughout the world in and to all Company Inventions and to anything tangible which evidences, incorporates, constitutes, represents or records any Company Invention. I agree that all Company Inventions shall constitute works made for hire under the copyright laws of the United States and hereby assign and, to the extent any such assignment cannot be made at present, I hereby agree to assign to the Company all copyrights, patents and other proprietary rights I may have in any Company Inventions, together with the right to file for and/or own wholly without restriction United States and foreign patents, trademarks, and copyrights. I agree to waive, and hereby waive, all moral rights or proprietary rights in or to any Company Inventions and, to the extent that such rights may not be waived, agree not to assert such rights against the Company or its licensees, successors or assigns.</w:t>
      </w:r>
    </w:p>
    <w:p>
      <w:pPr>
        <w:spacing w:after="0" w:line="158" w:lineRule="exact"/>
        <w:rPr>
          <w:rFonts w:ascii="Arial" w:cs="Arial" w:eastAsia="Arial" w:hAnsi="Arial"/>
          <w:sz w:val="15"/>
          <w:szCs w:val="15"/>
          <w:color w:val="auto"/>
        </w:rPr>
      </w:pPr>
    </w:p>
    <w:p>
      <w:pPr>
        <w:ind w:right="20" w:firstLine="1104"/>
        <w:spacing w:after="0" w:line="273" w:lineRule="auto"/>
        <w:tabs>
          <w:tab w:leader="none" w:pos="1716" w:val="left"/>
        </w:tabs>
        <w:numPr>
          <w:ilvl w:val="1"/>
          <w:numId w:val="364"/>
        </w:numPr>
        <w:rPr>
          <w:rFonts w:ascii="Arial" w:cs="Arial" w:eastAsia="Arial" w:hAnsi="Arial"/>
          <w:sz w:val="15"/>
          <w:szCs w:val="15"/>
          <w:color w:val="auto"/>
        </w:rPr>
      </w:pPr>
      <w:r>
        <w:rPr>
          <w:rFonts w:ascii="Arial" w:cs="Arial" w:eastAsia="Arial" w:hAnsi="Arial"/>
          <w:sz w:val="15"/>
          <w:szCs w:val="15"/>
          <w:color w:val="auto"/>
        </w:rPr>
        <w:t xml:space="preserve">I hereby certify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sets forth any and all confidential information and intellectual property that I claim as my own or otherwise intend to exclude from this Agreement because it was developed by me prior to the date of this Agreement. I understand that after execution of this Agreement I shall have no right to exclude Confidential Information or Company Inventions from this Agreement.</w:t>
      </w:r>
    </w:p>
    <w:p>
      <w:pPr>
        <w:spacing w:after="0" w:line="152" w:lineRule="exact"/>
        <w:rPr>
          <w:rFonts w:ascii="Arial" w:cs="Arial" w:eastAsia="Arial" w:hAnsi="Arial"/>
          <w:sz w:val="15"/>
          <w:szCs w:val="15"/>
          <w:color w:val="auto"/>
        </w:rPr>
      </w:pPr>
    </w:p>
    <w:p>
      <w:pPr>
        <w:ind w:right="100" w:firstLine="549"/>
        <w:spacing w:after="0" w:line="273" w:lineRule="auto"/>
        <w:tabs>
          <w:tab w:leader="none" w:pos="1173" w:val="left"/>
        </w:tabs>
        <w:numPr>
          <w:ilvl w:val="0"/>
          <w:numId w:val="365"/>
        </w:numPr>
        <w:rPr>
          <w:rFonts w:ascii="Arial" w:cs="Arial" w:eastAsia="Arial" w:hAnsi="Arial"/>
          <w:sz w:val="15"/>
          <w:szCs w:val="15"/>
          <w:color w:val="auto"/>
        </w:rPr>
      </w:pPr>
      <w:r>
        <w:rPr>
          <w:rFonts w:ascii="Arial" w:cs="Arial" w:eastAsia="Arial" w:hAnsi="Arial"/>
          <w:sz w:val="15"/>
          <w:szCs w:val="15"/>
          <w:u w:val="single" w:color="auto"/>
          <w:color w:val="auto"/>
        </w:rPr>
        <w:t>Employee’s Obligation to Keep Records</w:t>
      </w:r>
      <w:r>
        <w:rPr>
          <w:rFonts w:ascii="Arial" w:cs="Arial" w:eastAsia="Arial" w:hAnsi="Arial"/>
          <w:sz w:val="15"/>
          <w:szCs w:val="15"/>
          <w:color w:val="auto"/>
        </w:rPr>
        <w:t>. I shall make and maintain adequate and current written records of all Company Inventions, including notebooks and invention disclosures, which records shall be available to and remain the property of the Company at all times. I shall disclose all Company Inventions promptly, fully and in writing to the Company immediately upon production or development of the same and at any time upon request.</w:t>
      </w:r>
    </w:p>
    <w:p>
      <w:pPr>
        <w:spacing w:after="0" w:line="152" w:lineRule="exact"/>
        <w:rPr>
          <w:rFonts w:ascii="Arial" w:cs="Arial" w:eastAsia="Arial" w:hAnsi="Arial"/>
          <w:sz w:val="15"/>
          <w:szCs w:val="15"/>
          <w:color w:val="auto"/>
        </w:rPr>
      </w:pPr>
    </w:p>
    <w:p>
      <w:pPr>
        <w:ind w:right="100" w:firstLine="549"/>
        <w:spacing w:after="0" w:line="273" w:lineRule="auto"/>
        <w:tabs>
          <w:tab w:leader="none" w:pos="1173" w:val="left"/>
        </w:tabs>
        <w:numPr>
          <w:ilvl w:val="0"/>
          <w:numId w:val="365"/>
        </w:numPr>
        <w:rPr>
          <w:rFonts w:ascii="Arial" w:cs="Arial" w:eastAsia="Arial" w:hAnsi="Arial"/>
          <w:sz w:val="15"/>
          <w:szCs w:val="15"/>
          <w:color w:val="auto"/>
        </w:rPr>
      </w:pPr>
      <w:r>
        <w:rPr>
          <w:rFonts w:ascii="Arial" w:cs="Arial" w:eastAsia="Arial" w:hAnsi="Arial"/>
          <w:sz w:val="15"/>
          <w:szCs w:val="15"/>
          <w:u w:val="single" w:color="auto"/>
          <w:color w:val="auto"/>
        </w:rPr>
        <w:t>Employee’s Obligation to Cooperate</w:t>
      </w:r>
      <w:r>
        <w:rPr>
          <w:rFonts w:ascii="Arial" w:cs="Arial" w:eastAsia="Arial" w:hAnsi="Arial"/>
          <w:sz w:val="15"/>
          <w:szCs w:val="15"/>
          <w:color w:val="auto"/>
        </w:rPr>
        <w:t>. I will, at any time during my employment, or after it terminates, upon request of the Company, execute all documents and perform all lawful acts which the Company considers necessary or advisable to secure its rights hereunder and to carry out the intent of this Agreement. Without limiting the generality of the foregoing, I will assist the Company in any reasonable manner to obtain for its own benefit patents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copyrights in any and all countries with respect to all Company Inventions assigned pursuant to Section 3, and I will execute, when requested, patent and other applications and assignments thereof to the Company, or persons designated by it, and any other lawful documents deemed necessary by the Company to carry out the purposes of this Agreement, and I will further assist the Company in every way to enforce any patents and copyrights obtained, including, without limitation, testifying in any suit or proceeding involving any of said patents or copyrights or executing any documents deemed necessary by the Company, all without further consideration than provided for herein. It is understood that reasonable out-of-pocket expenses of my assistance incurred at the request of the Company under this Section will be reimbursed by the Company.</w:t>
      </w:r>
    </w:p>
    <w:p>
      <w:pPr>
        <w:spacing w:after="0" w:line="143" w:lineRule="exact"/>
        <w:rPr>
          <w:sz w:val="20"/>
          <w:szCs w:val="20"/>
          <w:color w:val="auto"/>
        </w:rPr>
      </w:pPr>
    </w:p>
    <w:p>
      <w:pPr>
        <w:ind w:firstLine="549"/>
        <w:spacing w:after="0" w:line="265" w:lineRule="auto"/>
        <w:tabs>
          <w:tab w:leader="none" w:pos="1173" w:val="left"/>
        </w:tabs>
        <w:numPr>
          <w:ilvl w:val="0"/>
          <w:numId w:val="366"/>
        </w:numPr>
        <w:rPr>
          <w:rFonts w:ascii="Arial" w:cs="Arial" w:eastAsia="Arial" w:hAnsi="Arial"/>
          <w:sz w:val="15"/>
          <w:szCs w:val="15"/>
          <w:color w:val="auto"/>
        </w:rPr>
      </w:pPr>
      <w:r>
        <w:rPr>
          <w:rFonts w:ascii="Arial" w:cs="Arial" w:eastAsia="Arial" w:hAnsi="Arial"/>
          <w:sz w:val="15"/>
          <w:szCs w:val="15"/>
          <w:u w:val="single" w:color="auto"/>
          <w:color w:val="auto"/>
        </w:rPr>
        <w:t>Noncompetition and Non-solicitation</w:t>
      </w:r>
      <w:r>
        <w:rPr>
          <w:rFonts w:ascii="Arial" w:cs="Arial" w:eastAsia="Arial" w:hAnsi="Arial"/>
          <w:sz w:val="15"/>
          <w:szCs w:val="15"/>
          <w:color w:val="auto"/>
        </w:rPr>
        <w:t>. During my employment with the Company and for a period of 12 months after the termination of my employment with the Company for any reason, I shall not, without the Company’s prior written consent, on my own behalf, or as owner, manager, stockholder, consultant, director, officer, or employee of any business entity (except as a holder of not more than three (3%) percent of the stock of a publicly held company) participate in any capacity in any business activity that is in direct competition with any of the products or services being developed, marketed, distributed, planned, sold or otherwise provided by the Company or its affiliates at the time of, or during the 12 months preceding, my termination.</w:t>
      </w:r>
    </w:p>
    <w:p>
      <w:pPr>
        <w:spacing w:after="0" w:line="160" w:lineRule="exact"/>
        <w:rPr>
          <w:sz w:val="20"/>
          <w:szCs w:val="20"/>
          <w:color w:val="auto"/>
        </w:rPr>
      </w:pPr>
    </w:p>
    <w:p>
      <w:pPr>
        <w:ind w:right="120" w:firstLine="556"/>
        <w:spacing w:after="0" w:line="289" w:lineRule="auto"/>
        <w:rPr>
          <w:sz w:val="20"/>
          <w:szCs w:val="20"/>
          <w:color w:val="auto"/>
        </w:rPr>
      </w:pPr>
      <w:r>
        <w:rPr>
          <w:rFonts w:ascii="Arial" w:cs="Arial" w:eastAsia="Arial" w:hAnsi="Arial"/>
          <w:sz w:val="15"/>
          <w:szCs w:val="15"/>
          <w:color w:val="auto"/>
        </w:rPr>
        <w:t>During my employment with the Company and for a period of 12 months after the termination of my employment with the Company for any reason, I shall not solicit, induce or encourage any employee of the Company to terminate his or her employment with the Company.</w:t>
      </w:r>
    </w:p>
    <w:p>
      <w:pPr>
        <w:spacing w:after="0" w:line="141" w:lineRule="exact"/>
        <w:rPr>
          <w:sz w:val="20"/>
          <w:szCs w:val="20"/>
          <w:color w:val="auto"/>
        </w:rPr>
      </w:pPr>
    </w:p>
    <w:p>
      <w:pPr>
        <w:ind w:right="40" w:firstLine="549"/>
        <w:spacing w:after="0" w:line="261" w:lineRule="auto"/>
        <w:tabs>
          <w:tab w:leader="none" w:pos="1173" w:val="left"/>
        </w:tabs>
        <w:numPr>
          <w:ilvl w:val="0"/>
          <w:numId w:val="367"/>
        </w:numPr>
        <w:rPr>
          <w:rFonts w:ascii="Arial" w:cs="Arial" w:eastAsia="Arial" w:hAnsi="Arial"/>
          <w:sz w:val="15"/>
          <w:szCs w:val="15"/>
          <w:color w:val="auto"/>
        </w:rPr>
      </w:pPr>
      <w:r>
        <w:rPr>
          <w:rFonts w:ascii="Arial" w:cs="Arial" w:eastAsia="Arial" w:hAnsi="Arial"/>
          <w:sz w:val="15"/>
          <w:szCs w:val="15"/>
          <w:u w:val="single" w:color="auto"/>
          <w:color w:val="auto"/>
        </w:rPr>
        <w:t>Return of Property</w:t>
      </w:r>
      <w:r>
        <w:rPr>
          <w:rFonts w:ascii="Arial" w:cs="Arial" w:eastAsia="Arial" w:hAnsi="Arial"/>
          <w:sz w:val="15"/>
          <w:szCs w:val="15"/>
          <w:color w:val="auto"/>
        </w:rPr>
        <w:t>. Upon termination of my employment with the Company, or at any other time upon request of the Company, I shall cease using and return promptly any and all customer or prospective customer lists, other customer or prospective customer information or related materials, computer programs, software, electronic data, specifications, drawings, blueprints, data storage devices, reproductions, sketches, notes, notebooks, memoranda, reports, records, proposals, business plans, or copies of them, other documents or materials, tools, equipment, or other property belonging to the Company or its customers which I may then possess or have under my direct or indirect control. I further agree that upon termination of employment, I shall not take with me any documents or data in any form or of any description containing or pertaining to Confidential Information or Company Inventions, other than documents I have a right to retain under applicable law (with the understanding that my obligations under this Agreement continue to apply to any such retained documents). For purposes of clarity, using best efforts to completely remove (with the Company’s prior written permission) from any personal computer, laptop, smart phone, IPad, or any other electronic device, any Company Property that I have previously returned to the Company in accordance with this Section 7 satisfies my obligations under this section.</w:t>
      </w:r>
    </w:p>
    <w:p>
      <w:pPr>
        <w:spacing w:after="0" w:line="164" w:lineRule="exact"/>
        <w:rPr>
          <w:rFonts w:ascii="Arial" w:cs="Arial" w:eastAsia="Arial" w:hAnsi="Arial"/>
          <w:sz w:val="15"/>
          <w:szCs w:val="15"/>
          <w:color w:val="auto"/>
        </w:rPr>
      </w:pPr>
    </w:p>
    <w:p>
      <w:pPr>
        <w:ind w:right="260" w:firstLine="549"/>
        <w:spacing w:after="0" w:line="334" w:lineRule="auto"/>
        <w:tabs>
          <w:tab w:leader="none" w:pos="1173" w:val="left"/>
        </w:tabs>
        <w:numPr>
          <w:ilvl w:val="0"/>
          <w:numId w:val="367"/>
        </w:numPr>
        <w:rPr>
          <w:rFonts w:ascii="Arial" w:cs="Arial" w:eastAsia="Arial" w:hAnsi="Arial"/>
          <w:sz w:val="13"/>
          <w:szCs w:val="13"/>
          <w:color w:val="auto"/>
        </w:rPr>
      </w:pPr>
      <w:r>
        <w:rPr>
          <w:rFonts w:ascii="Arial" w:cs="Arial" w:eastAsia="Arial" w:hAnsi="Arial"/>
          <w:sz w:val="13"/>
          <w:szCs w:val="13"/>
          <w:u w:val="single" w:color="auto"/>
          <w:color w:val="auto"/>
        </w:rPr>
        <w:t>Other Obligations</w:t>
      </w:r>
      <w:r>
        <w:rPr>
          <w:rFonts w:ascii="Arial" w:cs="Arial" w:eastAsia="Arial" w:hAnsi="Arial"/>
          <w:sz w:val="13"/>
          <w:szCs w:val="13"/>
          <w:color w:val="auto"/>
        </w:rPr>
        <w:t>. I acknowledge that the Company from time to time may have agreements with other persons, including the government of the United States or other countries and agencies thereof, which impose obligations or restrictions on the Company regarding inventions made during the course of work thereunder or regarding the confidential nature of such work. I agree to be bound by all such obligations and restrictions and to take all action necessary to discharge the obligations of the Company thereunder.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60" w:hanging="611"/>
        <w:spacing w:after="0"/>
        <w:tabs>
          <w:tab w:leader="none" w:pos="1160" w:val="left"/>
        </w:tabs>
        <w:numPr>
          <w:ilvl w:val="0"/>
          <w:numId w:val="368"/>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20" w:firstLine="1104"/>
        <w:spacing w:after="0" w:line="273" w:lineRule="auto"/>
        <w:tabs>
          <w:tab w:leader="none" w:pos="1708" w:val="left"/>
        </w:tabs>
        <w:numPr>
          <w:ilvl w:val="1"/>
          <w:numId w:val="368"/>
        </w:numPr>
        <w:rPr>
          <w:rFonts w:ascii="Arial" w:cs="Arial" w:eastAsia="Arial" w:hAnsi="Arial"/>
          <w:sz w:val="15"/>
          <w:szCs w:val="15"/>
          <w:color w:val="auto"/>
        </w:rPr>
      </w:pPr>
      <w:r>
        <w:rPr>
          <w:rFonts w:ascii="Arial" w:cs="Arial" w:eastAsia="Arial" w:hAnsi="Arial"/>
          <w:sz w:val="15"/>
          <w:szCs w:val="15"/>
          <w:color w:val="auto"/>
        </w:rPr>
        <w:t>This Agreement contains the entire and only agreement between me and the Company with respect to the subject matter hereof, superseding any previous oral or written communications, representations, understandings, or agreements with the Company or any officer or representative hereof. In the event of any inconsistency between this Agreement and any other contract between me and the Company, the provisions of this Agreement shall prevail.</w:t>
      </w:r>
    </w:p>
    <w:p>
      <w:pPr>
        <w:spacing w:after="0" w:line="152" w:lineRule="exact"/>
        <w:rPr>
          <w:rFonts w:ascii="Arial" w:cs="Arial" w:eastAsia="Arial" w:hAnsi="Arial"/>
          <w:sz w:val="15"/>
          <w:szCs w:val="15"/>
          <w:color w:val="auto"/>
        </w:rPr>
      </w:pPr>
    </w:p>
    <w:p>
      <w:pPr>
        <w:ind w:right="20" w:firstLine="1104"/>
        <w:spacing w:after="0" w:line="268" w:lineRule="auto"/>
        <w:tabs>
          <w:tab w:leader="none" w:pos="1716" w:val="left"/>
        </w:tabs>
        <w:numPr>
          <w:ilvl w:val="1"/>
          <w:numId w:val="368"/>
        </w:numPr>
        <w:rPr>
          <w:rFonts w:ascii="Arial" w:cs="Arial" w:eastAsia="Arial" w:hAnsi="Arial"/>
          <w:sz w:val="15"/>
          <w:szCs w:val="15"/>
          <w:color w:val="auto"/>
        </w:rPr>
      </w:pPr>
      <w:r>
        <w:rPr>
          <w:rFonts w:ascii="Arial" w:cs="Arial" w:eastAsia="Arial" w:hAnsi="Arial"/>
          <w:sz w:val="15"/>
          <w:szCs w:val="15"/>
          <w:color w:val="auto"/>
        </w:rPr>
        <w:t>My obligations under Sections 2, 3, 5, 6 (for the periods set forth therein), 7, 8 and 9 of this Agreement shall survive the termination of my employment with the Company regardless of the manner of or reasons for such termination, and regardless of whether such termination constitutes a breach of any other agreement I may have with the Company. My obligations under this Agreement shall be binding upon my heirs, assigns, executors, administrators and representatives, and the provisions of this Agreement shall inure to the benefit of and be binding on the successors and assigns of the Company.</w:t>
      </w:r>
    </w:p>
    <w:p>
      <w:pPr>
        <w:sectPr>
          <w:pgSz w:w="11900" w:h="16839" w:orient="portrait"/>
          <w:cols w:equalWidth="0" w:num="1">
            <w:col w:w="11420"/>
          </w:cols>
          <w:pgMar w:left="240" w:top="314" w:right="239" w:bottom="0" w:gutter="0" w:footer="0" w:header="0"/>
        </w:sectPr>
      </w:pPr>
    </w:p>
    <w:bookmarkStart w:id="376" w:name="page377"/>
    <w:bookmarkEnd w:id="376"/>
    <w:p>
      <w:pPr>
        <w:ind w:right="40" w:firstLine="1104"/>
        <w:spacing w:after="0" w:line="264" w:lineRule="auto"/>
        <w:tabs>
          <w:tab w:leader="none" w:pos="1708" w:val="left"/>
        </w:tabs>
        <w:numPr>
          <w:ilvl w:val="0"/>
          <w:numId w:val="369"/>
        </w:numPr>
        <w:rPr>
          <w:rFonts w:ascii="Arial" w:cs="Arial" w:eastAsia="Arial" w:hAnsi="Arial"/>
          <w:sz w:val="15"/>
          <w:szCs w:val="15"/>
          <w:color w:val="auto"/>
        </w:rPr>
      </w:pPr>
      <w:r>
        <w:rPr>
          <w:rFonts w:ascii="Arial" w:cs="Arial" w:eastAsia="Arial" w:hAnsi="Arial"/>
          <w:sz w:val="15"/>
          <w:szCs w:val="15"/>
          <w:color w:val="auto"/>
        </w:rPr>
        <w:t>If any provision of this Agreement shall be determined to be unenforceable by any court of competent jurisdiction by reason of its extending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immediately preceding sentence, any provision of this Agreement shall be determined to be invalid, illegal or otherwise unenforceable by any court of competent jurisdiction, the validity, legality and enforceability of the other provisions of this Agreement shall not be affected thereby. Except as otherwise provided in this paragraph, any invalid, illegal or unenforceable provision of this Agreement shall be severable, and after any such severance, all other provisions hereof shall remain in full force and effect.</w:t>
      </w:r>
    </w:p>
    <w:p>
      <w:pPr>
        <w:spacing w:after="0" w:line="158" w:lineRule="exact"/>
        <w:rPr>
          <w:rFonts w:ascii="Arial" w:cs="Arial" w:eastAsia="Arial" w:hAnsi="Arial"/>
          <w:sz w:val="15"/>
          <w:szCs w:val="15"/>
          <w:color w:val="auto"/>
        </w:rPr>
      </w:pPr>
    </w:p>
    <w:p>
      <w:pPr>
        <w:ind w:right="100" w:firstLine="1104"/>
        <w:spacing w:after="0" w:line="268" w:lineRule="auto"/>
        <w:tabs>
          <w:tab w:leader="none" w:pos="1716" w:val="left"/>
        </w:tabs>
        <w:numPr>
          <w:ilvl w:val="0"/>
          <w:numId w:val="369"/>
        </w:numPr>
        <w:rPr>
          <w:rFonts w:ascii="Arial" w:cs="Arial" w:eastAsia="Arial" w:hAnsi="Arial"/>
          <w:sz w:val="15"/>
          <w:szCs w:val="15"/>
          <w:color w:val="auto"/>
        </w:rPr>
      </w:pPr>
      <w:r>
        <w:rPr>
          <w:rFonts w:ascii="Arial" w:cs="Arial" w:eastAsia="Arial" w:hAnsi="Arial"/>
          <w:sz w:val="15"/>
          <w:szCs w:val="15"/>
          <w:color w:val="auto"/>
        </w:rPr>
        <w:t>I acknowledge and agree that violation of this Agreement by me would cause irreparable harm to the Company not adequately compensable by money damages alone, and I therefore agree that, in addition to all other remedies available to the Company at law, in equity or otherwise, the Company shall be entitled to injunctive relief to prevent an actual or threatened violation of this Agreement and to enforce the provisions hereof, without showing or proving any actual damage to the Company or posting any bond in connection therewith.</w:t>
      </w:r>
    </w:p>
    <w:p>
      <w:pPr>
        <w:spacing w:after="0" w:line="156" w:lineRule="exact"/>
        <w:rPr>
          <w:rFonts w:ascii="Arial" w:cs="Arial" w:eastAsia="Arial" w:hAnsi="Arial"/>
          <w:sz w:val="15"/>
          <w:szCs w:val="15"/>
          <w:color w:val="auto"/>
        </w:rPr>
      </w:pPr>
    </w:p>
    <w:p>
      <w:pPr>
        <w:ind w:right="20" w:firstLine="1104"/>
        <w:spacing w:after="0" w:line="273" w:lineRule="auto"/>
        <w:tabs>
          <w:tab w:leader="none" w:pos="1708" w:val="left"/>
        </w:tabs>
        <w:numPr>
          <w:ilvl w:val="0"/>
          <w:numId w:val="369"/>
        </w:numPr>
        <w:rPr>
          <w:rFonts w:ascii="Arial" w:cs="Arial" w:eastAsia="Arial" w:hAnsi="Arial"/>
          <w:sz w:val="15"/>
          <w:szCs w:val="15"/>
          <w:color w:val="auto"/>
        </w:rPr>
      </w:pPr>
      <w:r>
        <w:rPr>
          <w:rFonts w:ascii="Arial" w:cs="Arial" w:eastAsia="Arial" w:hAnsi="Arial"/>
          <w:sz w:val="15"/>
          <w:szCs w:val="15"/>
          <w:color w:val="auto"/>
        </w:rPr>
        <w:t>No failure by the Company to insist upon strict compliance with any of the terms, covenants, or conditions hereof, and no delay or omission by the Company in exercising any right under this Agreement, will operate as a waiver of such terms, covenants, conditions or rights. A waiver or consent given by the Company on any one occasion is effective only in that instance and will not be construed as a bar to or waiver of any right on any other occasion.</w:t>
      </w:r>
    </w:p>
    <w:p>
      <w:pPr>
        <w:spacing w:after="0" w:line="152" w:lineRule="exact"/>
        <w:rPr>
          <w:rFonts w:ascii="Arial" w:cs="Arial" w:eastAsia="Arial" w:hAnsi="Arial"/>
          <w:sz w:val="15"/>
          <w:szCs w:val="15"/>
          <w:color w:val="auto"/>
        </w:rPr>
      </w:pPr>
    </w:p>
    <w:p>
      <w:pPr>
        <w:ind w:right="360" w:firstLine="1104"/>
        <w:spacing w:after="0" w:line="289" w:lineRule="auto"/>
        <w:tabs>
          <w:tab w:leader="none" w:pos="1729" w:val="left"/>
        </w:tabs>
        <w:numPr>
          <w:ilvl w:val="0"/>
          <w:numId w:val="369"/>
        </w:numPr>
        <w:rPr>
          <w:rFonts w:ascii="Arial" w:cs="Arial" w:eastAsia="Arial" w:hAnsi="Arial"/>
          <w:sz w:val="15"/>
          <w:szCs w:val="15"/>
          <w:color w:val="auto"/>
        </w:rPr>
      </w:pPr>
      <w:r>
        <w:rPr>
          <w:rFonts w:ascii="Arial" w:cs="Arial" w:eastAsia="Arial" w:hAnsi="Arial"/>
          <w:sz w:val="15"/>
          <w:szCs w:val="15"/>
          <w:color w:val="auto"/>
        </w:rPr>
        <w:t>This Agreement may not be changed, modified, released, discharged, abandoned, or otherwise amended, in whole or in part, except by an instrument in writing signed by me and the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firstLine="1104"/>
        <w:spacing w:after="0" w:line="289" w:lineRule="auto"/>
        <w:tabs>
          <w:tab w:leader="none" w:pos="1716" w:val="left"/>
        </w:tabs>
        <w:numPr>
          <w:ilvl w:val="0"/>
          <w:numId w:val="370"/>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and enforced in accordance with, the laws of The Commonwealth of Massachusetts, without regard to its principles of conflicts of laws. This Agreement is executed under seal.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640"/>
        <w:spacing w:after="0" w:line="273" w:lineRule="auto"/>
        <w:rPr>
          <w:sz w:val="20"/>
          <w:szCs w:val="20"/>
          <w:color w:val="auto"/>
        </w:rPr>
      </w:pPr>
      <w:r>
        <w:rPr>
          <w:rFonts w:ascii="Arial" w:cs="Arial" w:eastAsia="Arial" w:hAnsi="Arial"/>
          <w:sz w:val="15"/>
          <w:szCs w:val="15"/>
          <w:color w:val="auto"/>
        </w:rPr>
        <w:t>BY PLACING MY SIGNATURE HEREUNDER, I ACKNOWLEDGE THAT I HAVE HAD THE OPPORTUNITY TO SEEK THE ADVICE OF INDEPENDENT LEGAL COUNSEL AND I HAVE READ ALL THE PROVISIONS OF THIS EMPLOYEE NONDISCLOSURE, NONCOMPETITION AND ASSIGNMENT OF INTELLECTUAL PROPERTY AGREEMENT AND THAT I AGREE TO ALL OF ITS TERMS.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Effective Date: June 4, 2016</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EMPLOYEE:</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Werner Cautreels</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167"/>
        </w:trPr>
        <w:tc>
          <w:tcPr>
            <w:tcW w:w="76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Signature</w:t>
            </w:r>
          </w:p>
        </w:tc>
        <w:tc>
          <w:tcPr>
            <w:tcW w:w="4960" w:type="dxa"/>
            <w:vAlign w:val="bottom"/>
            <w:tcBorders>
              <w:top w:val="single" w:sz="8" w:color="auto"/>
            </w:tcBorders>
          </w:tcPr>
          <w:p>
            <w:pPr>
              <w:spacing w:after="0"/>
              <w:rPr>
                <w:sz w:val="14"/>
                <w:szCs w:val="14"/>
                <w:color w:val="auto"/>
              </w:rPr>
            </w:pP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Name:</w:t>
            </w:r>
          </w:p>
        </w:tc>
        <w:tc>
          <w:tcPr>
            <w:tcW w:w="4960" w:type="dxa"/>
            <w:vAlign w:val="bottom"/>
          </w:tcPr>
          <w:p>
            <w:pPr>
              <w:ind w:left="160"/>
              <w:spacing w:after="0"/>
              <w:rPr>
                <w:sz w:val="20"/>
                <w:szCs w:val="20"/>
                <w:color w:val="auto"/>
              </w:rPr>
            </w:pPr>
            <w:r>
              <w:rPr>
                <w:rFonts w:ascii="Arial" w:cs="Arial" w:eastAsia="Arial" w:hAnsi="Arial"/>
                <w:sz w:val="15"/>
                <w:szCs w:val="15"/>
                <w:color w:val="auto"/>
              </w:rPr>
              <w:t>Werner Cautreels</w:t>
            </w:r>
          </w:p>
        </w:tc>
      </w:tr>
      <w:tr>
        <w:trPr>
          <w:trHeight w:val="371"/>
        </w:trPr>
        <w:tc>
          <w:tcPr>
            <w:tcW w:w="760" w:type="dxa"/>
            <w:vAlign w:val="bottom"/>
          </w:tcPr>
          <w:p>
            <w:pPr>
              <w:spacing w:after="0"/>
              <w:rPr>
                <w:sz w:val="20"/>
                <w:szCs w:val="20"/>
                <w:color w:val="auto"/>
              </w:rPr>
            </w:pPr>
            <w:r>
              <w:rPr>
                <w:rFonts w:ascii="Arial" w:cs="Arial" w:eastAsia="Arial" w:hAnsi="Arial"/>
                <w:sz w:val="15"/>
                <w:szCs w:val="15"/>
                <w:color w:val="auto"/>
              </w:rPr>
              <w:t>Address:</w:t>
            </w:r>
          </w:p>
        </w:tc>
        <w:tc>
          <w:tcPr>
            <w:tcW w:w="4960" w:type="dxa"/>
            <w:vAlign w:val="bottom"/>
          </w:tcPr>
          <w:p>
            <w:pPr>
              <w:ind w:left="160"/>
              <w:spacing w:after="0"/>
              <w:rPr>
                <w:sz w:val="20"/>
                <w:szCs w:val="20"/>
                <w:color w:val="auto"/>
              </w:rPr>
            </w:pPr>
            <w:r>
              <w:rPr>
                <w:rFonts w:ascii="Arial" w:cs="Arial" w:eastAsia="Arial" w:hAnsi="Arial"/>
                <w:sz w:val="15"/>
                <w:szCs w:val="15"/>
                <w:color w:val="auto"/>
              </w:rPr>
              <w:t>[***]</w:t>
            </w:r>
          </w:p>
        </w:tc>
      </w:tr>
    </w:tbl>
    <w:p>
      <w:pPr>
        <w:spacing w:after="0" w:line="36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Accepted and Agreed:</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David Abraham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 David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-108585</wp:posOffset>
            </wp:positionV>
            <wp:extent cx="3279775" cy="762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327977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 General Counsel, CS, CCC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Excluded Confidential Information and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Indemnification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377" w:name="page378"/>
    <w:bookmarkEnd w:id="377"/>
    <w:p>
      <w:pPr>
        <w:jc w:val="right"/>
        <w:spacing w:after="0"/>
        <w:rPr>
          <w:sz w:val="20"/>
          <w:szCs w:val="20"/>
          <w:color w:val="auto"/>
        </w:rPr>
      </w:pPr>
      <w:r>
        <w:rPr>
          <w:rFonts w:ascii="Arial" w:cs="Arial" w:eastAsia="Arial" w:hAnsi="Arial"/>
          <w:sz w:val="15"/>
          <w:szCs w:val="15"/>
          <w:b w:val="1"/>
          <w:bCs w:val="1"/>
          <w:color w:val="auto"/>
        </w:rPr>
        <w:t>Exhibit 10.18</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Employment Agreement</w:t>
      </w:r>
    </w:p>
    <w:p>
      <w:pPr>
        <w:spacing w:after="0" w:line="204" w:lineRule="exact"/>
        <w:rPr>
          <w:sz w:val="20"/>
          <w:szCs w:val="20"/>
          <w:color w:val="auto"/>
        </w:rPr>
      </w:pPr>
    </w:p>
    <w:p>
      <w:pPr>
        <w:ind w:left="7" w:right="440" w:firstLine="556"/>
        <w:spacing w:after="0" w:line="327" w:lineRule="auto"/>
        <w:rPr>
          <w:sz w:val="20"/>
          <w:szCs w:val="20"/>
          <w:color w:val="auto"/>
        </w:rPr>
      </w:pPr>
      <w:r>
        <w:rPr>
          <w:rFonts w:ascii="Arial" w:cs="Arial" w:eastAsia="Arial" w:hAnsi="Arial"/>
          <w:sz w:val="14"/>
          <w:szCs w:val="14"/>
          <w:color w:val="auto"/>
        </w:rPr>
        <w:t>This Employment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June 6, 2016, is made by and between Selecta Biosciences, Inc., a Delaware corporation (together with any successor thereto, the “</w:t>
      </w:r>
      <w:r>
        <w:rPr>
          <w:rFonts w:ascii="Arial" w:cs="Arial" w:eastAsia="Arial" w:hAnsi="Arial"/>
          <w:sz w:val="14"/>
          <w:szCs w:val="14"/>
          <w:u w:val="single" w:color="auto"/>
          <w:color w:val="auto"/>
        </w:rPr>
        <w:t>Company</w:t>
      </w:r>
      <w:r>
        <w:rPr>
          <w:rFonts w:ascii="Arial" w:cs="Arial" w:eastAsia="Arial" w:hAnsi="Arial"/>
          <w:sz w:val="14"/>
          <w:szCs w:val="14"/>
          <w:color w:val="auto"/>
        </w:rPr>
        <w:t>”), and Takashi Kei Kishimoto, Ph.D. (“</w:t>
      </w:r>
      <w:r>
        <w:rPr>
          <w:rFonts w:ascii="Arial" w:cs="Arial" w:eastAsia="Arial" w:hAnsi="Arial"/>
          <w:sz w:val="14"/>
          <w:szCs w:val="14"/>
          <w:u w:val="single" w:color="auto"/>
          <w:color w:val="auto"/>
        </w:rPr>
        <w:t>Executive</w:t>
      </w:r>
      <w:r>
        <w:rPr>
          <w:rFonts w:ascii="Arial" w:cs="Arial" w:eastAsia="Arial" w:hAnsi="Arial"/>
          <w:sz w:val="14"/>
          <w:szCs w:val="14"/>
          <w:color w:val="auto"/>
        </w:rPr>
        <w:t>”) (collectively referred to as the “</w:t>
      </w:r>
      <w:r>
        <w:rPr>
          <w:rFonts w:ascii="Arial" w:cs="Arial" w:eastAsia="Arial" w:hAnsi="Arial"/>
          <w:sz w:val="14"/>
          <w:szCs w:val="14"/>
          <w:u w:val="single" w:color="auto"/>
          <w:color w:val="auto"/>
        </w:rPr>
        <w:t>Parties</w:t>
      </w:r>
      <w:r>
        <w:rPr>
          <w:rFonts w:ascii="Arial" w:cs="Arial" w:eastAsia="Arial" w:hAnsi="Arial"/>
          <w:sz w:val="14"/>
          <w:szCs w:val="14"/>
          <w:color w:val="auto"/>
        </w:rPr>
        <w:t>” or individually referred to as a “</w:t>
      </w:r>
      <w:r>
        <w:rPr>
          <w:rFonts w:ascii="Arial" w:cs="Arial" w:eastAsia="Arial" w:hAnsi="Arial"/>
          <w:sz w:val="14"/>
          <w:szCs w:val="14"/>
          <w:u w:val="single" w:color="auto"/>
          <w:color w:val="auto"/>
        </w:rPr>
        <w:t>Party</w:t>
      </w:r>
      <w:r>
        <w:rPr>
          <w:rFonts w:ascii="Arial" w:cs="Arial" w:eastAsia="Arial" w:hAnsi="Arial"/>
          <w:sz w:val="14"/>
          <w:szCs w:val="14"/>
          <w:color w:val="auto"/>
        </w:rPr>
        <w:t>”).</w:t>
      </w:r>
    </w:p>
    <w:p>
      <w:pPr>
        <w:spacing w:after="0" w:line="11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RECITALS</w:t>
      </w:r>
    </w:p>
    <w:p>
      <w:pPr>
        <w:spacing w:after="0" w:line="204" w:lineRule="exact"/>
        <w:rPr>
          <w:sz w:val="20"/>
          <w:szCs w:val="20"/>
          <w:color w:val="auto"/>
        </w:rPr>
      </w:pPr>
    </w:p>
    <w:p>
      <w:pPr>
        <w:ind w:left="567" w:hanging="567"/>
        <w:spacing w:after="0"/>
        <w:tabs>
          <w:tab w:leader="none" w:pos="567" w:val="left"/>
        </w:tabs>
        <w:numPr>
          <w:ilvl w:val="0"/>
          <w:numId w:val="371"/>
        </w:numPr>
        <w:rPr>
          <w:rFonts w:ascii="Arial" w:cs="Arial" w:eastAsia="Arial" w:hAnsi="Arial"/>
          <w:sz w:val="14"/>
          <w:szCs w:val="14"/>
          <w:color w:val="auto"/>
        </w:rPr>
      </w:pPr>
      <w:r>
        <w:rPr>
          <w:rFonts w:ascii="Arial" w:cs="Arial" w:eastAsia="Arial" w:hAnsi="Arial"/>
          <w:sz w:val="14"/>
          <w:szCs w:val="14"/>
          <w:color w:val="auto"/>
        </w:rPr>
        <w:t>It is the desire of the Company to assure itself of the services of Executive following the Effective Date (as defined below) and thereafter by entering into this Agreement.</w:t>
      </w:r>
    </w:p>
    <w:p>
      <w:pPr>
        <w:spacing w:after="0" w:line="209" w:lineRule="exact"/>
        <w:rPr>
          <w:rFonts w:ascii="Arial" w:cs="Arial" w:eastAsia="Arial" w:hAnsi="Arial"/>
          <w:sz w:val="14"/>
          <w:szCs w:val="14"/>
          <w:color w:val="auto"/>
        </w:rPr>
      </w:pPr>
    </w:p>
    <w:p>
      <w:pPr>
        <w:ind w:left="567" w:hanging="567"/>
        <w:spacing w:after="0"/>
        <w:tabs>
          <w:tab w:leader="none" w:pos="567" w:val="left"/>
        </w:tabs>
        <w:numPr>
          <w:ilvl w:val="0"/>
          <w:numId w:val="371"/>
        </w:numPr>
        <w:rPr>
          <w:rFonts w:ascii="Arial" w:cs="Arial" w:eastAsia="Arial" w:hAnsi="Arial"/>
          <w:sz w:val="15"/>
          <w:szCs w:val="15"/>
          <w:color w:val="auto"/>
        </w:rPr>
      </w:pPr>
      <w:r>
        <w:rPr>
          <w:rFonts w:ascii="Arial" w:cs="Arial" w:eastAsia="Arial" w:hAnsi="Arial"/>
          <w:sz w:val="15"/>
          <w:szCs w:val="15"/>
          <w:color w:val="auto"/>
        </w:rPr>
        <w:t>Executive and the Company mutually desire that Executive provide services to the Company on the terms herein provided.</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AGREEMENT</w:t>
      </w:r>
    </w:p>
    <w:p>
      <w:pPr>
        <w:spacing w:after="0" w:line="204" w:lineRule="exact"/>
        <w:rPr>
          <w:sz w:val="20"/>
          <w:szCs w:val="20"/>
          <w:color w:val="auto"/>
        </w:rPr>
      </w:pPr>
    </w:p>
    <w:p>
      <w:pPr>
        <w:ind w:left="547"/>
        <w:spacing w:after="0"/>
        <w:rPr>
          <w:sz w:val="20"/>
          <w:szCs w:val="20"/>
          <w:color w:val="auto"/>
        </w:rPr>
      </w:pPr>
      <w:r>
        <w:rPr>
          <w:rFonts w:ascii="Arial" w:cs="Arial" w:eastAsia="Arial" w:hAnsi="Arial"/>
          <w:sz w:val="15"/>
          <w:szCs w:val="15"/>
          <w:color w:val="auto"/>
        </w:rPr>
        <w:t>NOW, THEREFORE, in consideration of the foregoing and of the respective covenants and agreements set forth below, the Parties hereto agree as follows:</w:t>
      </w:r>
    </w:p>
    <w:p>
      <w:pPr>
        <w:spacing w:after="0" w:line="192" w:lineRule="exact"/>
        <w:rPr>
          <w:sz w:val="20"/>
          <w:szCs w:val="20"/>
          <w:color w:val="auto"/>
        </w:rPr>
      </w:pPr>
    </w:p>
    <w:p>
      <w:pPr>
        <w:ind w:left="547" w:hanging="547"/>
        <w:spacing w:after="0"/>
        <w:tabs>
          <w:tab w:leader="none" w:pos="547" w:val="left"/>
        </w:tabs>
        <w:numPr>
          <w:ilvl w:val="0"/>
          <w:numId w:val="37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Employment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60" w:firstLine="549"/>
        <w:spacing w:after="0" w:line="273" w:lineRule="auto"/>
        <w:tabs>
          <w:tab w:leader="none" w:pos="1117" w:val="left"/>
        </w:tabs>
        <w:numPr>
          <w:ilvl w:val="1"/>
          <w:numId w:val="372"/>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Effective on the closing of the Company’s initial public offering of stock pursuant to an effective registration statement filed under the Securities Act of 1933, as amended (the “</w:t>
      </w:r>
      <w:r>
        <w:rPr>
          <w:rFonts w:ascii="Arial" w:cs="Arial" w:eastAsia="Arial" w:hAnsi="Arial"/>
          <w:sz w:val="15"/>
          <w:szCs w:val="15"/>
          <w:u w:val="single" w:color="auto"/>
          <w:color w:val="auto"/>
        </w:rPr>
        <w:t>Effective Date</w:t>
      </w:r>
      <w:r>
        <w:rPr>
          <w:rFonts w:ascii="Arial" w:cs="Arial" w:eastAsia="Arial" w:hAnsi="Arial"/>
          <w:sz w:val="15"/>
          <w:szCs w:val="15"/>
          <w:color w:val="auto"/>
        </w:rPr>
        <w:t xml:space="preserve">”), the Company shall employ Executive and Executive shall remain in the employ of the Company, for the period and in the positions set forth in this </w:t>
      </w:r>
      <w:r>
        <w:rPr>
          <w:rFonts w:ascii="Arial" w:cs="Arial" w:eastAsia="Arial" w:hAnsi="Arial"/>
          <w:sz w:val="15"/>
          <w:szCs w:val="15"/>
          <w:u w:val="single" w:color="auto"/>
          <w:color w:val="auto"/>
        </w:rPr>
        <w:t>Section 1</w:t>
      </w:r>
      <w:r>
        <w:rPr>
          <w:rFonts w:ascii="Arial" w:cs="Arial" w:eastAsia="Arial" w:hAnsi="Arial"/>
          <w:sz w:val="15"/>
          <w:szCs w:val="15"/>
          <w:color w:val="auto"/>
        </w:rPr>
        <w:t>, and subject to the other terms and conditions herein provided.</w:t>
      </w:r>
    </w:p>
    <w:p>
      <w:pPr>
        <w:spacing w:after="0" w:line="152" w:lineRule="exact"/>
        <w:rPr>
          <w:rFonts w:ascii="Arial" w:cs="Arial" w:eastAsia="Arial" w:hAnsi="Arial"/>
          <w:sz w:val="15"/>
          <w:szCs w:val="15"/>
          <w:color w:val="auto"/>
        </w:rPr>
      </w:pPr>
    </w:p>
    <w:p>
      <w:pPr>
        <w:ind w:left="7" w:firstLine="549"/>
        <w:spacing w:after="0" w:line="264" w:lineRule="auto"/>
        <w:tabs>
          <w:tab w:leader="none" w:pos="1125" w:val="left"/>
        </w:tabs>
        <w:numPr>
          <w:ilvl w:val="1"/>
          <w:numId w:val="372"/>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5"/>
          <w:szCs w:val="15"/>
          <w:u w:val="single" w:color="auto"/>
          <w:color w:val="auto"/>
        </w:rPr>
        <w:t>Section 3(b)</w:t>
      </w:r>
      <w:r>
        <w:rPr>
          <w:rFonts w:ascii="Arial" w:cs="Arial" w:eastAsia="Arial" w:hAnsi="Arial"/>
          <w:sz w:val="15"/>
          <w:szCs w:val="15"/>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5"/>
          <w:szCs w:val="15"/>
          <w:u w:val="single" w:color="auto"/>
          <w:color w:val="auto"/>
        </w:rPr>
        <w:t>Term</w:t>
      </w:r>
      <w:r>
        <w:rPr>
          <w:rFonts w:ascii="Arial" w:cs="Arial" w:eastAsia="Arial" w:hAnsi="Arial"/>
          <w:sz w:val="15"/>
          <w:szCs w:val="15"/>
          <w:color w:val="auto"/>
        </w:rPr>
        <w:t xml:space="preserve">”) shall commence on the Effective Date and end on the date this Agreement is terminated under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left="7" w:right="120" w:firstLine="549"/>
        <w:spacing w:after="0" w:line="284" w:lineRule="auto"/>
        <w:tabs>
          <w:tab w:leader="none" w:pos="1128" w:val="left"/>
        </w:tabs>
        <w:numPr>
          <w:ilvl w:val="1"/>
          <w:numId w:val="372"/>
        </w:numPr>
        <w:rPr>
          <w:rFonts w:ascii="Arial" w:cs="Arial" w:eastAsia="Arial" w:hAnsi="Arial"/>
          <w:sz w:val="14"/>
          <w:szCs w:val="14"/>
          <w:color w:val="auto"/>
        </w:rPr>
      </w:pPr>
      <w:r>
        <w:rPr>
          <w:rFonts w:ascii="Arial" w:cs="Arial" w:eastAsia="Arial" w:hAnsi="Arial"/>
          <w:sz w:val="14"/>
          <w:szCs w:val="14"/>
          <w:u w:val="single" w:color="auto"/>
          <w:color w:val="auto"/>
        </w:rPr>
        <w:t>Positions and Duties</w:t>
      </w:r>
      <w:r>
        <w:rPr>
          <w:rFonts w:ascii="Arial" w:cs="Arial" w:eastAsia="Arial" w:hAnsi="Arial"/>
          <w:sz w:val="14"/>
          <w:szCs w:val="14"/>
          <w:color w:val="auto"/>
        </w:rPr>
        <w:t>. Executive shall serve as Chief Scientific Officer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Arial" w:cs="Arial" w:eastAsia="Arial" w:hAnsi="Arial"/>
          <w:sz w:val="14"/>
          <w:szCs w:val="14"/>
          <w:u w:val="single" w:color="auto"/>
          <w:color w:val="auto"/>
        </w:rPr>
        <w:t>Restrictive</w:t>
      </w:r>
      <w:r>
        <w:rPr>
          <w:rFonts w:ascii="Arial" w:cs="Arial" w:eastAsia="Arial" w:hAnsi="Arial"/>
          <w:sz w:val="14"/>
          <w:szCs w:val="14"/>
          <w:color w:val="auto"/>
        </w:rPr>
        <w:t xml:space="preserve"> </w:t>
      </w:r>
      <w:r>
        <w:rPr>
          <w:rFonts w:ascii="Arial" w:cs="Arial" w:eastAsia="Arial" w:hAnsi="Arial"/>
          <w:sz w:val="14"/>
          <w:szCs w:val="14"/>
          <w:u w:val="single" w:color="auto"/>
          <w:color w:val="auto"/>
        </w:rPr>
        <w:t>Covenant Agreement</w:t>
      </w:r>
      <w:r>
        <w:rPr>
          <w:rFonts w:ascii="Arial" w:cs="Arial" w:eastAsia="Arial" w:hAnsi="Arial"/>
          <w:sz w:val="14"/>
          <w:szCs w:val="14"/>
          <w:color w:val="auto"/>
        </w:rPr>
        <w:t>”).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14"/>
          <w:szCs w:val="14"/>
          <w:u w:val="single" w:color="auto"/>
          <w:color w:val="auto"/>
        </w:rPr>
        <w:t>Policy</w:t>
      </w:r>
      <w:r>
        <w:rPr>
          <w:rFonts w:ascii="Arial" w:cs="Arial" w:eastAsia="Arial" w:hAnsi="Arial"/>
          <w:sz w:val="14"/>
          <w:szCs w:val="14"/>
          <w:color w:val="auto"/>
        </w:rPr>
        <w: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6" w:lineRule="exact"/>
        <w:rPr>
          <w:rFonts w:ascii="Arial" w:cs="Arial" w:eastAsia="Arial" w:hAnsi="Arial"/>
          <w:sz w:val="14"/>
          <w:szCs w:val="14"/>
          <w:color w:val="auto"/>
        </w:rPr>
      </w:pPr>
    </w:p>
    <w:p>
      <w:pPr>
        <w:ind w:left="547" w:hanging="547"/>
        <w:spacing w:after="0"/>
        <w:tabs>
          <w:tab w:leader="none" w:pos="547" w:val="left"/>
        </w:tabs>
        <w:numPr>
          <w:ilvl w:val="0"/>
          <w:numId w:val="37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Compensation and Related Matters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jc w:val="both"/>
        <w:ind w:left="7" w:right="20" w:firstLine="549"/>
        <w:spacing w:after="0" w:line="268" w:lineRule="auto"/>
        <w:tabs>
          <w:tab w:leader="none" w:pos="1117" w:val="left"/>
        </w:tabs>
        <w:numPr>
          <w:ilvl w:val="1"/>
          <w:numId w:val="372"/>
        </w:numPr>
        <w:rPr>
          <w:rFonts w:ascii="Arial" w:cs="Arial" w:eastAsia="Arial" w:hAnsi="Arial"/>
          <w:sz w:val="15"/>
          <w:szCs w:val="15"/>
          <w:color w:val="auto"/>
        </w:rPr>
      </w:pPr>
      <w:r>
        <w:rPr>
          <w:rFonts w:ascii="Arial" w:cs="Arial" w:eastAsia="Arial" w:hAnsi="Arial"/>
          <w:sz w:val="15"/>
          <w:szCs w:val="15"/>
          <w:u w:val="single" w:color="auto"/>
          <w:color w:val="auto"/>
        </w:rPr>
        <w:t>Annual Base Salary</w:t>
      </w:r>
      <w:r>
        <w:rPr>
          <w:rFonts w:ascii="Arial" w:cs="Arial" w:eastAsia="Arial" w:hAnsi="Arial"/>
          <w:sz w:val="15"/>
          <w:szCs w:val="15"/>
          <w:color w:val="auto"/>
        </w:rPr>
        <w:t>. During the Term, Executive shall receive a base salary at a rate of $315,000 per annum, which shall be paid in accordance with the customary payroll practices of the Company and shall be pro-rated for partial years of employment. Such annual base salary shall be reviewed (and may be increased) from time to time by the Board of Directors of the Company or an authorized committee of the Board (in either case, the “</w:t>
      </w:r>
      <w:r>
        <w:rPr>
          <w:rFonts w:ascii="Arial" w:cs="Arial" w:eastAsia="Arial" w:hAnsi="Arial"/>
          <w:sz w:val="15"/>
          <w:szCs w:val="15"/>
          <w:u w:val="single" w:color="auto"/>
          <w:color w:val="auto"/>
        </w:rPr>
        <w:t>Board</w:t>
      </w:r>
      <w:r>
        <w:rPr>
          <w:rFonts w:ascii="Arial" w:cs="Arial" w:eastAsia="Arial" w:hAnsi="Arial"/>
          <w:sz w:val="15"/>
          <w:szCs w:val="15"/>
          <w:color w:val="auto"/>
        </w:rPr>
        <w:t>”) (such annual base salary, as it may be increased from time to time, the “</w:t>
      </w:r>
      <w:r>
        <w:rPr>
          <w:rFonts w:ascii="Arial" w:cs="Arial" w:eastAsia="Arial" w:hAnsi="Arial"/>
          <w:sz w:val="15"/>
          <w:szCs w:val="15"/>
          <w:u w:val="single" w:color="auto"/>
          <w:color w:val="auto"/>
        </w:rPr>
        <w:t>Annual</w:t>
      </w:r>
      <w:r>
        <w:rPr>
          <w:rFonts w:ascii="Arial" w:cs="Arial" w:eastAsia="Arial" w:hAnsi="Arial"/>
          <w:sz w:val="15"/>
          <w:szCs w:val="15"/>
          <w:color w:val="auto"/>
        </w:rPr>
        <w:t xml:space="preserve"> </w:t>
      </w:r>
      <w:r>
        <w:rPr>
          <w:rFonts w:ascii="Arial" w:cs="Arial" w:eastAsia="Arial" w:hAnsi="Arial"/>
          <w:sz w:val="15"/>
          <w:szCs w:val="15"/>
          <w:u w:val="single" w:color="auto"/>
          <w:color w:val="auto"/>
        </w:rPr>
        <w:t>Base Salary</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ind w:left="7" w:firstLine="549"/>
        <w:spacing w:after="0" w:line="268" w:lineRule="auto"/>
        <w:tabs>
          <w:tab w:leader="none" w:pos="1125" w:val="left"/>
        </w:tabs>
        <w:numPr>
          <w:ilvl w:val="1"/>
          <w:numId w:val="372"/>
        </w:numPr>
        <w:rPr>
          <w:rFonts w:ascii="Arial" w:cs="Arial" w:eastAsia="Arial" w:hAnsi="Arial"/>
          <w:sz w:val="15"/>
          <w:szCs w:val="15"/>
          <w:color w:val="auto"/>
        </w:rPr>
      </w:pPr>
      <w:r>
        <w:rPr>
          <w:rFonts w:ascii="Arial" w:cs="Arial" w:eastAsia="Arial" w:hAnsi="Arial"/>
          <w:sz w:val="15"/>
          <w:szCs w:val="15"/>
          <w:u w:val="single" w:color="auto"/>
          <w:color w:val="auto"/>
        </w:rPr>
        <w:t>Bonus</w:t>
      </w:r>
      <w:r>
        <w:rPr>
          <w:rFonts w:ascii="Arial" w:cs="Arial" w:eastAsia="Arial" w:hAnsi="Arial"/>
          <w:sz w:val="15"/>
          <w:szCs w:val="15"/>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5"/>
          <w:szCs w:val="15"/>
          <w:u w:val="single" w:color="auto"/>
          <w:color w:val="auto"/>
        </w:rPr>
        <w:t>Annual Bonus</w:t>
      </w:r>
      <w:r>
        <w:rPr>
          <w:rFonts w:ascii="Arial" w:cs="Arial" w:eastAsia="Arial" w:hAnsi="Arial"/>
          <w:sz w:val="15"/>
          <w:szCs w:val="15"/>
          <w:color w:val="auto"/>
        </w:rPr>
        <w:t>”) shall be targeted at 35% of Executive’s Annual Base Salary (the “</w:t>
      </w:r>
      <w:r>
        <w:rPr>
          <w:rFonts w:ascii="Arial" w:cs="Arial" w:eastAsia="Arial" w:hAnsi="Arial"/>
          <w:sz w:val="15"/>
          <w:szCs w:val="15"/>
          <w:u w:val="single" w:color="auto"/>
          <w:color w:val="auto"/>
        </w:rPr>
        <w:t>Target Bonus</w:t>
      </w:r>
      <w:r>
        <w:rPr>
          <w:rFonts w:ascii="Arial" w:cs="Arial" w:eastAsia="Arial" w:hAnsi="Arial"/>
          <w:sz w:val="15"/>
          <w:szCs w:val="15"/>
          <w:color w:val="auto"/>
        </w:rPr>
        <w:t>”). The Annual Bonus payable under the incentive program shall be based on the achievement of performance goals to be determined by the Board. The payment of any Annual Bonus pursuant to the incentive program will be made on or before March 15 of the year following the year in which such Annual Bonus is earned.</w:t>
      </w:r>
    </w:p>
    <w:p>
      <w:pPr>
        <w:spacing w:after="0" w:line="156" w:lineRule="exact"/>
        <w:rPr>
          <w:rFonts w:ascii="Arial" w:cs="Arial" w:eastAsia="Arial" w:hAnsi="Arial"/>
          <w:sz w:val="15"/>
          <w:szCs w:val="15"/>
          <w:color w:val="auto"/>
        </w:rPr>
      </w:pPr>
    </w:p>
    <w:p>
      <w:pPr>
        <w:ind w:left="7" w:right="100" w:firstLine="549"/>
        <w:spacing w:after="0" w:line="273" w:lineRule="auto"/>
        <w:tabs>
          <w:tab w:leader="none" w:pos="1128" w:val="left"/>
        </w:tabs>
        <w:numPr>
          <w:ilvl w:val="1"/>
          <w:numId w:val="372"/>
        </w:numPr>
        <w:rPr>
          <w:rFonts w:ascii="Arial" w:cs="Arial" w:eastAsia="Arial" w:hAnsi="Arial"/>
          <w:sz w:val="15"/>
          <w:szCs w:val="15"/>
          <w:color w:val="auto"/>
        </w:rPr>
      </w:pPr>
      <w:r>
        <w:rPr>
          <w:rFonts w:ascii="Arial" w:cs="Arial" w:eastAsia="Arial" w:hAnsi="Arial"/>
          <w:sz w:val="15"/>
          <w:szCs w:val="15"/>
          <w:u w:val="single" w:color="auto"/>
          <w:color w:val="auto"/>
        </w:rPr>
        <w:t>Benefits</w:t>
      </w:r>
      <w:r>
        <w:rPr>
          <w:rFonts w:ascii="Arial" w:cs="Arial" w:eastAsia="Arial" w:hAnsi="Arial"/>
          <w:sz w:val="15"/>
          <w:szCs w:val="15"/>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this Agreement.</w:t>
      </w:r>
    </w:p>
    <w:p>
      <w:pPr>
        <w:spacing w:after="0" w:line="152" w:lineRule="exact"/>
        <w:rPr>
          <w:rFonts w:ascii="Arial" w:cs="Arial" w:eastAsia="Arial" w:hAnsi="Arial"/>
          <w:sz w:val="15"/>
          <w:szCs w:val="15"/>
          <w:color w:val="auto"/>
        </w:rPr>
      </w:pPr>
    </w:p>
    <w:p>
      <w:pPr>
        <w:ind w:left="7" w:right="60" w:firstLine="549"/>
        <w:spacing w:after="0" w:line="302" w:lineRule="auto"/>
        <w:tabs>
          <w:tab w:leader="none" w:pos="1125" w:val="left"/>
        </w:tabs>
        <w:numPr>
          <w:ilvl w:val="1"/>
          <w:numId w:val="372"/>
        </w:numPr>
        <w:rPr>
          <w:rFonts w:ascii="Arial" w:cs="Arial" w:eastAsia="Arial" w:hAnsi="Arial"/>
          <w:sz w:val="14"/>
          <w:szCs w:val="14"/>
          <w:color w:val="auto"/>
        </w:rPr>
      </w:pPr>
      <w:r>
        <w:rPr>
          <w:rFonts w:ascii="Arial" w:cs="Arial" w:eastAsia="Arial" w:hAnsi="Arial"/>
          <w:sz w:val="14"/>
          <w:szCs w:val="14"/>
          <w:u w:val="single" w:color="auto"/>
          <w:color w:val="auto"/>
        </w:rPr>
        <w:t>Vacation</w:t>
      </w:r>
      <w:r>
        <w:rPr>
          <w:rFonts w:ascii="Arial" w:cs="Arial" w:eastAsia="Arial" w:hAnsi="Arial"/>
          <w:sz w:val="14"/>
          <w:szCs w:val="14"/>
          <w:color w:val="auto"/>
        </w:rPr>
        <w:t>. During the Term, Executive shall be entitled to four weeks of paid personal leave, or paid personal leave per calendar year in accordance with the Company’s Policies, whichever is greater. Vacation days accrued, but not used by the end of any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33" w:lineRule="exact"/>
        <w:rPr>
          <w:rFonts w:ascii="Arial" w:cs="Arial" w:eastAsia="Arial" w:hAnsi="Arial"/>
          <w:sz w:val="14"/>
          <w:szCs w:val="14"/>
          <w:color w:val="auto"/>
        </w:rPr>
      </w:pPr>
    </w:p>
    <w:p>
      <w:pPr>
        <w:ind w:left="7" w:right="400" w:firstLine="549"/>
        <w:spacing w:after="0" w:line="289" w:lineRule="auto"/>
        <w:tabs>
          <w:tab w:leader="none" w:pos="1128" w:val="left"/>
        </w:tabs>
        <w:numPr>
          <w:ilvl w:val="1"/>
          <w:numId w:val="372"/>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40" w:lineRule="exact"/>
        <w:rPr>
          <w:rFonts w:ascii="Arial" w:cs="Arial" w:eastAsia="Arial" w:hAnsi="Arial"/>
          <w:sz w:val="15"/>
          <w:szCs w:val="15"/>
          <w:color w:val="auto"/>
        </w:rPr>
      </w:pPr>
    </w:p>
    <w:p>
      <w:pPr>
        <w:ind w:left="7" w:right="20" w:firstLine="549"/>
        <w:spacing w:after="0" w:line="265" w:lineRule="auto"/>
        <w:tabs>
          <w:tab w:leader="none" w:pos="1123" w:val="left"/>
        </w:tabs>
        <w:numPr>
          <w:ilvl w:val="1"/>
          <w:numId w:val="372"/>
        </w:numPr>
        <w:rPr>
          <w:rFonts w:ascii="Arial" w:cs="Arial" w:eastAsia="Arial" w:hAnsi="Arial"/>
          <w:sz w:val="15"/>
          <w:szCs w:val="15"/>
          <w:color w:val="auto"/>
        </w:rPr>
      </w:pPr>
      <w:r>
        <w:rPr>
          <w:rFonts w:ascii="Arial" w:cs="Arial" w:eastAsia="Arial" w:hAnsi="Arial"/>
          <w:sz w:val="15"/>
          <w:szCs w:val="15"/>
          <w:u w:val="single" w:color="auto"/>
          <w:color w:val="auto"/>
        </w:rPr>
        <w:t>Key Person Insurance</w:t>
      </w:r>
      <w:r>
        <w:rPr>
          <w:rFonts w:ascii="Arial" w:cs="Arial" w:eastAsia="Arial" w:hAnsi="Arial"/>
          <w:sz w:val="15"/>
          <w:szCs w:val="15"/>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53" w:lineRule="exact"/>
        <w:rPr>
          <w:rFonts w:ascii="Arial" w:cs="Arial" w:eastAsia="Arial" w:hAnsi="Arial"/>
          <w:sz w:val="15"/>
          <w:szCs w:val="15"/>
          <w:color w:val="auto"/>
        </w:rPr>
      </w:pPr>
    </w:p>
    <w:p>
      <w:pPr>
        <w:ind w:left="547" w:hanging="547"/>
        <w:spacing w:after="0"/>
        <w:tabs>
          <w:tab w:leader="none" w:pos="547" w:val="left"/>
        </w:tabs>
        <w:numPr>
          <w:ilvl w:val="0"/>
          <w:numId w:val="37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-3844290</wp:posOffset>
            </wp:positionV>
            <wp:extent cx="7285990" cy="2730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84" w:lineRule="exact"/>
        <w:rPr>
          <w:sz w:val="20"/>
          <w:szCs w:val="20"/>
          <w:color w:val="auto"/>
        </w:rPr>
      </w:pPr>
    </w:p>
    <w:p>
      <w:pPr>
        <w:jc w:val="center"/>
        <w:ind w:left="440"/>
        <w:spacing w:after="0"/>
        <w:rPr>
          <w:sz w:val="20"/>
          <w:szCs w:val="20"/>
          <w:color w:val="auto"/>
        </w:rPr>
      </w:pPr>
      <w:r>
        <w:rPr>
          <w:rFonts w:ascii="Arial" w:cs="Arial" w:eastAsia="Arial" w:hAnsi="Arial"/>
          <w:sz w:val="14"/>
          <w:szCs w:val="14"/>
          <w:color w:val="auto"/>
        </w:rPr>
        <w:t>Executive’s employment hereunder may be terminated by the Company or Executive, as applicable, without any breach of this Agreement under the following circumstances:</w:t>
      </w: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7" w:hanging="551"/>
        <w:spacing w:after="0"/>
        <w:tabs>
          <w:tab w:leader="none" w:pos="1107" w:val="left"/>
        </w:tabs>
        <w:numPr>
          <w:ilvl w:val="0"/>
          <w:numId w:val="373"/>
        </w:numPr>
        <w:rPr>
          <w:rFonts w:ascii="Arial" w:cs="Arial" w:eastAsia="Arial" w:hAnsi="Arial"/>
          <w:sz w:val="15"/>
          <w:szCs w:val="15"/>
          <w:color w:val="auto"/>
        </w:rPr>
      </w:pPr>
      <w:r>
        <w:rPr>
          <w:rFonts w:ascii="Arial" w:cs="Arial" w:eastAsia="Arial" w:hAnsi="Arial"/>
          <w:sz w:val="15"/>
          <w:szCs w:val="15"/>
          <w:u w:val="single" w:color="auto"/>
          <w:color w:val="auto"/>
        </w:rPr>
        <w:t>Circumstances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373"/>
        </w:numPr>
        <w:rPr>
          <w:rFonts w:ascii="Arial" w:cs="Arial" w:eastAsia="Arial" w:hAnsi="Arial"/>
          <w:sz w:val="15"/>
          <w:szCs w:val="15"/>
          <w:color w:val="auto"/>
        </w:rPr>
      </w:pPr>
      <w:r>
        <w:rPr>
          <w:rFonts w:ascii="Arial" w:cs="Arial" w:eastAsia="Arial" w:hAnsi="Arial"/>
          <w:sz w:val="15"/>
          <w:szCs w:val="15"/>
          <w:i w:val="1"/>
          <w:iCs w:val="1"/>
          <w:color w:val="auto"/>
        </w:rPr>
        <w:t>Death</w:t>
      </w:r>
      <w:r>
        <w:rPr>
          <w:rFonts w:ascii="Arial" w:cs="Arial" w:eastAsia="Arial" w:hAnsi="Arial"/>
          <w:sz w:val="15"/>
          <w:szCs w:val="15"/>
          <w:color w:val="auto"/>
        </w:rPr>
        <w:t>. Executive’s employment hereunder shall terminate upon Executive’s death.</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373"/>
        </w:numPr>
        <w:rPr>
          <w:rFonts w:ascii="Arial" w:cs="Arial" w:eastAsia="Arial" w:hAnsi="Arial"/>
          <w:sz w:val="15"/>
          <w:szCs w:val="15"/>
          <w:color w:val="auto"/>
        </w:rPr>
      </w:pPr>
      <w:r>
        <w:rPr>
          <w:rFonts w:ascii="Arial" w:cs="Arial" w:eastAsia="Arial" w:hAnsi="Arial"/>
          <w:sz w:val="15"/>
          <w:szCs w:val="15"/>
          <w:i w:val="1"/>
          <w:iCs w:val="1"/>
          <w:color w:val="auto"/>
        </w:rPr>
        <w:t>Disability</w:t>
      </w:r>
      <w:r>
        <w:rPr>
          <w:rFonts w:ascii="Arial" w:cs="Arial" w:eastAsia="Arial" w:hAnsi="Arial"/>
          <w:sz w:val="15"/>
          <w:szCs w:val="15"/>
          <w:color w:val="auto"/>
        </w:rPr>
        <w:t>. If Executive has incurred a Disability, as defined below, the Company may terminate Executive’s employment.</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1"/>
          <w:numId w:val="373"/>
        </w:numPr>
        <w:rPr>
          <w:rFonts w:ascii="Arial" w:cs="Arial" w:eastAsia="Arial" w:hAnsi="Arial"/>
          <w:sz w:val="15"/>
          <w:szCs w:val="15"/>
          <w:color w:val="auto"/>
        </w:rPr>
      </w:pPr>
      <w:r>
        <w:rPr>
          <w:rFonts w:ascii="Arial" w:cs="Arial" w:eastAsia="Arial" w:hAnsi="Arial"/>
          <w:sz w:val="15"/>
          <w:szCs w:val="15"/>
          <w:i w:val="1"/>
          <w:iCs w:val="1"/>
          <w:color w:val="auto"/>
        </w:rPr>
        <w:t>Termination for Cause</w:t>
      </w:r>
      <w:r>
        <w:rPr>
          <w:rFonts w:ascii="Arial" w:cs="Arial" w:eastAsia="Arial" w:hAnsi="Arial"/>
          <w:sz w:val="15"/>
          <w:szCs w:val="15"/>
          <w:color w:val="auto"/>
        </w:rPr>
        <w:t>. The Company may terminate Executive’s employment for Cause, as defined below.</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373"/>
        </w:numPr>
        <w:rPr>
          <w:rFonts w:ascii="Arial" w:cs="Arial" w:eastAsia="Arial" w:hAnsi="Arial"/>
          <w:sz w:val="15"/>
          <w:szCs w:val="15"/>
          <w:color w:val="auto"/>
        </w:rPr>
      </w:pPr>
      <w:r>
        <w:rPr>
          <w:rFonts w:ascii="Arial" w:cs="Arial" w:eastAsia="Arial" w:hAnsi="Arial"/>
          <w:sz w:val="15"/>
          <w:szCs w:val="15"/>
          <w:i w:val="1"/>
          <w:iCs w:val="1"/>
          <w:color w:val="auto"/>
        </w:rPr>
        <w:t>Termination without Cause</w:t>
      </w:r>
      <w:r>
        <w:rPr>
          <w:rFonts w:ascii="Arial" w:cs="Arial" w:eastAsia="Arial" w:hAnsi="Arial"/>
          <w:sz w:val="15"/>
          <w:szCs w:val="15"/>
          <w:color w:val="auto"/>
        </w:rPr>
        <w:t>. The Company may terminate Executive’s employment without Cause.</w:t>
      </w:r>
    </w:p>
    <w:p>
      <w:pPr>
        <w:sectPr>
          <w:pgSz w:w="11900" w:h="16838" w:orient="portrait"/>
          <w:cols w:equalWidth="0" w:num="1">
            <w:col w:w="11447"/>
          </w:cols>
          <w:pgMar w:left="233" w:top="331" w:right="219" w:bottom="0" w:gutter="0" w:footer="0" w:header="0"/>
        </w:sectPr>
      </w:pPr>
    </w:p>
    <w:bookmarkStart w:id="378" w:name="page379"/>
    <w:bookmarkEnd w:id="378"/>
    <w:p>
      <w:pPr>
        <w:ind w:left="1667" w:hanging="556"/>
        <w:spacing w:after="0"/>
        <w:tabs>
          <w:tab w:leader="none" w:pos="1667" w:val="left"/>
        </w:tabs>
        <w:numPr>
          <w:ilvl w:val="2"/>
          <w:numId w:val="374"/>
        </w:numPr>
        <w:rPr>
          <w:rFonts w:ascii="Arial" w:cs="Arial" w:eastAsia="Arial" w:hAnsi="Arial"/>
          <w:sz w:val="14"/>
          <w:szCs w:val="14"/>
          <w:color w:val="auto"/>
        </w:rPr>
      </w:pPr>
      <w:r>
        <w:rPr>
          <w:rFonts w:ascii="Arial" w:cs="Arial" w:eastAsia="Arial" w:hAnsi="Arial"/>
          <w:sz w:val="14"/>
          <w:szCs w:val="14"/>
          <w:i w:val="1"/>
          <w:iCs w:val="1"/>
          <w:color w:val="auto"/>
        </w:rPr>
        <w:t xml:space="preserve">Resignation from the Company with Good Reason. </w:t>
      </w:r>
      <w:r>
        <w:rPr>
          <w:rFonts w:ascii="Arial" w:cs="Arial" w:eastAsia="Arial" w:hAnsi="Arial"/>
          <w:sz w:val="14"/>
          <w:szCs w:val="14"/>
          <w:color w:val="auto"/>
        </w:rPr>
        <w:t>Executive may resign Executive’s employment with the Company with Good Reason, as defined below.</w:t>
      </w:r>
    </w:p>
    <w:p>
      <w:pPr>
        <w:spacing w:after="0" w:line="209" w:lineRule="exact"/>
        <w:rPr>
          <w:rFonts w:ascii="Arial" w:cs="Arial" w:eastAsia="Arial" w:hAnsi="Arial"/>
          <w:sz w:val="14"/>
          <w:szCs w:val="14"/>
          <w:color w:val="auto"/>
        </w:rPr>
      </w:pPr>
    </w:p>
    <w:p>
      <w:pPr>
        <w:ind w:left="547" w:right="260" w:firstLine="564"/>
        <w:spacing w:after="0" w:line="289" w:lineRule="auto"/>
        <w:tabs>
          <w:tab w:leader="none" w:pos="1674" w:val="left"/>
        </w:tabs>
        <w:numPr>
          <w:ilvl w:val="2"/>
          <w:numId w:val="374"/>
        </w:numPr>
        <w:rPr>
          <w:rFonts w:ascii="Arial" w:cs="Arial" w:eastAsia="Arial" w:hAnsi="Arial"/>
          <w:sz w:val="15"/>
          <w:szCs w:val="15"/>
          <w:color w:val="auto"/>
        </w:rPr>
      </w:pPr>
      <w:r>
        <w:rPr>
          <w:rFonts w:ascii="Arial" w:cs="Arial" w:eastAsia="Arial" w:hAnsi="Arial"/>
          <w:sz w:val="15"/>
          <w:szCs w:val="15"/>
          <w:i w:val="1"/>
          <w:iCs w:val="1"/>
          <w:color w:val="auto"/>
        </w:rPr>
        <w:t>Resignation from the Company Without Good Reason</w:t>
      </w:r>
      <w:r>
        <w:rPr>
          <w:rFonts w:ascii="Arial" w:cs="Arial" w:eastAsia="Arial" w:hAnsi="Arial"/>
          <w:sz w:val="15"/>
          <w:szCs w:val="15"/>
          <w:color w:val="auto"/>
        </w:rPr>
        <w:t>. Executive may resign Executive’s employment with the Company for any reason other than Good</w:t>
      </w:r>
      <w:r>
        <w:rPr>
          <w:rFonts w:ascii="Arial" w:cs="Arial" w:eastAsia="Arial" w:hAnsi="Arial"/>
          <w:sz w:val="15"/>
          <w:szCs w:val="15"/>
          <w:i w:val="1"/>
          <w:iCs w:val="1"/>
          <w:color w:val="auto"/>
        </w:rPr>
        <w:t xml:space="preserve"> </w:t>
      </w:r>
      <w:r>
        <w:rPr>
          <w:rFonts w:ascii="Arial" w:cs="Arial" w:eastAsia="Arial" w:hAnsi="Arial"/>
          <w:sz w:val="15"/>
          <w:szCs w:val="15"/>
          <w:color w:val="auto"/>
        </w:rPr>
        <w:t>Reason or for no reason.</w:t>
      </w:r>
    </w:p>
    <w:p>
      <w:pPr>
        <w:spacing w:after="0" w:line="140" w:lineRule="exact"/>
        <w:rPr>
          <w:rFonts w:ascii="Arial" w:cs="Arial" w:eastAsia="Arial" w:hAnsi="Arial"/>
          <w:sz w:val="15"/>
          <w:szCs w:val="15"/>
          <w:color w:val="auto"/>
        </w:rPr>
      </w:pPr>
    </w:p>
    <w:p>
      <w:pPr>
        <w:ind w:left="7" w:right="80" w:firstLine="549"/>
        <w:spacing w:after="0" w:line="280" w:lineRule="auto"/>
        <w:tabs>
          <w:tab w:leader="none" w:pos="1125" w:val="left"/>
        </w:tabs>
        <w:numPr>
          <w:ilvl w:val="1"/>
          <w:numId w:val="375"/>
        </w:numPr>
        <w:rPr>
          <w:rFonts w:ascii="Arial" w:cs="Arial" w:eastAsia="Arial" w:hAnsi="Arial"/>
          <w:sz w:val="14"/>
          <w:szCs w:val="14"/>
          <w:color w:val="auto"/>
        </w:rPr>
      </w:pP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Any termination of Executive’s employment by the Company or by Executive under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(other than termination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shall be at least thirty (30) days following the date of such notice, but no more than forty</w:t>
      </w:r>
    </w:p>
    <w:p>
      <w:pPr>
        <w:ind w:left="7" w:right="60" w:hanging="7"/>
        <w:spacing w:after="0" w:line="259" w:lineRule="auto"/>
        <w:tabs>
          <w:tab w:leader="none" w:pos="303" w:val="left"/>
        </w:tabs>
        <w:numPr>
          <w:ilvl w:val="0"/>
          <w:numId w:val="376"/>
        </w:numPr>
        <w:rPr>
          <w:rFonts w:ascii="Arial" w:cs="Arial" w:eastAsia="Arial" w:hAnsi="Arial"/>
          <w:sz w:val="15"/>
          <w:szCs w:val="15"/>
          <w:color w:val="auto"/>
        </w:rPr>
      </w:pPr>
      <w:r>
        <w:rPr>
          <w:rFonts w:ascii="Arial" w:cs="Arial" w:eastAsia="Arial" w:hAnsi="Arial"/>
          <w:sz w:val="15"/>
          <w:szCs w:val="15"/>
          <w:color w:val="auto"/>
        </w:rPr>
        <w:t>days following the date of such notice (a “</w:t>
      </w:r>
      <w:r>
        <w:rPr>
          <w:rFonts w:ascii="Arial" w:cs="Arial" w:eastAsia="Arial" w:hAnsi="Arial"/>
          <w:sz w:val="15"/>
          <w:szCs w:val="15"/>
          <w:u w:val="single" w:color="auto"/>
          <w:color w:val="auto"/>
        </w:rPr>
        <w:t>Notice of Termination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5"/>
          <w:szCs w:val="15"/>
          <w:i w:val="1"/>
          <w:iCs w:val="1"/>
          <w:color w:val="auto"/>
        </w:rPr>
        <w:t>provided</w:t>
      </w:r>
      <w:r>
        <w:rPr>
          <w:rFonts w:ascii="Arial" w:cs="Arial" w:eastAsia="Arial" w:hAnsi="Arial"/>
          <w:sz w:val="15"/>
          <w:szCs w:val="15"/>
          <w:color w:val="auto"/>
        </w:rPr>
        <w:t>, in either case,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 Any decision to terminate Executive’s employment for Cause shall be made by a majority vote of the Board after Executive has received written notice from the Board setting forth in reasonable detail the facts and circumstances claimed to provide the basis for the Cause and the Board has provided the Executive reasonable opportunity to be heard by the Board with counsel present if he chooses.</w:t>
      </w:r>
    </w:p>
    <w:p>
      <w:pPr>
        <w:spacing w:after="0" w:line="166" w:lineRule="exact"/>
        <w:rPr>
          <w:rFonts w:ascii="Arial" w:cs="Arial" w:eastAsia="Arial" w:hAnsi="Arial"/>
          <w:sz w:val="15"/>
          <w:szCs w:val="15"/>
          <w:color w:val="auto"/>
        </w:rPr>
      </w:pPr>
    </w:p>
    <w:p>
      <w:pPr>
        <w:ind w:left="7" w:right="80" w:firstLine="549"/>
        <w:spacing w:after="0" w:line="322" w:lineRule="auto"/>
        <w:tabs>
          <w:tab w:leader="none" w:pos="1128" w:val="left"/>
        </w:tabs>
        <w:numPr>
          <w:ilvl w:val="1"/>
          <w:numId w:val="376"/>
        </w:numPr>
        <w:rPr>
          <w:rFonts w:ascii="Arial" w:cs="Arial" w:eastAsia="Arial" w:hAnsi="Arial"/>
          <w:sz w:val="13"/>
          <w:szCs w:val="13"/>
          <w:color w:val="auto"/>
        </w:rPr>
      </w:pPr>
      <w:r>
        <w:rPr>
          <w:rFonts w:ascii="Arial" w:cs="Arial" w:eastAsia="Arial" w:hAnsi="Arial"/>
          <w:sz w:val="13"/>
          <w:szCs w:val="13"/>
          <w:u w:val="single" w:color="auto"/>
          <w:color w:val="auto"/>
        </w:rPr>
        <w:t>Company Obligations upon Termination</w:t>
      </w:r>
      <w:r>
        <w:rPr>
          <w:rFonts w:ascii="Arial" w:cs="Arial" w:eastAsia="Arial" w:hAnsi="Arial"/>
          <w:sz w:val="13"/>
          <w:szCs w:val="13"/>
          <w:color w:val="auto"/>
        </w:rPr>
        <w:t xml:space="preserve">. Upon termination of Executive’s employment pursuant to any of the circumstances listed in this </w:t>
      </w:r>
      <w:r>
        <w:rPr>
          <w:rFonts w:ascii="Arial" w:cs="Arial" w:eastAsia="Arial" w:hAnsi="Arial"/>
          <w:sz w:val="13"/>
          <w:szCs w:val="13"/>
          <w:u w:val="single" w:color="auto"/>
          <w:color w:val="auto"/>
        </w:rPr>
        <w:t>Section 3</w:t>
      </w:r>
      <w:r>
        <w:rPr>
          <w:rFonts w:ascii="Arial" w:cs="Arial" w:eastAsia="Arial" w:hAnsi="Arial"/>
          <w:sz w:val="13"/>
          <w:szCs w:val="13"/>
          <w:color w:val="auto"/>
        </w:rPr>
        <w:t>,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w:t>
      </w:r>
    </w:p>
    <w:p>
      <w:pPr>
        <w:spacing w:after="0" w:line="12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line="265" w:lineRule="auto"/>
        <w:rPr>
          <w:sz w:val="20"/>
          <w:szCs w:val="20"/>
          <w:color w:val="auto"/>
        </w:rPr>
      </w:pPr>
      <w:r>
        <w:rPr>
          <w:rFonts w:ascii="Arial" w:cs="Arial" w:eastAsia="Arial" w:hAnsi="Arial"/>
          <w:sz w:val="15"/>
          <w:szCs w:val="15"/>
          <w:color w:val="auto"/>
        </w:rPr>
        <w:t xml:space="preserve">but in no event later than March 15 of the year in which the Date of Termination occurs; (iii) any expenses owed to Executive pursuant to </w:t>
      </w:r>
      <w:r>
        <w:rPr>
          <w:rFonts w:ascii="Arial" w:cs="Arial" w:eastAsia="Arial" w:hAnsi="Arial"/>
          <w:sz w:val="15"/>
          <w:szCs w:val="15"/>
          <w:u w:val="single" w:color="auto"/>
          <w:color w:val="auto"/>
        </w:rPr>
        <w:t>Section 2(e)</w:t>
      </w:r>
      <w:r>
        <w:rPr>
          <w:rFonts w:ascii="Arial" w:cs="Arial" w:eastAsia="Arial" w:hAnsi="Arial"/>
          <w:sz w:val="15"/>
          <w:szCs w:val="15"/>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5"/>
          <w:szCs w:val="15"/>
          <w:u w:val="single" w:color="auto"/>
          <w:color w:val="auto"/>
        </w:rPr>
        <w:t>Company Arrangements</w:t>
      </w:r>
      <w:r>
        <w:rPr>
          <w:rFonts w:ascii="Arial" w:cs="Arial" w:eastAsia="Arial" w:hAnsi="Arial"/>
          <w:sz w:val="15"/>
          <w:szCs w:val="15"/>
          <w:color w:val="auto"/>
        </w:rPr>
        <w:t>”). Except as otherwise expressly required by law (</w:t>
      </w:r>
      <w:r>
        <w:rPr>
          <w:rFonts w:ascii="Arial" w:cs="Arial" w:eastAsia="Arial" w:hAnsi="Arial"/>
          <w:sz w:val="15"/>
          <w:szCs w:val="15"/>
          <w:u w:val="single" w:color="auto"/>
          <w:color w:val="auto"/>
        </w:rPr>
        <w:t>e.g.</w:t>
      </w:r>
      <w:r>
        <w:rPr>
          <w:rFonts w:ascii="Arial" w:cs="Arial" w:eastAsia="Arial" w:hAnsi="Arial"/>
          <w:sz w:val="15"/>
          <w:szCs w:val="15"/>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60" w:lineRule="exact"/>
        <w:rPr>
          <w:sz w:val="20"/>
          <w:szCs w:val="20"/>
          <w:color w:val="auto"/>
        </w:rPr>
      </w:pPr>
    </w:p>
    <w:p>
      <w:pPr>
        <w:ind w:left="7" w:right="120" w:firstLine="549"/>
        <w:spacing w:after="0" w:line="289" w:lineRule="auto"/>
        <w:tabs>
          <w:tab w:leader="none" w:pos="1125" w:val="left"/>
        </w:tabs>
        <w:numPr>
          <w:ilvl w:val="1"/>
          <w:numId w:val="377"/>
        </w:numPr>
        <w:rPr>
          <w:rFonts w:ascii="Arial" w:cs="Arial" w:eastAsia="Arial" w:hAnsi="Arial"/>
          <w:sz w:val="15"/>
          <w:szCs w:val="15"/>
          <w:color w:val="auto"/>
        </w:rPr>
      </w:pPr>
      <w:r>
        <w:rPr>
          <w:rFonts w:ascii="Arial" w:cs="Arial" w:eastAsia="Arial" w:hAnsi="Arial"/>
          <w:sz w:val="15"/>
          <w:szCs w:val="15"/>
          <w:u w:val="single" w:color="auto"/>
          <w:color w:val="auto"/>
        </w:rPr>
        <w:t>Deemed Resignation</w:t>
      </w:r>
      <w:r>
        <w:rPr>
          <w:rFonts w:ascii="Arial" w:cs="Arial" w:eastAsia="Arial" w:hAnsi="Arial"/>
          <w:sz w:val="15"/>
          <w:szCs w:val="15"/>
          <w:color w:val="auto"/>
        </w:rPr>
        <w:t>. Upon termination of Executive’s employment for any reason, Executive shall be deemed to have resigned from all offices and directorships, if any, then held with the Company or any of its subsidiaries.</w:t>
      </w:r>
    </w:p>
    <w:p>
      <w:pPr>
        <w:spacing w:after="0" w:line="134" w:lineRule="exact"/>
        <w:rPr>
          <w:rFonts w:ascii="Arial" w:cs="Arial" w:eastAsia="Arial" w:hAnsi="Arial"/>
          <w:sz w:val="15"/>
          <w:szCs w:val="15"/>
          <w:color w:val="auto"/>
        </w:rPr>
      </w:pPr>
    </w:p>
    <w:p>
      <w:pPr>
        <w:ind w:left="547" w:hanging="547"/>
        <w:spacing w:after="0"/>
        <w:tabs>
          <w:tab w:leader="none" w:pos="547" w:val="left"/>
        </w:tabs>
        <w:numPr>
          <w:ilvl w:val="0"/>
          <w:numId w:val="3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firstLine="549"/>
        <w:spacing w:after="0" w:line="302" w:lineRule="auto"/>
        <w:tabs>
          <w:tab w:leader="none" w:pos="1117" w:val="left"/>
        </w:tabs>
        <w:numPr>
          <w:ilvl w:val="1"/>
          <w:numId w:val="378"/>
        </w:numPr>
        <w:rPr>
          <w:rFonts w:ascii="Arial" w:cs="Arial" w:eastAsia="Arial" w:hAnsi="Arial"/>
          <w:sz w:val="14"/>
          <w:szCs w:val="14"/>
          <w:color w:val="auto"/>
        </w:rPr>
      </w:pPr>
      <w:r>
        <w:rPr>
          <w:rFonts w:ascii="Arial" w:cs="Arial" w:eastAsia="Arial" w:hAnsi="Arial"/>
          <w:sz w:val="14"/>
          <w:szCs w:val="14"/>
          <w:u w:val="single" w:color="auto"/>
          <w:color w:val="auto"/>
        </w:rPr>
        <w:t>Termination for Cause, or Termination Upon Death, Disability or Resignation from the Company Without Good Reason</w:t>
      </w:r>
      <w:r>
        <w:rPr>
          <w:rFonts w:ascii="Arial" w:cs="Arial" w:eastAsia="Arial" w:hAnsi="Arial"/>
          <w:sz w:val="14"/>
          <w:szCs w:val="14"/>
          <w:color w:val="auto"/>
        </w:rPr>
        <w:t xml:space="preserve">. If Executive’s employment shall terminate as a result of Executive’s death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or Disability pursuant to </w:t>
      </w:r>
      <w:r>
        <w:rPr>
          <w:rFonts w:ascii="Arial" w:cs="Arial" w:eastAsia="Arial" w:hAnsi="Arial"/>
          <w:sz w:val="14"/>
          <w:szCs w:val="14"/>
          <w:u w:val="single" w:color="auto"/>
          <w:color w:val="auto"/>
        </w:rPr>
        <w:t>Section 3(a)(ii)</w:t>
      </w:r>
      <w:r>
        <w:rPr>
          <w:rFonts w:ascii="Arial" w:cs="Arial" w:eastAsia="Arial" w:hAnsi="Arial"/>
          <w:sz w:val="14"/>
          <w:szCs w:val="14"/>
          <w:color w:val="auto"/>
        </w:rPr>
        <w:t xml:space="preserve">,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xml:space="preserve"> for Cause, or pursuant to </w:t>
      </w:r>
      <w:r>
        <w:rPr>
          <w:rFonts w:ascii="Arial" w:cs="Arial" w:eastAsia="Arial" w:hAnsi="Arial"/>
          <w:sz w:val="14"/>
          <w:szCs w:val="14"/>
          <w:u w:val="single" w:color="auto"/>
          <w:color w:val="auto"/>
        </w:rPr>
        <w:t>Section 3(a)(vi)</w:t>
      </w:r>
      <w:r>
        <w:rPr>
          <w:rFonts w:ascii="Arial" w:cs="Arial" w:eastAsia="Arial" w:hAnsi="Arial"/>
          <w:sz w:val="14"/>
          <w:szCs w:val="14"/>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4"/>
          <w:szCs w:val="14"/>
          <w:u w:val="single" w:color="auto"/>
          <w:color w:val="auto"/>
        </w:rPr>
        <w:t>Section 3(c)</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ind w:left="7" w:right="20" w:firstLine="549"/>
        <w:spacing w:after="0" w:line="245" w:lineRule="auto"/>
        <w:tabs>
          <w:tab w:leader="none" w:pos="1125" w:val="left"/>
        </w:tabs>
        <w:numPr>
          <w:ilvl w:val="1"/>
          <w:numId w:val="378"/>
        </w:numPr>
        <w:rPr>
          <w:rFonts w:ascii="Arial" w:cs="Arial" w:eastAsia="Arial" w:hAnsi="Arial"/>
          <w:sz w:val="15"/>
          <w:szCs w:val="15"/>
          <w:color w:val="auto"/>
        </w:rPr>
      </w:pPr>
      <w:r>
        <w:rPr>
          <w:rFonts w:ascii="Arial" w:cs="Arial" w:eastAsia="Arial" w:hAnsi="Arial"/>
          <w:sz w:val="15"/>
          <w:szCs w:val="15"/>
          <w:u w:val="single" w:color="auto"/>
          <w:color w:val="auto"/>
        </w:rPr>
        <w:t>Termination without Cause, or Resignation from the Company with Good Reason</w:t>
      </w:r>
      <w:r>
        <w:rPr>
          <w:rFonts w:ascii="Arial" w:cs="Arial" w:eastAsia="Arial" w:hAnsi="Arial"/>
          <w:sz w:val="15"/>
          <w:szCs w:val="15"/>
          <w:color w:val="auto"/>
        </w:rPr>
        <w:t xml:space="preserve">. If Executive’s employment terminates without Cause pursuant to </w:t>
      </w:r>
      <w:r>
        <w:rPr>
          <w:rFonts w:ascii="Arial" w:cs="Arial" w:eastAsia="Arial" w:hAnsi="Arial"/>
          <w:sz w:val="15"/>
          <w:szCs w:val="15"/>
          <w:u w:val="single" w:color="auto"/>
          <w:color w:val="auto"/>
        </w:rPr>
        <w:t>Section 3(a)(iv)</w:t>
      </w:r>
      <w:r>
        <w:rPr>
          <w:rFonts w:ascii="Arial" w:cs="Arial" w:eastAsia="Arial" w:hAnsi="Arial"/>
          <w:sz w:val="15"/>
          <w:szCs w:val="15"/>
          <w:color w:val="auto"/>
        </w:rPr>
        <w:t xml:space="preserve">, or pursuant to </w:t>
      </w:r>
      <w:r>
        <w:rPr>
          <w:rFonts w:ascii="Arial" w:cs="Arial" w:eastAsia="Arial" w:hAnsi="Arial"/>
          <w:sz w:val="15"/>
          <w:szCs w:val="15"/>
          <w:u w:val="single" w:color="auto"/>
          <w:color w:val="auto"/>
        </w:rPr>
        <w:t>Section 3(a)(v)</w:t>
      </w:r>
      <w:r>
        <w:rPr>
          <w:rFonts w:ascii="Arial" w:cs="Arial" w:eastAsia="Arial" w:hAnsi="Arial"/>
          <w:sz w:val="15"/>
          <w:szCs w:val="15"/>
          <w:color w:val="auto"/>
        </w:rPr>
        <w:t xml:space="preserve"> due to Executive’s resignation with Good Reason, then, subject to Executive signing on or before the 60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this Agreement (the “</w:t>
      </w: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and Executive’s continued compliance with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Executive shall receive, in addition to payments and benefits set forth in </w:t>
      </w:r>
      <w:r>
        <w:rPr>
          <w:rFonts w:ascii="Arial" w:cs="Arial" w:eastAsia="Arial" w:hAnsi="Arial"/>
          <w:sz w:val="15"/>
          <w:szCs w:val="15"/>
          <w:u w:val="single" w:color="auto"/>
          <w:color w:val="auto"/>
        </w:rPr>
        <w:t>Section 3(c)</w:t>
      </w:r>
      <w:r>
        <w:rPr>
          <w:rFonts w:ascii="Arial" w:cs="Arial" w:eastAsia="Arial" w:hAnsi="Arial"/>
          <w:sz w:val="15"/>
          <w:szCs w:val="15"/>
          <w:color w:val="auto"/>
        </w:rPr>
        <w:t>, the following:</w:t>
      </w:r>
    </w:p>
    <w:p>
      <w:pPr>
        <w:spacing w:after="0" w:line="172" w:lineRule="exact"/>
        <w:rPr>
          <w:rFonts w:ascii="Arial" w:cs="Arial" w:eastAsia="Arial" w:hAnsi="Arial"/>
          <w:sz w:val="15"/>
          <w:szCs w:val="15"/>
          <w:color w:val="auto"/>
        </w:rPr>
      </w:pPr>
    </w:p>
    <w:p>
      <w:pPr>
        <w:ind w:left="547" w:right="40" w:firstLine="564"/>
        <w:spacing w:after="0" w:line="289" w:lineRule="auto"/>
        <w:tabs>
          <w:tab w:leader="none" w:pos="1677" w:val="left"/>
        </w:tabs>
        <w:numPr>
          <w:ilvl w:val="2"/>
          <w:numId w:val="378"/>
        </w:numPr>
        <w:rPr>
          <w:rFonts w:ascii="Arial" w:cs="Arial" w:eastAsia="Arial" w:hAnsi="Arial"/>
          <w:sz w:val="15"/>
          <w:szCs w:val="15"/>
          <w:color w:val="auto"/>
        </w:rPr>
      </w:pPr>
      <w:r>
        <w:rPr>
          <w:rFonts w:ascii="Arial" w:cs="Arial" w:eastAsia="Arial" w:hAnsi="Arial"/>
          <w:sz w:val="15"/>
          <w:szCs w:val="15"/>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15"/>
          <w:szCs w:val="15"/>
          <w:u w:val="single" w:color="auto"/>
          <w:color w:val="auto"/>
        </w:rPr>
        <w:t>Severance Period</w:t>
      </w:r>
      <w:r>
        <w:rPr>
          <w:rFonts w:ascii="Arial" w:cs="Arial" w:eastAsia="Arial" w:hAnsi="Arial"/>
          <w:sz w:val="15"/>
          <w:szCs w:val="15"/>
          <w:color w:val="auto"/>
        </w:rPr>
        <w:t>”) in accordance with the Company’s normal payroll practices;</w:t>
      </w:r>
    </w:p>
    <w:p>
      <w:pPr>
        <w:spacing w:after="0" w:line="140" w:lineRule="exact"/>
        <w:rPr>
          <w:rFonts w:ascii="Arial" w:cs="Arial" w:eastAsia="Arial" w:hAnsi="Arial"/>
          <w:sz w:val="15"/>
          <w:szCs w:val="15"/>
          <w:color w:val="auto"/>
        </w:rPr>
      </w:pPr>
    </w:p>
    <w:p>
      <w:pPr>
        <w:ind w:left="547" w:right="20" w:firstLine="564"/>
        <w:spacing w:after="0" w:line="268" w:lineRule="auto"/>
        <w:tabs>
          <w:tab w:leader="none" w:pos="1686" w:val="left"/>
        </w:tabs>
        <w:numPr>
          <w:ilvl w:val="2"/>
          <w:numId w:val="378"/>
        </w:numPr>
        <w:rPr>
          <w:rFonts w:ascii="Arial" w:cs="Arial" w:eastAsia="Arial" w:hAnsi="Arial"/>
          <w:sz w:val="15"/>
          <w:szCs w:val="15"/>
          <w:color w:val="auto"/>
        </w:rPr>
      </w:pPr>
      <w:r>
        <w:rPr>
          <w:rFonts w:ascii="Arial" w:cs="Arial" w:eastAsia="Arial" w:hAnsi="Arial"/>
          <w:sz w:val="15"/>
          <w:szCs w:val="15"/>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or an authorized committee thereof, if the Date of Termination occurs after the first quarter of the calendar year, multiplied by (B) a fraction, using the number of full months of the year elapsed prior to the Date of Termination as the numerator and 12 as the denominator; and</w:t>
      </w:r>
    </w:p>
    <w:p>
      <w:pPr>
        <w:spacing w:after="0" w:line="156" w:lineRule="exact"/>
        <w:rPr>
          <w:rFonts w:ascii="Arial" w:cs="Arial" w:eastAsia="Arial" w:hAnsi="Arial"/>
          <w:sz w:val="15"/>
          <w:szCs w:val="15"/>
          <w:color w:val="auto"/>
        </w:rPr>
      </w:pPr>
    </w:p>
    <w:p>
      <w:pPr>
        <w:jc w:val="both"/>
        <w:ind w:left="547" w:right="40" w:firstLine="564"/>
        <w:spacing w:after="0" w:line="293" w:lineRule="auto"/>
        <w:tabs>
          <w:tab w:leader="none" w:pos="1694" w:val="left"/>
        </w:tabs>
        <w:numPr>
          <w:ilvl w:val="2"/>
          <w:numId w:val="378"/>
        </w:numPr>
        <w:rPr>
          <w:rFonts w:ascii="Arial" w:cs="Arial" w:eastAsia="Arial" w:hAnsi="Arial"/>
          <w:sz w:val="14"/>
          <w:szCs w:val="14"/>
          <w:color w:val="auto"/>
        </w:rPr>
      </w:pPr>
      <w:r>
        <w:rPr>
          <w:rFonts w:ascii="Arial" w:cs="Arial" w:eastAsia="Arial" w:hAnsi="Arial"/>
          <w:sz w:val="14"/>
          <w:szCs w:val="14"/>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4"/>
          <w:szCs w:val="14"/>
          <w:u w:val="single" w:color="auto"/>
          <w:color w:val="auto"/>
        </w:rPr>
        <w:t>COBRA</w:t>
      </w:r>
      <w:r>
        <w:rPr>
          <w:rFonts w:ascii="Arial" w:cs="Arial" w:eastAsia="Arial" w:hAnsi="Arial"/>
          <w:sz w:val="14"/>
          <w:szCs w:val="14"/>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w:t>
      </w:r>
    </w:p>
    <w:p>
      <w:pPr>
        <w:spacing w:after="0" w:line="14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line="265" w:lineRule="auto"/>
        <w:rPr>
          <w:sz w:val="20"/>
          <w:szCs w:val="20"/>
          <w:color w:val="auto"/>
        </w:rPr>
      </w:pPr>
      <w:r>
        <w:rPr>
          <w:rFonts w:ascii="Arial" w:cs="Arial" w:eastAsia="Arial" w:hAnsi="Arial"/>
          <w:sz w:val="15"/>
          <w:szCs w:val="15"/>
          <w:color w:val="auto"/>
        </w:rPr>
        <w:t>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60" w:lineRule="exact"/>
        <w:rPr>
          <w:sz w:val="20"/>
          <w:szCs w:val="20"/>
          <w:color w:val="auto"/>
        </w:rPr>
      </w:pPr>
    </w:p>
    <w:p>
      <w:pPr>
        <w:ind w:left="7" w:right="40" w:firstLine="549"/>
        <w:spacing w:after="0" w:line="271" w:lineRule="auto"/>
        <w:tabs>
          <w:tab w:leader="none" w:pos="1128" w:val="left"/>
        </w:tabs>
        <w:numPr>
          <w:ilvl w:val="1"/>
          <w:numId w:val="379"/>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4"/>
          <w:szCs w:val="14"/>
          <w:u w:val="single" w:color="auto"/>
          <w:color w:val="auto"/>
        </w:rPr>
        <w:t>Section 3(a)(iv)</w:t>
      </w:r>
      <w:r>
        <w:rPr>
          <w:rFonts w:ascii="Arial" w:cs="Arial" w:eastAsia="Arial" w:hAnsi="Arial"/>
          <w:sz w:val="14"/>
          <w:szCs w:val="14"/>
          <w:color w:val="auto"/>
        </w:rPr>
        <w:t xml:space="preserve">, or pursuant to </w:t>
      </w:r>
      <w:r>
        <w:rPr>
          <w:rFonts w:ascii="Arial" w:cs="Arial" w:eastAsia="Arial" w:hAnsi="Arial"/>
          <w:sz w:val="14"/>
          <w:szCs w:val="14"/>
          <w:u w:val="single" w:color="auto"/>
          <w:color w:val="auto"/>
        </w:rPr>
        <w:t>Section 3(a)(v)</w:t>
      </w:r>
      <w:r>
        <w:rPr>
          <w:rFonts w:ascii="Arial" w:cs="Arial" w:eastAsia="Arial" w:hAnsi="Arial"/>
          <w:sz w:val="14"/>
          <w:szCs w:val="14"/>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Executive shall receive, in addition to the payments and benefits set forth in </w:t>
      </w:r>
      <w:r>
        <w:rPr>
          <w:rFonts w:ascii="Arial" w:cs="Arial" w:eastAsia="Arial" w:hAnsi="Arial"/>
          <w:sz w:val="14"/>
          <w:szCs w:val="14"/>
          <w:u w:val="single" w:color="auto"/>
          <w:color w:val="auto"/>
        </w:rPr>
        <w:t>Section 3(c)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4(b)</w:t>
      </w:r>
      <w:r>
        <w:rPr>
          <w:rFonts w:ascii="Arial" w:cs="Arial" w:eastAsia="Arial" w:hAnsi="Arial"/>
          <w:sz w:val="14"/>
          <w:szCs w:val="14"/>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58" w:lineRule="exact"/>
        <w:rPr>
          <w:rFonts w:ascii="Arial" w:cs="Arial" w:eastAsia="Arial" w:hAnsi="Arial"/>
          <w:sz w:val="14"/>
          <w:szCs w:val="14"/>
          <w:color w:val="auto"/>
        </w:rPr>
      </w:pPr>
    </w:p>
    <w:p>
      <w:pPr>
        <w:ind w:left="7" w:right="60" w:firstLine="549"/>
        <w:spacing w:after="0" w:line="289" w:lineRule="auto"/>
        <w:tabs>
          <w:tab w:leader="none" w:pos="1125" w:val="left"/>
        </w:tabs>
        <w:numPr>
          <w:ilvl w:val="1"/>
          <w:numId w:val="379"/>
        </w:numPr>
        <w:rPr>
          <w:rFonts w:ascii="Arial" w:cs="Arial" w:eastAsia="Arial" w:hAnsi="Arial"/>
          <w:sz w:val="15"/>
          <w:szCs w:val="15"/>
          <w:color w:val="auto"/>
        </w:rPr>
      </w:pP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Notwithstanding anything to the contrary in this Agreement, the provisions of </w:t>
      </w:r>
      <w:r>
        <w:rPr>
          <w:rFonts w:ascii="Arial" w:cs="Arial" w:eastAsia="Arial" w:hAnsi="Arial"/>
          <w:sz w:val="15"/>
          <w:szCs w:val="15"/>
          <w:u w:val="single" w:color="auto"/>
          <w:color w:val="auto"/>
        </w:rPr>
        <w:t>Sections 5</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9</w:t>
      </w:r>
      <w:r>
        <w:rPr>
          <w:rFonts w:ascii="Arial" w:cs="Arial" w:eastAsia="Arial" w:hAnsi="Arial"/>
          <w:sz w:val="15"/>
          <w:szCs w:val="15"/>
          <w:color w:val="auto"/>
        </w:rPr>
        <w:t xml:space="preserve"> will survive the termination of Executive’s employment and the termination of the Term.</w:t>
      </w:r>
    </w:p>
    <w:p>
      <w:pPr>
        <w:spacing w:after="0" w:line="134" w:lineRule="exact"/>
        <w:rPr>
          <w:rFonts w:ascii="Arial" w:cs="Arial" w:eastAsia="Arial" w:hAnsi="Arial"/>
          <w:sz w:val="15"/>
          <w:szCs w:val="15"/>
          <w:color w:val="auto"/>
        </w:rPr>
      </w:pPr>
    </w:p>
    <w:p>
      <w:pPr>
        <w:ind w:left="7" w:right="40" w:hanging="7"/>
        <w:spacing w:after="0" w:line="336" w:lineRule="auto"/>
        <w:tabs>
          <w:tab w:leader="none" w:pos="563" w:val="left"/>
        </w:tabs>
        <w:numPr>
          <w:ilvl w:val="0"/>
          <w:numId w:val="38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Restrictive Covenants</w:t>
      </w:r>
      <w:r>
        <w:rPr>
          <w:rFonts w:ascii="Arial" w:cs="Arial" w:eastAsia="Arial" w:hAnsi="Arial"/>
          <w:sz w:val="14"/>
          <w:szCs w:val="14"/>
          <w:b w:val="1"/>
          <w:bCs w:val="1"/>
          <w:color w:val="auto"/>
        </w:rPr>
        <w:t xml:space="preserve">. </w:t>
      </w:r>
      <w:r>
        <w:rPr>
          <w:rFonts w:ascii="Arial" w:cs="Arial" w:eastAsia="Arial" w:hAnsi="Arial"/>
          <w:sz w:val="14"/>
          <w:szCs w:val="14"/>
          <w:color w:val="auto"/>
        </w:rPr>
        <w:t>As a condition to the effectiveness of this Agreement, Executive will execute and deliver to the Company contemporaneously herewith the Restrictive</w:t>
      </w:r>
      <w:r>
        <w:rPr>
          <w:rFonts w:ascii="Arial" w:cs="Arial" w:eastAsia="Arial" w:hAnsi="Arial"/>
          <w:sz w:val="14"/>
          <w:szCs w:val="14"/>
          <w:b w:val="1"/>
          <w:bCs w:val="1"/>
          <w:color w:val="auto"/>
        </w:rPr>
        <w:t xml:space="preserve"> </w:t>
      </w:r>
      <w:r>
        <w:rPr>
          <w:rFonts w:ascii="Arial" w:cs="Arial" w:eastAsia="Arial" w:hAnsi="Arial"/>
          <w:sz w:val="14"/>
          <w:szCs w:val="14"/>
          <w:color w:val="auto"/>
        </w:rPr>
        <w:t>Covenant Agreement. Executive agrees to abide by the terms of the Restrictive Covenant Agreement, which are hereby incorporated by reference into this Agreement. Executive</w:t>
      </w:r>
    </w:p>
    <w:p>
      <w:pPr>
        <w:sectPr>
          <w:pgSz w:w="11900" w:h="16838" w:orient="portrait"/>
          <w:cols w:equalWidth="0" w:num="1">
            <w:col w:w="11427"/>
          </w:cols>
          <w:pgMar w:left="233" w:top="314" w:right="239" w:bottom="0" w:gutter="0" w:footer="0" w:header="0"/>
        </w:sectPr>
      </w:pPr>
    </w:p>
    <w:bookmarkStart w:id="379" w:name="page380"/>
    <w:bookmarkEnd w:id="379"/>
    <w:p>
      <w:pPr>
        <w:ind w:left="7" w:right="280"/>
        <w:spacing w:after="0" w:line="289" w:lineRule="auto"/>
        <w:rPr>
          <w:sz w:val="20"/>
          <w:szCs w:val="20"/>
          <w:color w:val="auto"/>
        </w:rPr>
      </w:pPr>
      <w:r>
        <w:rPr>
          <w:rFonts w:ascii="Arial" w:cs="Arial" w:eastAsia="Arial" w:hAnsi="Arial"/>
          <w:sz w:val="15"/>
          <w:szCs w:val="15"/>
          <w:color w:val="auto"/>
        </w:rPr>
        <w:t>acknowledges that the provisions of the Restrictive Covenant Agreement will survive the termination of Executive’s employment and the termination of the Term for the periods set forth in the Restrictive Covenant Agreement.</w:t>
      </w:r>
    </w:p>
    <w:p>
      <w:pPr>
        <w:spacing w:after="0" w:line="135" w:lineRule="exact"/>
        <w:rPr>
          <w:sz w:val="20"/>
          <w:szCs w:val="20"/>
          <w:color w:val="auto"/>
        </w:rPr>
      </w:pPr>
    </w:p>
    <w:p>
      <w:pPr>
        <w:ind w:left="547" w:hanging="547"/>
        <w:spacing w:after="0"/>
        <w:tabs>
          <w:tab w:leader="none" w:pos="547" w:val="left"/>
        </w:tabs>
        <w:numPr>
          <w:ilvl w:val="0"/>
          <w:numId w:val="38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Assignment and Successors</w:t>
      </w:r>
      <w:r>
        <w:rPr>
          <w:rFonts w:ascii="Arial" w:cs="Arial" w:eastAsia="Arial" w:hAnsi="Arial"/>
          <w:sz w:val="15"/>
          <w:szCs w:val="15"/>
          <w:b w:val="1"/>
          <w:bCs w:val="1"/>
          <w:color w:val="auto"/>
        </w:rPr>
        <w:t>.</w:t>
      </w:r>
    </w:p>
    <w:p>
      <w:pPr>
        <w:spacing w:after="0" w:line="204" w:lineRule="exact"/>
        <w:rPr>
          <w:sz w:val="20"/>
          <w:szCs w:val="20"/>
          <w:color w:val="auto"/>
        </w:rPr>
      </w:pPr>
    </w:p>
    <w:p>
      <w:pPr>
        <w:ind w:left="7" w:right="60" w:firstLine="556"/>
        <w:spacing w:after="0" w:line="264" w:lineRule="auto"/>
        <w:rPr>
          <w:sz w:val="20"/>
          <w:szCs w:val="20"/>
          <w:color w:val="auto"/>
        </w:rPr>
      </w:pPr>
      <w:r>
        <w:rPr>
          <w:rFonts w:ascii="Arial" w:cs="Arial" w:eastAsia="Arial" w:hAnsi="Arial"/>
          <w:sz w:val="15"/>
          <w:szCs w:val="15"/>
          <w:color w:val="auto"/>
        </w:rPr>
        <w:t>The Company must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53" w:lineRule="exact"/>
        <w:rPr>
          <w:sz w:val="20"/>
          <w:szCs w:val="20"/>
          <w:color w:val="auto"/>
        </w:rPr>
      </w:pPr>
    </w:p>
    <w:p>
      <w:pPr>
        <w:ind w:left="547" w:hanging="547"/>
        <w:spacing w:after="0"/>
        <w:tabs>
          <w:tab w:leader="none" w:pos="547" w:val="left"/>
        </w:tabs>
        <w:numPr>
          <w:ilvl w:val="0"/>
          <w:numId w:val="38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Certain Definitions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687" w:right="4340" w:hanging="5131"/>
        <w:spacing w:after="0" w:line="547" w:lineRule="auto"/>
        <w:tabs>
          <w:tab w:leader="none" w:pos="1114" w:val="left"/>
        </w:tabs>
        <w:numPr>
          <w:ilvl w:val="1"/>
          <w:numId w:val="382"/>
        </w:numPr>
        <w:rPr>
          <w:rFonts w:ascii="Arial" w:cs="Arial" w:eastAsia="Arial" w:hAnsi="Arial"/>
          <w:sz w:val="15"/>
          <w:szCs w:val="15"/>
          <w:color w:val="auto"/>
        </w:rPr>
      </w:pPr>
      <w:r>
        <w:rPr>
          <w:rFonts w:ascii="Arial" w:cs="Arial" w:eastAsia="Arial" w:hAnsi="Arial"/>
          <w:sz w:val="15"/>
          <w:szCs w:val="15"/>
          <w:u w:val="single" w:color="auto"/>
          <w:color w:val="auto"/>
        </w:rPr>
        <w:t>Cause</w:t>
      </w:r>
      <w:r>
        <w:rPr>
          <w:rFonts w:ascii="Arial" w:cs="Arial" w:eastAsia="Arial" w:hAnsi="Arial"/>
          <w:sz w:val="15"/>
          <w:szCs w:val="15"/>
          <w:color w:val="auto"/>
        </w:rPr>
        <w:t>. The Company shall have “Cause” to terminate Executive’s employment hereunder upon: 5</w:t>
      </w:r>
    </w:p>
    <w:p>
      <w:pPr>
        <w:spacing w:after="0" w:line="383" w:lineRule="exact"/>
        <w:rPr>
          <w:rFonts w:ascii="Arial" w:cs="Arial" w:eastAsia="Arial" w:hAnsi="Arial"/>
          <w:sz w:val="15"/>
          <w:szCs w:val="15"/>
          <w:color w:val="auto"/>
        </w:rPr>
      </w:pPr>
    </w:p>
    <w:p>
      <w:pPr>
        <w:ind w:left="1687" w:hanging="576"/>
        <w:spacing w:after="0"/>
        <w:tabs>
          <w:tab w:leader="none" w:pos="1687" w:val="left"/>
        </w:tabs>
        <w:numPr>
          <w:ilvl w:val="2"/>
          <w:numId w:val="382"/>
        </w:numPr>
        <w:rPr>
          <w:rFonts w:ascii="Arial" w:cs="Arial" w:eastAsia="Arial" w:hAnsi="Arial"/>
          <w:sz w:val="15"/>
          <w:szCs w:val="15"/>
          <w:color w:val="auto"/>
        </w:rPr>
      </w:pPr>
      <w:r>
        <w:rPr>
          <w:rFonts w:ascii="Arial" w:cs="Arial" w:eastAsia="Arial" w:hAnsi="Arial"/>
          <w:sz w:val="15"/>
          <w:szCs w:val="15"/>
          <w:color w:val="auto"/>
        </w:rPr>
        <w:t>Executive’s commission of, or indictment or conviction of, any felony or any crime involving dishonesty by Executive;</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382"/>
        </w:numPr>
        <w:rPr>
          <w:rFonts w:ascii="Arial" w:cs="Arial" w:eastAsia="Arial" w:hAnsi="Arial"/>
          <w:sz w:val="15"/>
          <w:szCs w:val="15"/>
          <w:color w:val="auto"/>
        </w:rPr>
      </w:pPr>
      <w:r>
        <w:rPr>
          <w:rFonts w:ascii="Arial" w:cs="Arial" w:eastAsia="Arial" w:hAnsi="Arial"/>
          <w:sz w:val="15"/>
          <w:szCs w:val="15"/>
          <w:color w:val="auto"/>
        </w:rPr>
        <w:t>Executive’s participation in any fraud against the Company;</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382"/>
        </w:numPr>
        <w:rPr>
          <w:rFonts w:ascii="Arial" w:cs="Arial" w:eastAsia="Arial" w:hAnsi="Arial"/>
          <w:sz w:val="15"/>
          <w:szCs w:val="15"/>
          <w:color w:val="auto"/>
        </w:rPr>
      </w:pPr>
      <w:r>
        <w:rPr>
          <w:rFonts w:ascii="Arial" w:cs="Arial" w:eastAsia="Arial" w:hAnsi="Arial"/>
          <w:sz w:val="15"/>
          <w:szCs w:val="15"/>
          <w:color w:val="auto"/>
        </w:rPr>
        <w:t>any intentional damage to any property of the Company by Executive;</w:t>
      </w:r>
    </w:p>
    <w:p>
      <w:pPr>
        <w:spacing w:after="0" w:line="198" w:lineRule="exact"/>
        <w:rPr>
          <w:rFonts w:ascii="Arial" w:cs="Arial" w:eastAsia="Arial" w:hAnsi="Arial"/>
          <w:sz w:val="15"/>
          <w:szCs w:val="15"/>
          <w:color w:val="auto"/>
        </w:rPr>
      </w:pPr>
    </w:p>
    <w:p>
      <w:pPr>
        <w:ind w:left="547" w:right="40" w:firstLine="564"/>
        <w:spacing w:after="0" w:line="289" w:lineRule="auto"/>
        <w:tabs>
          <w:tab w:leader="none" w:pos="1674" w:val="left"/>
        </w:tabs>
        <w:numPr>
          <w:ilvl w:val="2"/>
          <w:numId w:val="382"/>
        </w:numPr>
        <w:rPr>
          <w:rFonts w:ascii="Arial" w:cs="Arial" w:eastAsia="Arial" w:hAnsi="Arial"/>
          <w:sz w:val="15"/>
          <w:szCs w:val="15"/>
          <w:color w:val="auto"/>
        </w:rPr>
      </w:pPr>
      <w:r>
        <w:rPr>
          <w:rFonts w:ascii="Arial" w:cs="Arial" w:eastAsia="Arial" w:hAnsi="Arial"/>
          <w:sz w:val="15"/>
          <w:szCs w:val="15"/>
          <w:color w:val="auto"/>
        </w:rPr>
        <w:t>Executive’s misconduct which materially and adversely reflects upon the business, operations, or reputation of the Company, which misconduct has not been cured (or cannot be cured) within thirty (30) days after the Company gives written notice to Executive regarding such misconduct; or</w:t>
      </w:r>
    </w:p>
    <w:p>
      <w:pPr>
        <w:spacing w:after="0" w:line="140" w:lineRule="exact"/>
        <w:rPr>
          <w:rFonts w:ascii="Arial" w:cs="Arial" w:eastAsia="Arial" w:hAnsi="Arial"/>
          <w:sz w:val="15"/>
          <w:szCs w:val="15"/>
          <w:color w:val="auto"/>
        </w:rPr>
      </w:pPr>
    </w:p>
    <w:p>
      <w:pPr>
        <w:ind w:left="547" w:right="80" w:firstLine="564"/>
        <w:spacing w:after="0" w:line="289" w:lineRule="auto"/>
        <w:tabs>
          <w:tab w:leader="none" w:pos="1665" w:val="left"/>
        </w:tabs>
        <w:numPr>
          <w:ilvl w:val="2"/>
          <w:numId w:val="382"/>
        </w:numPr>
        <w:rPr>
          <w:rFonts w:ascii="Arial" w:cs="Arial" w:eastAsia="Arial" w:hAnsi="Arial"/>
          <w:sz w:val="15"/>
          <w:szCs w:val="15"/>
          <w:color w:val="auto"/>
        </w:rPr>
      </w:pPr>
      <w:r>
        <w:rPr>
          <w:rFonts w:ascii="Arial" w:cs="Arial" w:eastAsia="Arial" w:hAnsi="Arial"/>
          <w:sz w:val="15"/>
          <w:szCs w:val="15"/>
          <w:color w:val="auto"/>
        </w:rPr>
        <w:t>Executive’s breach of any material provision of this Agreement or any other written agreement between Executive and the Company and failure to cure such breach (if capable of cure) within thirty (30) days after the Company gives written notice to Executive regarding such breach.</w:t>
      </w:r>
    </w:p>
    <w:p>
      <w:pPr>
        <w:spacing w:after="0" w:line="140" w:lineRule="exact"/>
        <w:rPr>
          <w:rFonts w:ascii="Arial" w:cs="Arial" w:eastAsia="Arial" w:hAnsi="Arial"/>
          <w:sz w:val="15"/>
          <w:szCs w:val="15"/>
          <w:color w:val="auto"/>
        </w:rPr>
      </w:pPr>
    </w:p>
    <w:p>
      <w:pPr>
        <w:ind w:left="1127" w:hanging="571"/>
        <w:spacing w:after="0"/>
        <w:tabs>
          <w:tab w:leader="none" w:pos="1127" w:val="left"/>
        </w:tabs>
        <w:numPr>
          <w:ilvl w:val="1"/>
          <w:numId w:val="382"/>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“Change in Control” shall have the meaning set forth in the version of the Selecta Biosciences, Inc. 2016 Incentive Award Plan in effect on the</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Effective Date.</w:t>
      </w:r>
    </w:p>
    <w:p>
      <w:pPr>
        <w:spacing w:after="0" w:line="187" w:lineRule="exact"/>
        <w:rPr>
          <w:rFonts w:ascii="Arial" w:cs="Arial" w:eastAsia="Arial" w:hAnsi="Arial"/>
          <w:sz w:val="14"/>
          <w:szCs w:val="14"/>
          <w:color w:val="auto"/>
        </w:rPr>
      </w:pPr>
    </w:p>
    <w:p>
      <w:pPr>
        <w:ind w:left="1127" w:hanging="571"/>
        <w:spacing w:after="0"/>
        <w:tabs>
          <w:tab w:leader="none" w:pos="1127" w:val="left"/>
        </w:tabs>
        <w:numPr>
          <w:ilvl w:val="1"/>
          <w:numId w:val="382"/>
        </w:numPr>
        <w:rPr>
          <w:rFonts w:ascii="Arial" w:cs="Arial" w:eastAsia="Arial" w:hAnsi="Arial"/>
          <w:sz w:val="15"/>
          <w:szCs w:val="15"/>
          <w:color w:val="auto"/>
        </w:rPr>
      </w:pPr>
      <w:r>
        <w:rPr>
          <w:rFonts w:ascii="Arial" w:cs="Arial" w:eastAsia="Arial" w:hAnsi="Arial"/>
          <w:sz w:val="15"/>
          <w:szCs w:val="15"/>
          <w:u w:val="single" w:color="auto"/>
          <w:color w:val="auto"/>
        </w:rPr>
        <w:t>Code</w:t>
      </w:r>
      <w:r>
        <w:rPr>
          <w:rFonts w:ascii="Arial" w:cs="Arial" w:eastAsia="Arial" w:hAnsi="Arial"/>
          <w:sz w:val="15"/>
          <w:szCs w:val="15"/>
          <w:color w:val="auto"/>
        </w:rPr>
        <w:t>. “Code” shall mean the Internal Revenue Code of 1986, as amended, and the regulations and guidance promulgated thereunder.</w:t>
      </w:r>
    </w:p>
    <w:p>
      <w:pPr>
        <w:spacing w:after="0" w:line="198" w:lineRule="exact"/>
        <w:rPr>
          <w:rFonts w:ascii="Arial" w:cs="Arial" w:eastAsia="Arial" w:hAnsi="Arial"/>
          <w:sz w:val="15"/>
          <w:szCs w:val="15"/>
          <w:color w:val="auto"/>
        </w:rPr>
      </w:pPr>
    </w:p>
    <w:p>
      <w:pPr>
        <w:ind w:left="7" w:right="380" w:firstLine="549"/>
        <w:spacing w:after="0" w:line="273" w:lineRule="auto"/>
        <w:tabs>
          <w:tab w:leader="none" w:pos="1125" w:val="left"/>
        </w:tabs>
        <w:numPr>
          <w:ilvl w:val="1"/>
          <w:numId w:val="382"/>
        </w:numPr>
        <w:rPr>
          <w:rFonts w:ascii="Arial" w:cs="Arial" w:eastAsia="Arial" w:hAnsi="Arial"/>
          <w:sz w:val="15"/>
          <w:szCs w:val="15"/>
          <w:color w:val="auto"/>
        </w:rPr>
      </w:pPr>
      <w:r>
        <w:rPr>
          <w:rFonts w:ascii="Arial" w:cs="Arial" w:eastAsia="Arial" w:hAnsi="Arial"/>
          <w:sz w:val="15"/>
          <w:szCs w:val="15"/>
          <w:u w:val="single" w:color="auto"/>
          <w:color w:val="auto"/>
        </w:rPr>
        <w:t>Date of Termination</w:t>
      </w:r>
      <w:r>
        <w:rPr>
          <w:rFonts w:ascii="Arial" w:cs="Arial" w:eastAsia="Arial" w:hAnsi="Arial"/>
          <w:sz w:val="15"/>
          <w:szCs w:val="15"/>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5"/>
          <w:szCs w:val="15"/>
          <w:u w:val="single" w:color="auto"/>
          <w:color w:val="auto"/>
        </w:rPr>
        <w:t>Section 3(a)(ii) — (vi)</w:t>
      </w:r>
      <w:r>
        <w:rPr>
          <w:rFonts w:ascii="Arial" w:cs="Arial" w:eastAsia="Arial" w:hAnsi="Arial"/>
          <w:sz w:val="15"/>
          <w:szCs w:val="15"/>
          <w:color w:val="auto"/>
        </w:rPr>
        <w:t xml:space="preserve"> either the date indicated in the Notice of Termination or the date specified by the Company pursuant to </w:t>
      </w:r>
      <w:r>
        <w:rPr>
          <w:rFonts w:ascii="Arial" w:cs="Arial" w:eastAsia="Arial" w:hAnsi="Arial"/>
          <w:sz w:val="15"/>
          <w:szCs w:val="15"/>
          <w:u w:val="single" w:color="auto"/>
          <w:color w:val="auto"/>
        </w:rPr>
        <w:t>Section 3(b)</w:t>
      </w:r>
      <w:r>
        <w:rPr>
          <w:rFonts w:ascii="Arial" w:cs="Arial" w:eastAsia="Arial" w:hAnsi="Arial"/>
          <w:sz w:val="15"/>
          <w:szCs w:val="15"/>
          <w:color w:val="auto"/>
        </w:rPr>
        <w:t>, whichever is earlier.</w:t>
      </w:r>
    </w:p>
    <w:p>
      <w:pPr>
        <w:spacing w:after="0" w:line="152" w:lineRule="exact"/>
        <w:rPr>
          <w:rFonts w:ascii="Arial" w:cs="Arial" w:eastAsia="Arial" w:hAnsi="Arial"/>
          <w:sz w:val="15"/>
          <w:szCs w:val="15"/>
          <w:color w:val="auto"/>
        </w:rPr>
      </w:pPr>
    </w:p>
    <w:p>
      <w:pPr>
        <w:ind w:left="7" w:firstLine="549"/>
        <w:spacing w:after="0" w:line="261" w:lineRule="auto"/>
        <w:tabs>
          <w:tab w:leader="none" w:pos="1128" w:val="left"/>
        </w:tabs>
        <w:numPr>
          <w:ilvl w:val="1"/>
          <w:numId w:val="382"/>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5"/>
          <w:szCs w:val="15"/>
          <w:i w:val="1"/>
          <w:iCs w:val="1"/>
          <w:color w:val="auto"/>
        </w:rPr>
        <w:t>provided, however</w:t>
      </w:r>
      <w:r>
        <w:rPr>
          <w:rFonts w:ascii="Arial" w:cs="Arial" w:eastAsia="Arial" w:hAnsi="Arial"/>
          <w:sz w:val="15"/>
          <w:szCs w:val="15"/>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64" w:lineRule="exact"/>
        <w:rPr>
          <w:rFonts w:ascii="Arial" w:cs="Arial" w:eastAsia="Arial" w:hAnsi="Arial"/>
          <w:sz w:val="15"/>
          <w:szCs w:val="15"/>
          <w:color w:val="auto"/>
        </w:rPr>
      </w:pPr>
    </w:p>
    <w:p>
      <w:pPr>
        <w:ind w:left="7" w:right="140" w:firstLine="549"/>
        <w:spacing w:after="0" w:line="293" w:lineRule="auto"/>
        <w:tabs>
          <w:tab w:leader="none" w:pos="1123" w:val="left"/>
        </w:tabs>
        <w:numPr>
          <w:ilvl w:val="1"/>
          <w:numId w:val="382"/>
        </w:numPr>
        <w:rPr>
          <w:rFonts w:ascii="Arial" w:cs="Arial" w:eastAsia="Arial" w:hAnsi="Arial"/>
          <w:sz w:val="14"/>
          <w:szCs w:val="14"/>
          <w:color w:val="auto"/>
        </w:rPr>
      </w:pPr>
      <w:r>
        <w:rPr>
          <w:rFonts w:ascii="Arial" w:cs="Arial" w:eastAsia="Arial" w:hAnsi="Arial"/>
          <w:sz w:val="14"/>
          <w:szCs w:val="14"/>
          <w:u w:val="single" w:color="auto"/>
          <w:color w:val="auto"/>
        </w:rPr>
        <w:t>Good Reason</w:t>
      </w:r>
      <w:r>
        <w:rPr>
          <w:rFonts w:ascii="Arial" w:cs="Arial" w:eastAsia="Arial" w:hAnsi="Arial"/>
          <w:sz w:val="14"/>
          <w:szCs w:val="14"/>
          <w:color w:val="auto"/>
        </w:rPr>
        <w:t>. For the sole purpose of determining Executive’s right to severance payments and benefits as described above, Executive’s resignation will be with “Good Reason” if Executive resigns within one year after any of the following events, unless Executive consents to the applicable event in writing: (i) a material reduction in Executive’s Annual Base Salary or Target Bonus, (ii) a material diminution in Executive’s authority, title, duties or areas of responsibility, (iii) the requirement that Executive report to someone other than the Chief Executive Officer, (iv) the relocation of Executive’s primary office to a location more than 40 miles from the Boston metropolitan area, or (v)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-4473575</wp:posOffset>
            </wp:positionV>
            <wp:extent cx="7285990" cy="2730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2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40"/>
        <w:spacing w:after="0" w:line="268" w:lineRule="auto"/>
        <w:rPr>
          <w:sz w:val="20"/>
          <w:szCs w:val="20"/>
          <w:color w:val="auto"/>
        </w:rPr>
      </w:pPr>
      <w:r>
        <w:rPr>
          <w:rFonts w:ascii="Arial" w:cs="Arial" w:eastAsia="Arial" w:hAnsi="Arial"/>
          <w:sz w:val="15"/>
          <w:szCs w:val="15"/>
          <w:color w:val="auto"/>
        </w:rPr>
        <w:t>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thirty (30) days after the receipt of such notice.</w:t>
      </w:r>
    </w:p>
    <w:p>
      <w:pPr>
        <w:spacing w:after="0" w:line="150" w:lineRule="exact"/>
        <w:rPr>
          <w:sz w:val="20"/>
          <w:szCs w:val="20"/>
          <w:color w:val="auto"/>
        </w:rPr>
      </w:pPr>
    </w:p>
    <w:p>
      <w:pPr>
        <w:ind w:left="547" w:hanging="547"/>
        <w:spacing w:after="0"/>
        <w:tabs>
          <w:tab w:leader="none" w:pos="547" w:val="left"/>
        </w:tabs>
        <w:numPr>
          <w:ilvl w:val="0"/>
          <w:numId w:val="38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Parachute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 w:firstLine="549"/>
        <w:spacing w:after="0" w:line="282" w:lineRule="auto"/>
        <w:tabs>
          <w:tab w:leader="none" w:pos="1117" w:val="left"/>
        </w:tabs>
        <w:numPr>
          <w:ilvl w:val="1"/>
          <w:numId w:val="383"/>
        </w:numPr>
        <w:rPr>
          <w:rFonts w:ascii="Arial" w:cs="Arial" w:eastAsia="Arial" w:hAnsi="Arial"/>
          <w:sz w:val="14"/>
          <w:szCs w:val="14"/>
          <w:color w:val="auto"/>
        </w:rPr>
      </w:pPr>
      <w:r>
        <w:rPr>
          <w:rFonts w:ascii="Arial" w:cs="Arial" w:eastAsia="Arial" w:hAnsi="Arial"/>
          <w:sz w:val="14"/>
          <w:szCs w:val="14"/>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4"/>
          <w:szCs w:val="14"/>
          <w:u w:val="single" w:color="auto"/>
          <w:color w:val="auto"/>
        </w:rPr>
        <w:t>Section 4(b)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4(c)</w:t>
      </w:r>
      <w:r>
        <w:rPr>
          <w:rFonts w:ascii="Arial" w:cs="Arial" w:eastAsia="Arial" w:hAnsi="Arial"/>
          <w:sz w:val="14"/>
          <w:szCs w:val="14"/>
          <w:color w:val="auto"/>
        </w:rPr>
        <w:t xml:space="preserve"> hereof, being hereinafter referred to as the “</w:t>
      </w:r>
      <w:r>
        <w:rPr>
          <w:rFonts w:ascii="Arial" w:cs="Arial" w:eastAsia="Arial" w:hAnsi="Arial"/>
          <w:sz w:val="14"/>
          <w:szCs w:val="14"/>
          <w:u w:val="single" w:color="auto"/>
          <w:color w:val="auto"/>
        </w:rPr>
        <w:t>Total Payments</w:t>
      </w:r>
      <w:r>
        <w:rPr>
          <w:rFonts w:ascii="Arial" w:cs="Arial" w:eastAsia="Arial" w:hAnsi="Arial"/>
          <w:sz w:val="14"/>
          <w:szCs w:val="14"/>
          <w:color w:val="auto"/>
        </w:rPr>
        <w:t>”), would be subject (in whole or in part) to the excise tax imposed by Section 4999 of the Code (the “</w:t>
      </w:r>
      <w:r>
        <w:rPr>
          <w:rFonts w:ascii="Arial" w:cs="Arial" w:eastAsia="Arial" w:hAnsi="Arial"/>
          <w:sz w:val="14"/>
          <w:szCs w:val="14"/>
          <w:u w:val="single" w:color="auto"/>
          <w:color w:val="auto"/>
        </w:rPr>
        <w:t>Excise Tax</w:t>
      </w:r>
      <w:r>
        <w:rPr>
          <w:rFonts w:ascii="Arial" w:cs="Arial" w:eastAsia="Arial" w:hAnsi="Arial"/>
          <w:sz w:val="14"/>
          <w:szCs w:val="14"/>
          <w:color w:val="auto"/>
        </w:rPr>
        <w:t xml:space="preserve">”), then the Total Payments shall be reduced (in the order provided in </w:t>
      </w:r>
      <w:r>
        <w:rPr>
          <w:rFonts w:ascii="Arial" w:cs="Arial" w:eastAsia="Arial" w:hAnsi="Arial"/>
          <w:sz w:val="14"/>
          <w:szCs w:val="14"/>
          <w:u w:val="single" w:color="auto"/>
          <w:color w:val="auto"/>
        </w:rPr>
        <w:t>Section 8(b)</w:t>
      </w:r>
      <w:r>
        <w:rPr>
          <w:rFonts w:ascii="Arial" w:cs="Arial" w:eastAsia="Arial" w:hAnsi="Arial"/>
          <w:sz w:val="14"/>
          <w:szCs w:val="14"/>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0" w:lineRule="exact"/>
        <w:rPr>
          <w:rFonts w:ascii="Arial" w:cs="Arial" w:eastAsia="Arial" w:hAnsi="Arial"/>
          <w:sz w:val="14"/>
          <w:szCs w:val="14"/>
          <w:color w:val="auto"/>
        </w:rPr>
      </w:pPr>
    </w:p>
    <w:p>
      <w:pPr>
        <w:ind w:left="7" w:right="180" w:firstLine="549"/>
        <w:spacing w:after="0" w:line="265" w:lineRule="auto"/>
        <w:tabs>
          <w:tab w:leader="none" w:pos="1125" w:val="left"/>
        </w:tabs>
        <w:numPr>
          <w:ilvl w:val="1"/>
          <w:numId w:val="383"/>
        </w:numPr>
        <w:rPr>
          <w:rFonts w:ascii="Arial" w:cs="Arial" w:eastAsia="Arial" w:hAnsi="Arial"/>
          <w:sz w:val="15"/>
          <w:szCs w:val="15"/>
          <w:color w:val="auto"/>
        </w:rPr>
      </w:pPr>
      <w:r>
        <w:rPr>
          <w:rFonts w:ascii="Arial" w:cs="Arial" w:eastAsia="Arial" w:hAnsi="Arial"/>
          <w:sz w:val="15"/>
          <w:szCs w:val="15"/>
          <w:color w:val="auto"/>
        </w:rPr>
        <w:t>The Total Payments shall be reduced in the following order: (i) reduction on a pro-rata basis of any cash severance payments that are exempt from Section 409A of the Code (“</w:t>
      </w:r>
      <w:r>
        <w:rPr>
          <w:rFonts w:ascii="Arial" w:cs="Arial" w:eastAsia="Arial" w:hAnsi="Arial"/>
          <w:sz w:val="15"/>
          <w:szCs w:val="15"/>
          <w:u w:val="single" w:color="auto"/>
          <w:color w:val="auto"/>
        </w:rPr>
        <w:t>Section 409A</w:t>
      </w:r>
      <w:r>
        <w:rPr>
          <w:rFonts w:ascii="Arial" w:cs="Arial" w:eastAsia="Arial" w:hAnsi="Arial"/>
          <w:sz w:val="15"/>
          <w:szCs w:val="15"/>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59" w:lineRule="exact"/>
        <w:rPr>
          <w:rFonts w:ascii="Arial" w:cs="Arial" w:eastAsia="Arial" w:hAnsi="Arial"/>
          <w:sz w:val="15"/>
          <w:szCs w:val="15"/>
          <w:color w:val="auto"/>
        </w:rPr>
      </w:pPr>
    </w:p>
    <w:p>
      <w:pPr>
        <w:ind w:left="7" w:right="100" w:firstLine="549"/>
        <w:spacing w:after="0" w:line="293" w:lineRule="auto"/>
        <w:tabs>
          <w:tab w:leader="none" w:pos="1128" w:val="left"/>
        </w:tabs>
        <w:numPr>
          <w:ilvl w:val="1"/>
          <w:numId w:val="383"/>
        </w:numPr>
        <w:rPr>
          <w:rFonts w:ascii="Arial" w:cs="Arial" w:eastAsia="Arial" w:hAnsi="Arial"/>
          <w:sz w:val="14"/>
          <w:szCs w:val="14"/>
          <w:color w:val="auto"/>
        </w:rPr>
      </w:pPr>
      <w:r>
        <w:rPr>
          <w:rFonts w:ascii="Arial" w:cs="Arial" w:eastAsia="Arial" w:hAnsi="Arial"/>
          <w:sz w:val="14"/>
          <w:szCs w:val="14"/>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4"/>
          <w:szCs w:val="14"/>
          <w:u w:val="single" w:color="auto"/>
          <w:color w:val="auto"/>
        </w:rPr>
        <w:t>Independent Advisors</w:t>
      </w:r>
      <w:r>
        <w:rPr>
          <w:rFonts w:ascii="Arial" w:cs="Arial" w:eastAsia="Arial" w:hAnsi="Arial"/>
          <w:sz w:val="14"/>
          <w:szCs w:val="14"/>
          <w:color w:val="auto"/>
        </w:rPr>
        <w:t xml:space="preserve">”) to make determinations regarding the application of this </w:t>
      </w:r>
      <w:r>
        <w:rPr>
          <w:rFonts w:ascii="Arial" w:cs="Arial" w:eastAsia="Arial" w:hAnsi="Arial"/>
          <w:sz w:val="14"/>
          <w:szCs w:val="14"/>
          <w:u w:val="single" w:color="auto"/>
          <w:color w:val="auto"/>
        </w:rPr>
        <w:t>Section 8</w:t>
      </w:r>
      <w:r>
        <w:rPr>
          <w:rFonts w:ascii="Arial" w:cs="Arial" w:eastAsia="Arial" w:hAnsi="Arial"/>
          <w:sz w:val="14"/>
          <w:szCs w:val="14"/>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w:t>
      </w:r>
    </w:p>
    <w:p>
      <w:pPr>
        <w:sectPr>
          <w:pgSz w:w="11900" w:h="16838" w:orient="portrait"/>
          <w:cols w:equalWidth="0" w:num="1">
            <w:col w:w="11427"/>
          </w:cols>
          <w:pgMar w:left="233" w:top="129" w:right="239" w:bottom="0" w:gutter="0" w:footer="0" w:header="0"/>
        </w:sectPr>
      </w:pPr>
    </w:p>
    <w:bookmarkStart w:id="380" w:name="page381"/>
    <w:bookmarkEnd w:id="380"/>
    <w:p>
      <w:pPr>
        <w:ind w:left="7" w:right="160" w:hanging="7"/>
        <w:spacing w:after="0" w:line="289" w:lineRule="auto"/>
        <w:tabs>
          <w:tab w:leader="none" w:pos="252" w:val="left"/>
        </w:tabs>
        <w:numPr>
          <w:ilvl w:val="0"/>
          <w:numId w:val="384"/>
        </w:numPr>
        <w:rPr>
          <w:rFonts w:ascii="Arial" w:cs="Arial" w:eastAsia="Arial" w:hAnsi="Arial"/>
          <w:sz w:val="15"/>
          <w:szCs w:val="15"/>
          <w:color w:val="auto"/>
        </w:rPr>
      </w:pPr>
      <w:r>
        <w:rPr>
          <w:rFonts w:ascii="Arial" w:cs="Arial" w:eastAsia="Arial" w:hAnsi="Arial"/>
          <w:sz w:val="15"/>
          <w:szCs w:val="15"/>
          <w:color w:val="auto"/>
        </w:rPr>
        <w:t>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40" w:lineRule="exact"/>
        <w:rPr>
          <w:rFonts w:ascii="Arial" w:cs="Arial" w:eastAsia="Arial" w:hAnsi="Arial"/>
          <w:sz w:val="15"/>
          <w:szCs w:val="15"/>
          <w:color w:val="auto"/>
        </w:rPr>
      </w:pPr>
    </w:p>
    <w:p>
      <w:pPr>
        <w:ind w:left="7" w:firstLine="549"/>
        <w:spacing w:after="0" w:line="273" w:lineRule="auto"/>
        <w:tabs>
          <w:tab w:leader="none" w:pos="1125" w:val="left"/>
        </w:tabs>
        <w:numPr>
          <w:ilvl w:val="1"/>
          <w:numId w:val="384"/>
        </w:numPr>
        <w:rPr>
          <w:rFonts w:ascii="Arial" w:cs="Arial" w:eastAsia="Arial" w:hAnsi="Arial"/>
          <w:sz w:val="15"/>
          <w:szCs w:val="15"/>
          <w:color w:val="auto"/>
        </w:rPr>
      </w:pPr>
      <w:r>
        <w:rPr>
          <w:rFonts w:ascii="Arial" w:cs="Arial" w:eastAsia="Arial" w:hAnsi="Arial"/>
          <w:sz w:val="15"/>
          <w:szCs w:val="15"/>
          <w:color w:val="auto"/>
        </w:rPr>
        <w:t xml:space="preserve">If Executive incurs legal fees or other expenses (including expert witness and accounting fees) in an effort to determine the applicability of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or establish entitlement to or obtain any portion of the Total Payments that have been reduced under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(collectively, “</w:t>
      </w:r>
      <w:r>
        <w:rPr>
          <w:rFonts w:ascii="Arial" w:cs="Arial" w:eastAsia="Arial" w:hAnsi="Arial"/>
          <w:sz w:val="15"/>
          <w:szCs w:val="15"/>
          <w:u w:val="single" w:color="auto"/>
          <w:color w:val="auto"/>
        </w:rPr>
        <w:t>Legal and Other Expenses</w:t>
      </w:r>
      <w:r>
        <w:rPr>
          <w:rFonts w:ascii="Arial" w:cs="Arial" w:eastAsia="Arial" w:hAnsi="Arial"/>
          <w:sz w:val="15"/>
          <w:szCs w:val="15"/>
          <w:color w:val="auto"/>
        </w:rPr>
        <w:t>”), Executive shall be entitled to payment of or reimbursement for such Legal and Other</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0"/>
        <w:spacing w:after="0" w:line="265" w:lineRule="auto"/>
        <w:rPr>
          <w:sz w:val="20"/>
          <w:szCs w:val="20"/>
          <w:color w:val="auto"/>
        </w:rPr>
      </w:pPr>
      <w:r>
        <w:rPr>
          <w:rFonts w:ascii="Arial" w:cs="Arial" w:eastAsia="Arial" w:hAnsi="Arial"/>
          <w:sz w:val="15"/>
          <w:szCs w:val="15"/>
          <w:color w:val="auto"/>
        </w:rPr>
        <w:t xml:space="preserve">Expenses in accordance with this </w:t>
      </w:r>
      <w:r>
        <w:rPr>
          <w:rFonts w:ascii="Arial" w:cs="Arial" w:eastAsia="Arial" w:hAnsi="Arial"/>
          <w:sz w:val="15"/>
          <w:szCs w:val="15"/>
          <w:u w:val="single" w:color="auto"/>
          <w:color w:val="auto"/>
        </w:rPr>
        <w:t>Section 8(d)</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Sections 9(l)(iv)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9(m)</w:t>
      </w:r>
      <w:r>
        <w:rPr>
          <w:rFonts w:ascii="Arial" w:cs="Arial" w:eastAsia="Arial" w:hAnsi="Arial"/>
          <w:sz w:val="15"/>
          <w:szCs w:val="15"/>
          <w:color w:val="auto"/>
        </w:rPr>
        <w:t xml:space="preserve"> and the other provisions of this </w:t>
      </w:r>
      <w:r>
        <w:rPr>
          <w:rFonts w:ascii="Arial" w:cs="Arial" w:eastAsia="Arial" w:hAnsi="Arial"/>
          <w:sz w:val="15"/>
          <w:szCs w:val="15"/>
          <w:u w:val="single" w:color="auto"/>
          <w:color w:val="auto"/>
        </w:rPr>
        <w:t>Section 8</w:t>
      </w:r>
      <w:r>
        <w:rPr>
          <w:rFonts w:ascii="Arial" w:cs="Arial" w:eastAsia="Arial" w:hAnsi="Arial"/>
          <w:sz w:val="15"/>
          <w:szCs w:val="15"/>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60" w:lineRule="exact"/>
        <w:rPr>
          <w:sz w:val="20"/>
          <w:szCs w:val="20"/>
          <w:color w:val="auto"/>
        </w:rPr>
      </w:pPr>
    </w:p>
    <w:p>
      <w:pPr>
        <w:ind w:left="7" w:right="60" w:firstLine="549"/>
        <w:spacing w:after="0" w:line="302" w:lineRule="auto"/>
        <w:tabs>
          <w:tab w:leader="none" w:pos="1128" w:val="left"/>
        </w:tabs>
        <w:numPr>
          <w:ilvl w:val="1"/>
          <w:numId w:val="385"/>
        </w:numPr>
        <w:rPr>
          <w:rFonts w:ascii="Arial" w:cs="Arial" w:eastAsia="Arial" w:hAnsi="Arial"/>
          <w:sz w:val="14"/>
          <w:szCs w:val="14"/>
          <w:color w:val="auto"/>
        </w:rPr>
      </w:pPr>
      <w:r>
        <w:rPr>
          <w:rFonts w:ascii="Arial" w:cs="Arial" w:eastAsia="Arial" w:hAnsi="Arial"/>
          <w:sz w:val="14"/>
          <w:szCs w:val="14"/>
          <w:color w:val="auto"/>
        </w:rPr>
        <w:t xml:space="preserve">In the event it is later determined that to implement the objective and intent of this </w:t>
      </w:r>
      <w:r>
        <w:rPr>
          <w:rFonts w:ascii="Arial" w:cs="Arial" w:eastAsia="Arial" w:hAnsi="Arial"/>
          <w:sz w:val="14"/>
          <w:szCs w:val="14"/>
          <w:u w:val="single" w:color="auto"/>
          <w:color w:val="auto"/>
        </w:rPr>
        <w:t>Section 8</w:t>
      </w:r>
      <w:r>
        <w:rPr>
          <w:rFonts w:ascii="Arial" w:cs="Arial" w:eastAsia="Arial" w:hAnsi="Arial"/>
          <w:sz w:val="14"/>
          <w:szCs w:val="14"/>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27" w:lineRule="exact"/>
        <w:rPr>
          <w:rFonts w:ascii="Arial" w:cs="Arial" w:eastAsia="Arial" w:hAnsi="Arial"/>
          <w:sz w:val="14"/>
          <w:szCs w:val="14"/>
          <w:color w:val="auto"/>
        </w:rPr>
      </w:pPr>
    </w:p>
    <w:p>
      <w:pPr>
        <w:ind w:left="547" w:hanging="547"/>
        <w:spacing w:after="0"/>
        <w:tabs>
          <w:tab w:leader="none" w:pos="547" w:val="left"/>
        </w:tabs>
        <w:numPr>
          <w:ilvl w:val="0"/>
          <w:numId w:val="38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 Provisions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0" w:firstLine="549"/>
        <w:spacing w:after="0" w:line="302" w:lineRule="auto"/>
        <w:tabs>
          <w:tab w:leader="none" w:pos="1117" w:val="left"/>
        </w:tabs>
        <w:numPr>
          <w:ilvl w:val="1"/>
          <w:numId w:val="386"/>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33" w:lineRule="exact"/>
        <w:rPr>
          <w:rFonts w:ascii="Arial" w:cs="Arial" w:eastAsia="Arial" w:hAnsi="Arial"/>
          <w:sz w:val="14"/>
          <w:szCs w:val="14"/>
          <w:color w:val="auto"/>
        </w:rPr>
      </w:pPr>
    </w:p>
    <w:p>
      <w:pPr>
        <w:ind w:left="7" w:right="240" w:firstLine="549"/>
        <w:spacing w:after="0" w:line="289" w:lineRule="auto"/>
        <w:tabs>
          <w:tab w:leader="none" w:pos="1125" w:val="left"/>
        </w:tabs>
        <w:numPr>
          <w:ilvl w:val="1"/>
          <w:numId w:val="386"/>
        </w:numPr>
        <w:rPr>
          <w:rFonts w:ascii="Arial" w:cs="Arial" w:eastAsia="Arial" w:hAnsi="Arial"/>
          <w:sz w:val="15"/>
          <w:szCs w:val="15"/>
          <w:color w:val="auto"/>
        </w:rPr>
      </w:pPr>
      <w:r>
        <w:rPr>
          <w:rFonts w:ascii="Arial" w:cs="Arial" w:eastAsia="Arial" w:hAnsi="Arial"/>
          <w:sz w:val="15"/>
          <w:szCs w:val="15"/>
          <w:u w:val="single" w:color="auto"/>
          <w:color w:val="auto"/>
        </w:rPr>
        <w:t>Validity</w:t>
      </w:r>
      <w:r>
        <w:rPr>
          <w:rFonts w:ascii="Arial" w:cs="Arial" w:eastAsia="Arial" w:hAnsi="Arial"/>
          <w:sz w:val="15"/>
          <w:szCs w:val="15"/>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40" w:lineRule="exact"/>
        <w:rPr>
          <w:rFonts w:ascii="Arial" w:cs="Arial" w:eastAsia="Arial" w:hAnsi="Arial"/>
          <w:sz w:val="15"/>
          <w:szCs w:val="15"/>
          <w:color w:val="auto"/>
        </w:rPr>
      </w:pPr>
    </w:p>
    <w:p>
      <w:pPr>
        <w:ind w:left="7" w:right="280" w:firstLine="549"/>
        <w:spacing w:after="0" w:line="289" w:lineRule="auto"/>
        <w:tabs>
          <w:tab w:leader="none" w:pos="1128" w:val="left"/>
        </w:tabs>
        <w:numPr>
          <w:ilvl w:val="1"/>
          <w:numId w:val="386"/>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40" w:lineRule="exact"/>
        <w:rPr>
          <w:rFonts w:ascii="Arial" w:cs="Arial" w:eastAsia="Arial" w:hAnsi="Arial"/>
          <w:sz w:val="15"/>
          <w:szCs w:val="15"/>
          <w:color w:val="auto"/>
        </w:rPr>
      </w:pPr>
    </w:p>
    <w:p>
      <w:pPr>
        <w:ind w:left="1687" w:hanging="576"/>
        <w:spacing w:after="0"/>
        <w:tabs>
          <w:tab w:leader="none" w:pos="1687" w:val="left"/>
        </w:tabs>
        <w:numPr>
          <w:ilvl w:val="2"/>
          <w:numId w:val="386"/>
        </w:numPr>
        <w:rPr>
          <w:rFonts w:ascii="Arial" w:cs="Arial" w:eastAsia="Arial" w:hAnsi="Arial"/>
          <w:sz w:val="15"/>
          <w:szCs w:val="15"/>
          <w:color w:val="auto"/>
        </w:rPr>
      </w:pPr>
      <w:r>
        <w:rPr>
          <w:rFonts w:ascii="Arial" w:cs="Arial" w:eastAsia="Arial" w:hAnsi="Arial"/>
          <w:sz w:val="15"/>
          <w:szCs w:val="15"/>
          <w:color w:val="auto"/>
        </w:rPr>
        <w:t>If to the Company, to the General Counsel of the Company at the Company’s headquarters,</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386"/>
        </w:numPr>
        <w:rPr>
          <w:rFonts w:ascii="Arial" w:cs="Arial" w:eastAsia="Arial" w:hAnsi="Arial"/>
          <w:sz w:val="15"/>
          <w:szCs w:val="15"/>
          <w:color w:val="auto"/>
        </w:rPr>
      </w:pPr>
      <w:r>
        <w:rPr>
          <w:rFonts w:ascii="Arial" w:cs="Arial" w:eastAsia="Arial" w:hAnsi="Arial"/>
          <w:sz w:val="15"/>
          <w:szCs w:val="15"/>
          <w:color w:val="auto"/>
        </w:rPr>
        <w:t>If to Executive, to the last address that the Company has in its personnel records for Executive, or</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386"/>
        </w:numPr>
        <w:rPr>
          <w:rFonts w:ascii="Arial" w:cs="Arial" w:eastAsia="Arial" w:hAnsi="Arial"/>
          <w:sz w:val="15"/>
          <w:szCs w:val="15"/>
          <w:color w:val="auto"/>
        </w:rPr>
      </w:pPr>
      <w:r>
        <w:rPr>
          <w:rFonts w:ascii="Arial" w:cs="Arial" w:eastAsia="Arial" w:hAnsi="Arial"/>
          <w:sz w:val="15"/>
          <w:szCs w:val="15"/>
          <w:color w:val="auto"/>
        </w:rPr>
        <w:t>at any other address as any Party shall have specified by notice in writing to the other Party.</w:t>
      </w:r>
    </w:p>
    <w:p>
      <w:pPr>
        <w:spacing w:after="0" w:line="198" w:lineRule="exact"/>
        <w:rPr>
          <w:rFonts w:ascii="Arial" w:cs="Arial" w:eastAsia="Arial" w:hAnsi="Arial"/>
          <w:sz w:val="15"/>
          <w:szCs w:val="15"/>
          <w:color w:val="auto"/>
        </w:rPr>
      </w:pPr>
    </w:p>
    <w:p>
      <w:pPr>
        <w:ind w:left="7" w:right="100" w:firstLine="549"/>
        <w:spacing w:after="0" w:line="289" w:lineRule="auto"/>
        <w:tabs>
          <w:tab w:leader="none" w:pos="1125" w:val="left"/>
        </w:tabs>
        <w:numPr>
          <w:ilvl w:val="1"/>
          <w:numId w:val="386"/>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40" w:lineRule="exact"/>
        <w:rPr>
          <w:rFonts w:ascii="Arial" w:cs="Arial" w:eastAsia="Arial" w:hAnsi="Arial"/>
          <w:sz w:val="15"/>
          <w:szCs w:val="15"/>
          <w:color w:val="auto"/>
        </w:rPr>
      </w:pPr>
    </w:p>
    <w:p>
      <w:pPr>
        <w:ind w:left="7" w:right="160" w:firstLine="549"/>
        <w:spacing w:after="0" w:line="302" w:lineRule="auto"/>
        <w:tabs>
          <w:tab w:leader="none" w:pos="1128" w:val="left"/>
        </w:tabs>
        <w:numPr>
          <w:ilvl w:val="1"/>
          <w:numId w:val="386"/>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xml:space="preserve">. The terms of this Agreement, the Restrictive Covenant Agreement incorporated herein by reference as set forth in </w:t>
      </w:r>
      <w:r>
        <w:rPr>
          <w:rFonts w:ascii="Arial" w:cs="Arial" w:eastAsia="Arial" w:hAnsi="Arial"/>
          <w:sz w:val="14"/>
          <w:szCs w:val="14"/>
          <w:u w:val="single" w:color="auto"/>
          <w:color w:val="auto"/>
        </w:rPr>
        <w:t>Section 5</w:t>
      </w:r>
      <w:r>
        <w:rPr>
          <w:rFonts w:ascii="Arial" w:cs="Arial" w:eastAsia="Arial" w:hAnsi="Arial"/>
          <w:sz w:val="14"/>
          <w:szCs w:val="14"/>
          <w:color w:val="auto"/>
        </w:rPr>
        <w:t>, the Indemnification Agreement (defined below) and any stock option agreement between the Company and Executive entered into prior to the date hereof are intended by the Parties to be the final expression of their agreement with respect to the subject matter hereof and supersede all prior understandings and agreements, whether written or oral, including without</w:t>
      </w:r>
    </w:p>
    <w:p>
      <w:pPr>
        <w:spacing w:after="0" w:line="13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 w:right="520"/>
        <w:spacing w:after="0" w:line="273" w:lineRule="auto"/>
        <w:rPr>
          <w:sz w:val="20"/>
          <w:szCs w:val="20"/>
          <w:color w:val="auto"/>
        </w:rPr>
      </w:pPr>
      <w:r>
        <w:rPr>
          <w:rFonts w:ascii="Arial" w:cs="Arial" w:eastAsia="Arial" w:hAnsi="Arial"/>
          <w:sz w:val="15"/>
          <w:szCs w:val="15"/>
          <w:color w:val="auto"/>
        </w:rPr>
        <w:t>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53" w:lineRule="exact"/>
        <w:rPr>
          <w:sz w:val="20"/>
          <w:szCs w:val="20"/>
          <w:color w:val="auto"/>
        </w:rPr>
      </w:pPr>
    </w:p>
    <w:p>
      <w:pPr>
        <w:ind w:left="1107" w:hanging="551"/>
        <w:spacing w:after="0"/>
        <w:tabs>
          <w:tab w:leader="none" w:pos="1107" w:val="left"/>
        </w:tabs>
        <w:numPr>
          <w:ilvl w:val="1"/>
          <w:numId w:val="387"/>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xml:space="preserve">. The Parties acknowledge that they have or will enter into an Indemnification Agreement in substantially the form attached as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hereto.</w:t>
      </w:r>
    </w:p>
    <w:p>
      <w:pPr>
        <w:spacing w:after="0" w:line="209" w:lineRule="exact"/>
        <w:rPr>
          <w:rFonts w:ascii="Arial" w:cs="Arial" w:eastAsia="Arial" w:hAnsi="Arial"/>
          <w:sz w:val="14"/>
          <w:szCs w:val="14"/>
          <w:color w:val="auto"/>
        </w:rPr>
      </w:pPr>
    </w:p>
    <w:p>
      <w:pPr>
        <w:ind w:left="7" w:right="20" w:firstLine="549"/>
        <w:spacing w:after="0" w:line="265" w:lineRule="auto"/>
        <w:tabs>
          <w:tab w:leader="none" w:pos="1137" w:val="left"/>
        </w:tabs>
        <w:numPr>
          <w:ilvl w:val="1"/>
          <w:numId w:val="387"/>
        </w:numPr>
        <w:rPr>
          <w:rFonts w:ascii="Arial" w:cs="Arial" w:eastAsia="Arial" w:hAnsi="Arial"/>
          <w:sz w:val="15"/>
          <w:szCs w:val="15"/>
          <w:color w:val="auto"/>
        </w:rPr>
      </w:pPr>
      <w:r>
        <w:rPr>
          <w:rFonts w:ascii="Arial" w:cs="Arial" w:eastAsia="Arial" w:hAnsi="Arial"/>
          <w:sz w:val="15"/>
          <w:szCs w:val="15"/>
          <w:u w:val="single" w:color="auto"/>
          <w:color w:val="auto"/>
        </w:rPr>
        <w:t>Amendments; Waivers</w:t>
      </w:r>
      <w:r>
        <w:rPr>
          <w:rFonts w:ascii="Arial" w:cs="Arial" w:eastAsia="Arial" w:hAnsi="Arial"/>
          <w:sz w:val="15"/>
          <w:szCs w:val="15"/>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59" w:lineRule="exact"/>
        <w:rPr>
          <w:rFonts w:ascii="Arial" w:cs="Arial" w:eastAsia="Arial" w:hAnsi="Arial"/>
          <w:sz w:val="15"/>
          <w:szCs w:val="15"/>
          <w:color w:val="auto"/>
        </w:rPr>
      </w:pPr>
    </w:p>
    <w:p>
      <w:pPr>
        <w:ind w:left="7" w:right="400" w:firstLine="549"/>
        <w:spacing w:after="0" w:line="273" w:lineRule="auto"/>
        <w:tabs>
          <w:tab w:leader="none" w:pos="1125" w:val="left"/>
        </w:tabs>
        <w:numPr>
          <w:ilvl w:val="1"/>
          <w:numId w:val="387"/>
        </w:numPr>
        <w:rPr>
          <w:rFonts w:ascii="Arial" w:cs="Arial" w:eastAsia="Arial" w:hAnsi="Arial"/>
          <w:sz w:val="15"/>
          <w:szCs w:val="15"/>
          <w:color w:val="auto"/>
        </w:rPr>
      </w:pPr>
      <w:r>
        <w:rPr>
          <w:rFonts w:ascii="Arial" w:cs="Arial" w:eastAsia="Arial" w:hAnsi="Arial"/>
          <w:sz w:val="15"/>
          <w:szCs w:val="15"/>
          <w:u w:val="single" w:color="auto"/>
          <w:color w:val="auto"/>
        </w:rPr>
        <w:t>No Inconsistent Actions</w:t>
      </w:r>
      <w:r>
        <w:rPr>
          <w:rFonts w:ascii="Arial" w:cs="Arial" w:eastAsia="Arial" w:hAnsi="Arial"/>
          <w:sz w:val="15"/>
          <w:szCs w:val="15"/>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52" w:lineRule="exact"/>
        <w:rPr>
          <w:rFonts w:ascii="Arial" w:cs="Arial" w:eastAsia="Arial" w:hAnsi="Arial"/>
          <w:sz w:val="15"/>
          <w:szCs w:val="15"/>
          <w:color w:val="auto"/>
        </w:rPr>
      </w:pPr>
    </w:p>
    <w:p>
      <w:pPr>
        <w:ind w:left="7" w:right="60" w:firstLine="549"/>
        <w:spacing w:after="0" w:line="279" w:lineRule="auto"/>
        <w:tabs>
          <w:tab w:leader="none" w:pos="1138" w:val="left"/>
        </w:tabs>
        <w:numPr>
          <w:ilvl w:val="1"/>
          <w:numId w:val="387"/>
        </w:numPr>
        <w:rPr>
          <w:rFonts w:ascii="Arial" w:cs="Arial" w:eastAsia="Arial" w:hAnsi="Arial"/>
          <w:sz w:val="14"/>
          <w:szCs w:val="14"/>
          <w:color w:val="auto"/>
        </w:rPr>
      </w:pPr>
      <w:r>
        <w:rPr>
          <w:rFonts w:ascii="Arial" w:cs="Arial" w:eastAsia="Arial" w:hAnsi="Arial"/>
          <w:sz w:val="14"/>
          <w:szCs w:val="14"/>
          <w:u w:val="single" w:color="auto"/>
          <w:color w:val="auto"/>
        </w:rPr>
        <w:t>Construction</w:t>
      </w:r>
      <w:r>
        <w:rPr>
          <w:rFonts w:ascii="Arial" w:cs="Arial" w:eastAsia="Arial" w:hAnsi="Arial"/>
          <w:sz w:val="14"/>
          <w:szCs w:val="14"/>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w:t>
      </w:r>
    </w:p>
    <w:p>
      <w:pPr>
        <w:spacing w:after="0" w:line="1" w:lineRule="exact"/>
        <w:rPr>
          <w:rFonts w:ascii="Arial" w:cs="Arial" w:eastAsia="Arial" w:hAnsi="Arial"/>
          <w:sz w:val="14"/>
          <w:szCs w:val="14"/>
          <w:color w:val="auto"/>
        </w:rPr>
      </w:pPr>
    </w:p>
    <w:p>
      <w:pPr>
        <w:ind w:left="7" w:right="500" w:hanging="7"/>
        <w:spacing w:after="0" w:line="266" w:lineRule="auto"/>
        <w:tabs>
          <w:tab w:leader="none" w:pos="226" w:val="left"/>
        </w:tabs>
        <w:numPr>
          <w:ilvl w:val="0"/>
          <w:numId w:val="388"/>
        </w:numPr>
        <w:rPr>
          <w:rFonts w:ascii="Arial" w:cs="Arial" w:eastAsia="Arial" w:hAnsi="Arial"/>
          <w:sz w:val="15"/>
          <w:szCs w:val="15"/>
          <w:color w:val="auto"/>
        </w:rPr>
      </w:pPr>
      <w:r>
        <w:rPr>
          <w:rFonts w:ascii="Arial" w:cs="Arial" w:eastAsia="Arial" w:hAnsi="Arial"/>
          <w:sz w:val="15"/>
          <w:szCs w:val="15"/>
          <w:color w:val="auto"/>
        </w:rPr>
        <w:t>“herein,”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57" w:lineRule="exact"/>
        <w:rPr>
          <w:rFonts w:ascii="Arial" w:cs="Arial" w:eastAsia="Arial" w:hAnsi="Arial"/>
          <w:sz w:val="15"/>
          <w:szCs w:val="15"/>
          <w:color w:val="auto"/>
        </w:rPr>
      </w:pPr>
    </w:p>
    <w:p>
      <w:pPr>
        <w:ind w:left="7" w:right="100" w:firstLine="549"/>
        <w:spacing w:after="0" w:line="265" w:lineRule="auto"/>
        <w:tabs>
          <w:tab w:leader="none" w:pos="1126" w:val="left"/>
        </w:tabs>
        <w:numPr>
          <w:ilvl w:val="1"/>
          <w:numId w:val="388"/>
        </w:numPr>
        <w:rPr>
          <w:rFonts w:ascii="Arial" w:cs="Arial" w:eastAsia="Arial" w:hAnsi="Arial"/>
          <w:sz w:val="15"/>
          <w:szCs w:val="15"/>
          <w:color w:val="auto"/>
        </w:rPr>
      </w:pPr>
      <w:r>
        <w:rPr>
          <w:rFonts w:ascii="Arial" w:cs="Arial" w:eastAsia="Arial" w:hAnsi="Arial"/>
          <w:sz w:val="15"/>
          <w:szCs w:val="15"/>
          <w:u w:val="single" w:color="auto"/>
          <w:color w:val="auto"/>
        </w:rPr>
        <w:t>Enforcement</w:t>
      </w:r>
      <w:r>
        <w:rPr>
          <w:rFonts w:ascii="Arial" w:cs="Arial" w:eastAsia="Arial" w:hAnsi="Arial"/>
          <w:sz w:val="15"/>
          <w:szCs w:val="15"/>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59" w:lineRule="exact"/>
        <w:rPr>
          <w:rFonts w:ascii="Arial" w:cs="Arial" w:eastAsia="Arial" w:hAnsi="Arial"/>
          <w:sz w:val="15"/>
          <w:szCs w:val="15"/>
          <w:color w:val="auto"/>
        </w:rPr>
      </w:pPr>
    </w:p>
    <w:p>
      <w:pPr>
        <w:ind w:left="7" w:right="300" w:firstLine="549"/>
        <w:spacing w:after="0" w:line="273" w:lineRule="auto"/>
        <w:tabs>
          <w:tab w:leader="none" w:pos="1125" w:val="left"/>
        </w:tabs>
        <w:numPr>
          <w:ilvl w:val="1"/>
          <w:numId w:val="388"/>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27"/>
          </w:cols>
          <w:pgMar w:left="233" w:top="129" w:right="239" w:bottom="105" w:gutter="0" w:footer="0" w:header="0"/>
        </w:sectPr>
      </w:pPr>
    </w:p>
    <w:bookmarkStart w:id="381" w:name="page382"/>
    <w:bookmarkEnd w:id="381"/>
    <w:p>
      <w:pPr>
        <w:ind w:left="1127" w:hanging="571"/>
        <w:spacing w:after="0"/>
        <w:tabs>
          <w:tab w:leader="none" w:pos="1127" w:val="left"/>
        </w:tabs>
        <w:numPr>
          <w:ilvl w:val="0"/>
          <w:numId w:val="389"/>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47" w:right="60" w:firstLine="564"/>
        <w:spacing w:after="0" w:line="289" w:lineRule="auto"/>
        <w:tabs>
          <w:tab w:leader="none" w:pos="1677" w:val="left"/>
        </w:tabs>
        <w:numPr>
          <w:ilvl w:val="1"/>
          <w:numId w:val="389"/>
        </w:numPr>
        <w:rPr>
          <w:rFonts w:ascii="Arial" w:cs="Arial" w:eastAsia="Arial" w:hAnsi="Arial"/>
          <w:sz w:val="15"/>
          <w:szCs w:val="15"/>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 intent of the Parties is that the payments and benefits under this Agreement comply with or be exempt from Section 409A and, accordingly, to</w:t>
      </w:r>
      <w:r>
        <w:rPr>
          <w:rFonts w:ascii="Arial" w:cs="Arial" w:eastAsia="Arial" w:hAnsi="Arial"/>
          <w:sz w:val="15"/>
          <w:szCs w:val="15"/>
          <w:i w:val="1"/>
          <w:iCs w:val="1"/>
          <w:color w:val="auto"/>
        </w:rPr>
        <w:t xml:space="preserve"> </w:t>
      </w:r>
      <w:r>
        <w:rPr>
          <w:rFonts w:ascii="Arial" w:cs="Arial" w:eastAsia="Arial" w:hAnsi="Arial"/>
          <w:sz w:val="15"/>
          <w:szCs w:val="15"/>
          <w:color w:val="auto"/>
        </w:rPr>
        <w:t>the maximum extent permitted, this Agreement shall be interpreted to be in compliance therewith.</w:t>
      </w:r>
    </w:p>
    <w:p>
      <w:pPr>
        <w:spacing w:after="0" w:line="140" w:lineRule="exact"/>
        <w:rPr>
          <w:rFonts w:ascii="Arial" w:cs="Arial" w:eastAsia="Arial" w:hAnsi="Arial"/>
          <w:sz w:val="15"/>
          <w:szCs w:val="15"/>
          <w:color w:val="auto"/>
        </w:rPr>
      </w:pPr>
    </w:p>
    <w:p>
      <w:pPr>
        <w:ind w:left="547" w:right="60" w:firstLine="564"/>
        <w:spacing w:after="0" w:line="263" w:lineRule="auto"/>
        <w:tabs>
          <w:tab w:leader="none" w:pos="1686" w:val="left"/>
        </w:tabs>
        <w:numPr>
          <w:ilvl w:val="1"/>
          <w:numId w:val="389"/>
        </w:numPr>
        <w:rPr>
          <w:rFonts w:ascii="Arial" w:cs="Arial" w:eastAsia="Arial" w:hAnsi="Arial"/>
          <w:sz w:val="15"/>
          <w:szCs w:val="15"/>
          <w:color w:val="auto"/>
        </w:rPr>
      </w:pPr>
      <w:r>
        <w:rPr>
          <w:rFonts w:ascii="Arial" w:cs="Arial" w:eastAsia="Arial" w:hAnsi="Arial"/>
          <w:sz w:val="15"/>
          <w:szCs w:val="15"/>
          <w:i w:val="1"/>
          <w:iCs w:val="1"/>
          <w:color w:val="auto"/>
        </w:rPr>
        <w:t xml:space="preserve">Separation from Service. </w:t>
      </w:r>
      <w:r>
        <w:rPr>
          <w:rFonts w:ascii="Arial" w:cs="Arial" w:eastAsia="Arial" w:hAnsi="Arial"/>
          <w:sz w:val="15"/>
          <w:szCs w:val="15"/>
          <w:color w:val="auto"/>
        </w:rPr>
        <w:t>Notwithstanding anything in this Agreement to the contrary, any compensation or benefits payable under this Agreement that is</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xml:space="preserve">”) and, except as provided below, any such compensation or benefits described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not be paid, or, in the case of installments, shall not commence payment, until the sixtieth (60th) day following Executive’s Separation from Service (the “</w:t>
      </w:r>
      <w:r>
        <w:rPr>
          <w:rFonts w:ascii="Arial" w:cs="Arial" w:eastAsia="Arial" w:hAnsi="Arial"/>
          <w:sz w:val="15"/>
          <w:szCs w:val="15"/>
          <w:u w:val="single" w:color="auto"/>
          <w:color w:val="auto"/>
        </w:rPr>
        <w:t>First Payment Date</w:t>
      </w:r>
      <w:r>
        <w:rPr>
          <w:rFonts w:ascii="Arial" w:cs="Arial" w:eastAsia="Arial" w:hAnsi="Arial"/>
          <w:sz w:val="15"/>
          <w:szCs w:val="15"/>
          <w:color w:val="auto"/>
        </w:rPr>
        <w:t>”). Any installment payments that would have been made to Executive during the sixty (60) day period immediately following Executive’s Separation from Service but for the preceding sentence shall be paid to Executive on the First Payment Date and the remaining payments shall be made as provided in this Agreement.</w:t>
      </w:r>
    </w:p>
    <w:p>
      <w:pPr>
        <w:spacing w:after="0" w:line="159" w:lineRule="exact"/>
        <w:rPr>
          <w:rFonts w:ascii="Arial" w:cs="Arial" w:eastAsia="Arial" w:hAnsi="Arial"/>
          <w:sz w:val="15"/>
          <w:szCs w:val="15"/>
          <w:color w:val="auto"/>
        </w:rPr>
      </w:pPr>
    </w:p>
    <w:p>
      <w:pPr>
        <w:ind w:left="547" w:right="20" w:firstLine="564"/>
        <w:spacing w:after="0" w:line="286" w:lineRule="auto"/>
        <w:tabs>
          <w:tab w:leader="none" w:pos="1694" w:val="left"/>
        </w:tabs>
        <w:numPr>
          <w:ilvl w:val="1"/>
          <w:numId w:val="389"/>
        </w:numPr>
        <w:rPr>
          <w:rFonts w:ascii="Arial" w:cs="Arial" w:eastAsia="Arial" w:hAnsi="Arial"/>
          <w:sz w:val="14"/>
          <w:szCs w:val="14"/>
          <w:color w:val="auto"/>
        </w:rPr>
      </w:pPr>
      <w:r>
        <w:rPr>
          <w:rFonts w:ascii="Arial" w:cs="Arial" w:eastAsia="Arial" w:hAnsi="Arial"/>
          <w:sz w:val="14"/>
          <w:szCs w:val="14"/>
          <w:i w:val="1"/>
          <w:iCs w:val="1"/>
          <w:color w:val="auto"/>
        </w:rPr>
        <w:t xml:space="preserve">Specified Employee. </w:t>
      </w:r>
      <w:r>
        <w:rPr>
          <w:rFonts w:ascii="Arial" w:cs="Arial" w:eastAsia="Arial" w:hAnsi="Arial"/>
          <w:sz w:val="14"/>
          <w:szCs w:val="14"/>
          <w:color w:val="auto"/>
        </w:rPr>
        <w:t>Notwithstanding anything in this Agreement to the contrary, if Executive is deemed by the Company at the time of Executive’s</w:t>
      </w:r>
      <w:r>
        <w:rPr>
          <w:rFonts w:ascii="Arial" w:cs="Arial" w:eastAsia="Arial" w:hAnsi="Arial"/>
          <w:sz w:val="14"/>
          <w:szCs w:val="14"/>
          <w:i w:val="1"/>
          <w:iCs w:val="1"/>
          <w:color w:val="auto"/>
        </w:rPr>
        <w:t xml:space="preserve"> </w:t>
      </w:r>
      <w:r>
        <w:rPr>
          <w:rFonts w:ascii="Arial" w:cs="Arial" w:eastAsia="Arial" w:hAnsi="Arial"/>
          <w:sz w:val="14"/>
          <w:szCs w:val="14"/>
          <w:color w:val="auto"/>
        </w:rPr>
        <w:t>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46" w:lineRule="exact"/>
        <w:rPr>
          <w:rFonts w:ascii="Arial" w:cs="Arial" w:eastAsia="Arial" w:hAnsi="Arial"/>
          <w:sz w:val="14"/>
          <w:szCs w:val="14"/>
          <w:color w:val="auto"/>
        </w:rPr>
      </w:pPr>
    </w:p>
    <w:p>
      <w:pPr>
        <w:ind w:left="547" w:right="40" w:firstLine="564"/>
        <w:spacing w:after="0" w:line="265" w:lineRule="auto"/>
        <w:tabs>
          <w:tab w:leader="none" w:pos="1674" w:val="left"/>
        </w:tabs>
        <w:numPr>
          <w:ilvl w:val="1"/>
          <w:numId w:val="389"/>
        </w:numPr>
        <w:rPr>
          <w:rFonts w:ascii="Arial" w:cs="Arial" w:eastAsia="Arial" w:hAnsi="Arial"/>
          <w:sz w:val="15"/>
          <w:szCs w:val="15"/>
          <w:color w:val="auto"/>
        </w:rPr>
      </w:pPr>
      <w:r>
        <w:rPr>
          <w:rFonts w:ascii="Arial" w:cs="Arial" w:eastAsia="Arial" w:hAnsi="Arial"/>
          <w:sz w:val="15"/>
          <w:szCs w:val="15"/>
          <w:i w:val="1"/>
          <w:iCs w:val="1"/>
          <w:color w:val="auto"/>
        </w:rPr>
        <w:t xml:space="preserve">Expense Reimbursements. </w:t>
      </w:r>
      <w:r>
        <w:rPr>
          <w:rFonts w:ascii="Arial" w:cs="Arial" w:eastAsia="Arial" w:hAnsi="Arial"/>
          <w:sz w:val="15"/>
          <w:szCs w:val="15"/>
          <w:color w:val="auto"/>
        </w:rPr>
        <w:t>To the extent that any reimbursements under this Agreement are subject to Section 409A, any such reimbursements payable to</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shall be paid to Executive no later than December 31 of the year following the year in which the expense was incurred; provided, that Executive submits Executive’s reimbursement request promptly following the date the expense is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59" w:lineRule="exact"/>
        <w:rPr>
          <w:rFonts w:ascii="Arial" w:cs="Arial" w:eastAsia="Arial" w:hAnsi="Arial"/>
          <w:sz w:val="15"/>
          <w:szCs w:val="15"/>
          <w:color w:val="auto"/>
        </w:rPr>
      </w:pPr>
    </w:p>
    <w:p>
      <w:pPr>
        <w:ind w:left="547" w:firstLine="564"/>
        <w:spacing w:after="0" w:line="268" w:lineRule="auto"/>
        <w:tabs>
          <w:tab w:leader="none" w:pos="1665" w:val="left"/>
        </w:tabs>
        <w:numPr>
          <w:ilvl w:val="1"/>
          <w:numId w:val="389"/>
        </w:numPr>
        <w:rPr>
          <w:rFonts w:ascii="Arial" w:cs="Arial" w:eastAsia="Arial" w:hAnsi="Arial"/>
          <w:sz w:val="15"/>
          <w:szCs w:val="15"/>
          <w:color w:val="auto"/>
        </w:rPr>
      </w:pPr>
      <w:r>
        <w:rPr>
          <w:rFonts w:ascii="Arial" w:cs="Arial" w:eastAsia="Arial" w:hAnsi="Arial"/>
          <w:sz w:val="15"/>
          <w:szCs w:val="15"/>
          <w:i w:val="1"/>
          <w:iCs w:val="1"/>
          <w:color w:val="auto"/>
        </w:rPr>
        <w:t xml:space="preserve">Installments. </w:t>
      </w:r>
      <w:r>
        <w:rPr>
          <w:rFonts w:ascii="Arial" w:cs="Arial" w:eastAsia="Arial" w:hAnsi="Arial"/>
          <w:sz w:val="15"/>
          <w:szCs w:val="15"/>
          <w:color w:val="auto"/>
        </w:rPr>
        <w:t>Executive’s right to receive any installment payments under this Agreement, including without limitation any continuation salary payments that</w:t>
      </w:r>
      <w:r>
        <w:rPr>
          <w:rFonts w:ascii="Arial" w:cs="Arial" w:eastAsia="Arial" w:hAnsi="Arial"/>
          <w:sz w:val="15"/>
          <w:szCs w:val="15"/>
          <w:i w:val="1"/>
          <w:iCs w:val="1"/>
          <w:color w:val="auto"/>
        </w:rPr>
        <w:t xml:space="preserve"> </w:t>
      </w:r>
      <w:r>
        <w:rPr>
          <w:rFonts w:ascii="Arial" w:cs="Arial" w:eastAsia="Arial" w:hAnsi="Arial"/>
          <w:sz w:val="15"/>
          <w:szCs w:val="15"/>
          <w:color w:val="auto"/>
        </w:rPr>
        <w:t>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56"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40" w:firstLine="549"/>
        <w:spacing w:after="0" w:line="289" w:lineRule="auto"/>
        <w:tabs>
          <w:tab w:leader="none" w:pos="1122" w:val="left"/>
        </w:tabs>
        <w:numPr>
          <w:ilvl w:val="1"/>
          <w:numId w:val="390"/>
        </w:numPr>
        <w:rPr>
          <w:rFonts w:ascii="Arial" w:cs="Arial" w:eastAsia="Arial" w:hAnsi="Arial"/>
          <w:sz w:val="15"/>
          <w:szCs w:val="15"/>
          <w:color w:val="auto"/>
        </w:rPr>
      </w:pPr>
      <w:r>
        <w:rPr>
          <w:rFonts w:ascii="Arial" w:cs="Arial" w:eastAsia="Arial" w:hAnsi="Arial"/>
          <w:sz w:val="15"/>
          <w:szCs w:val="15"/>
          <w:u w:val="single" w:color="auto"/>
          <w:color w:val="auto"/>
        </w:rPr>
        <w:t>Attorneys’ Fees</w:t>
      </w:r>
      <w:r>
        <w:rPr>
          <w:rFonts w:ascii="Arial" w:cs="Arial" w:eastAsia="Arial" w:hAnsi="Arial"/>
          <w:sz w:val="15"/>
          <w:szCs w:val="15"/>
          <w:color w:val="auto"/>
        </w:rPr>
        <w:t>. In the event that either Party prevails in a dispute with the other Party concerning the rights and obligations hereunder, the non-prevailing Party shall pay the prevailing Party’s reasonable attorneys’ fees and costs.</w:t>
      </w:r>
    </w:p>
    <w:p>
      <w:pPr>
        <w:spacing w:after="0" w:line="134" w:lineRule="exact"/>
        <w:rPr>
          <w:rFonts w:ascii="Arial" w:cs="Arial" w:eastAsia="Arial" w:hAnsi="Arial"/>
          <w:sz w:val="15"/>
          <w:szCs w:val="15"/>
          <w:color w:val="auto"/>
        </w:rPr>
      </w:pPr>
    </w:p>
    <w:p>
      <w:pPr>
        <w:ind w:left="547" w:hanging="547"/>
        <w:spacing w:after="0"/>
        <w:tabs>
          <w:tab w:leader="none" w:pos="547" w:val="left"/>
        </w:tabs>
        <w:numPr>
          <w:ilvl w:val="0"/>
          <w:numId w:val="39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Executive Acknowledgement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Executive acknowledges that Executive has read and understands this Agreement, is fully aware of its legal effect, has not acted in reliance upon any representations or</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color w:val="auto"/>
        </w:rPr>
        <w:t>promises made by the Company other than those contained in writing herein, and has entered into this Agreement freely based on Executive’s own judgment.</w:t>
      </w:r>
    </w:p>
    <w:p>
      <w:pPr>
        <w:spacing w:after="0" w:line="188"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rPr>
          <w:sz w:val="20"/>
          <w:szCs w:val="20"/>
          <w:color w:val="auto"/>
        </w:rPr>
      </w:pPr>
      <w:r>
        <w:rPr>
          <w:rFonts w:ascii="Arial" w:cs="Arial" w:eastAsia="Arial" w:hAnsi="Arial"/>
          <w:sz w:val="15"/>
          <w:szCs w:val="15"/>
          <w:color w:val="auto"/>
        </w:rPr>
        <w:t>IN WITNESS WHEREOF, the Parties have executed this Agreement on the date and year first above written.</w:t>
      </w:r>
    </w:p>
    <w:p>
      <w:pPr>
        <w:spacing w:after="0" w:line="192" w:lineRule="exact"/>
        <w:rPr>
          <w:sz w:val="20"/>
          <w:szCs w:val="20"/>
          <w:color w:val="auto"/>
        </w:rPr>
      </w:pPr>
    </w:p>
    <w:p>
      <w:pPr>
        <w:ind w:left="5727"/>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p>
      <w:pPr>
        <w:ind w:left="5727"/>
        <w:spacing w:after="0"/>
        <w:tabs>
          <w:tab w:leader="none" w:pos="6187"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14605</wp:posOffset>
            </wp:positionV>
            <wp:extent cx="3324225" cy="762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spacing w:after="0" w:line="4"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Name: Werner Cautreels, Ph.D.</w:t>
      </w:r>
    </w:p>
    <w:p>
      <w:pPr>
        <w:spacing w:after="0" w:line="23"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Title: President and Chief Executive Officer</w:t>
      </w:r>
    </w:p>
    <w:p>
      <w:pPr>
        <w:spacing w:after="0" w:line="373"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/s/ Takashi Kei Kishimoto,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625850" cy="762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Takashi Kei Kishimoto, Ph.D.</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285990" cy="2730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u w:val="single" w:color="auto"/>
          <w:color w:val="auto"/>
        </w:rPr>
        <w:t>EXHIBIT A</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Separation Agreement and Release</w:t>
      </w:r>
    </w:p>
    <w:p>
      <w:pPr>
        <w:spacing w:after="0" w:line="204" w:lineRule="exact"/>
        <w:rPr>
          <w:sz w:val="20"/>
          <w:szCs w:val="20"/>
          <w:color w:val="auto"/>
        </w:rPr>
      </w:pPr>
    </w:p>
    <w:p>
      <w:pPr>
        <w:ind w:left="27" w:right="180" w:firstLine="525"/>
        <w:spacing w:after="0" w:line="273" w:lineRule="auto"/>
        <w:rPr>
          <w:sz w:val="20"/>
          <w:szCs w:val="20"/>
          <w:color w:val="auto"/>
        </w:rPr>
      </w:pPr>
      <w:r>
        <w:rPr>
          <w:rFonts w:ascii="Arial" w:cs="Arial" w:eastAsia="Arial" w:hAnsi="Arial"/>
          <w:sz w:val="15"/>
          <w:szCs w:val="15"/>
          <w:color w:val="auto"/>
        </w:rPr>
        <w:t>This Separation Agreement and Release (“Agreement”) is made by and between Takashi Kei Kishimoto, Ph.D.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153" w:lineRule="exact"/>
        <w:rPr>
          <w:sz w:val="20"/>
          <w:szCs w:val="20"/>
          <w:color w:val="auto"/>
        </w:rPr>
      </w:pPr>
    </w:p>
    <w:p>
      <w:pPr>
        <w:ind w:left="547"/>
        <w:spacing w:after="0"/>
        <w:rPr>
          <w:sz w:val="20"/>
          <w:szCs w:val="20"/>
          <w:color w:val="auto"/>
        </w:rPr>
      </w:pPr>
      <w:r>
        <w:rPr>
          <w:rFonts w:ascii="Arial" w:cs="Arial" w:eastAsia="Arial" w:hAnsi="Arial"/>
          <w:sz w:val="15"/>
          <w:szCs w:val="15"/>
          <w:color w:val="auto"/>
        </w:rPr>
        <w:t>WHEREAS, the Parties have previously entered into that certain Employment Agreement, dated as of June 6, 2016 (the “Employment Agreement”); and</w:t>
      </w:r>
    </w:p>
    <w:p>
      <w:pPr>
        <w:spacing w:after="0" w:line="198" w:lineRule="exact"/>
        <w:rPr>
          <w:sz w:val="20"/>
          <w:szCs w:val="20"/>
          <w:color w:val="auto"/>
        </w:rPr>
      </w:pPr>
    </w:p>
    <w:p>
      <w:pPr>
        <w:ind w:left="7" w:right="60" w:firstLine="556"/>
        <w:spacing w:after="0" w:line="284" w:lineRule="auto"/>
        <w:rPr>
          <w:sz w:val="20"/>
          <w:szCs w:val="20"/>
          <w:color w:val="auto"/>
        </w:rPr>
      </w:pPr>
      <w:r>
        <w:rPr>
          <w:rFonts w:ascii="Arial" w:cs="Arial" w:eastAsia="Arial" w:hAnsi="Arial"/>
          <w:sz w:val="14"/>
          <w:szCs w:val="14"/>
          <w:color w:val="auto"/>
        </w:rPr>
        <w:t>WHEREAS, in connection with Executive’s termination of employment with the Company or a subsidiary or affiliate of the Company effective , 20 ,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149" w:lineRule="exact"/>
        <w:rPr>
          <w:sz w:val="20"/>
          <w:szCs w:val="20"/>
          <w:color w:val="auto"/>
        </w:rPr>
      </w:pPr>
    </w:p>
    <w:p>
      <w:pPr>
        <w:jc w:val="both"/>
        <w:ind w:left="7" w:right="320" w:firstLine="556"/>
        <w:spacing w:after="0" w:line="273" w:lineRule="auto"/>
        <w:rPr>
          <w:sz w:val="20"/>
          <w:szCs w:val="20"/>
          <w:color w:val="auto"/>
        </w:rPr>
      </w:pPr>
      <w:r>
        <w:rPr>
          <w:rFonts w:ascii="Arial" w:cs="Arial" w:eastAsia="Arial" w:hAnsi="Arial"/>
          <w:sz w:val="15"/>
          <w:szCs w:val="15"/>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ectPr>
          <w:pgSz w:w="11900" w:h="16838" w:orient="portrait"/>
          <w:cols w:equalWidth="0" w:num="1">
            <w:col w:w="11427"/>
          </w:cols>
          <w:pgMar w:left="233" w:top="129" w:right="239" w:bottom="0" w:gutter="0" w:footer="0" w:header="0"/>
        </w:sectPr>
      </w:pPr>
    </w:p>
    <w:bookmarkStart w:id="382" w:name="page383"/>
    <w:bookmarkEnd w:id="382"/>
    <w:p>
      <w:pPr>
        <w:ind w:right="420" w:firstLine="549"/>
        <w:spacing w:after="0" w:line="268" w:lineRule="auto"/>
        <w:tabs>
          <w:tab w:leader="none" w:pos="1112" w:val="left"/>
        </w:tabs>
        <w:numPr>
          <w:ilvl w:val="0"/>
          <w:numId w:val="392"/>
        </w:numPr>
        <w:rPr>
          <w:rFonts w:ascii="Arial" w:cs="Arial" w:eastAsia="Arial" w:hAnsi="Arial"/>
          <w:sz w:val="15"/>
          <w:szCs w:val="15"/>
          <w:color w:val="auto"/>
        </w:rPr>
      </w:pPr>
      <w:r>
        <w:rPr>
          <w:rFonts w:ascii="Arial" w:cs="Arial" w:eastAsia="Arial" w:hAnsi="Arial"/>
          <w:sz w:val="15"/>
          <w:szCs w:val="15"/>
          <w:u w:val="single" w:color="auto"/>
          <w:color w:val="auto"/>
        </w:rPr>
        <w:t>Severance Payments; Salary and Benefits</w:t>
      </w:r>
      <w:r>
        <w:rPr>
          <w:rFonts w:ascii="Arial" w:cs="Arial" w:eastAsia="Arial" w:hAnsi="Arial"/>
          <w:sz w:val="15"/>
          <w:szCs w:val="15"/>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56" w:lineRule="exact"/>
        <w:rPr>
          <w:rFonts w:ascii="Arial" w:cs="Arial" w:eastAsia="Arial" w:hAnsi="Arial"/>
          <w:sz w:val="15"/>
          <w:szCs w:val="15"/>
          <w:color w:val="auto"/>
        </w:rPr>
      </w:pPr>
    </w:p>
    <w:p>
      <w:pPr>
        <w:ind w:right="80" w:firstLine="549"/>
        <w:spacing w:after="0" w:line="283" w:lineRule="auto"/>
        <w:tabs>
          <w:tab w:leader="none" w:pos="1112" w:val="left"/>
        </w:tabs>
        <w:numPr>
          <w:ilvl w:val="0"/>
          <w:numId w:val="392"/>
        </w:numPr>
        <w:rPr>
          <w:rFonts w:ascii="Arial" w:cs="Arial" w:eastAsia="Arial" w:hAnsi="Arial"/>
          <w:sz w:val="14"/>
          <w:szCs w:val="14"/>
          <w:color w:val="auto"/>
        </w:rPr>
      </w:pPr>
      <w:r>
        <w:rPr>
          <w:rFonts w:ascii="Arial" w:cs="Arial" w:eastAsia="Arial" w:hAnsi="Arial"/>
          <w:sz w:val="14"/>
          <w:szCs w:val="14"/>
          <w:u w:val="single" w:color="auto"/>
          <w:color w:val="auto"/>
        </w:rPr>
        <w:t>Release of Claims</w:t>
      </w:r>
      <w:r>
        <w:rPr>
          <w:rFonts w:ascii="Arial" w:cs="Arial" w:eastAsia="Arial" w:hAnsi="Arial"/>
          <w:sz w:val="14"/>
          <w:szCs w:val="14"/>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(as defined in Section 7 below), including, without limitation: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ind w:right="80" w:firstLine="1104"/>
        <w:spacing w:after="0" w:line="289" w:lineRule="auto"/>
        <w:tabs>
          <w:tab w:leader="none" w:pos="1665" w:val="left"/>
        </w:tabs>
        <w:numPr>
          <w:ilvl w:val="1"/>
          <w:numId w:val="392"/>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employment or service relationship with the Company or any of its direct or indirect subsidiaries or affiliates and the termination of that relationship;</w:t>
      </w:r>
    </w:p>
    <w:p>
      <w:pPr>
        <w:spacing w:after="0" w:line="140" w:lineRule="exact"/>
        <w:rPr>
          <w:rFonts w:ascii="Arial" w:cs="Arial" w:eastAsia="Arial" w:hAnsi="Arial"/>
          <w:sz w:val="15"/>
          <w:szCs w:val="15"/>
          <w:color w:val="auto"/>
        </w:rPr>
      </w:pPr>
    </w:p>
    <w:p>
      <w:pPr>
        <w:ind w:right="60" w:firstLine="1104"/>
        <w:spacing w:after="0" w:line="273" w:lineRule="auto"/>
        <w:tabs>
          <w:tab w:leader="none" w:pos="1674" w:val="left"/>
        </w:tabs>
        <w:numPr>
          <w:ilvl w:val="1"/>
          <w:numId w:val="392"/>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2" w:lineRule="exact"/>
        <w:rPr>
          <w:rFonts w:ascii="Arial" w:cs="Arial" w:eastAsia="Arial" w:hAnsi="Arial"/>
          <w:sz w:val="15"/>
          <w:szCs w:val="15"/>
          <w:color w:val="auto"/>
        </w:rPr>
      </w:pPr>
    </w:p>
    <w:p>
      <w:pPr>
        <w:ind w:right="140" w:firstLine="1104"/>
        <w:spacing w:after="0" w:line="268" w:lineRule="auto"/>
        <w:tabs>
          <w:tab w:leader="none" w:pos="1677" w:val="left"/>
        </w:tabs>
        <w:numPr>
          <w:ilvl w:val="1"/>
          <w:numId w:val="392"/>
        </w:numPr>
        <w:rPr>
          <w:rFonts w:ascii="Arial" w:cs="Arial" w:eastAsia="Arial" w:hAnsi="Arial"/>
          <w:sz w:val="15"/>
          <w:szCs w:val="15"/>
          <w:color w:val="auto"/>
        </w:rPr>
      </w:pPr>
      <w:r>
        <w:rPr>
          <w:rFonts w:ascii="Arial" w:cs="Arial" w:eastAsia="Arial" w:hAnsi="Arial"/>
          <w:sz w:val="15"/>
          <w:szCs w:val="15"/>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56" w:lineRule="exact"/>
        <w:rPr>
          <w:rFonts w:ascii="Arial" w:cs="Arial" w:eastAsia="Arial" w:hAnsi="Arial"/>
          <w:sz w:val="15"/>
          <w:szCs w:val="15"/>
          <w:color w:val="auto"/>
        </w:rPr>
      </w:pPr>
    </w:p>
    <w:p>
      <w:pPr>
        <w:ind w:right="180" w:firstLine="1104"/>
        <w:spacing w:after="0" w:line="268" w:lineRule="auto"/>
        <w:tabs>
          <w:tab w:leader="none" w:pos="1674" w:val="left"/>
        </w:tabs>
        <w:numPr>
          <w:ilvl w:val="1"/>
          <w:numId w:val="392"/>
        </w:numPr>
        <w:rPr>
          <w:rFonts w:ascii="Arial" w:cs="Arial" w:eastAsia="Arial" w:hAnsi="Arial"/>
          <w:sz w:val="15"/>
          <w:szCs w:val="15"/>
          <w:color w:val="auto"/>
        </w:rPr>
      </w:pPr>
      <w:r>
        <w:rPr>
          <w:rFonts w:ascii="Arial" w:cs="Arial" w:eastAsia="Arial" w:hAnsi="Arial"/>
          <w:sz w:val="15"/>
          <w:szCs w:val="15"/>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56" w:lineRule="exact"/>
        <w:rPr>
          <w:rFonts w:ascii="Arial" w:cs="Arial" w:eastAsia="Arial" w:hAnsi="Arial"/>
          <w:sz w:val="15"/>
          <w:szCs w:val="15"/>
          <w:color w:val="auto"/>
        </w:rPr>
      </w:pPr>
    </w:p>
    <w:p>
      <w:pPr>
        <w:ind w:left="1660" w:hanging="556"/>
        <w:spacing w:after="0"/>
        <w:tabs>
          <w:tab w:leader="none" w:pos="1660" w:val="left"/>
        </w:tabs>
        <w:numPr>
          <w:ilvl w:val="1"/>
          <w:numId w:val="392"/>
        </w:numPr>
        <w:rPr>
          <w:rFonts w:ascii="Arial" w:cs="Arial" w:eastAsia="Arial" w:hAnsi="Arial"/>
          <w:sz w:val="15"/>
          <w:szCs w:val="15"/>
          <w:color w:val="auto"/>
        </w:rPr>
      </w:pPr>
      <w:r>
        <w:rPr>
          <w:rFonts w:ascii="Arial" w:cs="Arial" w:eastAsia="Arial" w:hAnsi="Arial"/>
          <w:sz w:val="15"/>
          <w:szCs w:val="15"/>
          <w:color w:val="auto"/>
        </w:rPr>
        <w:t>any and all claims for violation of the federal or any state constitution;</w:t>
      </w:r>
    </w:p>
    <w:p>
      <w:pPr>
        <w:spacing w:after="0" w:line="198" w:lineRule="exact"/>
        <w:rPr>
          <w:rFonts w:ascii="Arial" w:cs="Arial" w:eastAsia="Arial" w:hAnsi="Arial"/>
          <w:sz w:val="15"/>
          <w:szCs w:val="15"/>
          <w:color w:val="auto"/>
        </w:rPr>
      </w:pPr>
    </w:p>
    <w:p>
      <w:pPr>
        <w:ind w:left="1660" w:hanging="556"/>
        <w:spacing w:after="0"/>
        <w:tabs>
          <w:tab w:leader="none" w:pos="1660" w:val="left"/>
        </w:tabs>
        <w:numPr>
          <w:ilvl w:val="1"/>
          <w:numId w:val="392"/>
        </w:numPr>
        <w:rPr>
          <w:rFonts w:ascii="Arial" w:cs="Arial" w:eastAsia="Arial" w:hAnsi="Arial"/>
          <w:sz w:val="15"/>
          <w:szCs w:val="15"/>
          <w:color w:val="auto"/>
        </w:rPr>
      </w:pPr>
      <w:r>
        <w:rPr>
          <w:rFonts w:ascii="Arial" w:cs="Arial" w:eastAsia="Arial" w:hAnsi="Arial"/>
          <w:sz w:val="15"/>
          <w:szCs w:val="15"/>
          <w:color w:val="auto"/>
        </w:rPr>
        <w:t>any and all claims arising out of any other laws and regulations relating to employment or employment discrimination;</w:t>
      </w:r>
    </w:p>
    <w:p>
      <w:pPr>
        <w:spacing w:after="0" w:line="198" w:lineRule="exact"/>
        <w:rPr>
          <w:rFonts w:ascii="Arial" w:cs="Arial" w:eastAsia="Arial" w:hAnsi="Arial"/>
          <w:sz w:val="15"/>
          <w:szCs w:val="15"/>
          <w:color w:val="auto"/>
        </w:rPr>
      </w:pPr>
    </w:p>
    <w:p>
      <w:pPr>
        <w:ind w:right="20" w:firstLine="1104"/>
        <w:spacing w:after="0" w:line="289" w:lineRule="auto"/>
        <w:tabs>
          <w:tab w:leader="none" w:pos="1686" w:val="left"/>
        </w:tabs>
        <w:numPr>
          <w:ilvl w:val="1"/>
          <w:numId w:val="392"/>
        </w:numPr>
        <w:rPr>
          <w:rFonts w:ascii="Arial" w:cs="Arial" w:eastAsia="Arial" w:hAnsi="Arial"/>
          <w:sz w:val="15"/>
          <w:szCs w:val="15"/>
          <w:color w:val="auto"/>
        </w:rPr>
      </w:pPr>
      <w:r>
        <w:rPr>
          <w:rFonts w:ascii="Arial" w:cs="Arial" w:eastAsia="Arial" w:hAnsi="Arial"/>
          <w:sz w:val="15"/>
          <w:szCs w:val="15"/>
          <w:color w:val="auto"/>
        </w:rPr>
        <w:t>any claim for any loss, cost, damage, or expense arising out of any dispute over the non-withholding or other tax treatment of any of the proceeds received by Executive as a result of this Agreement; and</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1"/>
          <w:numId w:val="392"/>
        </w:numPr>
        <w:rPr>
          <w:rFonts w:ascii="Arial" w:cs="Arial" w:eastAsia="Arial" w:hAnsi="Arial"/>
          <w:sz w:val="15"/>
          <w:szCs w:val="15"/>
          <w:color w:val="auto"/>
        </w:rPr>
      </w:pPr>
      <w:r>
        <w:rPr>
          <w:rFonts w:ascii="Arial" w:cs="Arial" w:eastAsia="Arial" w:hAnsi="Arial"/>
          <w:sz w:val="15"/>
          <w:szCs w:val="15"/>
          <w:color w:val="auto"/>
        </w:rPr>
        <w:t>any and all claims for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-3260090</wp:posOffset>
            </wp:positionV>
            <wp:extent cx="7285990" cy="2730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such monetary relief from the Company or any Releasee),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law and any Retained Claims. This release further does not release claims for breach of Section 3(c), Section 4(b) or Section 4(c) of the Employment Agreement.</w:t>
      </w:r>
    </w:p>
    <w:p>
      <w:pPr>
        <w:spacing w:after="0" w:line="198" w:lineRule="exact"/>
        <w:rPr>
          <w:sz w:val="20"/>
          <w:szCs w:val="20"/>
          <w:color w:val="auto"/>
        </w:rPr>
      </w:pPr>
    </w:p>
    <w:p>
      <w:pPr>
        <w:ind w:firstLine="549"/>
        <w:spacing w:after="0" w:line="281" w:lineRule="auto"/>
        <w:tabs>
          <w:tab w:leader="none" w:pos="1112" w:val="left"/>
        </w:tabs>
        <w:numPr>
          <w:ilvl w:val="0"/>
          <w:numId w:val="393"/>
        </w:numPr>
        <w:rPr>
          <w:rFonts w:ascii="Arial" w:cs="Arial" w:eastAsia="Arial" w:hAnsi="Arial"/>
          <w:sz w:val="14"/>
          <w:szCs w:val="14"/>
          <w:color w:val="auto"/>
        </w:rPr>
      </w:pPr>
      <w:r>
        <w:rPr>
          <w:rFonts w:ascii="Arial" w:cs="Arial" w:eastAsia="Arial" w:hAnsi="Arial"/>
          <w:sz w:val="14"/>
          <w:szCs w:val="14"/>
          <w:u w:val="single" w:color="auto"/>
          <w:color w:val="auto"/>
        </w:rPr>
        <w:t>Acknowledgment of Waiver of Claims under ADEA</w:t>
      </w:r>
      <w:r>
        <w:rPr>
          <w:rFonts w:ascii="Arial" w:cs="Arial" w:eastAsia="Arial" w:hAnsi="Arial"/>
          <w:sz w:val="14"/>
          <w:szCs w:val="14"/>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Effective Date of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53" w:lineRule="exact"/>
        <w:rPr>
          <w:rFonts w:ascii="Arial" w:cs="Arial" w:eastAsia="Arial" w:hAnsi="Arial"/>
          <w:sz w:val="14"/>
          <w:szCs w:val="14"/>
          <w:color w:val="auto"/>
        </w:rPr>
      </w:pPr>
    </w:p>
    <w:p>
      <w:pPr>
        <w:ind w:right="160" w:firstLine="549"/>
        <w:spacing w:after="0" w:line="327" w:lineRule="auto"/>
        <w:tabs>
          <w:tab w:leader="none" w:pos="1112" w:val="left"/>
        </w:tabs>
        <w:numPr>
          <w:ilvl w:val="0"/>
          <w:numId w:val="393"/>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17" w:lineRule="exact"/>
        <w:rPr>
          <w:rFonts w:ascii="Arial" w:cs="Arial" w:eastAsia="Arial" w:hAnsi="Arial"/>
          <w:sz w:val="14"/>
          <w:szCs w:val="14"/>
          <w:color w:val="auto"/>
        </w:rPr>
      </w:pPr>
    </w:p>
    <w:p>
      <w:pPr>
        <w:ind w:left="1100" w:hanging="551"/>
        <w:spacing w:after="0"/>
        <w:tabs>
          <w:tab w:leader="none" w:pos="1100" w:val="left"/>
        </w:tabs>
        <w:numPr>
          <w:ilvl w:val="0"/>
          <w:numId w:val="393"/>
        </w:numPr>
        <w:rPr>
          <w:rFonts w:ascii="Arial" w:cs="Arial" w:eastAsia="Arial" w:hAnsi="Arial"/>
          <w:sz w:val="15"/>
          <w:szCs w:val="15"/>
          <w:color w:val="auto"/>
        </w:rPr>
      </w:pPr>
      <w:r>
        <w:rPr>
          <w:rFonts w:ascii="Arial" w:cs="Arial" w:eastAsia="Arial" w:hAnsi="Arial"/>
          <w:sz w:val="15"/>
          <w:szCs w:val="15"/>
          <w:u w:val="single" w:color="auto"/>
          <w:color w:val="auto"/>
        </w:rPr>
        <w:t>No Oral Modification</w:t>
      </w:r>
      <w:r>
        <w:rPr>
          <w:rFonts w:ascii="Arial" w:cs="Arial" w:eastAsia="Arial" w:hAnsi="Arial"/>
          <w:sz w:val="15"/>
          <w:szCs w:val="15"/>
          <w:color w:val="auto"/>
        </w:rPr>
        <w:t>. This Agreement may only be amended in a writing signed by Executive and a duly authorized officer of the Company.</w:t>
      </w:r>
    </w:p>
    <w:p>
      <w:pPr>
        <w:spacing w:after="0" w:line="198" w:lineRule="exact"/>
        <w:rPr>
          <w:rFonts w:ascii="Arial" w:cs="Arial" w:eastAsia="Arial" w:hAnsi="Arial"/>
          <w:sz w:val="15"/>
          <w:szCs w:val="15"/>
          <w:color w:val="auto"/>
        </w:rPr>
      </w:pPr>
    </w:p>
    <w:p>
      <w:pPr>
        <w:ind w:left="1100" w:hanging="551"/>
        <w:spacing w:after="0"/>
        <w:tabs>
          <w:tab w:leader="none" w:pos="1100" w:val="left"/>
        </w:tabs>
        <w:numPr>
          <w:ilvl w:val="0"/>
          <w:numId w:val="393"/>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subject to the provisions of Sections 9(a) and 9(c) of the Employment Agreement.</w:t>
      </w:r>
    </w:p>
    <w:p>
      <w:pPr>
        <w:spacing w:after="0" w:line="198" w:lineRule="exact"/>
        <w:rPr>
          <w:rFonts w:ascii="Arial" w:cs="Arial" w:eastAsia="Arial" w:hAnsi="Arial"/>
          <w:sz w:val="15"/>
          <w:szCs w:val="15"/>
          <w:color w:val="auto"/>
        </w:rPr>
      </w:pPr>
    </w:p>
    <w:p>
      <w:pPr>
        <w:ind w:right="200" w:firstLine="549"/>
        <w:spacing w:after="0" w:line="268" w:lineRule="auto"/>
        <w:tabs>
          <w:tab w:leader="none" w:pos="1112" w:val="left"/>
        </w:tabs>
        <w:numPr>
          <w:ilvl w:val="0"/>
          <w:numId w:val="393"/>
        </w:numPr>
        <w:rPr>
          <w:rFonts w:ascii="Arial" w:cs="Arial" w:eastAsia="Arial" w:hAnsi="Arial"/>
          <w:sz w:val="15"/>
          <w:szCs w:val="15"/>
          <w:color w:val="auto"/>
        </w:rPr>
      </w:pPr>
      <w:r>
        <w:rPr>
          <w:rFonts w:ascii="Arial" w:cs="Arial" w:eastAsia="Arial" w:hAnsi="Arial"/>
          <w:sz w:val="15"/>
          <w:szCs w:val="15"/>
          <w:u w:val="single" w:color="auto"/>
          <w:color w:val="auto"/>
        </w:rPr>
        <w:t>Effective Date</w:t>
      </w:r>
      <w:r>
        <w:rPr>
          <w:rFonts w:ascii="Arial" w:cs="Arial" w:eastAsia="Arial" w:hAnsi="Arial"/>
          <w:sz w:val="15"/>
          <w:szCs w:val="15"/>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pacing w:after="0" w:line="156" w:lineRule="exact"/>
        <w:rPr>
          <w:rFonts w:ascii="Arial" w:cs="Arial" w:eastAsia="Arial" w:hAnsi="Arial"/>
          <w:sz w:val="15"/>
          <w:szCs w:val="15"/>
          <w:color w:val="auto"/>
        </w:rPr>
      </w:pPr>
    </w:p>
    <w:p>
      <w:pPr>
        <w:ind w:right="120" w:firstLine="549"/>
        <w:spacing w:after="0" w:line="264" w:lineRule="auto"/>
        <w:tabs>
          <w:tab w:leader="none" w:pos="1112" w:val="left"/>
        </w:tabs>
        <w:numPr>
          <w:ilvl w:val="0"/>
          <w:numId w:val="393"/>
        </w:numPr>
        <w:rPr>
          <w:rFonts w:ascii="Arial" w:cs="Arial" w:eastAsia="Arial" w:hAnsi="Arial"/>
          <w:sz w:val="15"/>
          <w:szCs w:val="15"/>
          <w:color w:val="auto"/>
        </w:rPr>
      </w:pPr>
      <w:r>
        <w:rPr>
          <w:rFonts w:ascii="Arial" w:cs="Arial" w:eastAsia="Arial" w:hAnsi="Arial"/>
          <w:sz w:val="15"/>
          <w:szCs w:val="15"/>
          <w:u w:val="single" w:color="auto"/>
          <w:color w:val="auto"/>
        </w:rPr>
        <w:t>Voluntary Execution of Agreement</w:t>
      </w:r>
      <w:r>
        <w:rPr>
          <w:rFonts w:ascii="Arial" w:cs="Arial" w:eastAsia="Arial" w:hAnsi="Arial"/>
          <w:sz w:val="15"/>
          <w:szCs w:val="15"/>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ectPr>
          <w:pgSz w:w="11900" w:h="16838" w:orient="portrait"/>
          <w:cols w:equalWidth="0" w:num="1">
            <w:col w:w="11440"/>
          </w:cols>
          <w:pgMar w:left="240" w:top="129" w:right="219" w:bottom="0" w:gutter="0" w:footer="0" w:header="0"/>
        </w:sectPr>
      </w:pPr>
    </w:p>
    <w:bookmarkStart w:id="383" w:name="page384"/>
    <w:bookmarkEnd w:id="383"/>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Parties have executed this Agreement on the respective dates set forth below.</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14605</wp:posOffset>
            </wp:positionV>
            <wp:extent cx="6788150" cy="762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6788150" cy="7620"/>
                    </a:xfrm>
                    <a:prstGeom prst="rect">
                      <a:avLst/>
                    </a:prstGeom>
                    <a:noFill/>
                  </pic:spPr>
                </pic:pic>
              </a:graphicData>
            </a:graphic>
          </wp:anchor>
        </w:drawing>
      </w:r>
    </w:p>
    <w:p>
      <w:pPr>
        <w:spacing w:after="0" w:line="4"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Takashi Kei Kishimoto, Ph.D.</w:t>
      </w:r>
    </w:p>
    <w:p>
      <w:pPr>
        <w:spacing w:after="0" w:line="377" w:lineRule="exact"/>
        <w:rPr>
          <w:sz w:val="20"/>
          <w:szCs w:val="20"/>
          <w:color w:val="auto"/>
        </w:rPr>
      </w:pPr>
    </w:p>
    <w:p>
      <w:pPr>
        <w:ind w:left="5920"/>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p>
      <w:pPr>
        <w:spacing w:after="0"/>
        <w:tabs>
          <w:tab w:leader="none" w:pos="590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14605</wp:posOffset>
            </wp:positionV>
            <wp:extent cx="6788150" cy="762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6788150" cy="7620"/>
                    </a:xfrm>
                    <a:prstGeom prst="rect">
                      <a:avLst/>
                    </a:prstGeom>
                    <a:noFill/>
                  </pic:spPr>
                </pic:pic>
              </a:graphicData>
            </a:graphic>
          </wp:anchor>
        </w:drawing>
      </w:r>
    </w:p>
    <w:p>
      <w:pPr>
        <w:spacing w:after="0" w:line="4" w:lineRule="exact"/>
        <w:rPr>
          <w:sz w:val="20"/>
          <w:szCs w:val="20"/>
          <w:color w:val="auto"/>
        </w:rPr>
      </w:pPr>
    </w:p>
    <w:p>
      <w:pPr>
        <w:ind w:left="646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B</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Employee Nondisclosure, Noncompetition and Assignment of Intellectual Property Agreement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EMPLOYEE NONDISCLOSURE, NONCOMPETITION AND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ASSIGNMENT OF INTELLECTUAL PROPERTY AGREEMENT</w:t>
      </w:r>
    </w:p>
    <w:p>
      <w:pPr>
        <w:spacing w:after="0" w:line="188"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In consideration and as a condition of my employment by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of the compensation to be paid to me, and in recognition of the fact that as an employee of the Company I will or may have access to confidential information, I agree with the Company as follows:</w:t>
      </w:r>
    </w:p>
    <w:p>
      <w:pPr>
        <w:spacing w:after="0" w:line="141" w:lineRule="exact"/>
        <w:rPr>
          <w:sz w:val="20"/>
          <w:szCs w:val="20"/>
          <w:color w:val="auto"/>
        </w:rPr>
      </w:pPr>
    </w:p>
    <w:p>
      <w:pPr>
        <w:ind w:left="1100" w:hanging="551"/>
        <w:spacing w:after="0"/>
        <w:tabs>
          <w:tab w:leader="none" w:pos="1100"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Performance: Prior Obligations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firstLine="1104"/>
        <w:spacing w:after="0" w:line="264" w:lineRule="auto"/>
        <w:tabs>
          <w:tab w:leader="none" w:pos="1665" w:val="left"/>
        </w:tabs>
        <w:numPr>
          <w:ilvl w:val="1"/>
          <w:numId w:val="394"/>
        </w:numPr>
        <w:rPr>
          <w:rFonts w:ascii="Arial" w:cs="Arial" w:eastAsia="Arial" w:hAnsi="Arial"/>
          <w:sz w:val="15"/>
          <w:szCs w:val="15"/>
          <w:color w:val="auto"/>
        </w:rPr>
      </w:pPr>
      <w:r>
        <w:rPr>
          <w:rFonts w:ascii="Arial" w:cs="Arial" w:eastAsia="Arial" w:hAnsi="Arial"/>
          <w:sz w:val="15"/>
          <w:szCs w:val="15"/>
          <w:color w:val="auto"/>
        </w:rPr>
        <w:t>I agree to use best efforts to perform my assigned duties diligently, conscientiously, and with reasonable skill, and shall comply with all rules, procedures and standards promulgated from time to time by the Company with regard to my conduct and my access to and use of the Company’s property, equipment and facilities. Among such rules, procedures and standards are those governing ethical and other professional standards for dealing with customers, government agencies, vendors, competitors, consultants, fellow employees, and the public-at-large, security provisions designed to protect Company property and the personal security of Company employees, rules respecting attendance, punctuality, and hours of work, and rules and procedures designed to protect the confidentiality of proprietary information. The Company agrees to make reasonable efforts to inform me of such rules, standards and procedures as are in effect from time to time.</w:t>
      </w:r>
    </w:p>
    <w:p>
      <w:pPr>
        <w:spacing w:after="0" w:line="158" w:lineRule="exact"/>
        <w:rPr>
          <w:rFonts w:ascii="Arial" w:cs="Arial" w:eastAsia="Arial" w:hAnsi="Arial"/>
          <w:sz w:val="15"/>
          <w:szCs w:val="15"/>
          <w:color w:val="auto"/>
        </w:rPr>
      </w:pPr>
    </w:p>
    <w:p>
      <w:pPr>
        <w:ind w:right="40" w:firstLine="1104"/>
        <w:spacing w:after="0" w:line="264" w:lineRule="auto"/>
        <w:tabs>
          <w:tab w:leader="none" w:pos="1674" w:val="left"/>
        </w:tabs>
        <w:numPr>
          <w:ilvl w:val="1"/>
          <w:numId w:val="394"/>
        </w:numPr>
        <w:rPr>
          <w:rFonts w:ascii="Arial" w:cs="Arial" w:eastAsia="Arial" w:hAnsi="Arial"/>
          <w:sz w:val="15"/>
          <w:szCs w:val="15"/>
          <w:color w:val="auto"/>
        </w:rPr>
      </w:pPr>
      <w:r>
        <w:rPr>
          <w:rFonts w:ascii="Arial" w:cs="Arial" w:eastAsia="Arial" w:hAnsi="Arial"/>
          <w:sz w:val="15"/>
          <w:szCs w:val="15"/>
          <w:color w:val="auto"/>
        </w:rPr>
        <w:t>I hereby represent, warrant and agree (i) that I have the full right to enter into this Agreement and perform the services required of me hereunder, without any restriction whatsoever; (ii) that in the course of performing services hereunder, I will not violate the terms or conditions of any agreement between me and any third party or infringe or wrongfully appropriate any patents, copyrights, trade secrets or other intellectual property rights of any person or entity anywhere in the world; (iii) that I have not and will not disclose or use during my employment by the Company any confidential information that I acquired as a result of any previous employment or consulting arrangement or under a previous obligation of confidentiality; and (iv) that I have disclosed to the Company in writing any and all continuing obligations to previous employers or others that require me not to disclose any information to the Company.</w:t>
      </w:r>
    </w:p>
    <w:p>
      <w:pPr>
        <w:spacing w:after="0" w:line="158" w:lineRule="exact"/>
        <w:rPr>
          <w:rFonts w:ascii="Arial" w:cs="Arial" w:eastAsia="Arial" w:hAnsi="Arial"/>
          <w:sz w:val="15"/>
          <w:szCs w:val="15"/>
          <w:color w:val="auto"/>
        </w:rPr>
      </w:pPr>
    </w:p>
    <w:p>
      <w:pPr>
        <w:ind w:right="80" w:firstLine="549"/>
        <w:spacing w:after="0" w:line="264" w:lineRule="auto"/>
        <w:tabs>
          <w:tab w:leader="none" w:pos="1112"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While employed by the Company and thereafter, I shall not, directly or indirectly, use any Confidential Information (as hereinafter defined) other than pursuant to my employment by and for the benefit of the Company, or disclose any Confidential Information to anyone outside of the Company, whether by private communication, public address, publication or otherwise, or disclose any Confidential Information to anyone within the Company who has not been authorized to receive such information, except as directed in writing by an authorized representative of the Company. The term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as used throughout this Agreement shall mean all trade secrets, proprietary information, know-how, data, designs, specifications, processes, customer lists and other technical or business information (and any tangible evidence, record or representation thereof), whether prepared,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85990" cy="2730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conceived or developed by a consultant or employee of the Company (including myself) or received by the Company from an outside source, which is in the possession of the Company (whether or not the property of the Company), which in any way relates to the present or future business of the Company, which is maintained in confidence by the Company, or which might permit the Company or its customers to obtain a competitive advantage over competitors who do not have access to such trade secrets, proprietary information, or other data or information. Without limiting the generality of the foregoing. Confidential Information shall include, without limitation:</w:t>
      </w:r>
    </w:p>
    <w:p>
      <w:pPr>
        <w:spacing w:after="0" w:line="156" w:lineRule="exact"/>
        <w:rPr>
          <w:sz w:val="20"/>
          <w:szCs w:val="20"/>
          <w:color w:val="auto"/>
        </w:rPr>
      </w:pPr>
    </w:p>
    <w:p>
      <w:pPr>
        <w:ind w:right="140" w:firstLine="1104"/>
        <w:spacing w:after="0" w:line="268" w:lineRule="auto"/>
        <w:tabs>
          <w:tab w:leader="none" w:pos="1665" w:val="left"/>
        </w:tabs>
        <w:numPr>
          <w:ilvl w:val="0"/>
          <w:numId w:val="395"/>
        </w:numPr>
        <w:rPr>
          <w:rFonts w:ascii="Arial" w:cs="Arial" w:eastAsia="Arial" w:hAnsi="Arial"/>
          <w:sz w:val="15"/>
          <w:szCs w:val="15"/>
          <w:color w:val="auto"/>
        </w:rPr>
      </w:pPr>
      <w:r>
        <w:rPr>
          <w:rFonts w:ascii="Arial" w:cs="Arial" w:eastAsia="Arial" w:hAnsi="Arial"/>
          <w:sz w:val="15"/>
          <w:szCs w:val="15"/>
          <w:color w:val="auto"/>
        </w:rPr>
        <w:t>any idea, improvement, invention, innovation, development, concept, technical or clinical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56" w:lineRule="exact"/>
        <w:rPr>
          <w:rFonts w:ascii="Arial" w:cs="Arial" w:eastAsia="Arial" w:hAnsi="Arial"/>
          <w:sz w:val="15"/>
          <w:szCs w:val="15"/>
          <w:color w:val="auto"/>
        </w:rPr>
      </w:pPr>
    </w:p>
    <w:p>
      <w:pPr>
        <w:jc w:val="both"/>
        <w:ind w:right="140" w:firstLine="1104"/>
        <w:spacing w:after="0" w:line="273" w:lineRule="auto"/>
        <w:tabs>
          <w:tab w:leader="none" w:pos="1674" w:val="left"/>
        </w:tabs>
        <w:numPr>
          <w:ilvl w:val="0"/>
          <w:numId w:val="395"/>
        </w:numPr>
        <w:rPr>
          <w:rFonts w:ascii="Arial" w:cs="Arial" w:eastAsia="Arial" w:hAnsi="Arial"/>
          <w:sz w:val="15"/>
          <w:szCs w:val="15"/>
          <w:color w:val="auto"/>
        </w:rPr>
      </w:pPr>
      <w:r>
        <w:rPr>
          <w:rFonts w:ascii="Arial" w:cs="Arial" w:eastAsia="Arial" w:hAnsi="Arial"/>
          <w:sz w:val="15"/>
          <w:szCs w:val="15"/>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53" w:lineRule="exact"/>
        <w:rPr>
          <w:sz w:val="20"/>
          <w:szCs w:val="20"/>
          <w:color w:val="auto"/>
        </w:rPr>
      </w:pPr>
    </w:p>
    <w:p>
      <w:pPr>
        <w:ind w:right="60" w:firstLine="556"/>
        <w:spacing w:after="0" w:line="289" w:lineRule="auto"/>
        <w:rPr>
          <w:sz w:val="20"/>
          <w:szCs w:val="20"/>
          <w:color w:val="auto"/>
        </w:rPr>
      </w:pPr>
      <w:r>
        <w:rPr>
          <w:rFonts w:ascii="Arial" w:cs="Arial" w:eastAsia="Arial" w:hAnsi="Arial"/>
          <w:sz w:val="15"/>
          <w:szCs w:val="15"/>
          <w:color w:val="auto"/>
        </w:rPr>
        <w:t>Notwithstanding the foregoing, the term Confidential Information shall not apply to information which the Company has voluntarily disclosed to the public without restriction, or which has otherwise lawfully entered the public domain.</w:t>
      </w:r>
    </w:p>
    <w:p>
      <w:pPr>
        <w:spacing w:after="0" w:line="141" w:lineRule="exact"/>
        <w:rPr>
          <w:sz w:val="20"/>
          <w:szCs w:val="20"/>
          <w:color w:val="auto"/>
        </w:rPr>
      </w:pPr>
    </w:p>
    <w:p>
      <w:pPr>
        <w:ind w:right="200" w:firstLine="556"/>
        <w:spacing w:after="0" w:line="289" w:lineRule="auto"/>
        <w:rPr>
          <w:sz w:val="20"/>
          <w:szCs w:val="20"/>
          <w:color w:val="auto"/>
        </w:rPr>
      </w:pPr>
      <w:r>
        <w:rPr>
          <w:rFonts w:ascii="Arial" w:cs="Arial" w:eastAsia="Arial" w:hAnsi="Arial"/>
          <w:sz w:val="15"/>
          <w:szCs w:val="15"/>
          <w:color w:val="auto"/>
        </w:rPr>
        <w:t>I shall promptly notify my supervisor or any officer of the Company if I learn of any possible unauthorized use or disclosure of Confidential Information and shall cooperate fully with the Company to enforce its rights in such information.</w:t>
      </w:r>
    </w:p>
    <w:p>
      <w:pPr>
        <w:spacing w:after="0" w:line="141" w:lineRule="exact"/>
        <w:rPr>
          <w:sz w:val="20"/>
          <w:szCs w:val="20"/>
          <w:color w:val="auto"/>
        </w:rPr>
      </w:pPr>
    </w:p>
    <w:p>
      <w:pPr>
        <w:ind w:firstLine="556"/>
        <w:spacing w:after="0" w:line="327" w:lineRule="auto"/>
        <w:rPr>
          <w:sz w:val="20"/>
          <w:szCs w:val="20"/>
          <w:color w:val="auto"/>
        </w:rPr>
      </w:pPr>
      <w:r>
        <w:rPr>
          <w:rFonts w:ascii="Arial" w:cs="Arial" w:eastAsia="Arial" w:hAnsi="Arial"/>
          <w:sz w:val="14"/>
          <w:szCs w:val="14"/>
          <w:color w:val="auto"/>
        </w:rPr>
        <w:t>I understand that the Company from time to time has in its possession information (including product and development plans and specifications) which is claimed by customers and others to be proprietary and which the Company has agreed to keep confidential. I agree that all such information shall be Confidential Information for purposes of this Agreement.</w:t>
      </w:r>
    </w:p>
    <w:p>
      <w:pPr>
        <w:spacing w:after="0" w:line="117" w:lineRule="exact"/>
        <w:rPr>
          <w:sz w:val="20"/>
          <w:szCs w:val="20"/>
          <w:color w:val="auto"/>
        </w:rPr>
      </w:pPr>
    </w:p>
    <w:p>
      <w:pPr>
        <w:ind w:left="1100" w:hanging="551"/>
        <w:spacing w:after="0"/>
        <w:tabs>
          <w:tab w:leader="none" w:pos="1100" w:val="left"/>
        </w:tabs>
        <w:numPr>
          <w:ilvl w:val="0"/>
          <w:numId w:val="396"/>
        </w:numPr>
        <w:rPr>
          <w:rFonts w:ascii="Arial" w:cs="Arial" w:eastAsia="Arial" w:hAnsi="Arial"/>
          <w:sz w:val="15"/>
          <w:szCs w:val="15"/>
          <w:color w:val="auto"/>
        </w:rPr>
      </w:pPr>
      <w:r>
        <w:rPr>
          <w:rFonts w:ascii="Arial" w:cs="Arial" w:eastAsia="Arial" w:hAnsi="Arial"/>
          <w:sz w:val="15"/>
          <w:szCs w:val="15"/>
          <w:u w:val="single" w:color="auto"/>
          <w:color w:val="auto"/>
        </w:rPr>
        <w:t>Ownership and Assignment of Intellectual Property</w:t>
      </w:r>
      <w:r>
        <w:rPr>
          <w:rFonts w:ascii="Arial" w:cs="Arial" w:eastAsia="Arial" w:hAnsi="Arial"/>
          <w:sz w:val="15"/>
          <w:szCs w:val="15"/>
          <w:color w:val="auto"/>
        </w:rPr>
        <w:t>.</w:t>
      </w:r>
    </w:p>
    <w:p>
      <w:pPr>
        <w:sectPr>
          <w:pgSz w:w="11900" w:h="16855" w:orient="portrait"/>
          <w:cols w:equalWidth="0" w:num="1">
            <w:col w:w="11420"/>
          </w:cols>
          <w:pgMar w:left="240" w:top="314" w:right="239" w:bottom="0" w:gutter="0" w:footer="0" w:header="0"/>
        </w:sectPr>
      </w:pPr>
    </w:p>
    <w:bookmarkStart w:id="384" w:name="page385"/>
    <w:bookmarkEnd w:id="384"/>
    <w:p>
      <w:pPr>
        <w:spacing w:after="0" w:line="1" w:lineRule="exact"/>
        <w:rPr>
          <w:sz w:val="20"/>
          <w:szCs w:val="20"/>
          <w:color w:val="auto"/>
        </w:rPr>
      </w:pPr>
    </w:p>
    <w:p>
      <w:pPr>
        <w:ind w:right="60" w:firstLine="1104"/>
        <w:spacing w:after="0" w:line="302" w:lineRule="auto"/>
        <w:tabs>
          <w:tab w:leader="none" w:pos="1665" w:val="left"/>
        </w:tabs>
        <w:numPr>
          <w:ilvl w:val="0"/>
          <w:numId w:val="397"/>
        </w:numPr>
        <w:rPr>
          <w:rFonts w:ascii="Arial" w:cs="Arial" w:eastAsia="Arial" w:hAnsi="Arial"/>
          <w:sz w:val="14"/>
          <w:szCs w:val="14"/>
          <w:color w:val="auto"/>
        </w:rPr>
      </w:pPr>
      <w:r>
        <w:rPr>
          <w:rFonts w:ascii="Arial" w:cs="Arial" w:eastAsia="Arial" w:hAnsi="Arial"/>
          <w:sz w:val="14"/>
          <w:szCs w:val="14"/>
          <w:color w:val="auto"/>
        </w:rPr>
        <w:t>I agree that all originals and all copies of all manuscripts, drawings, prints, manuals, diagrams, letters, notes, notebooks, reports, models, records, files, memoranda, plans, sketches and all other documents and materials containing, representing, evidencing, recording, or constituting any Confidential Information (as defined in Section 2 above), however and whenever produced (whether by myself or others) during the course of my employment, shall be the sole property of the Company.</w:t>
      </w:r>
    </w:p>
    <w:p>
      <w:pPr>
        <w:spacing w:after="0" w:line="133" w:lineRule="exact"/>
        <w:rPr>
          <w:rFonts w:ascii="Arial" w:cs="Arial" w:eastAsia="Arial" w:hAnsi="Arial"/>
          <w:sz w:val="14"/>
          <w:szCs w:val="14"/>
          <w:color w:val="auto"/>
        </w:rPr>
      </w:pPr>
    </w:p>
    <w:p>
      <w:pPr>
        <w:ind w:right="600" w:firstLine="1104"/>
        <w:spacing w:after="0" w:line="289" w:lineRule="auto"/>
        <w:tabs>
          <w:tab w:leader="none" w:pos="1674" w:val="left"/>
        </w:tabs>
        <w:numPr>
          <w:ilvl w:val="0"/>
          <w:numId w:val="397"/>
        </w:numPr>
        <w:rPr>
          <w:rFonts w:ascii="Arial" w:cs="Arial" w:eastAsia="Arial" w:hAnsi="Arial"/>
          <w:sz w:val="15"/>
          <w:szCs w:val="15"/>
          <w:color w:val="auto"/>
        </w:rPr>
      </w:pPr>
      <w:r>
        <w:rPr>
          <w:rFonts w:ascii="Arial" w:cs="Arial" w:eastAsia="Arial" w:hAnsi="Arial"/>
          <w:sz w:val="15"/>
          <w:szCs w:val="15"/>
          <w:color w:val="auto"/>
        </w:rPr>
        <w:t>I agree that all Confidential Information and all other discoveries, inventions, ideas, concepts, trademarks, service marks, logos, processes, products, formulas, computer programs or software, source codes, object codes, algorithms, machines, apparatuses,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me, either alone or with others, and related to the business of the Company or to tasks assigned to me during the course of my employment, whether or not made during my regular working hours, whether or not conceived, developed, reduced to practice or made on the Company’s premises and whether or not disclosed by me to the Company (collectively “</w:t>
      </w:r>
      <w:r>
        <w:rPr>
          <w:rFonts w:ascii="Arial" w:cs="Arial" w:eastAsia="Arial" w:hAnsi="Arial"/>
          <w:sz w:val="15"/>
          <w:szCs w:val="15"/>
          <w:u w:val="single" w:color="auto"/>
          <w:color w:val="auto"/>
        </w:rPr>
        <w:t>Company Inventions</w:t>
      </w:r>
      <w:r>
        <w:rPr>
          <w:rFonts w:ascii="Arial" w:cs="Arial" w:eastAsia="Arial" w:hAnsi="Arial"/>
          <w:sz w:val="15"/>
          <w:szCs w:val="15"/>
          <w:color w:val="auto"/>
        </w:rPr>
        <w:t>”), and any and all services and products which embody, emulate or employ any such Company Invention or Confidential Information shall be the sole property of the Company and all copyrights, patents, patent rights, trademarks and reproduction rights to, and other proprietary rights in, each such Company Invention or Confidential Information, whether or not patentable or copyrightable, shall belong exclusively to the Company. For the avoidance of doubt, Confidential Information shall only include information that relates to the present or future business of the Company, and Company Inventions shall only include inventions that relate to the business of the Company or to tasks assigned to me during the course of my employment.</w:t>
      </w:r>
    </w:p>
    <w:p>
      <w:pPr>
        <w:spacing w:after="0" w:line="165" w:lineRule="exact"/>
        <w:rPr>
          <w:sz w:val="20"/>
          <w:szCs w:val="20"/>
          <w:color w:val="auto"/>
        </w:rPr>
      </w:pPr>
    </w:p>
    <w:p>
      <w:pPr>
        <w:ind w:right="100" w:firstLine="1104"/>
        <w:spacing w:after="0" w:line="264" w:lineRule="auto"/>
        <w:tabs>
          <w:tab w:leader="none" w:pos="1677" w:val="left"/>
        </w:tabs>
        <w:numPr>
          <w:ilvl w:val="1"/>
          <w:numId w:val="398"/>
        </w:numPr>
        <w:rPr>
          <w:rFonts w:ascii="Arial" w:cs="Arial" w:eastAsia="Arial" w:hAnsi="Arial"/>
          <w:sz w:val="15"/>
          <w:szCs w:val="15"/>
          <w:color w:val="auto"/>
        </w:rPr>
      </w:pPr>
      <w:r>
        <w:rPr>
          <w:rFonts w:ascii="Arial" w:cs="Arial" w:eastAsia="Arial" w:hAnsi="Arial"/>
          <w:sz w:val="15"/>
          <w:szCs w:val="15"/>
          <w:color w:val="auto"/>
        </w:rPr>
        <w:t>I agree to, and hereby do, assign to the Company all my right, title and interest throughout the world in and to all Company Inventions and to anything tangible which evidences, incorporates, constitutes, represents or records any Company Invention. I agree that all Company Inventions shall constitute works made for hire under the copyright laws of the United States and hereby assign and, to the extent any such assignment cannot be made at present, I hereby agree to assign to the Company all copyrights, patents and other proprietary rights I may have in any Company Inventions, together with the right to file for and/or own wholly without restriction United States and foreign patents, trademarks, and copyrights. I agree to waive, and hereby waive, all moral rights or proprietary rights in or to any Company Inventions and, to the extent that such rights may not be waived, agree not to assert such rights against the Company or its licensees, successors or assigns.</w:t>
      </w:r>
    </w:p>
    <w:p>
      <w:pPr>
        <w:spacing w:after="0" w:line="158" w:lineRule="exact"/>
        <w:rPr>
          <w:rFonts w:ascii="Arial" w:cs="Arial" w:eastAsia="Arial" w:hAnsi="Arial"/>
          <w:sz w:val="15"/>
          <w:szCs w:val="15"/>
          <w:color w:val="auto"/>
        </w:rPr>
      </w:pPr>
    </w:p>
    <w:p>
      <w:pPr>
        <w:ind w:right="80" w:firstLine="1104"/>
        <w:spacing w:after="0" w:line="273" w:lineRule="auto"/>
        <w:tabs>
          <w:tab w:leader="none" w:pos="1674" w:val="left"/>
        </w:tabs>
        <w:numPr>
          <w:ilvl w:val="1"/>
          <w:numId w:val="398"/>
        </w:numPr>
        <w:rPr>
          <w:rFonts w:ascii="Arial" w:cs="Arial" w:eastAsia="Arial" w:hAnsi="Arial"/>
          <w:sz w:val="15"/>
          <w:szCs w:val="15"/>
          <w:color w:val="auto"/>
        </w:rPr>
      </w:pPr>
      <w:r>
        <w:rPr>
          <w:rFonts w:ascii="Arial" w:cs="Arial" w:eastAsia="Arial" w:hAnsi="Arial"/>
          <w:sz w:val="15"/>
          <w:szCs w:val="15"/>
          <w:color w:val="auto"/>
        </w:rPr>
        <w:t xml:space="preserve">I hereby certify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sets forth any and all confidential information and intellectual property that I claim as my own or otherwise intend to exclude from this Agreement because it was developed by me prior to the date of this Agreement. I understand that after execution of this Agreement I shall have no right to exclude Confidential Information or Company Inventions from this Agreement.</w:t>
      </w:r>
    </w:p>
    <w:p>
      <w:pPr>
        <w:spacing w:after="0" w:line="152" w:lineRule="exact"/>
        <w:rPr>
          <w:rFonts w:ascii="Arial" w:cs="Arial" w:eastAsia="Arial" w:hAnsi="Arial"/>
          <w:sz w:val="15"/>
          <w:szCs w:val="15"/>
          <w:color w:val="auto"/>
        </w:rPr>
      </w:pPr>
    </w:p>
    <w:p>
      <w:pPr>
        <w:ind w:right="120" w:firstLine="549"/>
        <w:spacing w:after="0" w:line="273" w:lineRule="auto"/>
        <w:tabs>
          <w:tab w:leader="none" w:pos="1112" w:val="left"/>
        </w:tabs>
        <w:numPr>
          <w:ilvl w:val="0"/>
          <w:numId w:val="399"/>
        </w:numPr>
        <w:rPr>
          <w:rFonts w:ascii="Arial" w:cs="Arial" w:eastAsia="Arial" w:hAnsi="Arial"/>
          <w:sz w:val="15"/>
          <w:szCs w:val="15"/>
          <w:color w:val="auto"/>
        </w:rPr>
      </w:pPr>
      <w:r>
        <w:rPr>
          <w:rFonts w:ascii="Arial" w:cs="Arial" w:eastAsia="Arial" w:hAnsi="Arial"/>
          <w:sz w:val="15"/>
          <w:szCs w:val="15"/>
          <w:u w:val="single" w:color="auto"/>
          <w:color w:val="auto"/>
        </w:rPr>
        <w:t>Employee’s Obligation to Keep Records</w:t>
      </w:r>
      <w:r>
        <w:rPr>
          <w:rFonts w:ascii="Arial" w:cs="Arial" w:eastAsia="Arial" w:hAnsi="Arial"/>
          <w:sz w:val="15"/>
          <w:szCs w:val="15"/>
          <w:color w:val="auto"/>
        </w:rPr>
        <w:t>. I shall make and maintain adequate and current written records of all Company Inventions, including notebooks and invention disclosures, which records shall be available to and remain the property of the Company at all times. I shall disclose all Company Inventions promptly, fully and in writing to the Company immediately upon production or development of the same and at any time upon request.</w:t>
      </w:r>
    </w:p>
    <w:p>
      <w:pPr>
        <w:spacing w:after="0" w:line="152" w:lineRule="exact"/>
        <w:rPr>
          <w:rFonts w:ascii="Arial" w:cs="Arial" w:eastAsia="Arial" w:hAnsi="Arial"/>
          <w:sz w:val="15"/>
          <w:szCs w:val="15"/>
          <w:color w:val="auto"/>
        </w:rPr>
      </w:pPr>
    </w:p>
    <w:p>
      <w:pPr>
        <w:ind w:right="120" w:firstLine="549"/>
        <w:spacing w:after="0" w:line="273" w:lineRule="auto"/>
        <w:tabs>
          <w:tab w:leader="none" w:pos="1112" w:val="left"/>
        </w:tabs>
        <w:numPr>
          <w:ilvl w:val="0"/>
          <w:numId w:val="399"/>
        </w:numPr>
        <w:rPr>
          <w:rFonts w:ascii="Arial" w:cs="Arial" w:eastAsia="Arial" w:hAnsi="Arial"/>
          <w:sz w:val="15"/>
          <w:szCs w:val="15"/>
          <w:color w:val="auto"/>
        </w:rPr>
      </w:pPr>
      <w:r>
        <w:rPr>
          <w:rFonts w:ascii="Arial" w:cs="Arial" w:eastAsia="Arial" w:hAnsi="Arial"/>
          <w:sz w:val="15"/>
          <w:szCs w:val="15"/>
          <w:u w:val="single" w:color="auto"/>
          <w:color w:val="auto"/>
        </w:rPr>
        <w:t>Employee’s Obligation to Cooperate</w:t>
      </w:r>
      <w:r>
        <w:rPr>
          <w:rFonts w:ascii="Arial" w:cs="Arial" w:eastAsia="Arial" w:hAnsi="Arial"/>
          <w:sz w:val="15"/>
          <w:szCs w:val="15"/>
          <w:color w:val="auto"/>
        </w:rPr>
        <w:t>. I will, at any time during my employment, or after it terminates, upon request of the Company, execute all documents and perform all lawful acts which the Company considers necessary or advisable to secure its rights hereunder and to carry out the intent of this Agreement. Without limiting the generality of the foregoing, I will assist the Company in any reasonable manner to obtain for its own benefit patents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spacing w:after="0" w:line="289" w:lineRule="auto"/>
        <w:rPr>
          <w:sz w:val="20"/>
          <w:szCs w:val="20"/>
          <w:color w:val="auto"/>
        </w:rPr>
      </w:pPr>
      <w:r>
        <w:rPr>
          <w:rFonts w:ascii="Arial" w:cs="Arial" w:eastAsia="Arial" w:hAnsi="Arial"/>
          <w:sz w:val="14"/>
          <w:szCs w:val="14"/>
          <w:color w:val="auto"/>
        </w:rPr>
        <w:t>copyrights in any and all countries with respect to all Company Inventions assigned pursuant to Section 3, and I will execute, when requested, patent and other applications and assignments thereof to the Company, or persons designated by it, and any other lawful documents deemed necessary by the Company to carry out the purposes of this Agreement, and I will further assist the Company in every way to enforce any patents and copyrights obtained, including, without limitation, testifying in any suit or proceeding involving any of said patents or copyrights or executing any documents deemed necessary by the Company, all without further consideration than provided for herein. It is understood that reasonable out-of-pocket expenses of my assistance incurred at the request of the Company under this Section will be reimbursed by the Company.</w:t>
      </w:r>
    </w:p>
    <w:p>
      <w:pPr>
        <w:spacing w:after="0" w:line="143" w:lineRule="exact"/>
        <w:rPr>
          <w:sz w:val="20"/>
          <w:szCs w:val="20"/>
          <w:color w:val="auto"/>
        </w:rPr>
      </w:pPr>
    </w:p>
    <w:p>
      <w:pPr>
        <w:ind w:right="20" w:firstLine="549"/>
        <w:spacing w:after="0" w:line="265" w:lineRule="auto"/>
        <w:tabs>
          <w:tab w:leader="none" w:pos="1112" w:val="left"/>
        </w:tabs>
        <w:numPr>
          <w:ilvl w:val="0"/>
          <w:numId w:val="400"/>
        </w:numPr>
        <w:rPr>
          <w:rFonts w:ascii="Arial" w:cs="Arial" w:eastAsia="Arial" w:hAnsi="Arial"/>
          <w:sz w:val="15"/>
          <w:szCs w:val="15"/>
          <w:color w:val="auto"/>
        </w:rPr>
      </w:pPr>
      <w:r>
        <w:rPr>
          <w:rFonts w:ascii="Arial" w:cs="Arial" w:eastAsia="Arial" w:hAnsi="Arial"/>
          <w:sz w:val="15"/>
          <w:szCs w:val="15"/>
          <w:u w:val="single" w:color="auto"/>
          <w:color w:val="auto"/>
        </w:rPr>
        <w:t>Noncompetition and Non-solicitation</w:t>
      </w:r>
      <w:r>
        <w:rPr>
          <w:rFonts w:ascii="Arial" w:cs="Arial" w:eastAsia="Arial" w:hAnsi="Arial"/>
          <w:sz w:val="15"/>
          <w:szCs w:val="15"/>
          <w:color w:val="auto"/>
        </w:rPr>
        <w:t>. During my employment with the Company and for a period of 12 months after the termination of my employment with the Company for any reason, I shall not, without the Company’s prior written consent, on my own behalf, or as owner, manager, stockholder, consultant, director, officer, or employee of any business entity (except as a holder of not more than three (3%) percent of the stock of a publicly held company) participate in any capacity in any business activity that is in direct competition with any of the products or services being developed, marketed, distributed, planned, sold or otherwise provided by the Company or its affiliates at the time of, or during the 12 months preceding, my termination.</w:t>
      </w:r>
    </w:p>
    <w:p>
      <w:pPr>
        <w:spacing w:after="0" w:line="160" w:lineRule="exact"/>
        <w:rPr>
          <w:sz w:val="20"/>
          <w:szCs w:val="20"/>
          <w:color w:val="auto"/>
        </w:rPr>
      </w:pPr>
    </w:p>
    <w:p>
      <w:pPr>
        <w:ind w:right="140" w:firstLine="556"/>
        <w:spacing w:after="0" w:line="289" w:lineRule="auto"/>
        <w:rPr>
          <w:sz w:val="20"/>
          <w:szCs w:val="20"/>
          <w:color w:val="auto"/>
        </w:rPr>
      </w:pPr>
      <w:r>
        <w:rPr>
          <w:rFonts w:ascii="Arial" w:cs="Arial" w:eastAsia="Arial" w:hAnsi="Arial"/>
          <w:sz w:val="15"/>
          <w:szCs w:val="15"/>
          <w:color w:val="auto"/>
        </w:rPr>
        <w:t>During my employment with the Company and for a period of 12 months after the termination of my employment with the Company for any reason, I shall not solicit, induce or encourage any employee of the Company to terminate his or her employment with the Company.</w:t>
      </w:r>
    </w:p>
    <w:p>
      <w:pPr>
        <w:spacing w:after="0" w:line="141" w:lineRule="exact"/>
        <w:rPr>
          <w:sz w:val="20"/>
          <w:szCs w:val="20"/>
          <w:color w:val="auto"/>
        </w:rPr>
      </w:pPr>
    </w:p>
    <w:p>
      <w:pPr>
        <w:ind w:firstLine="549"/>
        <w:spacing w:after="0" w:line="261" w:lineRule="auto"/>
        <w:tabs>
          <w:tab w:leader="none" w:pos="1112" w:val="left"/>
        </w:tabs>
        <w:numPr>
          <w:ilvl w:val="0"/>
          <w:numId w:val="401"/>
        </w:numPr>
        <w:rPr>
          <w:rFonts w:ascii="Arial" w:cs="Arial" w:eastAsia="Arial" w:hAnsi="Arial"/>
          <w:sz w:val="15"/>
          <w:szCs w:val="15"/>
          <w:color w:val="auto"/>
        </w:rPr>
      </w:pPr>
      <w:r>
        <w:rPr>
          <w:rFonts w:ascii="Arial" w:cs="Arial" w:eastAsia="Arial" w:hAnsi="Arial"/>
          <w:sz w:val="15"/>
          <w:szCs w:val="15"/>
          <w:u w:val="single" w:color="auto"/>
          <w:color w:val="auto"/>
        </w:rPr>
        <w:t>Return of Property</w:t>
      </w:r>
      <w:r>
        <w:rPr>
          <w:rFonts w:ascii="Arial" w:cs="Arial" w:eastAsia="Arial" w:hAnsi="Arial"/>
          <w:sz w:val="15"/>
          <w:szCs w:val="15"/>
          <w:color w:val="auto"/>
        </w:rPr>
        <w:t>. Upon termination of my employment with the Company, or at any other time upon request of the Company, I shall cease using and return promptly any and all customer or prospective customer lists, other customer or prospective customer information or related materials, computer programs, software, electronic data, specifications, drawings, blueprints, data storage devices, reproductions, sketches, notes, notebooks, memoranda, reports, records, proposals, business plans, or copies of them, other documents or materials, tools, equipment, or other property belonging to the Company or its customers which I may then possess or have under my direct or indirect control. I further agree that upon termination of employment, I shall not take with me any documents or data in any form or of any description containing or pertaining to Confidential Information or Company Inventions, other than documents I have a right to retain under applicable law (with the understanding that my obligations under this Agreement continue to apply to any such retained documents). For purposes of clarity, using best efforts to completely remove (with the Company’s prior written permission) from any personal computer, laptop, smart phone, IPad, or any other electronic device, any Company Property that I have previously returned to the Company in accordance with this Section 7 satisfies my obligations under this section.</w:t>
      </w:r>
    </w:p>
    <w:p>
      <w:pPr>
        <w:spacing w:after="0" w:line="164" w:lineRule="exact"/>
        <w:rPr>
          <w:rFonts w:ascii="Arial" w:cs="Arial" w:eastAsia="Arial" w:hAnsi="Arial"/>
          <w:sz w:val="15"/>
          <w:szCs w:val="15"/>
          <w:color w:val="auto"/>
        </w:rPr>
      </w:pPr>
    </w:p>
    <w:p>
      <w:pPr>
        <w:ind w:right="300" w:firstLine="549"/>
        <w:spacing w:after="0" w:line="334" w:lineRule="auto"/>
        <w:tabs>
          <w:tab w:leader="none" w:pos="1112" w:val="left"/>
        </w:tabs>
        <w:numPr>
          <w:ilvl w:val="0"/>
          <w:numId w:val="401"/>
        </w:numPr>
        <w:rPr>
          <w:rFonts w:ascii="Arial" w:cs="Arial" w:eastAsia="Arial" w:hAnsi="Arial"/>
          <w:sz w:val="13"/>
          <w:szCs w:val="13"/>
          <w:color w:val="auto"/>
        </w:rPr>
      </w:pPr>
      <w:r>
        <w:rPr>
          <w:rFonts w:ascii="Arial" w:cs="Arial" w:eastAsia="Arial" w:hAnsi="Arial"/>
          <w:sz w:val="13"/>
          <w:szCs w:val="13"/>
          <w:u w:val="single" w:color="auto"/>
          <w:color w:val="auto"/>
        </w:rPr>
        <w:t>Other Obligations</w:t>
      </w:r>
      <w:r>
        <w:rPr>
          <w:rFonts w:ascii="Arial" w:cs="Arial" w:eastAsia="Arial" w:hAnsi="Arial"/>
          <w:sz w:val="13"/>
          <w:szCs w:val="13"/>
          <w:color w:val="auto"/>
        </w:rPr>
        <w:t>. I acknowledge that the Company from time to time may have agreements with other persons, including the government of the United States or other countries and agencies thereof, which impose obligations or restrictions on the Company regarding inventions made during the course of work thereunder or regarding the confidential nature of such work. I agree to be bound by all such obligations and restrictions and to take all action necessary to discharge the obligations of the Company thereunder.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hanging="551"/>
        <w:spacing w:after="0"/>
        <w:tabs>
          <w:tab w:leader="none" w:pos="1100" w:val="left"/>
        </w:tabs>
        <w:numPr>
          <w:ilvl w:val="0"/>
          <w:numId w:val="402"/>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firstLine="1104"/>
        <w:spacing w:after="0" w:line="273" w:lineRule="auto"/>
        <w:tabs>
          <w:tab w:leader="none" w:pos="1665" w:val="left"/>
        </w:tabs>
        <w:numPr>
          <w:ilvl w:val="1"/>
          <w:numId w:val="402"/>
        </w:numPr>
        <w:rPr>
          <w:rFonts w:ascii="Arial" w:cs="Arial" w:eastAsia="Arial" w:hAnsi="Arial"/>
          <w:sz w:val="15"/>
          <w:szCs w:val="15"/>
          <w:color w:val="auto"/>
        </w:rPr>
      </w:pPr>
      <w:r>
        <w:rPr>
          <w:rFonts w:ascii="Arial" w:cs="Arial" w:eastAsia="Arial" w:hAnsi="Arial"/>
          <w:sz w:val="15"/>
          <w:szCs w:val="15"/>
          <w:color w:val="auto"/>
        </w:rPr>
        <w:t>This Agreement contains the entire and only agreement between me and the Company with respect to the subject matter hereof, superseding any previous oral or written communications, representations, understandings, or agreements with the Company or any officer or representative hereof. In the event of any inconsistency between this Agreement and any other contract between me and the Company, the provisions of this Agreement shall prevail.</w:t>
      </w:r>
    </w:p>
    <w:p>
      <w:pPr>
        <w:spacing w:after="0" w:line="152" w:lineRule="exact"/>
        <w:rPr>
          <w:rFonts w:ascii="Arial" w:cs="Arial" w:eastAsia="Arial" w:hAnsi="Arial"/>
          <w:sz w:val="15"/>
          <w:szCs w:val="15"/>
          <w:color w:val="auto"/>
        </w:rPr>
      </w:pPr>
    </w:p>
    <w:p>
      <w:pPr>
        <w:ind w:right="80" w:firstLine="1104"/>
        <w:spacing w:after="0" w:line="268" w:lineRule="auto"/>
        <w:tabs>
          <w:tab w:leader="none" w:pos="1674" w:val="left"/>
        </w:tabs>
        <w:numPr>
          <w:ilvl w:val="1"/>
          <w:numId w:val="402"/>
        </w:numPr>
        <w:rPr>
          <w:rFonts w:ascii="Arial" w:cs="Arial" w:eastAsia="Arial" w:hAnsi="Arial"/>
          <w:sz w:val="15"/>
          <w:szCs w:val="15"/>
          <w:color w:val="auto"/>
        </w:rPr>
      </w:pPr>
      <w:r>
        <w:rPr>
          <w:rFonts w:ascii="Arial" w:cs="Arial" w:eastAsia="Arial" w:hAnsi="Arial"/>
          <w:sz w:val="15"/>
          <w:szCs w:val="15"/>
          <w:color w:val="auto"/>
        </w:rPr>
        <w:t>My obligations under Sections 2, 3, 5, 6 (for the periods set forth therein), 7, 8 and 9 of this Agreement shall survive the termination of my employment with the Company regardless of the manner of or reasons for such termination, and regardless of whether such termination constitutes a breach of any other agreement I may have with the Company. My obligations under this Agreement shall be binding upon my heirs, assigns, executors, administrators and representatives, and the provisions of this Agreement shall inure to the benefit of and be binding on the successors and assigns of the Company.</w:t>
      </w:r>
    </w:p>
    <w:p>
      <w:pPr>
        <w:sectPr>
          <w:pgSz w:w="11900" w:h="16839" w:orient="portrait"/>
          <w:cols w:equalWidth="0" w:num="1">
            <w:col w:w="11440"/>
          </w:cols>
          <w:pgMar w:left="240" w:top="314" w:right="219" w:bottom="0" w:gutter="0" w:footer="0" w:header="0"/>
        </w:sectPr>
      </w:pPr>
    </w:p>
    <w:bookmarkStart w:id="385" w:name="page386"/>
    <w:bookmarkEnd w:id="385"/>
    <w:p>
      <w:pPr>
        <w:ind w:right="40" w:firstLine="1104"/>
        <w:spacing w:after="0" w:line="264" w:lineRule="auto"/>
        <w:tabs>
          <w:tab w:leader="none" w:pos="1677" w:val="left"/>
        </w:tabs>
        <w:numPr>
          <w:ilvl w:val="0"/>
          <w:numId w:val="403"/>
        </w:numPr>
        <w:rPr>
          <w:rFonts w:ascii="Arial" w:cs="Arial" w:eastAsia="Arial" w:hAnsi="Arial"/>
          <w:sz w:val="15"/>
          <w:szCs w:val="15"/>
          <w:color w:val="auto"/>
        </w:rPr>
      </w:pPr>
      <w:r>
        <w:rPr>
          <w:rFonts w:ascii="Arial" w:cs="Arial" w:eastAsia="Arial" w:hAnsi="Arial"/>
          <w:sz w:val="15"/>
          <w:szCs w:val="15"/>
          <w:color w:val="auto"/>
        </w:rPr>
        <w:t>If any provision of this Agreement shall be determined to be unenforceable by any court of competent jurisdiction by reason of its extending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immediately preceding sentence, any provision of this Agreement shall be determined to be invalid, illegal or otherwise unenforceable by any court of competent jurisdiction, the validity, legality and enforceability of the other provisions of this Agreement shall not be affected thereby. Except as otherwise provided in this paragraph, any invalid, illegal or unenforceable provision of this Agreement shall be severable, and after any such severance, all other provisions hereof shall remain in full force and effect.</w:t>
      </w:r>
    </w:p>
    <w:p>
      <w:pPr>
        <w:spacing w:after="0" w:line="158" w:lineRule="exact"/>
        <w:rPr>
          <w:rFonts w:ascii="Arial" w:cs="Arial" w:eastAsia="Arial" w:hAnsi="Arial"/>
          <w:sz w:val="15"/>
          <w:szCs w:val="15"/>
          <w:color w:val="auto"/>
        </w:rPr>
      </w:pPr>
    </w:p>
    <w:p>
      <w:pPr>
        <w:ind w:right="100" w:firstLine="1104"/>
        <w:spacing w:after="0" w:line="268" w:lineRule="auto"/>
        <w:tabs>
          <w:tab w:leader="none" w:pos="1674" w:val="left"/>
        </w:tabs>
        <w:numPr>
          <w:ilvl w:val="0"/>
          <w:numId w:val="403"/>
        </w:numPr>
        <w:rPr>
          <w:rFonts w:ascii="Arial" w:cs="Arial" w:eastAsia="Arial" w:hAnsi="Arial"/>
          <w:sz w:val="15"/>
          <w:szCs w:val="15"/>
          <w:color w:val="auto"/>
        </w:rPr>
      </w:pPr>
      <w:r>
        <w:rPr>
          <w:rFonts w:ascii="Arial" w:cs="Arial" w:eastAsia="Arial" w:hAnsi="Arial"/>
          <w:sz w:val="15"/>
          <w:szCs w:val="15"/>
          <w:color w:val="auto"/>
        </w:rPr>
        <w:t>I acknowledge and agree that violation of this Agreement by me would cause irreparable harm to the Company not adequately compensable by money damages alone, and I therefore agree that, in addition to all other remedies available to the Company at law, in equity or otherwise, the Company shall be entitled to injunctive relief to prevent an actual or threatened violation of this Agreement and to enforce the provisions hereof, without showing or proving any actual damage to the Company or posting any bond in connection therewith.</w:t>
      </w:r>
    </w:p>
    <w:p>
      <w:pPr>
        <w:spacing w:after="0" w:line="156" w:lineRule="exact"/>
        <w:rPr>
          <w:rFonts w:ascii="Arial" w:cs="Arial" w:eastAsia="Arial" w:hAnsi="Arial"/>
          <w:sz w:val="15"/>
          <w:szCs w:val="15"/>
          <w:color w:val="auto"/>
        </w:rPr>
      </w:pPr>
    </w:p>
    <w:p>
      <w:pPr>
        <w:jc w:val="both"/>
        <w:ind w:right="60" w:firstLine="1104"/>
        <w:spacing w:after="0" w:line="273" w:lineRule="auto"/>
        <w:tabs>
          <w:tab w:leader="none" w:pos="1677" w:val="left"/>
        </w:tabs>
        <w:numPr>
          <w:ilvl w:val="0"/>
          <w:numId w:val="403"/>
        </w:numPr>
        <w:rPr>
          <w:rFonts w:ascii="Arial" w:cs="Arial" w:eastAsia="Arial" w:hAnsi="Arial"/>
          <w:sz w:val="15"/>
          <w:szCs w:val="15"/>
          <w:color w:val="auto"/>
        </w:rPr>
      </w:pPr>
      <w:r>
        <w:rPr>
          <w:rFonts w:ascii="Arial" w:cs="Arial" w:eastAsia="Arial" w:hAnsi="Arial"/>
          <w:sz w:val="15"/>
          <w:szCs w:val="15"/>
          <w:color w:val="auto"/>
        </w:rPr>
        <w:t>No failure by the Company to insist upon strict compliance with any of the terms, covenants, or conditions hereof, and no delay or omission by the Company in exercising any right under this Agreement, will operate as a waiver of such terms, covenants, conditions or rights. A waiver or consent given by the Company on any one occasion is effective only in that instance and will not be construed as a bar to or waiver of any right on any other occasion.</w:t>
      </w:r>
    </w:p>
    <w:p>
      <w:pPr>
        <w:spacing w:after="0" w:line="152" w:lineRule="exact"/>
        <w:rPr>
          <w:rFonts w:ascii="Arial" w:cs="Arial" w:eastAsia="Arial" w:hAnsi="Arial"/>
          <w:sz w:val="15"/>
          <w:szCs w:val="15"/>
          <w:color w:val="auto"/>
        </w:rPr>
      </w:pPr>
    </w:p>
    <w:p>
      <w:pPr>
        <w:ind w:right="420" w:firstLine="1104"/>
        <w:spacing w:after="0" w:line="289" w:lineRule="auto"/>
        <w:tabs>
          <w:tab w:leader="none" w:pos="1671" w:val="left"/>
        </w:tabs>
        <w:numPr>
          <w:ilvl w:val="0"/>
          <w:numId w:val="403"/>
        </w:numPr>
        <w:rPr>
          <w:rFonts w:ascii="Arial" w:cs="Arial" w:eastAsia="Arial" w:hAnsi="Arial"/>
          <w:sz w:val="15"/>
          <w:szCs w:val="15"/>
          <w:color w:val="auto"/>
        </w:rPr>
      </w:pPr>
      <w:r>
        <w:rPr>
          <w:rFonts w:ascii="Arial" w:cs="Arial" w:eastAsia="Arial" w:hAnsi="Arial"/>
          <w:sz w:val="15"/>
          <w:szCs w:val="15"/>
          <w:color w:val="auto"/>
        </w:rPr>
        <w:t>This Agreement may not be changed, modified, released, discharged, abandoned, or otherwise amended, in whole or in part, except by an instrument in writing signed by me and the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0" w:firstLine="1104"/>
        <w:spacing w:after="0" w:line="289" w:lineRule="auto"/>
        <w:tabs>
          <w:tab w:leader="none" w:pos="1686" w:val="left"/>
        </w:tabs>
        <w:numPr>
          <w:ilvl w:val="0"/>
          <w:numId w:val="404"/>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and enforced in accordance with, the laws of The Commonwealth of Massachusetts, without regard to its principles of conflicts of laws. This Agreement is executed under seal.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640"/>
        <w:spacing w:after="0" w:line="273" w:lineRule="auto"/>
        <w:rPr>
          <w:sz w:val="20"/>
          <w:szCs w:val="20"/>
          <w:color w:val="auto"/>
        </w:rPr>
      </w:pPr>
      <w:r>
        <w:rPr>
          <w:rFonts w:ascii="Arial" w:cs="Arial" w:eastAsia="Arial" w:hAnsi="Arial"/>
          <w:sz w:val="15"/>
          <w:szCs w:val="15"/>
          <w:color w:val="auto"/>
        </w:rPr>
        <w:t>BY PLACING MY SIGNATURE HEREUNDER, I ACKNOWLEDGE THAT I HAVE HAD THE OPPORTUNITY TO SEEK THE ADVICE OF INDEPENDENT LEGAL COUNSEL AND I HAVE READ ALL THE PROVISIONS OF THIS EMPLOYEE NONDISCLOSURE, NONCOMPETITION AND ASSIGNMENT OF INTELLECTUAL PROPERTY AGREEMENT AND THAT I AGREE TO ALL OF ITS TERMS.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Effective Date: June 2, 2016</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EMPLOYEE:</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Takashi Kei Kishimoto</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167"/>
        </w:trPr>
        <w:tc>
          <w:tcPr>
            <w:tcW w:w="76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Signature</w:t>
            </w:r>
          </w:p>
        </w:tc>
        <w:tc>
          <w:tcPr>
            <w:tcW w:w="4960" w:type="dxa"/>
            <w:vAlign w:val="bottom"/>
            <w:tcBorders>
              <w:top w:val="single" w:sz="8" w:color="auto"/>
            </w:tcBorders>
          </w:tcPr>
          <w:p>
            <w:pPr>
              <w:spacing w:after="0"/>
              <w:rPr>
                <w:sz w:val="14"/>
                <w:szCs w:val="14"/>
                <w:color w:val="auto"/>
              </w:rPr>
            </w:pP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Name:</w:t>
            </w:r>
          </w:p>
        </w:tc>
        <w:tc>
          <w:tcPr>
            <w:tcW w:w="4960" w:type="dxa"/>
            <w:vAlign w:val="bottom"/>
          </w:tcPr>
          <w:p>
            <w:pPr>
              <w:ind w:left="160"/>
              <w:spacing w:after="0"/>
              <w:rPr>
                <w:sz w:val="20"/>
                <w:szCs w:val="20"/>
                <w:color w:val="auto"/>
              </w:rPr>
            </w:pPr>
            <w:r>
              <w:rPr>
                <w:rFonts w:ascii="Arial" w:cs="Arial" w:eastAsia="Arial" w:hAnsi="Arial"/>
                <w:sz w:val="15"/>
                <w:szCs w:val="15"/>
                <w:color w:val="auto"/>
              </w:rPr>
              <w:t>Takashi Kei Kishimoto</w:t>
            </w:r>
          </w:p>
        </w:tc>
      </w:tr>
      <w:tr>
        <w:trPr>
          <w:trHeight w:val="371"/>
        </w:trPr>
        <w:tc>
          <w:tcPr>
            <w:tcW w:w="760" w:type="dxa"/>
            <w:vAlign w:val="bottom"/>
          </w:tcPr>
          <w:p>
            <w:pPr>
              <w:spacing w:after="0"/>
              <w:rPr>
                <w:sz w:val="20"/>
                <w:szCs w:val="20"/>
                <w:color w:val="auto"/>
              </w:rPr>
            </w:pPr>
            <w:r>
              <w:rPr>
                <w:rFonts w:ascii="Arial" w:cs="Arial" w:eastAsia="Arial" w:hAnsi="Arial"/>
                <w:sz w:val="15"/>
                <w:szCs w:val="15"/>
                <w:color w:val="auto"/>
              </w:rPr>
              <w:t>Address:</w:t>
            </w:r>
          </w:p>
        </w:tc>
        <w:tc>
          <w:tcPr>
            <w:tcW w:w="4960" w:type="dxa"/>
            <w:vAlign w:val="bottom"/>
          </w:tcPr>
          <w:p>
            <w:pPr>
              <w:ind w:left="160"/>
              <w:spacing w:after="0"/>
              <w:rPr>
                <w:sz w:val="20"/>
                <w:szCs w:val="20"/>
                <w:color w:val="auto"/>
              </w:rPr>
            </w:pPr>
            <w:r>
              <w:rPr>
                <w:rFonts w:ascii="Arial" w:cs="Arial" w:eastAsia="Arial" w:hAnsi="Arial"/>
                <w:sz w:val="15"/>
                <w:szCs w:val="15"/>
                <w:color w:val="auto"/>
              </w:rPr>
              <w:t>[***]</w:t>
            </w:r>
          </w:p>
        </w:tc>
      </w:tr>
    </w:tbl>
    <w:p>
      <w:pPr>
        <w:spacing w:after="0" w:line="36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Accepted and Agreed:</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-108585</wp:posOffset>
            </wp:positionV>
            <wp:extent cx="3279775" cy="762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327977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Excluded Confidential Information and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Indemnification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386" w:name="page387"/>
    <w:bookmarkEnd w:id="386"/>
    <w:p>
      <w:pPr>
        <w:jc w:val="right"/>
        <w:spacing w:after="0"/>
        <w:rPr>
          <w:sz w:val="20"/>
          <w:szCs w:val="20"/>
          <w:color w:val="auto"/>
        </w:rPr>
      </w:pPr>
      <w:r>
        <w:rPr>
          <w:rFonts w:ascii="Arial" w:cs="Arial" w:eastAsia="Arial" w:hAnsi="Arial"/>
          <w:sz w:val="15"/>
          <w:szCs w:val="15"/>
          <w:b w:val="1"/>
          <w:bCs w:val="1"/>
          <w:color w:val="auto"/>
        </w:rPr>
        <w:t>Exhibit 10.19</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Employment Agreement</w:t>
      </w:r>
    </w:p>
    <w:p>
      <w:pPr>
        <w:spacing w:after="0" w:line="204" w:lineRule="exact"/>
        <w:rPr>
          <w:sz w:val="20"/>
          <w:szCs w:val="20"/>
          <w:color w:val="auto"/>
        </w:rPr>
      </w:pPr>
    </w:p>
    <w:p>
      <w:pPr>
        <w:ind w:left="7" w:right="440" w:firstLine="556"/>
        <w:spacing w:after="0" w:line="327" w:lineRule="auto"/>
        <w:rPr>
          <w:sz w:val="20"/>
          <w:szCs w:val="20"/>
          <w:color w:val="auto"/>
        </w:rPr>
      </w:pPr>
      <w:r>
        <w:rPr>
          <w:rFonts w:ascii="Arial" w:cs="Arial" w:eastAsia="Arial" w:hAnsi="Arial"/>
          <w:sz w:val="14"/>
          <w:szCs w:val="14"/>
          <w:color w:val="auto"/>
        </w:rPr>
        <w:t>This Employment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June 6, 2016, is made by and between Selecta Biosciences, Inc., a Delaware corporation (together with any successor thereto, the “</w:t>
      </w:r>
      <w:r>
        <w:rPr>
          <w:rFonts w:ascii="Arial" w:cs="Arial" w:eastAsia="Arial" w:hAnsi="Arial"/>
          <w:sz w:val="14"/>
          <w:szCs w:val="14"/>
          <w:u w:val="single" w:color="auto"/>
          <w:color w:val="auto"/>
        </w:rPr>
        <w:t>Company</w:t>
      </w:r>
      <w:r>
        <w:rPr>
          <w:rFonts w:ascii="Arial" w:cs="Arial" w:eastAsia="Arial" w:hAnsi="Arial"/>
          <w:sz w:val="14"/>
          <w:szCs w:val="14"/>
          <w:color w:val="auto"/>
        </w:rPr>
        <w:t>”), and Peter Keller, M.Sci. (“</w:t>
      </w:r>
      <w:r>
        <w:rPr>
          <w:rFonts w:ascii="Arial" w:cs="Arial" w:eastAsia="Arial" w:hAnsi="Arial"/>
          <w:sz w:val="14"/>
          <w:szCs w:val="14"/>
          <w:u w:val="single" w:color="auto"/>
          <w:color w:val="auto"/>
        </w:rPr>
        <w:t>Executive</w:t>
      </w:r>
      <w:r>
        <w:rPr>
          <w:rFonts w:ascii="Arial" w:cs="Arial" w:eastAsia="Arial" w:hAnsi="Arial"/>
          <w:sz w:val="14"/>
          <w:szCs w:val="14"/>
          <w:color w:val="auto"/>
        </w:rPr>
        <w:t>”) (collectively referred to as the “</w:t>
      </w:r>
      <w:r>
        <w:rPr>
          <w:rFonts w:ascii="Arial" w:cs="Arial" w:eastAsia="Arial" w:hAnsi="Arial"/>
          <w:sz w:val="14"/>
          <w:szCs w:val="14"/>
          <w:u w:val="single" w:color="auto"/>
          <w:color w:val="auto"/>
        </w:rPr>
        <w:t>Parties</w:t>
      </w:r>
      <w:r>
        <w:rPr>
          <w:rFonts w:ascii="Arial" w:cs="Arial" w:eastAsia="Arial" w:hAnsi="Arial"/>
          <w:sz w:val="14"/>
          <w:szCs w:val="14"/>
          <w:color w:val="auto"/>
        </w:rPr>
        <w:t>” or individually referred to as a “</w:t>
      </w:r>
      <w:r>
        <w:rPr>
          <w:rFonts w:ascii="Arial" w:cs="Arial" w:eastAsia="Arial" w:hAnsi="Arial"/>
          <w:sz w:val="14"/>
          <w:szCs w:val="14"/>
          <w:u w:val="single" w:color="auto"/>
          <w:color w:val="auto"/>
        </w:rPr>
        <w:t>Party</w:t>
      </w:r>
      <w:r>
        <w:rPr>
          <w:rFonts w:ascii="Arial" w:cs="Arial" w:eastAsia="Arial" w:hAnsi="Arial"/>
          <w:sz w:val="14"/>
          <w:szCs w:val="14"/>
          <w:color w:val="auto"/>
        </w:rPr>
        <w:t>”).</w:t>
      </w:r>
    </w:p>
    <w:p>
      <w:pPr>
        <w:spacing w:after="0" w:line="11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RECITALS</w:t>
      </w:r>
    </w:p>
    <w:p>
      <w:pPr>
        <w:spacing w:after="0" w:line="204" w:lineRule="exact"/>
        <w:rPr>
          <w:sz w:val="20"/>
          <w:szCs w:val="20"/>
          <w:color w:val="auto"/>
        </w:rPr>
      </w:pPr>
    </w:p>
    <w:p>
      <w:pPr>
        <w:ind w:left="567" w:hanging="567"/>
        <w:spacing w:after="0"/>
        <w:tabs>
          <w:tab w:leader="none" w:pos="567" w:val="left"/>
        </w:tabs>
        <w:numPr>
          <w:ilvl w:val="0"/>
          <w:numId w:val="405"/>
        </w:numPr>
        <w:rPr>
          <w:rFonts w:ascii="Arial" w:cs="Arial" w:eastAsia="Arial" w:hAnsi="Arial"/>
          <w:sz w:val="14"/>
          <w:szCs w:val="14"/>
          <w:color w:val="auto"/>
        </w:rPr>
      </w:pPr>
      <w:r>
        <w:rPr>
          <w:rFonts w:ascii="Arial" w:cs="Arial" w:eastAsia="Arial" w:hAnsi="Arial"/>
          <w:sz w:val="14"/>
          <w:szCs w:val="14"/>
          <w:color w:val="auto"/>
        </w:rPr>
        <w:t>It is the desire of the Company to assure itself of the services of Executive following the Effective Date (as defined below) and thereafter by entering into this Agreement.</w:t>
      </w:r>
    </w:p>
    <w:p>
      <w:pPr>
        <w:spacing w:after="0" w:line="209" w:lineRule="exact"/>
        <w:rPr>
          <w:rFonts w:ascii="Arial" w:cs="Arial" w:eastAsia="Arial" w:hAnsi="Arial"/>
          <w:sz w:val="14"/>
          <w:szCs w:val="14"/>
          <w:color w:val="auto"/>
        </w:rPr>
      </w:pPr>
    </w:p>
    <w:p>
      <w:pPr>
        <w:ind w:left="567" w:hanging="567"/>
        <w:spacing w:after="0"/>
        <w:tabs>
          <w:tab w:leader="none" w:pos="567" w:val="left"/>
        </w:tabs>
        <w:numPr>
          <w:ilvl w:val="0"/>
          <w:numId w:val="405"/>
        </w:numPr>
        <w:rPr>
          <w:rFonts w:ascii="Arial" w:cs="Arial" w:eastAsia="Arial" w:hAnsi="Arial"/>
          <w:sz w:val="15"/>
          <w:szCs w:val="15"/>
          <w:color w:val="auto"/>
        </w:rPr>
      </w:pPr>
      <w:r>
        <w:rPr>
          <w:rFonts w:ascii="Arial" w:cs="Arial" w:eastAsia="Arial" w:hAnsi="Arial"/>
          <w:sz w:val="15"/>
          <w:szCs w:val="15"/>
          <w:color w:val="auto"/>
        </w:rPr>
        <w:t>Executive and the Company mutually desire that Executive provide services to the Company on the terms herein provided.</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AGREEMENT</w:t>
      </w:r>
    </w:p>
    <w:p>
      <w:pPr>
        <w:spacing w:after="0" w:line="204" w:lineRule="exact"/>
        <w:rPr>
          <w:sz w:val="20"/>
          <w:szCs w:val="20"/>
          <w:color w:val="auto"/>
        </w:rPr>
      </w:pPr>
    </w:p>
    <w:p>
      <w:pPr>
        <w:ind w:left="547"/>
        <w:spacing w:after="0"/>
        <w:rPr>
          <w:sz w:val="20"/>
          <w:szCs w:val="20"/>
          <w:color w:val="auto"/>
        </w:rPr>
      </w:pPr>
      <w:r>
        <w:rPr>
          <w:rFonts w:ascii="Arial" w:cs="Arial" w:eastAsia="Arial" w:hAnsi="Arial"/>
          <w:sz w:val="15"/>
          <w:szCs w:val="15"/>
          <w:color w:val="auto"/>
        </w:rPr>
        <w:t>NOW, THEREFORE, in consideration of the foregoing and of the respective covenants and agreements set forth below, the Parties hereto agree as follows:</w:t>
      </w:r>
    </w:p>
    <w:p>
      <w:pPr>
        <w:spacing w:after="0" w:line="192" w:lineRule="exact"/>
        <w:rPr>
          <w:sz w:val="20"/>
          <w:szCs w:val="20"/>
          <w:color w:val="auto"/>
        </w:rPr>
      </w:pPr>
    </w:p>
    <w:p>
      <w:pPr>
        <w:ind w:left="547" w:hanging="547"/>
        <w:spacing w:after="0"/>
        <w:tabs>
          <w:tab w:leader="none" w:pos="547" w:val="left"/>
        </w:tabs>
        <w:numPr>
          <w:ilvl w:val="0"/>
          <w:numId w:val="40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Employment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60" w:firstLine="549"/>
        <w:spacing w:after="0" w:line="273" w:lineRule="auto"/>
        <w:tabs>
          <w:tab w:leader="none" w:pos="1117" w:val="left"/>
        </w:tabs>
        <w:numPr>
          <w:ilvl w:val="1"/>
          <w:numId w:val="406"/>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Effective on the closing of the Company’s initial public offering of stock pursuant to an effective registration statement filed under the Securities Act of 1933, as amended (the “</w:t>
      </w:r>
      <w:r>
        <w:rPr>
          <w:rFonts w:ascii="Arial" w:cs="Arial" w:eastAsia="Arial" w:hAnsi="Arial"/>
          <w:sz w:val="15"/>
          <w:szCs w:val="15"/>
          <w:u w:val="single" w:color="auto"/>
          <w:color w:val="auto"/>
        </w:rPr>
        <w:t>Effective Date</w:t>
      </w:r>
      <w:r>
        <w:rPr>
          <w:rFonts w:ascii="Arial" w:cs="Arial" w:eastAsia="Arial" w:hAnsi="Arial"/>
          <w:sz w:val="15"/>
          <w:szCs w:val="15"/>
          <w:color w:val="auto"/>
        </w:rPr>
        <w:t xml:space="preserve">”), the Company shall employ Executive and Executive shall remain in the employ of the Company, for the period and in the positions set forth in this </w:t>
      </w:r>
      <w:r>
        <w:rPr>
          <w:rFonts w:ascii="Arial" w:cs="Arial" w:eastAsia="Arial" w:hAnsi="Arial"/>
          <w:sz w:val="15"/>
          <w:szCs w:val="15"/>
          <w:u w:val="single" w:color="auto"/>
          <w:color w:val="auto"/>
        </w:rPr>
        <w:t>Section 1</w:t>
      </w:r>
      <w:r>
        <w:rPr>
          <w:rFonts w:ascii="Arial" w:cs="Arial" w:eastAsia="Arial" w:hAnsi="Arial"/>
          <w:sz w:val="15"/>
          <w:szCs w:val="15"/>
          <w:color w:val="auto"/>
        </w:rPr>
        <w:t>, and subject to the other terms and conditions herein provided.</w:t>
      </w:r>
    </w:p>
    <w:p>
      <w:pPr>
        <w:spacing w:after="0" w:line="152" w:lineRule="exact"/>
        <w:rPr>
          <w:rFonts w:ascii="Arial" w:cs="Arial" w:eastAsia="Arial" w:hAnsi="Arial"/>
          <w:sz w:val="15"/>
          <w:szCs w:val="15"/>
          <w:color w:val="auto"/>
        </w:rPr>
      </w:pPr>
    </w:p>
    <w:p>
      <w:pPr>
        <w:ind w:left="7" w:firstLine="549"/>
        <w:spacing w:after="0" w:line="264" w:lineRule="auto"/>
        <w:tabs>
          <w:tab w:leader="none" w:pos="1125" w:val="left"/>
        </w:tabs>
        <w:numPr>
          <w:ilvl w:val="1"/>
          <w:numId w:val="406"/>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5"/>
          <w:szCs w:val="15"/>
          <w:u w:val="single" w:color="auto"/>
          <w:color w:val="auto"/>
        </w:rPr>
        <w:t>Section 3(b)</w:t>
      </w:r>
      <w:r>
        <w:rPr>
          <w:rFonts w:ascii="Arial" w:cs="Arial" w:eastAsia="Arial" w:hAnsi="Arial"/>
          <w:sz w:val="15"/>
          <w:szCs w:val="15"/>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5"/>
          <w:szCs w:val="15"/>
          <w:u w:val="single" w:color="auto"/>
          <w:color w:val="auto"/>
        </w:rPr>
        <w:t>Term</w:t>
      </w:r>
      <w:r>
        <w:rPr>
          <w:rFonts w:ascii="Arial" w:cs="Arial" w:eastAsia="Arial" w:hAnsi="Arial"/>
          <w:sz w:val="15"/>
          <w:szCs w:val="15"/>
          <w:color w:val="auto"/>
        </w:rPr>
        <w:t xml:space="preserve">”) shall commence on the Effective Date and end on the date this Agreement is terminated under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left="7" w:right="140" w:firstLine="549"/>
        <w:spacing w:after="0" w:line="263" w:lineRule="auto"/>
        <w:tabs>
          <w:tab w:leader="none" w:pos="1128" w:val="left"/>
        </w:tabs>
        <w:numPr>
          <w:ilvl w:val="1"/>
          <w:numId w:val="406"/>
        </w:numPr>
        <w:rPr>
          <w:rFonts w:ascii="Arial" w:cs="Arial" w:eastAsia="Arial" w:hAnsi="Arial"/>
          <w:sz w:val="15"/>
          <w:szCs w:val="15"/>
          <w:color w:val="auto"/>
        </w:rPr>
      </w:pPr>
      <w:r>
        <w:rPr>
          <w:rFonts w:ascii="Arial" w:cs="Arial" w:eastAsia="Arial" w:hAnsi="Arial"/>
          <w:sz w:val="15"/>
          <w:szCs w:val="15"/>
          <w:u w:val="single" w:color="auto"/>
          <w:color w:val="auto"/>
        </w:rPr>
        <w:t>Positions and Duties</w:t>
      </w:r>
      <w:r>
        <w:rPr>
          <w:rFonts w:ascii="Arial" w:cs="Arial" w:eastAsia="Arial" w:hAnsi="Arial"/>
          <w:sz w:val="15"/>
          <w:szCs w:val="15"/>
          <w:color w:val="auto"/>
        </w:rPr>
        <w:t>. Executive shall serve as Chief Business Officer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or as a consultant to VIB)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Arial" w:cs="Arial" w:eastAsia="Arial" w:hAnsi="Arial"/>
          <w:sz w:val="15"/>
          <w:szCs w:val="15"/>
          <w:u w:val="single" w:color="auto"/>
          <w:color w:val="auto"/>
        </w:rPr>
        <w:t>Restrictive Covenant Agreement</w:t>
      </w:r>
      <w:r>
        <w:rPr>
          <w:rFonts w:ascii="Arial" w:cs="Arial" w:eastAsia="Arial" w:hAnsi="Arial"/>
          <w:sz w:val="15"/>
          <w:szCs w:val="15"/>
          <w:color w:val="auto"/>
        </w:rPr>
        <w:t>”). The parties acknowledge that, except as would materially interfere with the performance of Executive’s duties and responsibilities under this Agreement or as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7285990" cy="2730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 w:right="180"/>
        <w:spacing w:after="0" w:line="273" w:lineRule="auto"/>
        <w:rPr>
          <w:sz w:val="20"/>
          <w:szCs w:val="20"/>
          <w:color w:val="auto"/>
        </w:rPr>
      </w:pPr>
      <w:r>
        <w:rPr>
          <w:rFonts w:ascii="Arial" w:cs="Arial" w:eastAsia="Arial" w:hAnsi="Arial"/>
          <w:sz w:val="15"/>
          <w:szCs w:val="15"/>
          <w:color w:val="auto"/>
        </w:rPr>
        <w:t>reasonably be expected to result in significant adverse tax or other legal consequences for the Company, Executive will be permitted from time to time to perform his duties and responsibilities under this Agreement remotely.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15"/>
          <w:szCs w:val="15"/>
          <w:u w:val="single" w:color="auto"/>
          <w:color w:val="auto"/>
        </w:rPr>
        <w:t>Policy</w:t>
      </w:r>
      <w:r>
        <w:rPr>
          <w:rFonts w:ascii="Arial" w:cs="Arial" w:eastAsia="Arial" w:hAnsi="Arial"/>
          <w:sz w:val="15"/>
          <w:szCs w:val="15"/>
          <w:color w:val="auto"/>
        </w:rPr>
        <w:t>”).</w:t>
      </w:r>
    </w:p>
    <w:p>
      <w:pPr>
        <w:spacing w:after="0" w:line="147" w:lineRule="exact"/>
        <w:rPr>
          <w:sz w:val="20"/>
          <w:szCs w:val="20"/>
          <w:color w:val="auto"/>
        </w:rPr>
      </w:pPr>
    </w:p>
    <w:p>
      <w:pPr>
        <w:ind w:left="547" w:hanging="547"/>
        <w:spacing w:after="0"/>
        <w:tabs>
          <w:tab w:leader="none" w:pos="547" w:val="left"/>
        </w:tabs>
        <w:numPr>
          <w:ilvl w:val="0"/>
          <w:numId w:val="40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Compensation and Related Matters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jc w:val="both"/>
        <w:ind w:left="7" w:right="20" w:firstLine="549"/>
        <w:spacing w:after="0" w:line="268" w:lineRule="auto"/>
        <w:tabs>
          <w:tab w:leader="none" w:pos="1117" w:val="left"/>
        </w:tabs>
        <w:numPr>
          <w:ilvl w:val="1"/>
          <w:numId w:val="407"/>
        </w:numPr>
        <w:rPr>
          <w:rFonts w:ascii="Arial" w:cs="Arial" w:eastAsia="Arial" w:hAnsi="Arial"/>
          <w:sz w:val="15"/>
          <w:szCs w:val="15"/>
          <w:color w:val="auto"/>
        </w:rPr>
      </w:pPr>
      <w:r>
        <w:rPr>
          <w:rFonts w:ascii="Arial" w:cs="Arial" w:eastAsia="Arial" w:hAnsi="Arial"/>
          <w:sz w:val="15"/>
          <w:szCs w:val="15"/>
          <w:u w:val="single" w:color="auto"/>
          <w:color w:val="auto"/>
        </w:rPr>
        <w:t>Annual Base Salary</w:t>
      </w:r>
      <w:r>
        <w:rPr>
          <w:rFonts w:ascii="Arial" w:cs="Arial" w:eastAsia="Arial" w:hAnsi="Arial"/>
          <w:sz w:val="15"/>
          <w:szCs w:val="15"/>
          <w:color w:val="auto"/>
        </w:rPr>
        <w:t>. During the Term, Executive shall receive a base salary at a rate of $290,000 per annum, which shall be paid in accordance with the customary payroll practices of the Company and shall be pro-rated for partial years of employment. Such annual base salary shall be reviewed (and may be increased) from time to time by the Board of Directors of the Company or an authorized committee of the Board (in either case, the “</w:t>
      </w:r>
      <w:r>
        <w:rPr>
          <w:rFonts w:ascii="Arial" w:cs="Arial" w:eastAsia="Arial" w:hAnsi="Arial"/>
          <w:sz w:val="15"/>
          <w:szCs w:val="15"/>
          <w:u w:val="single" w:color="auto"/>
          <w:color w:val="auto"/>
        </w:rPr>
        <w:t>Board</w:t>
      </w:r>
      <w:r>
        <w:rPr>
          <w:rFonts w:ascii="Arial" w:cs="Arial" w:eastAsia="Arial" w:hAnsi="Arial"/>
          <w:sz w:val="15"/>
          <w:szCs w:val="15"/>
          <w:color w:val="auto"/>
        </w:rPr>
        <w:t>”) (such annual base salary, as it may be increased from time to time, the “</w:t>
      </w:r>
      <w:r>
        <w:rPr>
          <w:rFonts w:ascii="Arial" w:cs="Arial" w:eastAsia="Arial" w:hAnsi="Arial"/>
          <w:sz w:val="15"/>
          <w:szCs w:val="15"/>
          <w:u w:val="single" w:color="auto"/>
          <w:color w:val="auto"/>
        </w:rPr>
        <w:t>Annual</w:t>
      </w:r>
      <w:r>
        <w:rPr>
          <w:rFonts w:ascii="Arial" w:cs="Arial" w:eastAsia="Arial" w:hAnsi="Arial"/>
          <w:sz w:val="15"/>
          <w:szCs w:val="15"/>
          <w:color w:val="auto"/>
        </w:rPr>
        <w:t xml:space="preserve"> </w:t>
      </w:r>
      <w:r>
        <w:rPr>
          <w:rFonts w:ascii="Arial" w:cs="Arial" w:eastAsia="Arial" w:hAnsi="Arial"/>
          <w:sz w:val="15"/>
          <w:szCs w:val="15"/>
          <w:u w:val="single" w:color="auto"/>
          <w:color w:val="auto"/>
        </w:rPr>
        <w:t>Base Salary</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ind w:left="7" w:firstLine="549"/>
        <w:spacing w:after="0" w:line="268" w:lineRule="auto"/>
        <w:tabs>
          <w:tab w:leader="none" w:pos="1125" w:val="left"/>
        </w:tabs>
        <w:numPr>
          <w:ilvl w:val="1"/>
          <w:numId w:val="407"/>
        </w:numPr>
        <w:rPr>
          <w:rFonts w:ascii="Arial" w:cs="Arial" w:eastAsia="Arial" w:hAnsi="Arial"/>
          <w:sz w:val="15"/>
          <w:szCs w:val="15"/>
          <w:color w:val="auto"/>
        </w:rPr>
      </w:pPr>
      <w:r>
        <w:rPr>
          <w:rFonts w:ascii="Arial" w:cs="Arial" w:eastAsia="Arial" w:hAnsi="Arial"/>
          <w:sz w:val="15"/>
          <w:szCs w:val="15"/>
          <w:u w:val="single" w:color="auto"/>
          <w:color w:val="auto"/>
        </w:rPr>
        <w:t>Bonus</w:t>
      </w:r>
      <w:r>
        <w:rPr>
          <w:rFonts w:ascii="Arial" w:cs="Arial" w:eastAsia="Arial" w:hAnsi="Arial"/>
          <w:sz w:val="15"/>
          <w:szCs w:val="15"/>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5"/>
          <w:szCs w:val="15"/>
          <w:u w:val="single" w:color="auto"/>
          <w:color w:val="auto"/>
        </w:rPr>
        <w:t>Annual Bonus</w:t>
      </w:r>
      <w:r>
        <w:rPr>
          <w:rFonts w:ascii="Arial" w:cs="Arial" w:eastAsia="Arial" w:hAnsi="Arial"/>
          <w:sz w:val="15"/>
          <w:szCs w:val="15"/>
          <w:color w:val="auto"/>
        </w:rPr>
        <w:t>”) shall be targeted at 35% of Executive’s Annual Base Salary (the “</w:t>
      </w:r>
      <w:r>
        <w:rPr>
          <w:rFonts w:ascii="Arial" w:cs="Arial" w:eastAsia="Arial" w:hAnsi="Arial"/>
          <w:sz w:val="15"/>
          <w:szCs w:val="15"/>
          <w:u w:val="single" w:color="auto"/>
          <w:color w:val="auto"/>
        </w:rPr>
        <w:t>Target Bonus</w:t>
      </w:r>
      <w:r>
        <w:rPr>
          <w:rFonts w:ascii="Arial" w:cs="Arial" w:eastAsia="Arial" w:hAnsi="Arial"/>
          <w:sz w:val="15"/>
          <w:szCs w:val="15"/>
          <w:color w:val="auto"/>
        </w:rPr>
        <w:t>”). The Annual Bonus payable under the incentive program shall be based on the achievement of performance goals to be determined by the Board. The payment of any Annual Bonus pursuant to the incentive program will be made on or before March 15 of the year following the year in which such Annual Bonus is earned.</w:t>
      </w:r>
    </w:p>
    <w:p>
      <w:pPr>
        <w:spacing w:after="0" w:line="156" w:lineRule="exact"/>
        <w:rPr>
          <w:rFonts w:ascii="Arial" w:cs="Arial" w:eastAsia="Arial" w:hAnsi="Arial"/>
          <w:sz w:val="15"/>
          <w:szCs w:val="15"/>
          <w:color w:val="auto"/>
        </w:rPr>
      </w:pPr>
    </w:p>
    <w:p>
      <w:pPr>
        <w:ind w:left="7" w:right="60" w:firstLine="549"/>
        <w:spacing w:after="0" w:line="283" w:lineRule="auto"/>
        <w:tabs>
          <w:tab w:leader="none" w:pos="1128" w:val="left"/>
        </w:tabs>
        <w:numPr>
          <w:ilvl w:val="1"/>
          <w:numId w:val="407"/>
        </w:numPr>
        <w:rPr>
          <w:rFonts w:ascii="Arial" w:cs="Arial" w:eastAsia="Arial" w:hAnsi="Arial"/>
          <w:sz w:val="14"/>
          <w:szCs w:val="14"/>
          <w:color w:val="auto"/>
        </w:rPr>
      </w:pPr>
      <w:r>
        <w:rPr>
          <w:rFonts w:ascii="Arial" w:cs="Arial" w:eastAsia="Arial" w:hAnsi="Arial"/>
          <w:sz w:val="14"/>
          <w:szCs w:val="14"/>
          <w:u w:val="single" w:color="auto"/>
          <w:color w:val="auto"/>
        </w:rPr>
        <w:t>Benefits</w:t>
      </w:r>
      <w:r>
        <w:rPr>
          <w:rFonts w:ascii="Arial" w:cs="Arial" w:eastAsia="Arial" w:hAnsi="Arial"/>
          <w:sz w:val="14"/>
          <w:szCs w:val="14"/>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of this Agreement. Subject to </w:t>
      </w:r>
      <w:r>
        <w:rPr>
          <w:rFonts w:ascii="Arial" w:cs="Arial" w:eastAsia="Arial" w:hAnsi="Arial"/>
          <w:sz w:val="14"/>
          <w:szCs w:val="14"/>
          <w:u w:val="single" w:color="auto"/>
          <w:color w:val="auto"/>
        </w:rPr>
        <w:t>Section 9(l)(iv)</w:t>
      </w:r>
      <w:r>
        <w:rPr>
          <w:rFonts w:ascii="Arial" w:cs="Arial" w:eastAsia="Arial" w:hAnsi="Arial"/>
          <w:sz w:val="14"/>
          <w:szCs w:val="14"/>
          <w:color w:val="auto"/>
        </w:rPr>
        <w:t>, the Company will reimburse Executive’s reasonable roundtrip airfare incurred for travel to visit Executive’s children not more than once per calendar month during the Term provided that such travel (i) does not materially interfere with the performance of Executive’s duties and responsibilities under this Agreement and (ii) is consistent with a class of air travel that would, if undertaken for business purposes, be reimbursable under the Company’s travel expense reimbursement Policy. To the extent the Company reasonably determines all or a portion of any such reimbursement constitutes taxable income to Executive, Executive will be liable and responsible for the employee portion of all taxes owed in connection therewith and the Company may (but will not be required to) deduct or withhold such taxes from any compensation payable to Executive by the Company or its affiliates.</w:t>
      </w:r>
    </w:p>
    <w:p>
      <w:pPr>
        <w:spacing w:after="0" w:line="149" w:lineRule="exact"/>
        <w:rPr>
          <w:rFonts w:ascii="Arial" w:cs="Arial" w:eastAsia="Arial" w:hAnsi="Arial"/>
          <w:sz w:val="14"/>
          <w:szCs w:val="14"/>
          <w:color w:val="auto"/>
        </w:rPr>
      </w:pPr>
    </w:p>
    <w:p>
      <w:pPr>
        <w:ind w:left="7" w:right="60" w:firstLine="549"/>
        <w:spacing w:after="0" w:line="302" w:lineRule="auto"/>
        <w:tabs>
          <w:tab w:leader="none" w:pos="1125" w:val="left"/>
        </w:tabs>
        <w:numPr>
          <w:ilvl w:val="1"/>
          <w:numId w:val="407"/>
        </w:numPr>
        <w:rPr>
          <w:rFonts w:ascii="Arial" w:cs="Arial" w:eastAsia="Arial" w:hAnsi="Arial"/>
          <w:sz w:val="14"/>
          <w:szCs w:val="14"/>
          <w:color w:val="auto"/>
        </w:rPr>
      </w:pPr>
      <w:r>
        <w:rPr>
          <w:rFonts w:ascii="Arial" w:cs="Arial" w:eastAsia="Arial" w:hAnsi="Arial"/>
          <w:sz w:val="14"/>
          <w:szCs w:val="14"/>
          <w:u w:val="single" w:color="auto"/>
          <w:color w:val="auto"/>
        </w:rPr>
        <w:t>Vacation</w:t>
      </w:r>
      <w:r>
        <w:rPr>
          <w:rFonts w:ascii="Arial" w:cs="Arial" w:eastAsia="Arial" w:hAnsi="Arial"/>
          <w:sz w:val="14"/>
          <w:szCs w:val="14"/>
          <w:color w:val="auto"/>
        </w:rPr>
        <w:t>. During the Term, Executive shall be entitled to four weeks of paid personal leave, or paid personal leave per calendar year in accordance with the Company’s Policies, whichever is greater. Vacation days accrued, but not used by the end of any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33" w:lineRule="exact"/>
        <w:rPr>
          <w:rFonts w:ascii="Arial" w:cs="Arial" w:eastAsia="Arial" w:hAnsi="Arial"/>
          <w:sz w:val="14"/>
          <w:szCs w:val="14"/>
          <w:color w:val="auto"/>
        </w:rPr>
      </w:pPr>
    </w:p>
    <w:p>
      <w:pPr>
        <w:ind w:left="7" w:right="400" w:firstLine="549"/>
        <w:spacing w:after="0" w:line="289" w:lineRule="auto"/>
        <w:tabs>
          <w:tab w:leader="none" w:pos="1128" w:val="left"/>
        </w:tabs>
        <w:numPr>
          <w:ilvl w:val="1"/>
          <w:numId w:val="407"/>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0" w:firstLine="549"/>
        <w:spacing w:after="0" w:line="265" w:lineRule="auto"/>
        <w:tabs>
          <w:tab w:leader="none" w:pos="1123" w:val="left"/>
        </w:tabs>
        <w:numPr>
          <w:ilvl w:val="1"/>
          <w:numId w:val="408"/>
        </w:numPr>
        <w:rPr>
          <w:rFonts w:ascii="Arial" w:cs="Arial" w:eastAsia="Arial" w:hAnsi="Arial"/>
          <w:sz w:val="15"/>
          <w:szCs w:val="15"/>
          <w:color w:val="auto"/>
        </w:rPr>
      </w:pPr>
      <w:r>
        <w:rPr>
          <w:rFonts w:ascii="Arial" w:cs="Arial" w:eastAsia="Arial" w:hAnsi="Arial"/>
          <w:sz w:val="15"/>
          <w:szCs w:val="15"/>
          <w:u w:val="single" w:color="auto"/>
          <w:color w:val="auto"/>
        </w:rPr>
        <w:t>Key Person Insurance</w:t>
      </w:r>
      <w:r>
        <w:rPr>
          <w:rFonts w:ascii="Arial" w:cs="Arial" w:eastAsia="Arial" w:hAnsi="Arial"/>
          <w:sz w:val="15"/>
          <w:szCs w:val="15"/>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53" w:lineRule="exact"/>
        <w:rPr>
          <w:rFonts w:ascii="Arial" w:cs="Arial" w:eastAsia="Arial" w:hAnsi="Arial"/>
          <w:sz w:val="15"/>
          <w:szCs w:val="15"/>
          <w:color w:val="auto"/>
        </w:rPr>
      </w:pPr>
    </w:p>
    <w:p>
      <w:pPr>
        <w:ind w:left="547" w:hanging="547"/>
        <w:spacing w:after="0"/>
        <w:tabs>
          <w:tab w:leader="none" w:pos="547" w:val="left"/>
        </w:tabs>
        <w:numPr>
          <w:ilvl w:val="0"/>
          <w:numId w:val="40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Executive’s employment hereunder may be terminated by the Company or Executive, as applicable, without any breach of this Agreement under the following circumstances:</w:t>
      </w:r>
    </w:p>
    <w:p>
      <w:pPr>
        <w:sectPr>
          <w:pgSz w:w="11900" w:h="16838" w:orient="portrait"/>
          <w:cols w:equalWidth="0" w:num="1">
            <w:col w:w="11447"/>
          </w:cols>
          <w:pgMar w:left="233" w:top="331" w:right="219" w:bottom="0" w:gutter="0" w:footer="0" w:header="0"/>
        </w:sectPr>
      </w:pPr>
    </w:p>
    <w:bookmarkStart w:id="387" w:name="page388"/>
    <w:bookmarkEnd w:id="387"/>
    <w:p>
      <w:pPr>
        <w:ind w:left="1107" w:hanging="551"/>
        <w:spacing w:after="0"/>
        <w:tabs>
          <w:tab w:leader="none" w:pos="1107" w:val="left"/>
        </w:tabs>
        <w:numPr>
          <w:ilvl w:val="1"/>
          <w:numId w:val="410"/>
        </w:numPr>
        <w:rPr>
          <w:rFonts w:ascii="Arial" w:cs="Arial" w:eastAsia="Arial" w:hAnsi="Arial"/>
          <w:sz w:val="15"/>
          <w:szCs w:val="15"/>
          <w:color w:val="auto"/>
        </w:rPr>
      </w:pPr>
      <w:r>
        <w:rPr>
          <w:rFonts w:ascii="Arial" w:cs="Arial" w:eastAsia="Arial" w:hAnsi="Arial"/>
          <w:sz w:val="15"/>
          <w:szCs w:val="15"/>
          <w:u w:val="single" w:color="auto"/>
          <w:color w:val="auto"/>
        </w:rPr>
        <w:t>Circumstances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10"/>
        </w:numPr>
        <w:rPr>
          <w:rFonts w:ascii="Arial" w:cs="Arial" w:eastAsia="Arial" w:hAnsi="Arial"/>
          <w:sz w:val="15"/>
          <w:szCs w:val="15"/>
          <w:color w:val="auto"/>
        </w:rPr>
      </w:pPr>
      <w:r>
        <w:rPr>
          <w:rFonts w:ascii="Arial" w:cs="Arial" w:eastAsia="Arial" w:hAnsi="Arial"/>
          <w:sz w:val="15"/>
          <w:szCs w:val="15"/>
          <w:i w:val="1"/>
          <w:iCs w:val="1"/>
          <w:color w:val="auto"/>
        </w:rPr>
        <w:t>Death</w:t>
      </w:r>
      <w:r>
        <w:rPr>
          <w:rFonts w:ascii="Arial" w:cs="Arial" w:eastAsia="Arial" w:hAnsi="Arial"/>
          <w:sz w:val="15"/>
          <w:szCs w:val="15"/>
          <w:color w:val="auto"/>
        </w:rPr>
        <w:t>. Executive’s employment hereunder shall terminate upon Executive’s death.</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10"/>
        </w:numPr>
        <w:rPr>
          <w:rFonts w:ascii="Arial" w:cs="Arial" w:eastAsia="Arial" w:hAnsi="Arial"/>
          <w:sz w:val="15"/>
          <w:szCs w:val="15"/>
          <w:color w:val="auto"/>
        </w:rPr>
      </w:pPr>
      <w:r>
        <w:rPr>
          <w:rFonts w:ascii="Arial" w:cs="Arial" w:eastAsia="Arial" w:hAnsi="Arial"/>
          <w:sz w:val="15"/>
          <w:szCs w:val="15"/>
          <w:i w:val="1"/>
          <w:iCs w:val="1"/>
          <w:color w:val="auto"/>
        </w:rPr>
        <w:t>Disability</w:t>
      </w:r>
      <w:r>
        <w:rPr>
          <w:rFonts w:ascii="Arial" w:cs="Arial" w:eastAsia="Arial" w:hAnsi="Arial"/>
          <w:sz w:val="15"/>
          <w:szCs w:val="15"/>
          <w:color w:val="auto"/>
        </w:rPr>
        <w:t>. If Executive has incurred a Disability, as defined below, the Company may terminate Executive’s employment.</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410"/>
        </w:numPr>
        <w:rPr>
          <w:rFonts w:ascii="Arial" w:cs="Arial" w:eastAsia="Arial" w:hAnsi="Arial"/>
          <w:sz w:val="15"/>
          <w:szCs w:val="15"/>
          <w:color w:val="auto"/>
        </w:rPr>
      </w:pPr>
      <w:r>
        <w:rPr>
          <w:rFonts w:ascii="Arial" w:cs="Arial" w:eastAsia="Arial" w:hAnsi="Arial"/>
          <w:sz w:val="15"/>
          <w:szCs w:val="15"/>
          <w:i w:val="1"/>
          <w:iCs w:val="1"/>
          <w:color w:val="auto"/>
        </w:rPr>
        <w:t>Termination for Cause</w:t>
      </w:r>
      <w:r>
        <w:rPr>
          <w:rFonts w:ascii="Arial" w:cs="Arial" w:eastAsia="Arial" w:hAnsi="Arial"/>
          <w:sz w:val="15"/>
          <w:szCs w:val="15"/>
          <w:color w:val="auto"/>
        </w:rPr>
        <w:t>. The Company may terminate Executive’s employment for Cause, as defined below.</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10"/>
        </w:numPr>
        <w:rPr>
          <w:rFonts w:ascii="Arial" w:cs="Arial" w:eastAsia="Arial" w:hAnsi="Arial"/>
          <w:sz w:val="15"/>
          <w:szCs w:val="15"/>
          <w:color w:val="auto"/>
        </w:rPr>
      </w:pPr>
      <w:r>
        <w:rPr>
          <w:rFonts w:ascii="Arial" w:cs="Arial" w:eastAsia="Arial" w:hAnsi="Arial"/>
          <w:sz w:val="15"/>
          <w:szCs w:val="15"/>
          <w:i w:val="1"/>
          <w:iCs w:val="1"/>
          <w:color w:val="auto"/>
        </w:rPr>
        <w:t>Termination without Cause</w:t>
      </w:r>
      <w:r>
        <w:rPr>
          <w:rFonts w:ascii="Arial" w:cs="Arial" w:eastAsia="Arial" w:hAnsi="Arial"/>
          <w:sz w:val="15"/>
          <w:szCs w:val="15"/>
          <w:color w:val="auto"/>
        </w:rPr>
        <w:t>. The Company may terminate Executive’s employment without Cause.</w:t>
      </w:r>
    </w:p>
    <w:p>
      <w:pPr>
        <w:spacing w:after="0" w:line="198" w:lineRule="exact"/>
        <w:rPr>
          <w:rFonts w:ascii="Arial" w:cs="Arial" w:eastAsia="Arial" w:hAnsi="Arial"/>
          <w:sz w:val="15"/>
          <w:szCs w:val="15"/>
          <w:color w:val="auto"/>
        </w:rPr>
      </w:pPr>
    </w:p>
    <w:p>
      <w:pPr>
        <w:ind w:left="1667" w:hanging="556"/>
        <w:spacing w:after="0"/>
        <w:tabs>
          <w:tab w:leader="none" w:pos="1667" w:val="left"/>
        </w:tabs>
        <w:numPr>
          <w:ilvl w:val="2"/>
          <w:numId w:val="410"/>
        </w:numPr>
        <w:rPr>
          <w:rFonts w:ascii="Arial" w:cs="Arial" w:eastAsia="Arial" w:hAnsi="Arial"/>
          <w:sz w:val="14"/>
          <w:szCs w:val="14"/>
          <w:color w:val="auto"/>
        </w:rPr>
      </w:pPr>
      <w:r>
        <w:rPr>
          <w:rFonts w:ascii="Arial" w:cs="Arial" w:eastAsia="Arial" w:hAnsi="Arial"/>
          <w:sz w:val="14"/>
          <w:szCs w:val="14"/>
          <w:i w:val="1"/>
          <w:iCs w:val="1"/>
          <w:color w:val="auto"/>
        </w:rPr>
        <w:t xml:space="preserve">Resignation from the Company with Good Reason. </w:t>
      </w:r>
      <w:r>
        <w:rPr>
          <w:rFonts w:ascii="Arial" w:cs="Arial" w:eastAsia="Arial" w:hAnsi="Arial"/>
          <w:sz w:val="14"/>
          <w:szCs w:val="14"/>
          <w:color w:val="auto"/>
        </w:rPr>
        <w:t>Executive may resign Executive’s employment with the Company with Good Reason, as defined below.</w:t>
      </w:r>
    </w:p>
    <w:p>
      <w:pPr>
        <w:spacing w:after="0" w:line="209" w:lineRule="exact"/>
        <w:rPr>
          <w:rFonts w:ascii="Arial" w:cs="Arial" w:eastAsia="Arial" w:hAnsi="Arial"/>
          <w:sz w:val="14"/>
          <w:szCs w:val="14"/>
          <w:color w:val="auto"/>
        </w:rPr>
      </w:pPr>
    </w:p>
    <w:p>
      <w:pPr>
        <w:ind w:left="547" w:right="280" w:firstLine="564"/>
        <w:spacing w:after="0" w:line="289" w:lineRule="auto"/>
        <w:tabs>
          <w:tab w:leader="none" w:pos="1674" w:val="left"/>
        </w:tabs>
        <w:numPr>
          <w:ilvl w:val="2"/>
          <w:numId w:val="410"/>
        </w:numPr>
        <w:rPr>
          <w:rFonts w:ascii="Arial" w:cs="Arial" w:eastAsia="Arial" w:hAnsi="Arial"/>
          <w:sz w:val="15"/>
          <w:szCs w:val="15"/>
          <w:color w:val="auto"/>
        </w:rPr>
      </w:pPr>
      <w:r>
        <w:rPr>
          <w:rFonts w:ascii="Arial" w:cs="Arial" w:eastAsia="Arial" w:hAnsi="Arial"/>
          <w:sz w:val="15"/>
          <w:szCs w:val="15"/>
          <w:i w:val="1"/>
          <w:iCs w:val="1"/>
          <w:color w:val="auto"/>
        </w:rPr>
        <w:t>Resignation from the Company Without Good Reason</w:t>
      </w:r>
      <w:r>
        <w:rPr>
          <w:rFonts w:ascii="Arial" w:cs="Arial" w:eastAsia="Arial" w:hAnsi="Arial"/>
          <w:sz w:val="15"/>
          <w:szCs w:val="15"/>
          <w:color w:val="auto"/>
        </w:rPr>
        <w:t>. Executive may resign Executive’s employment with the Company for any reason other than Good</w:t>
      </w:r>
      <w:r>
        <w:rPr>
          <w:rFonts w:ascii="Arial" w:cs="Arial" w:eastAsia="Arial" w:hAnsi="Arial"/>
          <w:sz w:val="15"/>
          <w:szCs w:val="15"/>
          <w:i w:val="1"/>
          <w:iCs w:val="1"/>
          <w:color w:val="auto"/>
        </w:rPr>
        <w:t xml:space="preserve"> </w:t>
      </w:r>
      <w:r>
        <w:rPr>
          <w:rFonts w:ascii="Arial" w:cs="Arial" w:eastAsia="Arial" w:hAnsi="Arial"/>
          <w:sz w:val="15"/>
          <w:szCs w:val="15"/>
          <w:color w:val="auto"/>
        </w:rPr>
        <w:t>Reason or for no reason.</w:t>
      </w:r>
    </w:p>
    <w:p>
      <w:pPr>
        <w:spacing w:after="0" w:line="140" w:lineRule="exact"/>
        <w:rPr>
          <w:rFonts w:ascii="Arial" w:cs="Arial" w:eastAsia="Arial" w:hAnsi="Arial"/>
          <w:sz w:val="15"/>
          <w:szCs w:val="15"/>
          <w:color w:val="auto"/>
        </w:rPr>
      </w:pPr>
    </w:p>
    <w:p>
      <w:pPr>
        <w:ind w:left="7" w:right="100" w:firstLine="549"/>
        <w:spacing w:after="0" w:line="280" w:lineRule="auto"/>
        <w:tabs>
          <w:tab w:leader="none" w:pos="1125" w:val="left"/>
        </w:tabs>
        <w:numPr>
          <w:ilvl w:val="1"/>
          <w:numId w:val="410"/>
        </w:numPr>
        <w:rPr>
          <w:rFonts w:ascii="Arial" w:cs="Arial" w:eastAsia="Arial" w:hAnsi="Arial"/>
          <w:sz w:val="14"/>
          <w:szCs w:val="14"/>
          <w:color w:val="auto"/>
        </w:rPr>
      </w:pP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Any termination of Executive’s employment by the Company or by Executive under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(other than termination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shall be at least thirty (30) days following the date of such notice, but no more than forty</w:t>
      </w:r>
    </w:p>
    <w:p>
      <w:pPr>
        <w:jc w:val="both"/>
        <w:ind w:left="7" w:right="80" w:hanging="7"/>
        <w:spacing w:after="0" w:line="288" w:lineRule="auto"/>
        <w:tabs>
          <w:tab w:leader="none" w:pos="303" w:val="left"/>
        </w:tabs>
        <w:numPr>
          <w:ilvl w:val="0"/>
          <w:numId w:val="411"/>
        </w:numPr>
        <w:rPr>
          <w:rFonts w:ascii="Arial" w:cs="Arial" w:eastAsia="Arial" w:hAnsi="Arial"/>
          <w:sz w:val="14"/>
          <w:szCs w:val="14"/>
          <w:color w:val="auto"/>
        </w:rPr>
      </w:pPr>
      <w:r>
        <w:rPr>
          <w:rFonts w:ascii="Arial" w:cs="Arial" w:eastAsia="Arial" w:hAnsi="Arial"/>
          <w:sz w:val="14"/>
          <w:szCs w:val="14"/>
          <w:color w:val="auto"/>
        </w:rPr>
        <w:t>days following the date of such notice (a “</w:t>
      </w: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4"/>
          <w:szCs w:val="14"/>
          <w:i w:val="1"/>
          <w:iCs w:val="1"/>
          <w:color w:val="auto"/>
        </w:rPr>
        <w:t>provided</w:t>
      </w:r>
      <w:r>
        <w:rPr>
          <w:rFonts w:ascii="Arial" w:cs="Arial" w:eastAsia="Arial" w:hAnsi="Arial"/>
          <w:sz w:val="14"/>
          <w:szCs w:val="14"/>
          <w:color w:val="auto"/>
        </w:rPr>
        <w:t>, in either case, that if the Company selects a Date of Termination that is</w:t>
      </w:r>
    </w:p>
    <w:p>
      <w:pPr>
        <w:spacing w:after="0" w:line="14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 Any decision to terminate Executive’s employment for Cause shall be made by a majority vote of the Board after Executive has received written notice from the Board setting forth in reasonable detail the facts and circumstances claimed to provide the basis for the Cause and the Board has provided the Executive reasonable opportunity to be heard by the Board with counsel present if he chooses.</w:t>
      </w:r>
    </w:p>
    <w:p>
      <w:pPr>
        <w:spacing w:after="0" w:line="159" w:lineRule="exact"/>
        <w:rPr>
          <w:sz w:val="20"/>
          <w:szCs w:val="20"/>
          <w:color w:val="auto"/>
        </w:rPr>
      </w:pPr>
    </w:p>
    <w:p>
      <w:pPr>
        <w:ind w:left="7" w:right="260" w:firstLine="549"/>
        <w:spacing w:after="0" w:line="283" w:lineRule="auto"/>
        <w:tabs>
          <w:tab w:leader="none" w:pos="1128" w:val="left"/>
        </w:tabs>
        <w:numPr>
          <w:ilvl w:val="1"/>
          <w:numId w:val="412"/>
        </w:numPr>
        <w:rPr>
          <w:rFonts w:ascii="Arial" w:cs="Arial" w:eastAsia="Arial" w:hAnsi="Arial"/>
          <w:sz w:val="14"/>
          <w:szCs w:val="14"/>
          <w:color w:val="auto"/>
        </w:rPr>
      </w:pPr>
      <w:r>
        <w:rPr>
          <w:rFonts w:ascii="Arial" w:cs="Arial" w:eastAsia="Arial" w:hAnsi="Arial"/>
          <w:sz w:val="14"/>
          <w:szCs w:val="14"/>
          <w:u w:val="single" w:color="auto"/>
          <w:color w:val="auto"/>
        </w:rPr>
        <w:t>Company Obligations upon Termination</w:t>
      </w:r>
      <w:r>
        <w:rPr>
          <w:rFonts w:ascii="Arial" w:cs="Arial" w:eastAsia="Arial" w:hAnsi="Arial"/>
          <w:sz w:val="14"/>
          <w:szCs w:val="14"/>
          <w:color w:val="auto"/>
        </w:rPr>
        <w:t xml:space="preserve">. Upon termination of Executive’s employment pursuant to any of the circumstances listed in this </w:t>
      </w:r>
      <w:r>
        <w:rPr>
          <w:rFonts w:ascii="Arial" w:cs="Arial" w:eastAsia="Arial" w:hAnsi="Arial"/>
          <w:sz w:val="14"/>
          <w:szCs w:val="14"/>
          <w:u w:val="single" w:color="auto"/>
          <w:color w:val="auto"/>
        </w:rPr>
        <w:t>Section 3</w:t>
      </w:r>
      <w:r>
        <w:rPr>
          <w:rFonts w:ascii="Arial" w:cs="Arial" w:eastAsia="Arial" w:hAnsi="Arial"/>
          <w:sz w:val="14"/>
          <w:szCs w:val="14"/>
          <w:color w:val="auto"/>
        </w:rPr>
        <w:t>, Executive (or Executive’s estate) shall be entitled to receive the sum of: (i) the portion of Executive’s Annual Base Salary earned through the Date of Termination, but not yet paid to Executive;</w:t>
      </w:r>
    </w:p>
    <w:p>
      <w:pPr>
        <w:spacing w:after="0" w:line="1" w:lineRule="exact"/>
        <w:rPr>
          <w:rFonts w:ascii="Arial" w:cs="Arial" w:eastAsia="Arial" w:hAnsi="Arial"/>
          <w:sz w:val="14"/>
          <w:szCs w:val="14"/>
          <w:color w:val="auto"/>
        </w:rPr>
      </w:pPr>
    </w:p>
    <w:p>
      <w:pPr>
        <w:ind w:left="7" w:right="20" w:hanging="7"/>
        <w:spacing w:after="0" w:line="260" w:lineRule="auto"/>
        <w:tabs>
          <w:tab w:leader="none" w:pos="235" w:val="left"/>
        </w:tabs>
        <w:numPr>
          <w:ilvl w:val="0"/>
          <w:numId w:val="413"/>
        </w:numPr>
        <w:rPr>
          <w:rFonts w:ascii="Arial" w:cs="Arial" w:eastAsia="Arial" w:hAnsi="Arial"/>
          <w:sz w:val="15"/>
          <w:szCs w:val="15"/>
          <w:color w:val="auto"/>
        </w:rPr>
      </w:pPr>
      <w:r>
        <w:rPr>
          <w:rFonts w:ascii="Arial" w:cs="Arial" w:eastAsia="Arial" w:hAnsi="Arial"/>
          <w:sz w:val="15"/>
          <w:szCs w:val="15"/>
          <w:color w:val="auto"/>
        </w:rPr>
        <w:t xml:space="preserve">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5"/>
          <w:szCs w:val="15"/>
          <w:u w:val="single" w:color="auto"/>
          <w:color w:val="auto"/>
        </w:rPr>
        <w:t>Section 2(e)</w:t>
      </w:r>
      <w:r>
        <w:rPr>
          <w:rFonts w:ascii="Arial" w:cs="Arial" w:eastAsia="Arial" w:hAnsi="Arial"/>
          <w:sz w:val="15"/>
          <w:szCs w:val="15"/>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5"/>
          <w:szCs w:val="15"/>
          <w:u w:val="single" w:color="auto"/>
          <w:color w:val="auto"/>
        </w:rPr>
        <w:t>Company Arrangements</w:t>
      </w:r>
      <w:r>
        <w:rPr>
          <w:rFonts w:ascii="Arial" w:cs="Arial" w:eastAsia="Arial" w:hAnsi="Arial"/>
          <w:sz w:val="15"/>
          <w:szCs w:val="15"/>
          <w:color w:val="auto"/>
        </w:rPr>
        <w:t>”). Except as otherwise expressly required by law (</w:t>
      </w:r>
      <w:r>
        <w:rPr>
          <w:rFonts w:ascii="Arial" w:cs="Arial" w:eastAsia="Arial" w:hAnsi="Arial"/>
          <w:sz w:val="15"/>
          <w:szCs w:val="15"/>
          <w:u w:val="single" w:color="auto"/>
          <w:color w:val="auto"/>
        </w:rPr>
        <w:t>e.g.</w:t>
      </w:r>
      <w:r>
        <w:rPr>
          <w:rFonts w:ascii="Arial" w:cs="Arial" w:eastAsia="Arial" w:hAnsi="Arial"/>
          <w:sz w:val="15"/>
          <w:szCs w:val="15"/>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64" w:lineRule="exact"/>
        <w:rPr>
          <w:rFonts w:ascii="Arial" w:cs="Arial" w:eastAsia="Arial" w:hAnsi="Arial"/>
          <w:sz w:val="15"/>
          <w:szCs w:val="15"/>
          <w:color w:val="auto"/>
        </w:rPr>
      </w:pPr>
    </w:p>
    <w:p>
      <w:pPr>
        <w:ind w:left="7" w:right="140" w:firstLine="549"/>
        <w:spacing w:after="0" w:line="289" w:lineRule="auto"/>
        <w:tabs>
          <w:tab w:leader="none" w:pos="1125" w:val="left"/>
        </w:tabs>
        <w:numPr>
          <w:ilvl w:val="1"/>
          <w:numId w:val="413"/>
        </w:numPr>
        <w:rPr>
          <w:rFonts w:ascii="Arial" w:cs="Arial" w:eastAsia="Arial" w:hAnsi="Arial"/>
          <w:sz w:val="15"/>
          <w:szCs w:val="15"/>
          <w:color w:val="auto"/>
        </w:rPr>
      </w:pPr>
      <w:r>
        <w:rPr>
          <w:rFonts w:ascii="Arial" w:cs="Arial" w:eastAsia="Arial" w:hAnsi="Arial"/>
          <w:sz w:val="15"/>
          <w:szCs w:val="15"/>
          <w:u w:val="single" w:color="auto"/>
          <w:color w:val="auto"/>
        </w:rPr>
        <w:t>Deemed Resignation</w:t>
      </w:r>
      <w:r>
        <w:rPr>
          <w:rFonts w:ascii="Arial" w:cs="Arial" w:eastAsia="Arial" w:hAnsi="Arial"/>
          <w:sz w:val="15"/>
          <w:szCs w:val="15"/>
          <w:color w:val="auto"/>
        </w:rPr>
        <w:t>. Upon termination of Executive’s employment for any reason, Executive shall be deemed to have resigned from all offices and directorships, if any, then held with the Company or any of its subsidiaries.</w:t>
      </w:r>
    </w:p>
    <w:p>
      <w:pPr>
        <w:spacing w:after="0" w:line="135" w:lineRule="exact"/>
        <w:rPr>
          <w:sz w:val="20"/>
          <w:szCs w:val="20"/>
          <w:color w:val="auto"/>
        </w:rPr>
      </w:pPr>
    </w:p>
    <w:p>
      <w:pPr>
        <w:ind w:left="547" w:hanging="547"/>
        <w:spacing w:after="0"/>
        <w:tabs>
          <w:tab w:leader="none" w:pos="547" w:val="left"/>
        </w:tabs>
        <w:numPr>
          <w:ilvl w:val="0"/>
          <w:numId w:val="41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 w:firstLine="549"/>
        <w:spacing w:after="0" w:line="302" w:lineRule="auto"/>
        <w:tabs>
          <w:tab w:leader="none" w:pos="1117" w:val="left"/>
        </w:tabs>
        <w:numPr>
          <w:ilvl w:val="1"/>
          <w:numId w:val="414"/>
        </w:numPr>
        <w:rPr>
          <w:rFonts w:ascii="Arial" w:cs="Arial" w:eastAsia="Arial" w:hAnsi="Arial"/>
          <w:sz w:val="14"/>
          <w:szCs w:val="14"/>
          <w:color w:val="auto"/>
        </w:rPr>
      </w:pPr>
      <w:r>
        <w:rPr>
          <w:rFonts w:ascii="Arial" w:cs="Arial" w:eastAsia="Arial" w:hAnsi="Arial"/>
          <w:sz w:val="14"/>
          <w:szCs w:val="14"/>
          <w:u w:val="single" w:color="auto"/>
          <w:color w:val="auto"/>
        </w:rPr>
        <w:t>Termination for Cause, or Termination Upon Death, Disability or Resignation from the Company Without Good Reason</w:t>
      </w:r>
      <w:r>
        <w:rPr>
          <w:rFonts w:ascii="Arial" w:cs="Arial" w:eastAsia="Arial" w:hAnsi="Arial"/>
          <w:sz w:val="14"/>
          <w:szCs w:val="14"/>
          <w:color w:val="auto"/>
        </w:rPr>
        <w:t xml:space="preserve">. If Executive’s employment shall terminate as a result of Executive’s death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or Disability pursuant to </w:t>
      </w:r>
      <w:r>
        <w:rPr>
          <w:rFonts w:ascii="Arial" w:cs="Arial" w:eastAsia="Arial" w:hAnsi="Arial"/>
          <w:sz w:val="14"/>
          <w:szCs w:val="14"/>
          <w:u w:val="single" w:color="auto"/>
          <w:color w:val="auto"/>
        </w:rPr>
        <w:t>Section 3(a)(ii)</w:t>
      </w:r>
      <w:r>
        <w:rPr>
          <w:rFonts w:ascii="Arial" w:cs="Arial" w:eastAsia="Arial" w:hAnsi="Arial"/>
          <w:sz w:val="14"/>
          <w:szCs w:val="14"/>
          <w:color w:val="auto"/>
        </w:rPr>
        <w:t xml:space="preserve">,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xml:space="preserve"> for Cause, or pursuant to </w:t>
      </w:r>
      <w:r>
        <w:rPr>
          <w:rFonts w:ascii="Arial" w:cs="Arial" w:eastAsia="Arial" w:hAnsi="Arial"/>
          <w:sz w:val="14"/>
          <w:szCs w:val="14"/>
          <w:u w:val="single" w:color="auto"/>
          <w:color w:val="auto"/>
        </w:rPr>
        <w:t>Section 3(a)(vi)</w:t>
      </w:r>
      <w:r>
        <w:rPr>
          <w:rFonts w:ascii="Arial" w:cs="Arial" w:eastAsia="Arial" w:hAnsi="Arial"/>
          <w:sz w:val="14"/>
          <w:szCs w:val="14"/>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4"/>
          <w:szCs w:val="14"/>
          <w:u w:val="single" w:color="auto"/>
          <w:color w:val="auto"/>
        </w:rPr>
        <w:t>Section 3(c)</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ind w:left="7" w:right="40" w:firstLine="549"/>
        <w:spacing w:after="0" w:line="245" w:lineRule="auto"/>
        <w:tabs>
          <w:tab w:leader="none" w:pos="1125" w:val="left"/>
        </w:tabs>
        <w:numPr>
          <w:ilvl w:val="1"/>
          <w:numId w:val="414"/>
        </w:numPr>
        <w:rPr>
          <w:rFonts w:ascii="Arial" w:cs="Arial" w:eastAsia="Arial" w:hAnsi="Arial"/>
          <w:sz w:val="15"/>
          <w:szCs w:val="15"/>
          <w:color w:val="auto"/>
        </w:rPr>
      </w:pPr>
      <w:r>
        <w:rPr>
          <w:rFonts w:ascii="Arial" w:cs="Arial" w:eastAsia="Arial" w:hAnsi="Arial"/>
          <w:sz w:val="15"/>
          <w:szCs w:val="15"/>
          <w:u w:val="single" w:color="auto"/>
          <w:color w:val="auto"/>
        </w:rPr>
        <w:t>Termination without Cause, or Resignation from the Company with Good Reason</w:t>
      </w:r>
      <w:r>
        <w:rPr>
          <w:rFonts w:ascii="Arial" w:cs="Arial" w:eastAsia="Arial" w:hAnsi="Arial"/>
          <w:sz w:val="15"/>
          <w:szCs w:val="15"/>
          <w:color w:val="auto"/>
        </w:rPr>
        <w:t xml:space="preserve">. If Executive’s employment terminates without Cause pursuant to </w:t>
      </w:r>
      <w:r>
        <w:rPr>
          <w:rFonts w:ascii="Arial" w:cs="Arial" w:eastAsia="Arial" w:hAnsi="Arial"/>
          <w:sz w:val="15"/>
          <w:szCs w:val="15"/>
          <w:u w:val="single" w:color="auto"/>
          <w:color w:val="auto"/>
        </w:rPr>
        <w:t>Section 3(a)(iv)</w:t>
      </w:r>
      <w:r>
        <w:rPr>
          <w:rFonts w:ascii="Arial" w:cs="Arial" w:eastAsia="Arial" w:hAnsi="Arial"/>
          <w:sz w:val="15"/>
          <w:szCs w:val="15"/>
          <w:color w:val="auto"/>
        </w:rPr>
        <w:t xml:space="preserve">, or pursuant to </w:t>
      </w:r>
      <w:r>
        <w:rPr>
          <w:rFonts w:ascii="Arial" w:cs="Arial" w:eastAsia="Arial" w:hAnsi="Arial"/>
          <w:sz w:val="15"/>
          <w:szCs w:val="15"/>
          <w:u w:val="single" w:color="auto"/>
          <w:color w:val="auto"/>
        </w:rPr>
        <w:t>Section 3(a)(v)</w:t>
      </w:r>
      <w:r>
        <w:rPr>
          <w:rFonts w:ascii="Arial" w:cs="Arial" w:eastAsia="Arial" w:hAnsi="Arial"/>
          <w:sz w:val="15"/>
          <w:szCs w:val="15"/>
          <w:color w:val="auto"/>
        </w:rPr>
        <w:t xml:space="preserve"> due to Executive’s resignation with Good Reason, then, subject to Executive signing on or before the 60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this Agreement (the “</w:t>
      </w: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and Executive’s continued compliance with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Executive shall receive, in addition to payments and benefits set forth in </w:t>
      </w:r>
      <w:r>
        <w:rPr>
          <w:rFonts w:ascii="Arial" w:cs="Arial" w:eastAsia="Arial" w:hAnsi="Arial"/>
          <w:sz w:val="15"/>
          <w:szCs w:val="15"/>
          <w:u w:val="single" w:color="auto"/>
          <w:color w:val="auto"/>
        </w:rPr>
        <w:t>Section 3(c)</w:t>
      </w:r>
      <w:r>
        <w:rPr>
          <w:rFonts w:ascii="Arial" w:cs="Arial" w:eastAsia="Arial" w:hAnsi="Arial"/>
          <w:sz w:val="15"/>
          <w:szCs w:val="15"/>
          <w:color w:val="auto"/>
        </w:rPr>
        <w:t>, the following:</w:t>
      </w:r>
    </w:p>
    <w:p>
      <w:pPr>
        <w:spacing w:after="0" w:line="17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right="60" w:firstLine="564"/>
        <w:spacing w:after="0" w:line="289" w:lineRule="auto"/>
        <w:tabs>
          <w:tab w:leader="none" w:pos="1677" w:val="left"/>
        </w:tabs>
        <w:numPr>
          <w:ilvl w:val="1"/>
          <w:numId w:val="415"/>
        </w:numPr>
        <w:rPr>
          <w:rFonts w:ascii="Arial" w:cs="Arial" w:eastAsia="Arial" w:hAnsi="Arial"/>
          <w:sz w:val="15"/>
          <w:szCs w:val="15"/>
          <w:color w:val="auto"/>
        </w:rPr>
      </w:pPr>
      <w:r>
        <w:rPr>
          <w:rFonts w:ascii="Arial" w:cs="Arial" w:eastAsia="Arial" w:hAnsi="Arial"/>
          <w:sz w:val="15"/>
          <w:szCs w:val="15"/>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15"/>
          <w:szCs w:val="15"/>
          <w:u w:val="single" w:color="auto"/>
          <w:color w:val="auto"/>
        </w:rPr>
        <w:t>Severance Period</w:t>
      </w:r>
      <w:r>
        <w:rPr>
          <w:rFonts w:ascii="Arial" w:cs="Arial" w:eastAsia="Arial" w:hAnsi="Arial"/>
          <w:sz w:val="15"/>
          <w:szCs w:val="15"/>
          <w:color w:val="auto"/>
        </w:rPr>
        <w:t>”) in accordance with the Company’s normal payroll practices;</w:t>
      </w:r>
    </w:p>
    <w:p>
      <w:pPr>
        <w:spacing w:after="0" w:line="140" w:lineRule="exact"/>
        <w:rPr>
          <w:rFonts w:ascii="Arial" w:cs="Arial" w:eastAsia="Arial" w:hAnsi="Arial"/>
          <w:sz w:val="15"/>
          <w:szCs w:val="15"/>
          <w:color w:val="auto"/>
        </w:rPr>
      </w:pPr>
    </w:p>
    <w:p>
      <w:pPr>
        <w:ind w:left="547" w:right="40" w:firstLine="564"/>
        <w:spacing w:after="0" w:line="268" w:lineRule="auto"/>
        <w:tabs>
          <w:tab w:leader="none" w:pos="1686" w:val="left"/>
        </w:tabs>
        <w:numPr>
          <w:ilvl w:val="1"/>
          <w:numId w:val="415"/>
        </w:numPr>
        <w:rPr>
          <w:rFonts w:ascii="Arial" w:cs="Arial" w:eastAsia="Arial" w:hAnsi="Arial"/>
          <w:sz w:val="15"/>
          <w:szCs w:val="15"/>
          <w:color w:val="auto"/>
        </w:rPr>
      </w:pPr>
      <w:r>
        <w:rPr>
          <w:rFonts w:ascii="Arial" w:cs="Arial" w:eastAsia="Arial" w:hAnsi="Arial"/>
          <w:sz w:val="15"/>
          <w:szCs w:val="15"/>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or an authorized committee thereof, if the Date of Termination occurs after the first quarter of the calendar year, multiplied by (B) a fraction, using the number of full months of the year elapsed prior to the Date of Termination as the numerator and 12 as the denominator; and</w:t>
      </w:r>
    </w:p>
    <w:p>
      <w:pPr>
        <w:spacing w:after="0" w:line="156" w:lineRule="exact"/>
        <w:rPr>
          <w:rFonts w:ascii="Arial" w:cs="Arial" w:eastAsia="Arial" w:hAnsi="Arial"/>
          <w:sz w:val="15"/>
          <w:szCs w:val="15"/>
          <w:color w:val="auto"/>
        </w:rPr>
      </w:pPr>
    </w:p>
    <w:p>
      <w:pPr>
        <w:ind w:left="547" w:right="60" w:firstLine="564"/>
        <w:spacing w:after="0" w:line="283" w:lineRule="auto"/>
        <w:tabs>
          <w:tab w:leader="none" w:pos="1694" w:val="left"/>
        </w:tabs>
        <w:numPr>
          <w:ilvl w:val="1"/>
          <w:numId w:val="415"/>
        </w:numPr>
        <w:rPr>
          <w:rFonts w:ascii="Arial" w:cs="Arial" w:eastAsia="Arial" w:hAnsi="Arial"/>
          <w:sz w:val="14"/>
          <w:szCs w:val="14"/>
          <w:color w:val="auto"/>
        </w:rPr>
      </w:pPr>
      <w:r>
        <w:rPr>
          <w:rFonts w:ascii="Arial" w:cs="Arial" w:eastAsia="Arial" w:hAnsi="Arial"/>
          <w:sz w:val="14"/>
          <w:szCs w:val="14"/>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4"/>
          <w:szCs w:val="14"/>
          <w:u w:val="single" w:color="auto"/>
          <w:color w:val="auto"/>
        </w:rPr>
        <w:t>COBRA</w:t>
      </w:r>
      <w:r>
        <w:rPr>
          <w:rFonts w:ascii="Arial" w:cs="Arial" w:eastAsia="Arial" w:hAnsi="Arial"/>
          <w:sz w:val="14"/>
          <w:szCs w:val="14"/>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49" w:lineRule="exact"/>
        <w:rPr>
          <w:rFonts w:ascii="Arial" w:cs="Arial" w:eastAsia="Arial" w:hAnsi="Arial"/>
          <w:sz w:val="14"/>
          <w:szCs w:val="14"/>
          <w:color w:val="auto"/>
        </w:rPr>
      </w:pPr>
    </w:p>
    <w:p>
      <w:pPr>
        <w:ind w:left="7" w:right="60" w:firstLine="549"/>
        <w:spacing w:after="0" w:line="271" w:lineRule="auto"/>
        <w:tabs>
          <w:tab w:leader="none" w:pos="1128" w:val="left"/>
        </w:tabs>
        <w:numPr>
          <w:ilvl w:val="0"/>
          <w:numId w:val="416"/>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4"/>
          <w:szCs w:val="14"/>
          <w:u w:val="single" w:color="auto"/>
          <w:color w:val="auto"/>
        </w:rPr>
        <w:t>Section 3(a)(iv)</w:t>
      </w:r>
      <w:r>
        <w:rPr>
          <w:rFonts w:ascii="Arial" w:cs="Arial" w:eastAsia="Arial" w:hAnsi="Arial"/>
          <w:sz w:val="14"/>
          <w:szCs w:val="14"/>
          <w:color w:val="auto"/>
        </w:rPr>
        <w:t xml:space="preserve">, or pursuant to </w:t>
      </w:r>
      <w:r>
        <w:rPr>
          <w:rFonts w:ascii="Arial" w:cs="Arial" w:eastAsia="Arial" w:hAnsi="Arial"/>
          <w:sz w:val="14"/>
          <w:szCs w:val="14"/>
          <w:u w:val="single" w:color="auto"/>
          <w:color w:val="auto"/>
        </w:rPr>
        <w:t>Section 3(a)(v)</w:t>
      </w:r>
      <w:r>
        <w:rPr>
          <w:rFonts w:ascii="Arial" w:cs="Arial" w:eastAsia="Arial" w:hAnsi="Arial"/>
          <w:sz w:val="14"/>
          <w:szCs w:val="14"/>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Executive shall receive, in addition to the payments and benefits set forth in </w:t>
      </w:r>
      <w:r>
        <w:rPr>
          <w:rFonts w:ascii="Arial" w:cs="Arial" w:eastAsia="Arial" w:hAnsi="Arial"/>
          <w:sz w:val="14"/>
          <w:szCs w:val="14"/>
          <w:u w:val="single" w:color="auto"/>
          <w:color w:val="auto"/>
        </w:rPr>
        <w:t>Section 3(c)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4(b)</w:t>
      </w:r>
      <w:r>
        <w:rPr>
          <w:rFonts w:ascii="Arial" w:cs="Arial" w:eastAsia="Arial" w:hAnsi="Arial"/>
          <w:sz w:val="14"/>
          <w:szCs w:val="14"/>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ectPr>
          <w:pgSz w:w="11900" w:h="16838" w:orient="portrait"/>
          <w:cols w:equalWidth="0" w:num="1">
            <w:col w:w="11447"/>
          </w:cols>
          <w:pgMar w:left="233" w:top="129" w:right="219" w:bottom="0" w:gutter="0" w:footer="0" w:header="0"/>
        </w:sectPr>
      </w:pPr>
    </w:p>
    <w:bookmarkStart w:id="388" w:name="page389"/>
    <w:bookmarkEnd w:id="388"/>
    <w:p>
      <w:pPr>
        <w:ind w:left="7" w:right="60" w:firstLine="549"/>
        <w:spacing w:after="0" w:line="289" w:lineRule="auto"/>
        <w:tabs>
          <w:tab w:leader="none" w:pos="1125" w:val="left"/>
        </w:tabs>
        <w:numPr>
          <w:ilvl w:val="1"/>
          <w:numId w:val="417"/>
        </w:numPr>
        <w:rPr>
          <w:rFonts w:ascii="Arial" w:cs="Arial" w:eastAsia="Arial" w:hAnsi="Arial"/>
          <w:sz w:val="15"/>
          <w:szCs w:val="15"/>
          <w:color w:val="auto"/>
        </w:rPr>
      </w:pP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Notwithstanding anything to the contrary in this Agreement, the provisions of </w:t>
      </w:r>
      <w:r>
        <w:rPr>
          <w:rFonts w:ascii="Arial" w:cs="Arial" w:eastAsia="Arial" w:hAnsi="Arial"/>
          <w:sz w:val="15"/>
          <w:szCs w:val="15"/>
          <w:u w:val="single" w:color="auto"/>
          <w:color w:val="auto"/>
        </w:rPr>
        <w:t>Sections 5</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9</w:t>
      </w:r>
      <w:r>
        <w:rPr>
          <w:rFonts w:ascii="Arial" w:cs="Arial" w:eastAsia="Arial" w:hAnsi="Arial"/>
          <w:sz w:val="15"/>
          <w:szCs w:val="15"/>
          <w:color w:val="auto"/>
        </w:rPr>
        <w:t xml:space="preserve"> will survive the termination of Executive’s employment and the termination of the Term.</w:t>
      </w:r>
    </w:p>
    <w:p>
      <w:pPr>
        <w:spacing w:after="0" w:line="134" w:lineRule="exact"/>
        <w:rPr>
          <w:rFonts w:ascii="Arial" w:cs="Arial" w:eastAsia="Arial" w:hAnsi="Arial"/>
          <w:sz w:val="15"/>
          <w:szCs w:val="15"/>
          <w:color w:val="auto"/>
        </w:rPr>
      </w:pPr>
    </w:p>
    <w:p>
      <w:pPr>
        <w:ind w:left="7" w:right="40" w:hanging="7"/>
        <w:spacing w:after="0" w:line="278" w:lineRule="auto"/>
        <w:tabs>
          <w:tab w:leader="none" w:pos="563" w:val="left"/>
        </w:tabs>
        <w:numPr>
          <w:ilvl w:val="0"/>
          <w:numId w:val="41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Restrictive Covenants</w:t>
      </w:r>
      <w:r>
        <w:rPr>
          <w:rFonts w:ascii="Arial" w:cs="Arial" w:eastAsia="Arial" w:hAnsi="Arial"/>
          <w:sz w:val="15"/>
          <w:szCs w:val="15"/>
          <w:b w:val="1"/>
          <w:bCs w:val="1"/>
          <w:color w:val="auto"/>
        </w:rPr>
        <w:t xml:space="preserve">. </w:t>
      </w:r>
      <w:r>
        <w:rPr>
          <w:rFonts w:ascii="Arial" w:cs="Arial" w:eastAsia="Arial" w:hAnsi="Arial"/>
          <w:sz w:val="15"/>
          <w:szCs w:val="15"/>
          <w:color w:val="auto"/>
        </w:rPr>
        <w:t>As a condition to the effectiveness of this Agreement, Executive will execute and deliver to the Company contemporaneously herewith the Restrictive</w:t>
      </w:r>
      <w:r>
        <w:rPr>
          <w:rFonts w:ascii="Arial" w:cs="Arial" w:eastAsia="Arial" w:hAnsi="Arial"/>
          <w:sz w:val="15"/>
          <w:szCs w:val="15"/>
          <w:b w:val="1"/>
          <w:bCs w:val="1"/>
          <w:color w:val="auto"/>
        </w:rPr>
        <w:t xml:space="preserve"> </w:t>
      </w:r>
      <w:r>
        <w:rPr>
          <w:rFonts w:ascii="Arial" w:cs="Arial" w:eastAsia="Arial" w:hAnsi="Arial"/>
          <w:sz w:val="15"/>
          <w:szCs w:val="15"/>
          <w:color w:val="auto"/>
        </w:rPr>
        <w:t>Covenant Agreement. Executive agrees to abide by the terms of the Restrictive Covenant Agreement, which are hereby incorporated by reference into this Agreement. Executive acknowledges that the provisions of the</w:t>
      </w:r>
    </w:p>
    <w:p>
      <w:pPr>
        <w:spacing w:after="0" w:line="148"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720"/>
        <w:spacing w:after="0" w:line="289" w:lineRule="auto"/>
        <w:rPr>
          <w:sz w:val="20"/>
          <w:szCs w:val="20"/>
          <w:color w:val="auto"/>
        </w:rPr>
      </w:pPr>
      <w:r>
        <w:rPr>
          <w:rFonts w:ascii="Arial" w:cs="Arial" w:eastAsia="Arial" w:hAnsi="Arial"/>
          <w:sz w:val="15"/>
          <w:szCs w:val="15"/>
          <w:color w:val="auto"/>
        </w:rPr>
        <w:t>Restrictive Covenant Agreement will survive the termination of Executive’s employment and the termination of the Term for the periods set forth in the Restrictive Covenant Agreement.</w:t>
      </w:r>
    </w:p>
    <w:p>
      <w:pPr>
        <w:spacing w:after="0" w:line="135" w:lineRule="exact"/>
        <w:rPr>
          <w:sz w:val="20"/>
          <w:szCs w:val="20"/>
          <w:color w:val="auto"/>
        </w:rPr>
      </w:pPr>
    </w:p>
    <w:p>
      <w:pPr>
        <w:ind w:left="547" w:hanging="547"/>
        <w:spacing w:after="0"/>
        <w:tabs>
          <w:tab w:leader="none" w:pos="547" w:val="left"/>
        </w:tabs>
        <w:numPr>
          <w:ilvl w:val="0"/>
          <w:numId w:val="41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Assignment and Successors</w:t>
      </w:r>
      <w:r>
        <w:rPr>
          <w:rFonts w:ascii="Arial" w:cs="Arial" w:eastAsia="Arial" w:hAnsi="Arial"/>
          <w:sz w:val="15"/>
          <w:szCs w:val="15"/>
          <w:b w:val="1"/>
          <w:bCs w:val="1"/>
          <w:color w:val="auto"/>
        </w:rPr>
        <w:t>.</w:t>
      </w:r>
    </w:p>
    <w:p>
      <w:pPr>
        <w:spacing w:after="0" w:line="204" w:lineRule="exact"/>
        <w:rPr>
          <w:sz w:val="20"/>
          <w:szCs w:val="20"/>
          <w:color w:val="auto"/>
        </w:rPr>
      </w:pPr>
    </w:p>
    <w:p>
      <w:pPr>
        <w:ind w:left="7" w:right="60" w:firstLine="556"/>
        <w:spacing w:after="0" w:line="264" w:lineRule="auto"/>
        <w:rPr>
          <w:sz w:val="20"/>
          <w:szCs w:val="20"/>
          <w:color w:val="auto"/>
        </w:rPr>
      </w:pPr>
      <w:r>
        <w:rPr>
          <w:rFonts w:ascii="Arial" w:cs="Arial" w:eastAsia="Arial" w:hAnsi="Arial"/>
          <w:sz w:val="15"/>
          <w:szCs w:val="15"/>
          <w:color w:val="auto"/>
        </w:rPr>
        <w:t>The Company must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53" w:lineRule="exact"/>
        <w:rPr>
          <w:sz w:val="20"/>
          <w:szCs w:val="20"/>
          <w:color w:val="auto"/>
        </w:rPr>
      </w:pPr>
    </w:p>
    <w:p>
      <w:pPr>
        <w:ind w:left="547" w:hanging="547"/>
        <w:spacing w:after="0"/>
        <w:tabs>
          <w:tab w:leader="none" w:pos="547" w:val="left"/>
        </w:tabs>
        <w:numPr>
          <w:ilvl w:val="0"/>
          <w:numId w:val="42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Certain Definitions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1107" w:hanging="551"/>
        <w:spacing w:after="0"/>
        <w:tabs>
          <w:tab w:leader="none" w:pos="1107" w:val="left"/>
        </w:tabs>
        <w:numPr>
          <w:ilvl w:val="1"/>
          <w:numId w:val="420"/>
        </w:numPr>
        <w:rPr>
          <w:rFonts w:ascii="Arial" w:cs="Arial" w:eastAsia="Arial" w:hAnsi="Arial"/>
          <w:sz w:val="15"/>
          <w:szCs w:val="15"/>
          <w:color w:val="auto"/>
        </w:rPr>
      </w:pPr>
      <w:r>
        <w:rPr>
          <w:rFonts w:ascii="Arial" w:cs="Arial" w:eastAsia="Arial" w:hAnsi="Arial"/>
          <w:sz w:val="15"/>
          <w:szCs w:val="15"/>
          <w:u w:val="single" w:color="auto"/>
          <w:color w:val="auto"/>
        </w:rPr>
        <w:t>Cause</w:t>
      </w:r>
      <w:r>
        <w:rPr>
          <w:rFonts w:ascii="Arial" w:cs="Arial" w:eastAsia="Arial" w:hAnsi="Arial"/>
          <w:sz w:val="15"/>
          <w:szCs w:val="15"/>
          <w:color w:val="auto"/>
        </w:rPr>
        <w:t>. The Company shall have “Cause” to terminate Executive’s employment hereunder upon:</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20"/>
        </w:numPr>
        <w:rPr>
          <w:rFonts w:ascii="Arial" w:cs="Arial" w:eastAsia="Arial" w:hAnsi="Arial"/>
          <w:sz w:val="15"/>
          <w:szCs w:val="15"/>
          <w:color w:val="auto"/>
        </w:rPr>
      </w:pPr>
      <w:r>
        <w:rPr>
          <w:rFonts w:ascii="Arial" w:cs="Arial" w:eastAsia="Arial" w:hAnsi="Arial"/>
          <w:sz w:val="15"/>
          <w:szCs w:val="15"/>
          <w:color w:val="auto"/>
        </w:rPr>
        <w:t>Executive’s commission of, or indictment or conviction of, any felony or any crime involving dishonesty by Executive;</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20"/>
        </w:numPr>
        <w:rPr>
          <w:rFonts w:ascii="Arial" w:cs="Arial" w:eastAsia="Arial" w:hAnsi="Arial"/>
          <w:sz w:val="15"/>
          <w:szCs w:val="15"/>
          <w:color w:val="auto"/>
        </w:rPr>
      </w:pPr>
      <w:r>
        <w:rPr>
          <w:rFonts w:ascii="Arial" w:cs="Arial" w:eastAsia="Arial" w:hAnsi="Arial"/>
          <w:sz w:val="15"/>
          <w:szCs w:val="15"/>
          <w:color w:val="auto"/>
        </w:rPr>
        <w:t>Executive’s participation in any fraud against the Company;</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420"/>
        </w:numPr>
        <w:rPr>
          <w:rFonts w:ascii="Arial" w:cs="Arial" w:eastAsia="Arial" w:hAnsi="Arial"/>
          <w:sz w:val="15"/>
          <w:szCs w:val="15"/>
          <w:color w:val="auto"/>
        </w:rPr>
      </w:pPr>
      <w:r>
        <w:rPr>
          <w:rFonts w:ascii="Arial" w:cs="Arial" w:eastAsia="Arial" w:hAnsi="Arial"/>
          <w:sz w:val="15"/>
          <w:szCs w:val="15"/>
          <w:color w:val="auto"/>
        </w:rPr>
        <w:t>any intentional damage to any property of the Company by Executive;</w:t>
      </w:r>
    </w:p>
    <w:p>
      <w:pPr>
        <w:spacing w:after="0" w:line="198" w:lineRule="exact"/>
        <w:rPr>
          <w:rFonts w:ascii="Arial" w:cs="Arial" w:eastAsia="Arial" w:hAnsi="Arial"/>
          <w:sz w:val="15"/>
          <w:szCs w:val="15"/>
          <w:color w:val="auto"/>
        </w:rPr>
      </w:pPr>
    </w:p>
    <w:p>
      <w:pPr>
        <w:ind w:left="547" w:right="40" w:firstLine="564"/>
        <w:spacing w:after="0" w:line="289" w:lineRule="auto"/>
        <w:tabs>
          <w:tab w:leader="none" w:pos="1674" w:val="left"/>
        </w:tabs>
        <w:numPr>
          <w:ilvl w:val="2"/>
          <w:numId w:val="420"/>
        </w:numPr>
        <w:rPr>
          <w:rFonts w:ascii="Arial" w:cs="Arial" w:eastAsia="Arial" w:hAnsi="Arial"/>
          <w:sz w:val="15"/>
          <w:szCs w:val="15"/>
          <w:color w:val="auto"/>
        </w:rPr>
      </w:pPr>
      <w:r>
        <w:rPr>
          <w:rFonts w:ascii="Arial" w:cs="Arial" w:eastAsia="Arial" w:hAnsi="Arial"/>
          <w:sz w:val="15"/>
          <w:szCs w:val="15"/>
          <w:color w:val="auto"/>
        </w:rPr>
        <w:t>Executive’s misconduct which materially and adversely reflects upon the business, operations, or reputation of the Company, which misconduct has not been cured (or cannot be cured) within thirty (30) days after the Company gives written notice to Executive regarding such misconduct; or</w:t>
      </w:r>
    </w:p>
    <w:p>
      <w:pPr>
        <w:spacing w:after="0" w:line="140" w:lineRule="exact"/>
        <w:rPr>
          <w:rFonts w:ascii="Arial" w:cs="Arial" w:eastAsia="Arial" w:hAnsi="Arial"/>
          <w:sz w:val="15"/>
          <w:szCs w:val="15"/>
          <w:color w:val="auto"/>
        </w:rPr>
      </w:pPr>
    </w:p>
    <w:p>
      <w:pPr>
        <w:ind w:left="547" w:right="80" w:firstLine="564"/>
        <w:spacing w:after="0" w:line="289" w:lineRule="auto"/>
        <w:tabs>
          <w:tab w:leader="none" w:pos="1665" w:val="left"/>
        </w:tabs>
        <w:numPr>
          <w:ilvl w:val="2"/>
          <w:numId w:val="420"/>
        </w:numPr>
        <w:rPr>
          <w:rFonts w:ascii="Arial" w:cs="Arial" w:eastAsia="Arial" w:hAnsi="Arial"/>
          <w:sz w:val="15"/>
          <w:szCs w:val="15"/>
          <w:color w:val="auto"/>
        </w:rPr>
      </w:pPr>
      <w:r>
        <w:rPr>
          <w:rFonts w:ascii="Arial" w:cs="Arial" w:eastAsia="Arial" w:hAnsi="Arial"/>
          <w:sz w:val="15"/>
          <w:szCs w:val="15"/>
          <w:color w:val="auto"/>
        </w:rPr>
        <w:t>Executive’s breach of any material provision of this Agreement or any other written agreement between Executive and the Company and failure to cure such breach (if capable of cure) within thirty (30) days after the Company gives written notice to Executive regarding such breach.</w:t>
      </w:r>
    </w:p>
    <w:p>
      <w:pPr>
        <w:spacing w:after="0" w:line="140" w:lineRule="exact"/>
        <w:rPr>
          <w:rFonts w:ascii="Arial" w:cs="Arial" w:eastAsia="Arial" w:hAnsi="Arial"/>
          <w:sz w:val="15"/>
          <w:szCs w:val="15"/>
          <w:color w:val="auto"/>
        </w:rPr>
      </w:pPr>
    </w:p>
    <w:p>
      <w:pPr>
        <w:ind w:left="1127" w:hanging="571"/>
        <w:spacing w:after="0"/>
        <w:tabs>
          <w:tab w:leader="none" w:pos="1127" w:val="left"/>
        </w:tabs>
        <w:numPr>
          <w:ilvl w:val="1"/>
          <w:numId w:val="420"/>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“Change in Control” shall have the meaning set forth in the version of the Selecta Biosciences, Inc. 2016 Incentive Award Plan in effect on the</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Effective Date.</w:t>
      </w:r>
    </w:p>
    <w:p>
      <w:pPr>
        <w:spacing w:after="0" w:line="187" w:lineRule="exact"/>
        <w:rPr>
          <w:rFonts w:ascii="Arial" w:cs="Arial" w:eastAsia="Arial" w:hAnsi="Arial"/>
          <w:sz w:val="14"/>
          <w:szCs w:val="14"/>
          <w:color w:val="auto"/>
        </w:rPr>
      </w:pPr>
    </w:p>
    <w:p>
      <w:pPr>
        <w:ind w:left="1127" w:hanging="571"/>
        <w:spacing w:after="0"/>
        <w:tabs>
          <w:tab w:leader="none" w:pos="1127" w:val="left"/>
        </w:tabs>
        <w:numPr>
          <w:ilvl w:val="1"/>
          <w:numId w:val="420"/>
        </w:numPr>
        <w:rPr>
          <w:rFonts w:ascii="Arial" w:cs="Arial" w:eastAsia="Arial" w:hAnsi="Arial"/>
          <w:sz w:val="15"/>
          <w:szCs w:val="15"/>
          <w:color w:val="auto"/>
        </w:rPr>
      </w:pPr>
      <w:r>
        <w:rPr>
          <w:rFonts w:ascii="Arial" w:cs="Arial" w:eastAsia="Arial" w:hAnsi="Arial"/>
          <w:sz w:val="15"/>
          <w:szCs w:val="15"/>
          <w:u w:val="single" w:color="auto"/>
          <w:color w:val="auto"/>
        </w:rPr>
        <w:t>Code</w:t>
      </w:r>
      <w:r>
        <w:rPr>
          <w:rFonts w:ascii="Arial" w:cs="Arial" w:eastAsia="Arial" w:hAnsi="Arial"/>
          <w:sz w:val="15"/>
          <w:szCs w:val="15"/>
          <w:color w:val="auto"/>
        </w:rPr>
        <w:t>. “Code” shall mean the Internal Revenue Code of 1986, as amended, and the regulations and guidance promulgated thereunder.</w:t>
      </w:r>
    </w:p>
    <w:p>
      <w:pPr>
        <w:spacing w:after="0" w:line="198" w:lineRule="exact"/>
        <w:rPr>
          <w:rFonts w:ascii="Arial" w:cs="Arial" w:eastAsia="Arial" w:hAnsi="Arial"/>
          <w:sz w:val="15"/>
          <w:szCs w:val="15"/>
          <w:color w:val="auto"/>
        </w:rPr>
      </w:pPr>
    </w:p>
    <w:p>
      <w:pPr>
        <w:ind w:left="7" w:right="380" w:firstLine="549"/>
        <w:spacing w:after="0" w:line="273" w:lineRule="auto"/>
        <w:tabs>
          <w:tab w:leader="none" w:pos="1125" w:val="left"/>
        </w:tabs>
        <w:numPr>
          <w:ilvl w:val="1"/>
          <w:numId w:val="420"/>
        </w:numPr>
        <w:rPr>
          <w:rFonts w:ascii="Arial" w:cs="Arial" w:eastAsia="Arial" w:hAnsi="Arial"/>
          <w:sz w:val="15"/>
          <w:szCs w:val="15"/>
          <w:color w:val="auto"/>
        </w:rPr>
      </w:pPr>
      <w:r>
        <w:rPr>
          <w:rFonts w:ascii="Arial" w:cs="Arial" w:eastAsia="Arial" w:hAnsi="Arial"/>
          <w:sz w:val="15"/>
          <w:szCs w:val="15"/>
          <w:u w:val="single" w:color="auto"/>
          <w:color w:val="auto"/>
        </w:rPr>
        <w:t>Date of Termination</w:t>
      </w:r>
      <w:r>
        <w:rPr>
          <w:rFonts w:ascii="Arial" w:cs="Arial" w:eastAsia="Arial" w:hAnsi="Arial"/>
          <w:sz w:val="15"/>
          <w:szCs w:val="15"/>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5"/>
          <w:szCs w:val="15"/>
          <w:u w:val="single" w:color="auto"/>
          <w:color w:val="auto"/>
        </w:rPr>
        <w:t>Section 3(a)(ii) — (vi)</w:t>
      </w:r>
      <w:r>
        <w:rPr>
          <w:rFonts w:ascii="Arial" w:cs="Arial" w:eastAsia="Arial" w:hAnsi="Arial"/>
          <w:sz w:val="15"/>
          <w:szCs w:val="15"/>
          <w:color w:val="auto"/>
        </w:rPr>
        <w:t xml:space="preserve"> either the date indicated in the Notice of Termination or the date specified by the Company pursuant to </w:t>
      </w:r>
      <w:r>
        <w:rPr>
          <w:rFonts w:ascii="Arial" w:cs="Arial" w:eastAsia="Arial" w:hAnsi="Arial"/>
          <w:sz w:val="15"/>
          <w:szCs w:val="15"/>
          <w:u w:val="single" w:color="auto"/>
          <w:color w:val="auto"/>
        </w:rPr>
        <w:t>Section 3(b)</w:t>
      </w:r>
      <w:r>
        <w:rPr>
          <w:rFonts w:ascii="Arial" w:cs="Arial" w:eastAsia="Arial" w:hAnsi="Arial"/>
          <w:sz w:val="15"/>
          <w:szCs w:val="15"/>
          <w:color w:val="auto"/>
        </w:rPr>
        <w:t>, whichever is earlier.</w:t>
      </w:r>
    </w:p>
    <w:p>
      <w:pPr>
        <w:spacing w:after="0" w:line="153"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firstLine="549"/>
        <w:spacing w:after="0" w:line="261" w:lineRule="auto"/>
        <w:tabs>
          <w:tab w:leader="none" w:pos="1128" w:val="left"/>
        </w:tabs>
        <w:numPr>
          <w:ilvl w:val="1"/>
          <w:numId w:val="421"/>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5"/>
          <w:szCs w:val="15"/>
          <w:i w:val="1"/>
          <w:iCs w:val="1"/>
          <w:color w:val="auto"/>
        </w:rPr>
        <w:t>provided, however</w:t>
      </w:r>
      <w:r>
        <w:rPr>
          <w:rFonts w:ascii="Arial" w:cs="Arial" w:eastAsia="Arial" w:hAnsi="Arial"/>
          <w:sz w:val="15"/>
          <w:szCs w:val="15"/>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64" w:lineRule="exact"/>
        <w:rPr>
          <w:rFonts w:ascii="Arial" w:cs="Arial" w:eastAsia="Arial" w:hAnsi="Arial"/>
          <w:sz w:val="15"/>
          <w:szCs w:val="15"/>
          <w:color w:val="auto"/>
        </w:rPr>
      </w:pPr>
    </w:p>
    <w:p>
      <w:pPr>
        <w:ind w:left="7" w:right="60" w:firstLine="549"/>
        <w:spacing w:after="0" w:line="262" w:lineRule="auto"/>
        <w:tabs>
          <w:tab w:leader="none" w:pos="1123" w:val="left"/>
        </w:tabs>
        <w:numPr>
          <w:ilvl w:val="1"/>
          <w:numId w:val="421"/>
        </w:numPr>
        <w:rPr>
          <w:rFonts w:ascii="Arial" w:cs="Arial" w:eastAsia="Arial" w:hAnsi="Arial"/>
          <w:sz w:val="15"/>
          <w:szCs w:val="15"/>
          <w:color w:val="auto"/>
        </w:rPr>
      </w:pPr>
      <w:r>
        <w:rPr>
          <w:rFonts w:ascii="Arial" w:cs="Arial" w:eastAsia="Arial" w:hAnsi="Arial"/>
          <w:sz w:val="15"/>
          <w:szCs w:val="15"/>
          <w:u w:val="single" w:color="auto"/>
          <w:color w:val="auto"/>
        </w:rPr>
        <w:t>Good Reason</w:t>
      </w:r>
      <w:r>
        <w:rPr>
          <w:rFonts w:ascii="Arial" w:cs="Arial" w:eastAsia="Arial" w:hAnsi="Arial"/>
          <w:sz w:val="15"/>
          <w:szCs w:val="15"/>
          <w:color w:val="auto"/>
        </w:rPr>
        <w:t>. For the sole purpose of determining Executive’s right to severance payments and benefits as described above, Executive’s resignation will be with “Good Reason” if Executive resigns within one year after any of the following events, unless Executive consents to the applicable event in writing: (i) a material reduction in Executive’s Annual Base Salary or Target Bonus, (ii) a material diminution in Executive’s authority, title, duties or areas of responsibility, (iii) the requirement that Executive report to someone other than the Chief Executive Officer, (iv) the relocation of Executive’s primary office to a location more than 40 miles from the Boston metropolitan area, or (v) a 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thirty (30) days after the receipt of such notice.</w:t>
      </w:r>
    </w:p>
    <w:p>
      <w:pPr>
        <w:spacing w:after="0" w:line="155" w:lineRule="exact"/>
        <w:rPr>
          <w:rFonts w:ascii="Arial" w:cs="Arial" w:eastAsia="Arial" w:hAnsi="Arial"/>
          <w:sz w:val="15"/>
          <w:szCs w:val="15"/>
          <w:color w:val="auto"/>
        </w:rPr>
      </w:pPr>
    </w:p>
    <w:p>
      <w:pPr>
        <w:ind w:left="547" w:hanging="547"/>
        <w:spacing w:after="0"/>
        <w:tabs>
          <w:tab w:leader="none" w:pos="547" w:val="left"/>
        </w:tabs>
        <w:numPr>
          <w:ilvl w:val="0"/>
          <w:numId w:val="42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Parachute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 w:firstLine="549"/>
        <w:spacing w:after="0" w:line="282" w:lineRule="auto"/>
        <w:tabs>
          <w:tab w:leader="none" w:pos="1117" w:val="left"/>
        </w:tabs>
        <w:numPr>
          <w:ilvl w:val="1"/>
          <w:numId w:val="422"/>
        </w:numPr>
        <w:rPr>
          <w:rFonts w:ascii="Arial" w:cs="Arial" w:eastAsia="Arial" w:hAnsi="Arial"/>
          <w:sz w:val="14"/>
          <w:szCs w:val="14"/>
          <w:color w:val="auto"/>
        </w:rPr>
      </w:pPr>
      <w:r>
        <w:rPr>
          <w:rFonts w:ascii="Arial" w:cs="Arial" w:eastAsia="Arial" w:hAnsi="Arial"/>
          <w:sz w:val="14"/>
          <w:szCs w:val="14"/>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4"/>
          <w:szCs w:val="14"/>
          <w:u w:val="single" w:color="auto"/>
          <w:color w:val="auto"/>
        </w:rPr>
        <w:t>Section 4(b)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4(c)</w:t>
      </w:r>
      <w:r>
        <w:rPr>
          <w:rFonts w:ascii="Arial" w:cs="Arial" w:eastAsia="Arial" w:hAnsi="Arial"/>
          <w:sz w:val="14"/>
          <w:szCs w:val="14"/>
          <w:color w:val="auto"/>
        </w:rPr>
        <w:t xml:space="preserve"> hereof, being hereinafter referred to as the “</w:t>
      </w:r>
      <w:r>
        <w:rPr>
          <w:rFonts w:ascii="Arial" w:cs="Arial" w:eastAsia="Arial" w:hAnsi="Arial"/>
          <w:sz w:val="14"/>
          <w:szCs w:val="14"/>
          <w:u w:val="single" w:color="auto"/>
          <w:color w:val="auto"/>
        </w:rPr>
        <w:t>Total Payments</w:t>
      </w:r>
      <w:r>
        <w:rPr>
          <w:rFonts w:ascii="Arial" w:cs="Arial" w:eastAsia="Arial" w:hAnsi="Arial"/>
          <w:sz w:val="14"/>
          <w:szCs w:val="14"/>
          <w:color w:val="auto"/>
        </w:rPr>
        <w:t>”), would be subject (in whole or in part) to the excise tax imposed by Section 4999 of the Code (the “</w:t>
      </w:r>
      <w:r>
        <w:rPr>
          <w:rFonts w:ascii="Arial" w:cs="Arial" w:eastAsia="Arial" w:hAnsi="Arial"/>
          <w:sz w:val="14"/>
          <w:szCs w:val="14"/>
          <w:u w:val="single" w:color="auto"/>
          <w:color w:val="auto"/>
        </w:rPr>
        <w:t>Excise Tax</w:t>
      </w:r>
      <w:r>
        <w:rPr>
          <w:rFonts w:ascii="Arial" w:cs="Arial" w:eastAsia="Arial" w:hAnsi="Arial"/>
          <w:sz w:val="14"/>
          <w:szCs w:val="14"/>
          <w:color w:val="auto"/>
        </w:rPr>
        <w:t xml:space="preserve">”), then the Total Payments shall be reduced (in the order provided in </w:t>
      </w:r>
      <w:r>
        <w:rPr>
          <w:rFonts w:ascii="Arial" w:cs="Arial" w:eastAsia="Arial" w:hAnsi="Arial"/>
          <w:sz w:val="14"/>
          <w:szCs w:val="14"/>
          <w:u w:val="single" w:color="auto"/>
          <w:color w:val="auto"/>
        </w:rPr>
        <w:t>Section 8(b)</w:t>
      </w:r>
      <w:r>
        <w:rPr>
          <w:rFonts w:ascii="Arial" w:cs="Arial" w:eastAsia="Arial" w:hAnsi="Arial"/>
          <w:sz w:val="14"/>
          <w:szCs w:val="14"/>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1"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27"/>
          </w:cols>
          <w:pgMar w:left="233" w:top="314" w:right="239" w:bottom="291" w:gutter="0" w:footer="0" w:header="0"/>
        </w:sectPr>
      </w:pPr>
    </w:p>
    <w:bookmarkStart w:id="389" w:name="page390"/>
    <w:bookmarkEnd w:id="389"/>
    <w:p>
      <w:pPr>
        <w:ind w:left="7" w:right="180" w:firstLine="549"/>
        <w:spacing w:after="0" w:line="265" w:lineRule="auto"/>
        <w:tabs>
          <w:tab w:leader="none" w:pos="1125" w:val="left"/>
        </w:tabs>
        <w:numPr>
          <w:ilvl w:val="1"/>
          <w:numId w:val="423"/>
        </w:numPr>
        <w:rPr>
          <w:rFonts w:ascii="Arial" w:cs="Arial" w:eastAsia="Arial" w:hAnsi="Arial"/>
          <w:sz w:val="15"/>
          <w:szCs w:val="15"/>
          <w:color w:val="auto"/>
        </w:rPr>
      </w:pPr>
      <w:r>
        <w:rPr>
          <w:rFonts w:ascii="Arial" w:cs="Arial" w:eastAsia="Arial" w:hAnsi="Arial"/>
          <w:sz w:val="15"/>
          <w:szCs w:val="15"/>
          <w:color w:val="auto"/>
        </w:rPr>
        <w:t>The Total Payments shall be reduced in the following order: (i) reduction on a pro-rata basis of any cash severance payments that are exempt from Section 409A of the Code (“</w:t>
      </w:r>
      <w:r>
        <w:rPr>
          <w:rFonts w:ascii="Arial" w:cs="Arial" w:eastAsia="Arial" w:hAnsi="Arial"/>
          <w:sz w:val="15"/>
          <w:szCs w:val="15"/>
          <w:u w:val="single" w:color="auto"/>
          <w:color w:val="auto"/>
        </w:rPr>
        <w:t>Section 409A</w:t>
      </w:r>
      <w:r>
        <w:rPr>
          <w:rFonts w:ascii="Arial" w:cs="Arial" w:eastAsia="Arial" w:hAnsi="Arial"/>
          <w:sz w:val="15"/>
          <w:szCs w:val="15"/>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59" w:lineRule="exact"/>
        <w:rPr>
          <w:rFonts w:ascii="Arial" w:cs="Arial" w:eastAsia="Arial" w:hAnsi="Arial"/>
          <w:sz w:val="15"/>
          <w:szCs w:val="15"/>
          <w:color w:val="auto"/>
        </w:rPr>
      </w:pPr>
    </w:p>
    <w:p>
      <w:pPr>
        <w:ind w:left="7" w:right="100" w:firstLine="549"/>
        <w:spacing w:after="0" w:line="280" w:lineRule="auto"/>
        <w:tabs>
          <w:tab w:leader="none" w:pos="1128" w:val="left"/>
        </w:tabs>
        <w:numPr>
          <w:ilvl w:val="1"/>
          <w:numId w:val="423"/>
        </w:numPr>
        <w:rPr>
          <w:rFonts w:ascii="Arial" w:cs="Arial" w:eastAsia="Arial" w:hAnsi="Arial"/>
          <w:sz w:val="14"/>
          <w:szCs w:val="14"/>
          <w:color w:val="auto"/>
        </w:rPr>
      </w:pPr>
      <w:r>
        <w:rPr>
          <w:rFonts w:ascii="Arial" w:cs="Arial" w:eastAsia="Arial" w:hAnsi="Arial"/>
          <w:sz w:val="14"/>
          <w:szCs w:val="14"/>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4"/>
          <w:szCs w:val="14"/>
          <w:u w:val="single" w:color="auto"/>
          <w:color w:val="auto"/>
        </w:rPr>
        <w:t>Independent Advisors</w:t>
      </w:r>
      <w:r>
        <w:rPr>
          <w:rFonts w:ascii="Arial" w:cs="Arial" w:eastAsia="Arial" w:hAnsi="Arial"/>
          <w:sz w:val="14"/>
          <w:szCs w:val="14"/>
          <w:color w:val="auto"/>
        </w:rPr>
        <w:t xml:space="preserve">”) to make determinations regarding the application of this </w:t>
      </w:r>
      <w:r>
        <w:rPr>
          <w:rFonts w:ascii="Arial" w:cs="Arial" w:eastAsia="Arial" w:hAnsi="Arial"/>
          <w:sz w:val="14"/>
          <w:szCs w:val="14"/>
          <w:u w:val="single" w:color="auto"/>
          <w:color w:val="auto"/>
        </w:rPr>
        <w:t>Section 8</w:t>
      </w:r>
      <w:r>
        <w:rPr>
          <w:rFonts w:ascii="Arial" w:cs="Arial" w:eastAsia="Arial" w:hAnsi="Arial"/>
          <w:sz w:val="14"/>
          <w:szCs w:val="14"/>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w:t>
      </w:r>
    </w:p>
    <w:p>
      <w:pPr>
        <w:ind w:left="7" w:right="160" w:hanging="7"/>
        <w:spacing w:after="0" w:line="275" w:lineRule="auto"/>
        <w:tabs>
          <w:tab w:leader="none" w:pos="252" w:val="left"/>
        </w:tabs>
        <w:numPr>
          <w:ilvl w:val="0"/>
          <w:numId w:val="424"/>
        </w:numPr>
        <w:rPr>
          <w:rFonts w:ascii="Arial" w:cs="Arial" w:eastAsia="Arial" w:hAnsi="Arial"/>
          <w:sz w:val="15"/>
          <w:szCs w:val="15"/>
          <w:color w:val="auto"/>
        </w:rPr>
      </w:pPr>
      <w:r>
        <w:rPr>
          <w:rFonts w:ascii="Arial" w:cs="Arial" w:eastAsia="Arial" w:hAnsi="Arial"/>
          <w:sz w:val="15"/>
          <w:szCs w:val="15"/>
          <w:color w:val="auto"/>
        </w:rPr>
        <w:t>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50" w:lineRule="exact"/>
        <w:rPr>
          <w:rFonts w:ascii="Arial" w:cs="Arial" w:eastAsia="Arial" w:hAnsi="Arial"/>
          <w:sz w:val="15"/>
          <w:szCs w:val="15"/>
          <w:color w:val="auto"/>
        </w:rPr>
      </w:pPr>
    </w:p>
    <w:p>
      <w:pPr>
        <w:ind w:left="7" w:firstLine="549"/>
        <w:spacing w:after="0" w:line="284" w:lineRule="auto"/>
        <w:tabs>
          <w:tab w:leader="none" w:pos="1125" w:val="left"/>
        </w:tabs>
        <w:numPr>
          <w:ilvl w:val="1"/>
          <w:numId w:val="424"/>
        </w:numPr>
        <w:rPr>
          <w:rFonts w:ascii="Arial" w:cs="Arial" w:eastAsia="Arial" w:hAnsi="Arial"/>
          <w:sz w:val="14"/>
          <w:szCs w:val="14"/>
          <w:color w:val="auto"/>
        </w:rPr>
      </w:pPr>
      <w:r>
        <w:rPr>
          <w:rFonts w:ascii="Arial" w:cs="Arial" w:eastAsia="Arial" w:hAnsi="Arial"/>
          <w:sz w:val="14"/>
          <w:szCs w:val="14"/>
          <w:color w:val="auto"/>
        </w:rPr>
        <w:t xml:space="preserve">If Executive incurs legal fees or other expenses (including expert witness and accounting fees) in an effort to determine the applicability of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or establish entitlement to or obtain any portion of the Total Payments that have been reduced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(collectively, “</w:t>
      </w:r>
      <w:r>
        <w:rPr>
          <w:rFonts w:ascii="Arial" w:cs="Arial" w:eastAsia="Arial" w:hAnsi="Arial"/>
          <w:sz w:val="14"/>
          <w:szCs w:val="14"/>
          <w:u w:val="single" w:color="auto"/>
          <w:color w:val="auto"/>
        </w:rPr>
        <w:t>Legal and Other Expenses</w:t>
      </w:r>
      <w:r>
        <w:rPr>
          <w:rFonts w:ascii="Arial" w:cs="Arial" w:eastAsia="Arial" w:hAnsi="Arial"/>
          <w:sz w:val="14"/>
          <w:szCs w:val="14"/>
          <w:color w:val="auto"/>
        </w:rPr>
        <w:t xml:space="preserve">”), Executive shall be entitled to payment of or reimbursement for such Legal and Other Expenses in accordance with this </w:t>
      </w:r>
      <w:r>
        <w:rPr>
          <w:rFonts w:ascii="Arial" w:cs="Arial" w:eastAsia="Arial" w:hAnsi="Arial"/>
          <w:sz w:val="14"/>
          <w:szCs w:val="14"/>
          <w:u w:val="single" w:color="auto"/>
          <w:color w:val="auto"/>
        </w:rPr>
        <w:t>Section 8(d)</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Sections 9(l)(iv)</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9(m)</w:t>
      </w:r>
      <w:r>
        <w:rPr>
          <w:rFonts w:ascii="Arial" w:cs="Arial" w:eastAsia="Arial" w:hAnsi="Arial"/>
          <w:sz w:val="14"/>
          <w:szCs w:val="14"/>
          <w:color w:val="auto"/>
        </w:rPr>
        <w:t xml:space="preserve"> and the other provisions of this </w:t>
      </w:r>
      <w:r>
        <w:rPr>
          <w:rFonts w:ascii="Arial" w:cs="Arial" w:eastAsia="Arial" w:hAnsi="Arial"/>
          <w:sz w:val="14"/>
          <w:szCs w:val="14"/>
          <w:u w:val="single" w:color="auto"/>
          <w:color w:val="auto"/>
        </w:rPr>
        <w:t>Section 8</w:t>
      </w:r>
      <w:r>
        <w:rPr>
          <w:rFonts w:ascii="Arial" w:cs="Arial" w:eastAsia="Arial" w:hAnsi="Arial"/>
          <w:sz w:val="14"/>
          <w:szCs w:val="14"/>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48" w:lineRule="exact"/>
        <w:rPr>
          <w:rFonts w:ascii="Arial" w:cs="Arial" w:eastAsia="Arial" w:hAnsi="Arial"/>
          <w:sz w:val="14"/>
          <w:szCs w:val="14"/>
          <w:color w:val="auto"/>
        </w:rPr>
      </w:pPr>
    </w:p>
    <w:p>
      <w:pPr>
        <w:ind w:left="7" w:right="60" w:firstLine="549"/>
        <w:spacing w:after="0" w:line="302" w:lineRule="auto"/>
        <w:tabs>
          <w:tab w:leader="none" w:pos="1128" w:val="left"/>
        </w:tabs>
        <w:numPr>
          <w:ilvl w:val="1"/>
          <w:numId w:val="424"/>
        </w:numPr>
        <w:rPr>
          <w:rFonts w:ascii="Arial" w:cs="Arial" w:eastAsia="Arial" w:hAnsi="Arial"/>
          <w:sz w:val="14"/>
          <w:szCs w:val="14"/>
          <w:color w:val="auto"/>
        </w:rPr>
      </w:pPr>
      <w:r>
        <w:rPr>
          <w:rFonts w:ascii="Arial" w:cs="Arial" w:eastAsia="Arial" w:hAnsi="Arial"/>
          <w:sz w:val="14"/>
          <w:szCs w:val="14"/>
          <w:color w:val="auto"/>
        </w:rPr>
        <w:t xml:space="preserve">In the event it is later determined that to implement the objective and intent of this </w:t>
      </w:r>
      <w:r>
        <w:rPr>
          <w:rFonts w:ascii="Arial" w:cs="Arial" w:eastAsia="Arial" w:hAnsi="Arial"/>
          <w:sz w:val="14"/>
          <w:szCs w:val="14"/>
          <w:u w:val="single" w:color="auto"/>
          <w:color w:val="auto"/>
        </w:rPr>
        <w:t>Section 8</w:t>
      </w:r>
      <w:r>
        <w:rPr>
          <w:rFonts w:ascii="Arial" w:cs="Arial" w:eastAsia="Arial" w:hAnsi="Arial"/>
          <w:sz w:val="14"/>
          <w:szCs w:val="14"/>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27" w:lineRule="exact"/>
        <w:rPr>
          <w:sz w:val="20"/>
          <w:szCs w:val="20"/>
          <w:color w:val="auto"/>
        </w:rPr>
      </w:pPr>
    </w:p>
    <w:p>
      <w:pPr>
        <w:ind w:left="547" w:hanging="547"/>
        <w:spacing w:after="0"/>
        <w:tabs>
          <w:tab w:leader="none" w:pos="547" w:val="left"/>
        </w:tabs>
        <w:numPr>
          <w:ilvl w:val="0"/>
          <w:numId w:val="42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 Provisions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0" w:firstLine="549"/>
        <w:spacing w:after="0" w:line="302" w:lineRule="auto"/>
        <w:tabs>
          <w:tab w:leader="none" w:pos="1117" w:val="left"/>
        </w:tabs>
        <w:numPr>
          <w:ilvl w:val="1"/>
          <w:numId w:val="425"/>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3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40" w:firstLine="549"/>
        <w:spacing w:after="0" w:line="289" w:lineRule="auto"/>
        <w:tabs>
          <w:tab w:leader="none" w:pos="1125" w:val="left"/>
        </w:tabs>
        <w:numPr>
          <w:ilvl w:val="0"/>
          <w:numId w:val="426"/>
        </w:numPr>
        <w:rPr>
          <w:rFonts w:ascii="Arial" w:cs="Arial" w:eastAsia="Arial" w:hAnsi="Arial"/>
          <w:sz w:val="15"/>
          <w:szCs w:val="15"/>
          <w:color w:val="auto"/>
        </w:rPr>
      </w:pPr>
      <w:r>
        <w:rPr>
          <w:rFonts w:ascii="Arial" w:cs="Arial" w:eastAsia="Arial" w:hAnsi="Arial"/>
          <w:sz w:val="15"/>
          <w:szCs w:val="15"/>
          <w:u w:val="single" w:color="auto"/>
          <w:color w:val="auto"/>
        </w:rPr>
        <w:t>Validity</w:t>
      </w:r>
      <w:r>
        <w:rPr>
          <w:rFonts w:ascii="Arial" w:cs="Arial" w:eastAsia="Arial" w:hAnsi="Arial"/>
          <w:sz w:val="15"/>
          <w:szCs w:val="15"/>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40" w:lineRule="exact"/>
        <w:rPr>
          <w:rFonts w:ascii="Arial" w:cs="Arial" w:eastAsia="Arial" w:hAnsi="Arial"/>
          <w:sz w:val="15"/>
          <w:szCs w:val="15"/>
          <w:color w:val="auto"/>
        </w:rPr>
      </w:pPr>
    </w:p>
    <w:p>
      <w:pPr>
        <w:ind w:left="7" w:right="280" w:firstLine="549"/>
        <w:spacing w:after="0" w:line="289" w:lineRule="auto"/>
        <w:tabs>
          <w:tab w:leader="none" w:pos="1128" w:val="left"/>
        </w:tabs>
        <w:numPr>
          <w:ilvl w:val="0"/>
          <w:numId w:val="426"/>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40" w:lineRule="exact"/>
        <w:rPr>
          <w:rFonts w:ascii="Arial" w:cs="Arial" w:eastAsia="Arial" w:hAnsi="Arial"/>
          <w:sz w:val="15"/>
          <w:szCs w:val="15"/>
          <w:color w:val="auto"/>
        </w:rPr>
      </w:pPr>
    </w:p>
    <w:p>
      <w:pPr>
        <w:ind w:left="1687" w:hanging="576"/>
        <w:spacing w:after="0"/>
        <w:tabs>
          <w:tab w:leader="none" w:pos="1687" w:val="left"/>
        </w:tabs>
        <w:numPr>
          <w:ilvl w:val="1"/>
          <w:numId w:val="426"/>
        </w:numPr>
        <w:rPr>
          <w:rFonts w:ascii="Arial" w:cs="Arial" w:eastAsia="Arial" w:hAnsi="Arial"/>
          <w:sz w:val="15"/>
          <w:szCs w:val="15"/>
          <w:color w:val="auto"/>
        </w:rPr>
      </w:pPr>
      <w:r>
        <w:rPr>
          <w:rFonts w:ascii="Arial" w:cs="Arial" w:eastAsia="Arial" w:hAnsi="Arial"/>
          <w:sz w:val="15"/>
          <w:szCs w:val="15"/>
          <w:color w:val="auto"/>
        </w:rPr>
        <w:t>If to the Company, to the General Counsel of the Company at the Company’s headquarters,</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426"/>
        </w:numPr>
        <w:rPr>
          <w:rFonts w:ascii="Arial" w:cs="Arial" w:eastAsia="Arial" w:hAnsi="Arial"/>
          <w:sz w:val="15"/>
          <w:szCs w:val="15"/>
          <w:color w:val="auto"/>
        </w:rPr>
      </w:pPr>
      <w:r>
        <w:rPr>
          <w:rFonts w:ascii="Arial" w:cs="Arial" w:eastAsia="Arial" w:hAnsi="Arial"/>
          <w:sz w:val="15"/>
          <w:szCs w:val="15"/>
          <w:color w:val="auto"/>
        </w:rPr>
        <w:t>If to Executive, to the last address that the Company has in its personnel records for Executive, or</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1"/>
          <w:numId w:val="426"/>
        </w:numPr>
        <w:rPr>
          <w:rFonts w:ascii="Arial" w:cs="Arial" w:eastAsia="Arial" w:hAnsi="Arial"/>
          <w:sz w:val="15"/>
          <w:szCs w:val="15"/>
          <w:color w:val="auto"/>
        </w:rPr>
      </w:pPr>
      <w:r>
        <w:rPr>
          <w:rFonts w:ascii="Arial" w:cs="Arial" w:eastAsia="Arial" w:hAnsi="Arial"/>
          <w:sz w:val="15"/>
          <w:szCs w:val="15"/>
          <w:color w:val="auto"/>
        </w:rPr>
        <w:t>at any other address as any Party shall have specified by notice in writing to the other Party.</w:t>
      </w:r>
    </w:p>
    <w:p>
      <w:pPr>
        <w:spacing w:after="0" w:line="198" w:lineRule="exact"/>
        <w:rPr>
          <w:rFonts w:ascii="Arial" w:cs="Arial" w:eastAsia="Arial" w:hAnsi="Arial"/>
          <w:sz w:val="15"/>
          <w:szCs w:val="15"/>
          <w:color w:val="auto"/>
        </w:rPr>
      </w:pPr>
    </w:p>
    <w:p>
      <w:pPr>
        <w:ind w:left="7" w:right="100" w:firstLine="549"/>
        <w:spacing w:after="0" w:line="289" w:lineRule="auto"/>
        <w:tabs>
          <w:tab w:leader="none" w:pos="1125" w:val="left"/>
        </w:tabs>
        <w:numPr>
          <w:ilvl w:val="0"/>
          <w:numId w:val="426"/>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40" w:lineRule="exact"/>
        <w:rPr>
          <w:rFonts w:ascii="Arial" w:cs="Arial" w:eastAsia="Arial" w:hAnsi="Arial"/>
          <w:sz w:val="15"/>
          <w:szCs w:val="15"/>
          <w:color w:val="auto"/>
        </w:rPr>
      </w:pPr>
    </w:p>
    <w:p>
      <w:pPr>
        <w:ind w:left="7" w:right="20" w:firstLine="549"/>
        <w:spacing w:after="0" w:line="289" w:lineRule="auto"/>
        <w:tabs>
          <w:tab w:leader="none" w:pos="1128" w:val="left"/>
        </w:tabs>
        <w:numPr>
          <w:ilvl w:val="0"/>
          <w:numId w:val="426"/>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xml:space="preserve">. The terms of this Agreement, the Restrictive Covenant Agreement incorporated herein by reference as set forth in </w:t>
      </w:r>
      <w:r>
        <w:rPr>
          <w:rFonts w:ascii="Arial" w:cs="Arial" w:eastAsia="Arial" w:hAnsi="Arial"/>
          <w:sz w:val="14"/>
          <w:szCs w:val="14"/>
          <w:u w:val="single" w:color="auto"/>
          <w:color w:val="auto"/>
        </w:rPr>
        <w:t>Section 5</w:t>
      </w:r>
      <w:r>
        <w:rPr>
          <w:rFonts w:ascii="Arial" w:cs="Arial" w:eastAsia="Arial" w:hAnsi="Arial"/>
          <w:sz w:val="14"/>
          <w:szCs w:val="14"/>
          <w:color w:val="auto"/>
        </w:rPr>
        <w:t>, the Indemnification Agreement (defined below) and any stock option agreement between the Company and Executive entered into prior to the date hereof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42" w:lineRule="exact"/>
        <w:rPr>
          <w:rFonts w:ascii="Arial" w:cs="Arial" w:eastAsia="Arial" w:hAnsi="Arial"/>
          <w:sz w:val="14"/>
          <w:szCs w:val="14"/>
          <w:color w:val="auto"/>
        </w:rPr>
      </w:pPr>
    </w:p>
    <w:p>
      <w:pPr>
        <w:ind w:left="1107" w:hanging="551"/>
        <w:spacing w:after="0"/>
        <w:tabs>
          <w:tab w:leader="none" w:pos="1107" w:val="left"/>
        </w:tabs>
        <w:numPr>
          <w:ilvl w:val="0"/>
          <w:numId w:val="426"/>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xml:space="preserve">. The Parties acknowledge that they have or will enter into an Indemnification Agreement in substantially the form attached as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hereto.</w:t>
      </w:r>
    </w:p>
    <w:p>
      <w:pPr>
        <w:spacing w:after="0" w:line="209" w:lineRule="exact"/>
        <w:rPr>
          <w:rFonts w:ascii="Arial" w:cs="Arial" w:eastAsia="Arial" w:hAnsi="Arial"/>
          <w:sz w:val="14"/>
          <w:szCs w:val="14"/>
          <w:color w:val="auto"/>
        </w:rPr>
      </w:pPr>
    </w:p>
    <w:p>
      <w:pPr>
        <w:ind w:left="7" w:right="20" w:firstLine="549"/>
        <w:spacing w:after="0" w:line="265" w:lineRule="auto"/>
        <w:tabs>
          <w:tab w:leader="none" w:pos="1137" w:val="left"/>
        </w:tabs>
        <w:numPr>
          <w:ilvl w:val="0"/>
          <w:numId w:val="426"/>
        </w:numPr>
        <w:rPr>
          <w:rFonts w:ascii="Arial" w:cs="Arial" w:eastAsia="Arial" w:hAnsi="Arial"/>
          <w:sz w:val="15"/>
          <w:szCs w:val="15"/>
          <w:color w:val="auto"/>
        </w:rPr>
      </w:pPr>
      <w:r>
        <w:rPr>
          <w:rFonts w:ascii="Arial" w:cs="Arial" w:eastAsia="Arial" w:hAnsi="Arial"/>
          <w:sz w:val="15"/>
          <w:szCs w:val="15"/>
          <w:u w:val="single" w:color="auto"/>
          <w:color w:val="auto"/>
        </w:rPr>
        <w:t>Amendments; Waivers</w:t>
      </w:r>
      <w:r>
        <w:rPr>
          <w:rFonts w:ascii="Arial" w:cs="Arial" w:eastAsia="Arial" w:hAnsi="Arial"/>
          <w:sz w:val="15"/>
          <w:szCs w:val="15"/>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59" w:lineRule="exact"/>
        <w:rPr>
          <w:rFonts w:ascii="Arial" w:cs="Arial" w:eastAsia="Arial" w:hAnsi="Arial"/>
          <w:sz w:val="15"/>
          <w:szCs w:val="15"/>
          <w:color w:val="auto"/>
        </w:rPr>
      </w:pPr>
    </w:p>
    <w:p>
      <w:pPr>
        <w:ind w:left="7" w:right="400" w:firstLine="549"/>
        <w:spacing w:after="0" w:line="273" w:lineRule="auto"/>
        <w:tabs>
          <w:tab w:leader="none" w:pos="1125" w:val="left"/>
        </w:tabs>
        <w:numPr>
          <w:ilvl w:val="0"/>
          <w:numId w:val="426"/>
        </w:numPr>
        <w:rPr>
          <w:rFonts w:ascii="Arial" w:cs="Arial" w:eastAsia="Arial" w:hAnsi="Arial"/>
          <w:sz w:val="15"/>
          <w:szCs w:val="15"/>
          <w:color w:val="auto"/>
        </w:rPr>
      </w:pPr>
      <w:r>
        <w:rPr>
          <w:rFonts w:ascii="Arial" w:cs="Arial" w:eastAsia="Arial" w:hAnsi="Arial"/>
          <w:sz w:val="15"/>
          <w:szCs w:val="15"/>
          <w:u w:val="single" w:color="auto"/>
          <w:color w:val="auto"/>
        </w:rPr>
        <w:t>No Inconsistent Actions</w:t>
      </w:r>
      <w:r>
        <w:rPr>
          <w:rFonts w:ascii="Arial" w:cs="Arial" w:eastAsia="Arial" w:hAnsi="Arial"/>
          <w:sz w:val="15"/>
          <w:szCs w:val="15"/>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52" w:lineRule="exact"/>
        <w:rPr>
          <w:rFonts w:ascii="Arial" w:cs="Arial" w:eastAsia="Arial" w:hAnsi="Arial"/>
          <w:sz w:val="15"/>
          <w:szCs w:val="15"/>
          <w:color w:val="auto"/>
        </w:rPr>
      </w:pPr>
    </w:p>
    <w:p>
      <w:pPr>
        <w:ind w:left="7" w:right="60" w:firstLine="549"/>
        <w:spacing w:after="0" w:line="289" w:lineRule="auto"/>
        <w:tabs>
          <w:tab w:leader="none" w:pos="1138" w:val="left"/>
        </w:tabs>
        <w:numPr>
          <w:ilvl w:val="0"/>
          <w:numId w:val="426"/>
        </w:numPr>
        <w:rPr>
          <w:rFonts w:ascii="Arial" w:cs="Arial" w:eastAsia="Arial" w:hAnsi="Arial"/>
          <w:sz w:val="15"/>
          <w:szCs w:val="15"/>
          <w:color w:val="auto"/>
        </w:rPr>
      </w:pPr>
      <w:r>
        <w:rPr>
          <w:rFonts w:ascii="Arial" w:cs="Arial" w:eastAsia="Arial" w:hAnsi="Arial"/>
          <w:sz w:val="15"/>
          <w:szCs w:val="15"/>
          <w:u w:val="single" w:color="auto"/>
          <w:color w:val="auto"/>
        </w:rPr>
        <w:t>Construction</w:t>
      </w:r>
      <w:r>
        <w:rPr>
          <w:rFonts w:ascii="Arial" w:cs="Arial" w:eastAsia="Arial" w:hAnsi="Arial"/>
          <w:sz w:val="15"/>
          <w:szCs w:val="15"/>
          <w:color w:val="auto"/>
        </w:rPr>
        <w:t>. This Agreement shall be deemed drafted equally by both the Parties. Its language shall be construed as a whole and according to its fair meaning. Any presumption or principle</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7" w:right="340"/>
        <w:spacing w:after="0" w:line="286" w:lineRule="auto"/>
        <w:rPr>
          <w:sz w:val="20"/>
          <w:szCs w:val="20"/>
          <w:color w:val="auto"/>
        </w:rPr>
      </w:pPr>
      <w:r>
        <w:rPr>
          <w:rFonts w:ascii="Arial" w:cs="Arial" w:eastAsia="Arial" w:hAnsi="Arial"/>
          <w:sz w:val="14"/>
          <w:szCs w:val="14"/>
          <w:color w:val="auto"/>
        </w:rPr>
        <w:t>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46" w:lineRule="exact"/>
        <w:rPr>
          <w:sz w:val="20"/>
          <w:szCs w:val="20"/>
          <w:color w:val="auto"/>
        </w:rPr>
      </w:pPr>
    </w:p>
    <w:p>
      <w:pPr>
        <w:ind w:left="7" w:right="100" w:firstLine="549"/>
        <w:spacing w:after="0" w:line="265" w:lineRule="auto"/>
        <w:tabs>
          <w:tab w:leader="none" w:pos="1126" w:val="left"/>
        </w:tabs>
        <w:numPr>
          <w:ilvl w:val="0"/>
          <w:numId w:val="427"/>
        </w:numPr>
        <w:rPr>
          <w:rFonts w:ascii="Arial" w:cs="Arial" w:eastAsia="Arial" w:hAnsi="Arial"/>
          <w:sz w:val="15"/>
          <w:szCs w:val="15"/>
          <w:color w:val="auto"/>
        </w:rPr>
      </w:pPr>
      <w:r>
        <w:rPr>
          <w:rFonts w:ascii="Arial" w:cs="Arial" w:eastAsia="Arial" w:hAnsi="Arial"/>
          <w:sz w:val="15"/>
          <w:szCs w:val="15"/>
          <w:u w:val="single" w:color="auto"/>
          <w:color w:val="auto"/>
        </w:rPr>
        <w:t>Enforcement</w:t>
      </w:r>
      <w:r>
        <w:rPr>
          <w:rFonts w:ascii="Arial" w:cs="Arial" w:eastAsia="Arial" w:hAnsi="Arial"/>
          <w:sz w:val="15"/>
          <w:szCs w:val="15"/>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ectPr>
          <w:pgSz w:w="11900" w:h="16838" w:orient="portrait"/>
          <w:cols w:equalWidth="0" w:num="1">
            <w:col w:w="11427"/>
          </w:cols>
          <w:pgMar w:left="233" w:top="129" w:right="239" w:bottom="90" w:gutter="0" w:footer="0" w:header="0"/>
        </w:sectPr>
      </w:pPr>
    </w:p>
    <w:bookmarkStart w:id="390" w:name="page391"/>
    <w:bookmarkEnd w:id="390"/>
    <w:p>
      <w:pPr>
        <w:ind w:left="7" w:right="300" w:firstLine="549"/>
        <w:spacing w:after="0" w:line="273" w:lineRule="auto"/>
        <w:tabs>
          <w:tab w:leader="none" w:pos="1125" w:val="left"/>
        </w:tabs>
        <w:numPr>
          <w:ilvl w:val="0"/>
          <w:numId w:val="428"/>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52" w:lineRule="exact"/>
        <w:rPr>
          <w:rFonts w:ascii="Arial" w:cs="Arial" w:eastAsia="Arial" w:hAnsi="Arial"/>
          <w:sz w:val="15"/>
          <w:szCs w:val="15"/>
          <w:color w:val="auto"/>
        </w:rPr>
      </w:pPr>
    </w:p>
    <w:p>
      <w:pPr>
        <w:ind w:left="1127" w:hanging="571"/>
        <w:spacing w:after="0"/>
        <w:tabs>
          <w:tab w:leader="none" w:pos="1127" w:val="left"/>
        </w:tabs>
        <w:numPr>
          <w:ilvl w:val="0"/>
          <w:numId w:val="428"/>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47" w:right="60" w:firstLine="564"/>
        <w:spacing w:after="0" w:line="289" w:lineRule="auto"/>
        <w:tabs>
          <w:tab w:leader="none" w:pos="1677" w:val="left"/>
        </w:tabs>
        <w:numPr>
          <w:ilvl w:val="1"/>
          <w:numId w:val="428"/>
        </w:numPr>
        <w:rPr>
          <w:rFonts w:ascii="Arial" w:cs="Arial" w:eastAsia="Arial" w:hAnsi="Arial"/>
          <w:sz w:val="15"/>
          <w:szCs w:val="15"/>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 intent of the Parties is that the payments and benefits under this Agreement comply with or be exempt from Section 409A and, accordingly, to</w:t>
      </w:r>
      <w:r>
        <w:rPr>
          <w:rFonts w:ascii="Arial" w:cs="Arial" w:eastAsia="Arial" w:hAnsi="Arial"/>
          <w:sz w:val="15"/>
          <w:szCs w:val="15"/>
          <w:i w:val="1"/>
          <w:iCs w:val="1"/>
          <w:color w:val="auto"/>
        </w:rPr>
        <w:t xml:space="preserve"> </w:t>
      </w:r>
      <w:r>
        <w:rPr>
          <w:rFonts w:ascii="Arial" w:cs="Arial" w:eastAsia="Arial" w:hAnsi="Arial"/>
          <w:sz w:val="15"/>
          <w:szCs w:val="15"/>
          <w:color w:val="auto"/>
        </w:rPr>
        <w:t>the maximum extent permitted, this Agreement shall be interpreted to be in compliance therewith.</w:t>
      </w:r>
    </w:p>
    <w:p>
      <w:pPr>
        <w:spacing w:after="0" w:line="140" w:lineRule="exact"/>
        <w:rPr>
          <w:rFonts w:ascii="Arial" w:cs="Arial" w:eastAsia="Arial" w:hAnsi="Arial"/>
          <w:sz w:val="15"/>
          <w:szCs w:val="15"/>
          <w:color w:val="auto"/>
        </w:rPr>
      </w:pPr>
    </w:p>
    <w:p>
      <w:pPr>
        <w:ind w:left="547" w:right="60" w:firstLine="564"/>
        <w:spacing w:after="0" w:line="263" w:lineRule="auto"/>
        <w:tabs>
          <w:tab w:leader="none" w:pos="1686" w:val="left"/>
        </w:tabs>
        <w:numPr>
          <w:ilvl w:val="1"/>
          <w:numId w:val="428"/>
        </w:numPr>
        <w:rPr>
          <w:rFonts w:ascii="Arial" w:cs="Arial" w:eastAsia="Arial" w:hAnsi="Arial"/>
          <w:sz w:val="15"/>
          <w:szCs w:val="15"/>
          <w:color w:val="auto"/>
        </w:rPr>
      </w:pPr>
      <w:r>
        <w:rPr>
          <w:rFonts w:ascii="Arial" w:cs="Arial" w:eastAsia="Arial" w:hAnsi="Arial"/>
          <w:sz w:val="15"/>
          <w:szCs w:val="15"/>
          <w:i w:val="1"/>
          <w:iCs w:val="1"/>
          <w:color w:val="auto"/>
        </w:rPr>
        <w:t xml:space="preserve">Separation from Service. </w:t>
      </w:r>
      <w:r>
        <w:rPr>
          <w:rFonts w:ascii="Arial" w:cs="Arial" w:eastAsia="Arial" w:hAnsi="Arial"/>
          <w:sz w:val="15"/>
          <w:szCs w:val="15"/>
          <w:color w:val="auto"/>
        </w:rPr>
        <w:t>Notwithstanding anything in this Agreement to the contrary, any compensation or benefits payable under this Agreement that is</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xml:space="preserve">”) and, except as provided below, any such compensation or benefits described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not be paid, or, in the case of installments, shall not commence payment, until the sixtieth (60th) day following Executive’s Separation from Service (the “</w:t>
      </w:r>
      <w:r>
        <w:rPr>
          <w:rFonts w:ascii="Arial" w:cs="Arial" w:eastAsia="Arial" w:hAnsi="Arial"/>
          <w:sz w:val="15"/>
          <w:szCs w:val="15"/>
          <w:u w:val="single" w:color="auto"/>
          <w:color w:val="auto"/>
        </w:rPr>
        <w:t>First Payment Date</w:t>
      </w:r>
      <w:r>
        <w:rPr>
          <w:rFonts w:ascii="Arial" w:cs="Arial" w:eastAsia="Arial" w:hAnsi="Arial"/>
          <w:sz w:val="15"/>
          <w:szCs w:val="15"/>
          <w:color w:val="auto"/>
        </w:rPr>
        <w:t>”). Any installment payments that would have been made to Executive during the sixty (60) day period immediately following Executive’s Separation from Service but for the preceding sentence shall be paid to Executive on the First Payment Date and the remaining payments shall be made as provided in this Agreement.</w:t>
      </w:r>
    </w:p>
    <w:p>
      <w:pPr>
        <w:spacing w:after="0" w:line="159" w:lineRule="exact"/>
        <w:rPr>
          <w:rFonts w:ascii="Arial" w:cs="Arial" w:eastAsia="Arial" w:hAnsi="Arial"/>
          <w:sz w:val="15"/>
          <w:szCs w:val="15"/>
          <w:color w:val="auto"/>
        </w:rPr>
      </w:pPr>
    </w:p>
    <w:p>
      <w:pPr>
        <w:ind w:left="547" w:right="120" w:firstLine="564"/>
        <w:spacing w:after="0" w:line="273" w:lineRule="auto"/>
        <w:tabs>
          <w:tab w:leader="none" w:pos="1694" w:val="left"/>
        </w:tabs>
        <w:numPr>
          <w:ilvl w:val="1"/>
          <w:numId w:val="428"/>
        </w:numPr>
        <w:rPr>
          <w:rFonts w:ascii="Arial" w:cs="Arial" w:eastAsia="Arial" w:hAnsi="Arial"/>
          <w:sz w:val="15"/>
          <w:szCs w:val="15"/>
          <w:color w:val="auto"/>
        </w:rPr>
      </w:pPr>
      <w:r>
        <w:rPr>
          <w:rFonts w:ascii="Arial" w:cs="Arial" w:eastAsia="Arial" w:hAnsi="Arial"/>
          <w:sz w:val="15"/>
          <w:szCs w:val="15"/>
          <w:i w:val="1"/>
          <w:iCs w:val="1"/>
          <w:color w:val="auto"/>
        </w:rPr>
        <w:t xml:space="preserve">Specified Employee. </w:t>
      </w:r>
      <w:r>
        <w:rPr>
          <w:rFonts w:ascii="Arial" w:cs="Arial" w:eastAsia="Arial" w:hAnsi="Arial"/>
          <w:sz w:val="15"/>
          <w:szCs w:val="15"/>
          <w:color w:val="auto"/>
        </w:rPr>
        <w:t>Notwithstanding anything in this Agreement to the contrary, if Executive is deemed by the Company at the time of Executive’s</w:t>
      </w:r>
      <w:r>
        <w:rPr>
          <w:rFonts w:ascii="Arial" w:cs="Arial" w:eastAsia="Arial" w:hAnsi="Arial"/>
          <w:sz w:val="15"/>
          <w:szCs w:val="15"/>
          <w:i w:val="1"/>
          <w:iCs w:val="1"/>
          <w:color w:val="auto"/>
        </w:rPr>
        <w:t xml:space="preserve"> </w:t>
      </w:r>
      <w:r>
        <w:rPr>
          <w:rFonts w:ascii="Arial" w:cs="Arial" w:eastAsia="Arial" w:hAnsi="Arial"/>
          <w:sz w:val="15"/>
          <w:szCs w:val="15"/>
          <w:color w:val="auto"/>
        </w:rPr>
        <w:t>Separation from Service to be a “specified employee” for purposes of Section 409A, to the extent delayed commencement of any portion of the benefits to which Executive is entitled under this Agreement</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right="40"/>
        <w:spacing w:after="0" w:line="293" w:lineRule="auto"/>
        <w:rPr>
          <w:sz w:val="20"/>
          <w:szCs w:val="20"/>
          <w:color w:val="auto"/>
        </w:rPr>
      </w:pPr>
      <w:r>
        <w:rPr>
          <w:rFonts w:ascii="Arial" w:cs="Arial" w:eastAsia="Arial" w:hAnsi="Arial"/>
          <w:sz w:val="14"/>
          <w:szCs w:val="14"/>
          <w:color w:val="auto"/>
        </w:rPr>
        <w:t>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40" w:lineRule="exact"/>
        <w:rPr>
          <w:sz w:val="20"/>
          <w:szCs w:val="20"/>
          <w:color w:val="auto"/>
        </w:rPr>
      </w:pPr>
    </w:p>
    <w:p>
      <w:pPr>
        <w:ind w:left="547" w:right="40" w:firstLine="564"/>
        <w:spacing w:after="0" w:line="265" w:lineRule="auto"/>
        <w:tabs>
          <w:tab w:leader="none" w:pos="1674" w:val="left"/>
        </w:tabs>
        <w:numPr>
          <w:ilvl w:val="2"/>
          <w:numId w:val="429"/>
        </w:numPr>
        <w:rPr>
          <w:rFonts w:ascii="Arial" w:cs="Arial" w:eastAsia="Arial" w:hAnsi="Arial"/>
          <w:sz w:val="15"/>
          <w:szCs w:val="15"/>
          <w:color w:val="auto"/>
        </w:rPr>
      </w:pPr>
      <w:r>
        <w:rPr>
          <w:rFonts w:ascii="Arial" w:cs="Arial" w:eastAsia="Arial" w:hAnsi="Arial"/>
          <w:sz w:val="15"/>
          <w:szCs w:val="15"/>
          <w:i w:val="1"/>
          <w:iCs w:val="1"/>
          <w:color w:val="auto"/>
        </w:rPr>
        <w:t xml:space="preserve">Expense Reimbursements. </w:t>
      </w:r>
      <w:r>
        <w:rPr>
          <w:rFonts w:ascii="Arial" w:cs="Arial" w:eastAsia="Arial" w:hAnsi="Arial"/>
          <w:sz w:val="15"/>
          <w:szCs w:val="15"/>
          <w:color w:val="auto"/>
        </w:rPr>
        <w:t>To the extent that any reimbursements under this Agreement are subject to Section 409A, any such reimbursements payable to</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shall be paid to Executive no later than December 31 of the year following the year in which the expense was incurred; provided, that Executive submits Executive’s reimbursement request promptly following the date the expense is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59" w:lineRule="exact"/>
        <w:rPr>
          <w:rFonts w:ascii="Arial" w:cs="Arial" w:eastAsia="Arial" w:hAnsi="Arial"/>
          <w:sz w:val="15"/>
          <w:szCs w:val="15"/>
          <w:color w:val="auto"/>
        </w:rPr>
      </w:pPr>
    </w:p>
    <w:p>
      <w:pPr>
        <w:ind w:left="547" w:firstLine="564"/>
        <w:spacing w:after="0" w:line="268" w:lineRule="auto"/>
        <w:tabs>
          <w:tab w:leader="none" w:pos="1665" w:val="left"/>
        </w:tabs>
        <w:numPr>
          <w:ilvl w:val="2"/>
          <w:numId w:val="429"/>
        </w:numPr>
        <w:rPr>
          <w:rFonts w:ascii="Arial" w:cs="Arial" w:eastAsia="Arial" w:hAnsi="Arial"/>
          <w:sz w:val="15"/>
          <w:szCs w:val="15"/>
          <w:color w:val="auto"/>
        </w:rPr>
      </w:pPr>
      <w:r>
        <w:rPr>
          <w:rFonts w:ascii="Arial" w:cs="Arial" w:eastAsia="Arial" w:hAnsi="Arial"/>
          <w:sz w:val="15"/>
          <w:szCs w:val="15"/>
          <w:i w:val="1"/>
          <w:iCs w:val="1"/>
          <w:color w:val="auto"/>
        </w:rPr>
        <w:t xml:space="preserve">Installments. </w:t>
      </w:r>
      <w:r>
        <w:rPr>
          <w:rFonts w:ascii="Arial" w:cs="Arial" w:eastAsia="Arial" w:hAnsi="Arial"/>
          <w:sz w:val="15"/>
          <w:szCs w:val="15"/>
          <w:color w:val="auto"/>
        </w:rPr>
        <w:t>Executive’s right to receive any installment payments under this Agreement, including without limitation any continuation salary payments that</w:t>
      </w:r>
      <w:r>
        <w:rPr>
          <w:rFonts w:ascii="Arial" w:cs="Arial" w:eastAsia="Arial" w:hAnsi="Arial"/>
          <w:sz w:val="15"/>
          <w:szCs w:val="15"/>
          <w:i w:val="1"/>
          <w:iCs w:val="1"/>
          <w:color w:val="auto"/>
        </w:rPr>
        <w:t xml:space="preserve"> </w:t>
      </w:r>
      <w:r>
        <w:rPr>
          <w:rFonts w:ascii="Arial" w:cs="Arial" w:eastAsia="Arial" w:hAnsi="Arial"/>
          <w:sz w:val="15"/>
          <w:szCs w:val="15"/>
          <w:color w:val="auto"/>
        </w:rPr>
        <w:t>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56" w:lineRule="exact"/>
        <w:rPr>
          <w:rFonts w:ascii="Arial" w:cs="Arial" w:eastAsia="Arial" w:hAnsi="Arial"/>
          <w:sz w:val="15"/>
          <w:szCs w:val="15"/>
          <w:color w:val="auto"/>
        </w:rPr>
      </w:pPr>
    </w:p>
    <w:p>
      <w:pPr>
        <w:ind w:left="7" w:right="40" w:firstLine="549"/>
        <w:spacing w:after="0" w:line="289" w:lineRule="auto"/>
        <w:tabs>
          <w:tab w:leader="none" w:pos="1122" w:val="left"/>
        </w:tabs>
        <w:numPr>
          <w:ilvl w:val="1"/>
          <w:numId w:val="430"/>
        </w:numPr>
        <w:rPr>
          <w:rFonts w:ascii="Arial" w:cs="Arial" w:eastAsia="Arial" w:hAnsi="Arial"/>
          <w:sz w:val="15"/>
          <w:szCs w:val="15"/>
          <w:color w:val="auto"/>
        </w:rPr>
      </w:pPr>
      <w:r>
        <w:rPr>
          <w:rFonts w:ascii="Arial" w:cs="Arial" w:eastAsia="Arial" w:hAnsi="Arial"/>
          <w:sz w:val="15"/>
          <w:szCs w:val="15"/>
          <w:u w:val="single" w:color="auto"/>
          <w:color w:val="auto"/>
        </w:rPr>
        <w:t>Attorneys’ Fees</w:t>
      </w:r>
      <w:r>
        <w:rPr>
          <w:rFonts w:ascii="Arial" w:cs="Arial" w:eastAsia="Arial" w:hAnsi="Arial"/>
          <w:sz w:val="15"/>
          <w:szCs w:val="15"/>
          <w:color w:val="auto"/>
        </w:rPr>
        <w:t>. In the event that either Party prevails in a dispute with the other Party concerning the rights and obligations hereunder, the non-prevailing Party shall pay the prevailing Party’s reasonable attorneys’ fees and costs.</w:t>
      </w:r>
    </w:p>
    <w:p>
      <w:pPr>
        <w:spacing w:after="0" w:line="134" w:lineRule="exact"/>
        <w:rPr>
          <w:rFonts w:ascii="Arial" w:cs="Arial" w:eastAsia="Arial" w:hAnsi="Arial"/>
          <w:sz w:val="15"/>
          <w:szCs w:val="15"/>
          <w:color w:val="auto"/>
        </w:rPr>
      </w:pPr>
    </w:p>
    <w:p>
      <w:pPr>
        <w:ind w:left="547" w:hanging="547"/>
        <w:spacing w:after="0"/>
        <w:tabs>
          <w:tab w:leader="none" w:pos="547" w:val="left"/>
        </w:tabs>
        <w:numPr>
          <w:ilvl w:val="0"/>
          <w:numId w:val="43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Executive Acknowledgement</w:t>
      </w:r>
      <w:r>
        <w:rPr>
          <w:rFonts w:ascii="Arial" w:cs="Arial" w:eastAsia="Arial" w:hAnsi="Arial"/>
          <w:sz w:val="15"/>
          <w:szCs w:val="15"/>
          <w:b w:val="1"/>
          <w:bCs w:val="1"/>
          <w:color w:val="auto"/>
        </w:rPr>
        <w:t>.</w:t>
      </w:r>
    </w:p>
    <w:p>
      <w:pPr>
        <w:spacing w:after="0" w:line="204" w:lineRule="exact"/>
        <w:rPr>
          <w:sz w:val="20"/>
          <w:szCs w:val="20"/>
          <w:color w:val="auto"/>
        </w:rPr>
      </w:pPr>
    </w:p>
    <w:p>
      <w:pPr>
        <w:ind w:left="7" w:right="540" w:firstLine="556"/>
        <w:spacing w:after="0" w:line="327" w:lineRule="auto"/>
        <w:rPr>
          <w:sz w:val="20"/>
          <w:szCs w:val="20"/>
          <w:color w:val="auto"/>
        </w:rPr>
      </w:pPr>
      <w:r>
        <w:rPr>
          <w:rFonts w:ascii="Arial" w:cs="Arial" w:eastAsia="Arial" w:hAnsi="Arial"/>
          <w:sz w:val="14"/>
          <w:szCs w:val="14"/>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1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rPr>
          <w:sz w:val="20"/>
          <w:szCs w:val="20"/>
          <w:color w:val="auto"/>
        </w:rPr>
      </w:pPr>
      <w:r>
        <w:rPr>
          <w:rFonts w:ascii="Arial" w:cs="Arial" w:eastAsia="Arial" w:hAnsi="Arial"/>
          <w:sz w:val="15"/>
          <w:szCs w:val="15"/>
          <w:color w:val="auto"/>
        </w:rPr>
        <w:t>IN WITNESS WHEREOF, the Parties have executed this Agreement on the date and year first above written.</w:t>
      </w:r>
    </w:p>
    <w:p>
      <w:pPr>
        <w:spacing w:after="0" w:line="192" w:lineRule="exact"/>
        <w:rPr>
          <w:sz w:val="20"/>
          <w:szCs w:val="20"/>
          <w:color w:val="auto"/>
        </w:rPr>
      </w:pPr>
    </w:p>
    <w:p>
      <w:pPr>
        <w:ind w:left="5727"/>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p>
      <w:pPr>
        <w:ind w:left="5727"/>
        <w:spacing w:after="0"/>
        <w:tabs>
          <w:tab w:leader="none" w:pos="6187"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14605</wp:posOffset>
            </wp:positionV>
            <wp:extent cx="3324225" cy="762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spacing w:after="0" w:line="4"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Name: Werner Cautreels, Ph.D.</w:t>
      </w:r>
    </w:p>
    <w:p>
      <w:pPr>
        <w:spacing w:after="0" w:line="23"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Title: President and Chief Executive Officer</w:t>
      </w:r>
    </w:p>
    <w:p>
      <w:pPr>
        <w:spacing w:after="0" w:line="373"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/s/ Peter Keller, M.Sci.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625850" cy="762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Peter Keller, M.Sci.</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285990" cy="2730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EXHIBIT A</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Separation Agreement and Release</w:t>
      </w:r>
    </w:p>
    <w:p>
      <w:pPr>
        <w:spacing w:after="0" w:line="204" w:lineRule="exact"/>
        <w:rPr>
          <w:sz w:val="20"/>
          <w:szCs w:val="20"/>
          <w:color w:val="auto"/>
        </w:rPr>
      </w:pPr>
    </w:p>
    <w:p>
      <w:pPr>
        <w:ind w:left="7" w:firstLine="556"/>
        <w:spacing w:after="0" w:line="273" w:lineRule="auto"/>
        <w:rPr>
          <w:sz w:val="20"/>
          <w:szCs w:val="20"/>
          <w:color w:val="auto"/>
        </w:rPr>
      </w:pPr>
      <w:r>
        <w:rPr>
          <w:rFonts w:ascii="Arial" w:cs="Arial" w:eastAsia="Arial" w:hAnsi="Arial"/>
          <w:sz w:val="15"/>
          <w:szCs w:val="15"/>
          <w:color w:val="auto"/>
        </w:rPr>
        <w:t>This Separation Agreement and Release (“Agreement”) is made by and between Peter Keller, M.Sci.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153" w:lineRule="exact"/>
        <w:rPr>
          <w:sz w:val="20"/>
          <w:szCs w:val="20"/>
          <w:color w:val="auto"/>
        </w:rPr>
      </w:pPr>
    </w:p>
    <w:p>
      <w:pPr>
        <w:ind w:left="547"/>
        <w:spacing w:after="0"/>
        <w:rPr>
          <w:sz w:val="20"/>
          <w:szCs w:val="20"/>
          <w:color w:val="auto"/>
        </w:rPr>
      </w:pPr>
      <w:r>
        <w:rPr>
          <w:rFonts w:ascii="Arial" w:cs="Arial" w:eastAsia="Arial" w:hAnsi="Arial"/>
          <w:sz w:val="15"/>
          <w:szCs w:val="15"/>
          <w:color w:val="auto"/>
        </w:rPr>
        <w:t>WHEREAS, the Parties have previously entered into that certain Employment Agreement, dated as of June 6, 2016 (the “Employment Agreement”); and</w:t>
      </w:r>
    </w:p>
    <w:p>
      <w:pPr>
        <w:spacing w:after="0" w:line="198" w:lineRule="exact"/>
        <w:rPr>
          <w:sz w:val="20"/>
          <w:szCs w:val="20"/>
          <w:color w:val="auto"/>
        </w:rPr>
      </w:pPr>
    </w:p>
    <w:p>
      <w:pPr>
        <w:ind w:left="7" w:right="60" w:firstLine="556"/>
        <w:spacing w:after="0" w:line="289" w:lineRule="auto"/>
        <w:rPr>
          <w:sz w:val="20"/>
          <w:szCs w:val="20"/>
          <w:color w:val="auto"/>
        </w:rPr>
      </w:pPr>
      <w:r>
        <w:rPr>
          <w:rFonts w:ascii="Arial" w:cs="Arial" w:eastAsia="Arial" w:hAnsi="Arial"/>
          <w:sz w:val="14"/>
          <w:szCs w:val="14"/>
          <w:color w:val="auto"/>
        </w:rPr>
        <w:t>WHEREAS, in connection with Executive’s termination of employment with the Company or a subsidiary or affiliate of the Company effective , 20 ,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w:t>
      </w:r>
    </w:p>
    <w:p>
      <w:pPr>
        <w:sectPr>
          <w:pgSz w:w="11900" w:h="16838" w:orient="portrait"/>
          <w:cols w:equalWidth="0" w:num="1">
            <w:col w:w="11427"/>
          </w:cols>
          <w:pgMar w:left="233" w:top="129" w:right="239" w:bottom="0" w:gutter="0" w:footer="0" w:header="0"/>
        </w:sectPr>
      </w:pPr>
    </w:p>
    <w:bookmarkStart w:id="391" w:name="page392"/>
    <w:bookmarkEnd w:id="391"/>
    <w:p>
      <w:pPr>
        <w:ind w:right="160"/>
        <w:spacing w:after="0" w:line="289" w:lineRule="auto"/>
        <w:rPr>
          <w:sz w:val="20"/>
          <w:szCs w:val="20"/>
          <w:color w:val="auto"/>
        </w:rPr>
      </w:pPr>
      <w:r>
        <w:rPr>
          <w:rFonts w:ascii="Arial" w:cs="Arial" w:eastAsia="Arial" w:hAnsi="Arial"/>
          <w:sz w:val="15"/>
          <w:szCs w:val="15"/>
          <w:color w:val="auto"/>
        </w:rPr>
        <w:t>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141" w:lineRule="exact"/>
        <w:rPr>
          <w:sz w:val="20"/>
          <w:szCs w:val="20"/>
          <w:color w:val="auto"/>
        </w:rPr>
      </w:pPr>
    </w:p>
    <w:p>
      <w:pPr>
        <w:jc w:val="both"/>
        <w:ind w:right="340" w:firstLine="556"/>
        <w:spacing w:after="0" w:line="273" w:lineRule="auto"/>
        <w:rPr>
          <w:sz w:val="20"/>
          <w:szCs w:val="20"/>
          <w:color w:val="auto"/>
        </w:rPr>
      </w:pPr>
      <w:r>
        <w:rPr>
          <w:rFonts w:ascii="Arial" w:cs="Arial" w:eastAsia="Arial" w:hAnsi="Arial"/>
          <w:sz w:val="15"/>
          <w:szCs w:val="15"/>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53" w:lineRule="exact"/>
        <w:rPr>
          <w:sz w:val="20"/>
          <w:szCs w:val="20"/>
          <w:color w:val="auto"/>
        </w:rPr>
      </w:pPr>
    </w:p>
    <w:p>
      <w:pPr>
        <w:ind w:right="420" w:firstLine="549"/>
        <w:spacing w:after="0" w:line="268" w:lineRule="auto"/>
        <w:tabs>
          <w:tab w:leader="none" w:pos="1112" w:val="left"/>
        </w:tabs>
        <w:numPr>
          <w:ilvl w:val="0"/>
          <w:numId w:val="432"/>
        </w:numPr>
        <w:rPr>
          <w:rFonts w:ascii="Arial" w:cs="Arial" w:eastAsia="Arial" w:hAnsi="Arial"/>
          <w:sz w:val="15"/>
          <w:szCs w:val="15"/>
          <w:color w:val="auto"/>
        </w:rPr>
      </w:pPr>
      <w:r>
        <w:rPr>
          <w:rFonts w:ascii="Arial" w:cs="Arial" w:eastAsia="Arial" w:hAnsi="Arial"/>
          <w:sz w:val="15"/>
          <w:szCs w:val="15"/>
          <w:u w:val="single" w:color="auto"/>
          <w:color w:val="auto"/>
        </w:rPr>
        <w:t>Severance Payments; Salary and Benefits</w:t>
      </w:r>
      <w:r>
        <w:rPr>
          <w:rFonts w:ascii="Arial" w:cs="Arial" w:eastAsia="Arial" w:hAnsi="Arial"/>
          <w:sz w:val="15"/>
          <w:szCs w:val="15"/>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56" w:lineRule="exact"/>
        <w:rPr>
          <w:rFonts w:ascii="Arial" w:cs="Arial" w:eastAsia="Arial" w:hAnsi="Arial"/>
          <w:sz w:val="15"/>
          <w:szCs w:val="15"/>
          <w:color w:val="auto"/>
        </w:rPr>
      </w:pPr>
    </w:p>
    <w:p>
      <w:pPr>
        <w:ind w:right="80" w:firstLine="549"/>
        <w:spacing w:after="0" w:line="283" w:lineRule="auto"/>
        <w:tabs>
          <w:tab w:leader="none" w:pos="1112" w:val="left"/>
        </w:tabs>
        <w:numPr>
          <w:ilvl w:val="0"/>
          <w:numId w:val="432"/>
        </w:numPr>
        <w:rPr>
          <w:rFonts w:ascii="Arial" w:cs="Arial" w:eastAsia="Arial" w:hAnsi="Arial"/>
          <w:sz w:val="14"/>
          <w:szCs w:val="14"/>
          <w:color w:val="auto"/>
        </w:rPr>
      </w:pPr>
      <w:r>
        <w:rPr>
          <w:rFonts w:ascii="Arial" w:cs="Arial" w:eastAsia="Arial" w:hAnsi="Arial"/>
          <w:sz w:val="14"/>
          <w:szCs w:val="14"/>
          <w:u w:val="single" w:color="auto"/>
          <w:color w:val="auto"/>
        </w:rPr>
        <w:t>Release of Claims</w:t>
      </w:r>
      <w:r>
        <w:rPr>
          <w:rFonts w:ascii="Arial" w:cs="Arial" w:eastAsia="Arial" w:hAnsi="Arial"/>
          <w:sz w:val="14"/>
          <w:szCs w:val="14"/>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(as defined in Section 7 below), including, without limitation: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ind w:right="80" w:firstLine="1104"/>
        <w:spacing w:after="0" w:line="289" w:lineRule="auto"/>
        <w:tabs>
          <w:tab w:leader="none" w:pos="1665" w:val="left"/>
        </w:tabs>
        <w:numPr>
          <w:ilvl w:val="1"/>
          <w:numId w:val="432"/>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employment or service relationship with the Company or any of its direct or indirect subsidiaries or affiliates and the termination of that relationship;</w:t>
      </w:r>
    </w:p>
    <w:p>
      <w:pPr>
        <w:spacing w:after="0" w:line="140" w:lineRule="exact"/>
        <w:rPr>
          <w:rFonts w:ascii="Arial" w:cs="Arial" w:eastAsia="Arial" w:hAnsi="Arial"/>
          <w:sz w:val="15"/>
          <w:szCs w:val="15"/>
          <w:color w:val="auto"/>
        </w:rPr>
      </w:pPr>
    </w:p>
    <w:p>
      <w:pPr>
        <w:ind w:right="60" w:firstLine="1104"/>
        <w:spacing w:after="0" w:line="273" w:lineRule="auto"/>
        <w:tabs>
          <w:tab w:leader="none" w:pos="1674" w:val="left"/>
        </w:tabs>
        <w:numPr>
          <w:ilvl w:val="1"/>
          <w:numId w:val="432"/>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2" w:lineRule="exact"/>
        <w:rPr>
          <w:rFonts w:ascii="Arial" w:cs="Arial" w:eastAsia="Arial" w:hAnsi="Arial"/>
          <w:sz w:val="15"/>
          <w:szCs w:val="15"/>
          <w:color w:val="auto"/>
        </w:rPr>
      </w:pPr>
    </w:p>
    <w:p>
      <w:pPr>
        <w:ind w:right="140" w:firstLine="1104"/>
        <w:spacing w:after="0" w:line="268" w:lineRule="auto"/>
        <w:tabs>
          <w:tab w:leader="none" w:pos="1677" w:val="left"/>
        </w:tabs>
        <w:numPr>
          <w:ilvl w:val="1"/>
          <w:numId w:val="432"/>
        </w:numPr>
        <w:rPr>
          <w:rFonts w:ascii="Arial" w:cs="Arial" w:eastAsia="Arial" w:hAnsi="Arial"/>
          <w:sz w:val="15"/>
          <w:szCs w:val="15"/>
          <w:color w:val="auto"/>
        </w:rPr>
      </w:pPr>
      <w:r>
        <w:rPr>
          <w:rFonts w:ascii="Arial" w:cs="Arial" w:eastAsia="Arial" w:hAnsi="Arial"/>
          <w:sz w:val="15"/>
          <w:szCs w:val="15"/>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56" w:lineRule="exact"/>
        <w:rPr>
          <w:rFonts w:ascii="Arial" w:cs="Arial" w:eastAsia="Arial" w:hAnsi="Arial"/>
          <w:sz w:val="15"/>
          <w:szCs w:val="15"/>
          <w:color w:val="auto"/>
        </w:rPr>
      </w:pPr>
    </w:p>
    <w:p>
      <w:pPr>
        <w:ind w:right="180" w:firstLine="1104"/>
        <w:spacing w:after="0" w:line="268" w:lineRule="auto"/>
        <w:tabs>
          <w:tab w:leader="none" w:pos="1674" w:val="left"/>
        </w:tabs>
        <w:numPr>
          <w:ilvl w:val="1"/>
          <w:numId w:val="432"/>
        </w:numPr>
        <w:rPr>
          <w:rFonts w:ascii="Arial" w:cs="Arial" w:eastAsia="Arial" w:hAnsi="Arial"/>
          <w:sz w:val="15"/>
          <w:szCs w:val="15"/>
          <w:color w:val="auto"/>
        </w:rPr>
      </w:pPr>
      <w:r>
        <w:rPr>
          <w:rFonts w:ascii="Arial" w:cs="Arial" w:eastAsia="Arial" w:hAnsi="Arial"/>
          <w:sz w:val="15"/>
          <w:szCs w:val="15"/>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56" w:lineRule="exact"/>
        <w:rPr>
          <w:rFonts w:ascii="Arial" w:cs="Arial" w:eastAsia="Arial" w:hAnsi="Arial"/>
          <w:sz w:val="15"/>
          <w:szCs w:val="15"/>
          <w:color w:val="auto"/>
        </w:rPr>
      </w:pPr>
    </w:p>
    <w:p>
      <w:pPr>
        <w:ind w:left="1660" w:hanging="556"/>
        <w:spacing w:after="0"/>
        <w:tabs>
          <w:tab w:leader="none" w:pos="1660" w:val="left"/>
        </w:tabs>
        <w:numPr>
          <w:ilvl w:val="1"/>
          <w:numId w:val="432"/>
        </w:numPr>
        <w:rPr>
          <w:rFonts w:ascii="Arial" w:cs="Arial" w:eastAsia="Arial" w:hAnsi="Arial"/>
          <w:sz w:val="15"/>
          <w:szCs w:val="15"/>
          <w:color w:val="auto"/>
        </w:rPr>
      </w:pPr>
      <w:r>
        <w:rPr>
          <w:rFonts w:ascii="Arial" w:cs="Arial" w:eastAsia="Arial" w:hAnsi="Arial"/>
          <w:sz w:val="15"/>
          <w:szCs w:val="15"/>
          <w:color w:val="auto"/>
        </w:rPr>
        <w:t>any and all claims for violation of the federal or any state constitution;</w:t>
      </w:r>
    </w:p>
    <w:p>
      <w:pPr>
        <w:spacing w:after="0" w:line="198" w:lineRule="exact"/>
        <w:rPr>
          <w:rFonts w:ascii="Arial" w:cs="Arial" w:eastAsia="Arial" w:hAnsi="Arial"/>
          <w:sz w:val="15"/>
          <w:szCs w:val="15"/>
          <w:color w:val="auto"/>
        </w:rPr>
      </w:pPr>
    </w:p>
    <w:p>
      <w:pPr>
        <w:ind w:left="1660" w:hanging="556"/>
        <w:spacing w:after="0"/>
        <w:tabs>
          <w:tab w:leader="none" w:pos="1660" w:val="left"/>
        </w:tabs>
        <w:numPr>
          <w:ilvl w:val="1"/>
          <w:numId w:val="432"/>
        </w:numPr>
        <w:rPr>
          <w:rFonts w:ascii="Arial" w:cs="Arial" w:eastAsia="Arial" w:hAnsi="Arial"/>
          <w:sz w:val="15"/>
          <w:szCs w:val="15"/>
          <w:color w:val="auto"/>
        </w:rPr>
      </w:pPr>
      <w:r>
        <w:rPr>
          <w:rFonts w:ascii="Arial" w:cs="Arial" w:eastAsia="Arial" w:hAnsi="Arial"/>
          <w:sz w:val="15"/>
          <w:szCs w:val="15"/>
          <w:color w:val="auto"/>
        </w:rPr>
        <w:t>any and all claims arising out of any other laws and regulations relating to employment or employment discrimination;</w:t>
      </w:r>
    </w:p>
    <w:p>
      <w:pPr>
        <w:spacing w:after="0" w:line="198" w:lineRule="exact"/>
        <w:rPr>
          <w:rFonts w:ascii="Arial" w:cs="Arial" w:eastAsia="Arial" w:hAnsi="Arial"/>
          <w:sz w:val="15"/>
          <w:szCs w:val="15"/>
          <w:color w:val="auto"/>
        </w:rPr>
      </w:pPr>
    </w:p>
    <w:p>
      <w:pPr>
        <w:ind w:right="20" w:firstLine="1104"/>
        <w:spacing w:after="0" w:line="289" w:lineRule="auto"/>
        <w:tabs>
          <w:tab w:leader="none" w:pos="1686" w:val="left"/>
        </w:tabs>
        <w:numPr>
          <w:ilvl w:val="1"/>
          <w:numId w:val="432"/>
        </w:numPr>
        <w:rPr>
          <w:rFonts w:ascii="Arial" w:cs="Arial" w:eastAsia="Arial" w:hAnsi="Arial"/>
          <w:sz w:val="15"/>
          <w:szCs w:val="15"/>
          <w:color w:val="auto"/>
        </w:rPr>
      </w:pPr>
      <w:r>
        <w:rPr>
          <w:rFonts w:ascii="Arial" w:cs="Arial" w:eastAsia="Arial" w:hAnsi="Arial"/>
          <w:sz w:val="15"/>
          <w:szCs w:val="15"/>
          <w:color w:val="auto"/>
        </w:rPr>
        <w:t>any claim for any loss, cost, damage, or expense arising out of any dispute over the non-withholding or other tax treatment of any of the proceeds received by Executive as a result of this Agreement; and</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1"/>
          <w:numId w:val="432"/>
        </w:numPr>
        <w:rPr>
          <w:rFonts w:ascii="Arial" w:cs="Arial" w:eastAsia="Arial" w:hAnsi="Arial"/>
          <w:sz w:val="15"/>
          <w:szCs w:val="15"/>
          <w:color w:val="auto"/>
        </w:rPr>
      </w:pPr>
      <w:r>
        <w:rPr>
          <w:rFonts w:ascii="Arial" w:cs="Arial" w:eastAsia="Arial" w:hAnsi="Arial"/>
          <w:sz w:val="15"/>
          <w:szCs w:val="15"/>
          <w:color w:val="auto"/>
        </w:rPr>
        <w:t>any and all claims for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-3260090</wp:posOffset>
            </wp:positionV>
            <wp:extent cx="7285990" cy="2730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such monetary relief from the Company or any Releasee),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law and any Retained Claims. This release further does not release claims for breach of Section 3(c), Section 4(b) or Section 4(c) of the Employment Agreement.</w:t>
      </w:r>
    </w:p>
    <w:p>
      <w:pPr>
        <w:spacing w:after="0" w:line="198" w:lineRule="exact"/>
        <w:rPr>
          <w:sz w:val="20"/>
          <w:szCs w:val="20"/>
          <w:color w:val="auto"/>
        </w:rPr>
      </w:pPr>
    </w:p>
    <w:p>
      <w:pPr>
        <w:ind w:firstLine="549"/>
        <w:spacing w:after="0" w:line="281" w:lineRule="auto"/>
        <w:tabs>
          <w:tab w:leader="none" w:pos="1112" w:val="left"/>
        </w:tabs>
        <w:numPr>
          <w:ilvl w:val="0"/>
          <w:numId w:val="433"/>
        </w:numPr>
        <w:rPr>
          <w:rFonts w:ascii="Arial" w:cs="Arial" w:eastAsia="Arial" w:hAnsi="Arial"/>
          <w:sz w:val="14"/>
          <w:szCs w:val="14"/>
          <w:color w:val="auto"/>
        </w:rPr>
      </w:pPr>
      <w:r>
        <w:rPr>
          <w:rFonts w:ascii="Arial" w:cs="Arial" w:eastAsia="Arial" w:hAnsi="Arial"/>
          <w:sz w:val="14"/>
          <w:szCs w:val="14"/>
          <w:u w:val="single" w:color="auto"/>
          <w:color w:val="auto"/>
        </w:rPr>
        <w:t>Acknowledgment of Waiver of Claims under ADEA</w:t>
      </w:r>
      <w:r>
        <w:rPr>
          <w:rFonts w:ascii="Arial" w:cs="Arial" w:eastAsia="Arial" w:hAnsi="Arial"/>
          <w:sz w:val="14"/>
          <w:szCs w:val="14"/>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Effective Date of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53" w:lineRule="exact"/>
        <w:rPr>
          <w:rFonts w:ascii="Arial" w:cs="Arial" w:eastAsia="Arial" w:hAnsi="Arial"/>
          <w:sz w:val="14"/>
          <w:szCs w:val="14"/>
          <w:color w:val="auto"/>
        </w:rPr>
      </w:pPr>
    </w:p>
    <w:p>
      <w:pPr>
        <w:ind w:right="160" w:firstLine="549"/>
        <w:spacing w:after="0" w:line="327" w:lineRule="auto"/>
        <w:tabs>
          <w:tab w:leader="none" w:pos="1112" w:val="left"/>
        </w:tabs>
        <w:numPr>
          <w:ilvl w:val="0"/>
          <w:numId w:val="433"/>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17" w:lineRule="exact"/>
        <w:rPr>
          <w:rFonts w:ascii="Arial" w:cs="Arial" w:eastAsia="Arial" w:hAnsi="Arial"/>
          <w:sz w:val="14"/>
          <w:szCs w:val="14"/>
          <w:color w:val="auto"/>
        </w:rPr>
      </w:pPr>
    </w:p>
    <w:p>
      <w:pPr>
        <w:ind w:left="1100" w:hanging="551"/>
        <w:spacing w:after="0"/>
        <w:tabs>
          <w:tab w:leader="none" w:pos="1100" w:val="left"/>
        </w:tabs>
        <w:numPr>
          <w:ilvl w:val="0"/>
          <w:numId w:val="433"/>
        </w:numPr>
        <w:rPr>
          <w:rFonts w:ascii="Arial" w:cs="Arial" w:eastAsia="Arial" w:hAnsi="Arial"/>
          <w:sz w:val="15"/>
          <w:szCs w:val="15"/>
          <w:color w:val="auto"/>
        </w:rPr>
      </w:pPr>
      <w:r>
        <w:rPr>
          <w:rFonts w:ascii="Arial" w:cs="Arial" w:eastAsia="Arial" w:hAnsi="Arial"/>
          <w:sz w:val="15"/>
          <w:szCs w:val="15"/>
          <w:u w:val="single" w:color="auto"/>
          <w:color w:val="auto"/>
        </w:rPr>
        <w:t>No Oral Modification</w:t>
      </w:r>
      <w:r>
        <w:rPr>
          <w:rFonts w:ascii="Arial" w:cs="Arial" w:eastAsia="Arial" w:hAnsi="Arial"/>
          <w:sz w:val="15"/>
          <w:szCs w:val="15"/>
          <w:color w:val="auto"/>
        </w:rPr>
        <w:t>. This Agreement may only be amended in a writing signed by Executive and a duly authorized officer of the Company.</w:t>
      </w:r>
    </w:p>
    <w:p>
      <w:pPr>
        <w:spacing w:after="0" w:line="198" w:lineRule="exact"/>
        <w:rPr>
          <w:rFonts w:ascii="Arial" w:cs="Arial" w:eastAsia="Arial" w:hAnsi="Arial"/>
          <w:sz w:val="15"/>
          <w:szCs w:val="15"/>
          <w:color w:val="auto"/>
        </w:rPr>
      </w:pPr>
    </w:p>
    <w:p>
      <w:pPr>
        <w:ind w:left="1100" w:hanging="551"/>
        <w:spacing w:after="0"/>
        <w:tabs>
          <w:tab w:leader="none" w:pos="1100" w:val="left"/>
        </w:tabs>
        <w:numPr>
          <w:ilvl w:val="0"/>
          <w:numId w:val="433"/>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subject to the provisions of Sections 9(a) and 9(c) of the Employment Agreement.</w:t>
      </w:r>
    </w:p>
    <w:p>
      <w:pPr>
        <w:spacing w:after="0" w:line="198" w:lineRule="exact"/>
        <w:rPr>
          <w:rFonts w:ascii="Arial" w:cs="Arial" w:eastAsia="Arial" w:hAnsi="Arial"/>
          <w:sz w:val="15"/>
          <w:szCs w:val="15"/>
          <w:color w:val="auto"/>
        </w:rPr>
      </w:pPr>
    </w:p>
    <w:p>
      <w:pPr>
        <w:ind w:right="200" w:firstLine="549"/>
        <w:spacing w:after="0" w:line="268" w:lineRule="auto"/>
        <w:tabs>
          <w:tab w:leader="none" w:pos="1112" w:val="left"/>
        </w:tabs>
        <w:numPr>
          <w:ilvl w:val="0"/>
          <w:numId w:val="433"/>
        </w:numPr>
        <w:rPr>
          <w:rFonts w:ascii="Arial" w:cs="Arial" w:eastAsia="Arial" w:hAnsi="Arial"/>
          <w:sz w:val="15"/>
          <w:szCs w:val="15"/>
          <w:color w:val="auto"/>
        </w:rPr>
      </w:pPr>
      <w:r>
        <w:rPr>
          <w:rFonts w:ascii="Arial" w:cs="Arial" w:eastAsia="Arial" w:hAnsi="Arial"/>
          <w:sz w:val="15"/>
          <w:szCs w:val="15"/>
          <w:u w:val="single" w:color="auto"/>
          <w:color w:val="auto"/>
        </w:rPr>
        <w:t>Effective Date</w:t>
      </w:r>
      <w:r>
        <w:rPr>
          <w:rFonts w:ascii="Arial" w:cs="Arial" w:eastAsia="Arial" w:hAnsi="Arial"/>
          <w:sz w:val="15"/>
          <w:szCs w:val="15"/>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ectPr>
          <w:pgSz w:w="11900" w:h="16838" w:orient="portrait"/>
          <w:cols w:equalWidth="0" w:num="1">
            <w:col w:w="11440"/>
          </w:cols>
          <w:pgMar w:left="240" w:top="129" w:right="219" w:bottom="0" w:gutter="0" w:footer="0" w:header="0"/>
        </w:sectPr>
      </w:pPr>
    </w:p>
    <w:bookmarkStart w:id="392" w:name="page393"/>
    <w:bookmarkEnd w:id="392"/>
    <w:p>
      <w:pPr>
        <w:spacing w:after="0" w:line="74" w:lineRule="exact"/>
        <w:rPr>
          <w:sz w:val="20"/>
          <w:szCs w:val="20"/>
          <w:color w:val="auto"/>
        </w:rPr>
      </w:pPr>
    </w:p>
    <w:p>
      <w:pPr>
        <w:ind w:right="100" w:firstLine="549"/>
        <w:spacing w:after="0" w:line="265" w:lineRule="auto"/>
        <w:tabs>
          <w:tab w:leader="none" w:pos="1112" w:val="left"/>
        </w:tabs>
        <w:numPr>
          <w:ilvl w:val="0"/>
          <w:numId w:val="434"/>
        </w:numPr>
        <w:rPr>
          <w:rFonts w:ascii="Arial" w:cs="Arial" w:eastAsia="Arial" w:hAnsi="Arial"/>
          <w:sz w:val="15"/>
          <w:szCs w:val="15"/>
          <w:color w:val="auto"/>
        </w:rPr>
      </w:pPr>
      <w:r>
        <w:rPr>
          <w:rFonts w:ascii="Arial" w:cs="Arial" w:eastAsia="Arial" w:hAnsi="Arial"/>
          <w:sz w:val="15"/>
          <w:szCs w:val="15"/>
          <w:u w:val="single" w:color="auto"/>
          <w:color w:val="auto"/>
        </w:rPr>
        <w:t>Voluntary Execution of Agreement</w:t>
      </w:r>
      <w:r>
        <w:rPr>
          <w:rFonts w:ascii="Arial" w:cs="Arial" w:eastAsia="Arial" w:hAnsi="Arial"/>
          <w:sz w:val="15"/>
          <w:szCs w:val="15"/>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of the releases it contains; and (e) Executive is fully aware of the legal and binding effect of this Agreement.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Parties have executed this Agreement on the respective dates set forth below.</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14605</wp:posOffset>
            </wp:positionV>
            <wp:extent cx="6788150" cy="762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6788150" cy="7620"/>
                    </a:xfrm>
                    <a:prstGeom prst="rect">
                      <a:avLst/>
                    </a:prstGeom>
                    <a:noFill/>
                  </pic:spPr>
                </pic:pic>
              </a:graphicData>
            </a:graphic>
          </wp:anchor>
        </w:drawing>
      </w:r>
    </w:p>
    <w:p>
      <w:pPr>
        <w:spacing w:after="0" w:line="4"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Peter Keller, M.Sci.</w:t>
      </w:r>
    </w:p>
    <w:p>
      <w:pPr>
        <w:spacing w:after="0" w:line="377" w:lineRule="exact"/>
        <w:rPr>
          <w:sz w:val="20"/>
          <w:szCs w:val="20"/>
          <w:color w:val="auto"/>
        </w:rPr>
      </w:pPr>
    </w:p>
    <w:p>
      <w:pPr>
        <w:ind w:left="5800"/>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p>
      <w:pPr>
        <w:spacing w:after="0"/>
        <w:tabs>
          <w:tab w:leader="none" w:pos="578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14605</wp:posOffset>
            </wp:positionV>
            <wp:extent cx="6788150" cy="762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6788150" cy="7620"/>
                    </a:xfrm>
                    <a:prstGeom prst="rect">
                      <a:avLst/>
                    </a:prstGeom>
                    <a:noFill/>
                  </pic:spPr>
                </pic:pic>
              </a:graphicData>
            </a:graphic>
          </wp:anchor>
        </w:drawing>
      </w:r>
    </w:p>
    <w:p>
      <w:pPr>
        <w:spacing w:after="0" w:line="4" w:lineRule="exact"/>
        <w:rPr>
          <w:sz w:val="20"/>
          <w:szCs w:val="20"/>
          <w:color w:val="auto"/>
        </w:rPr>
      </w:pPr>
    </w:p>
    <w:p>
      <w:pPr>
        <w:ind w:left="624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B</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Employee Nondisclosure, Noncompetition and Assignment of Intellectual Property Agreement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EMPLOYEE NONDISCLOSURE, NONCOMPETITION AND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ASSIGNMENT OF INTELLECTUAL PROPERTY AGREEMENT</w:t>
      </w:r>
    </w:p>
    <w:p>
      <w:pPr>
        <w:spacing w:after="0" w:line="188"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In consideration and as a condition of my employment by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of the compensation to be paid to me, and in recognition of the fact that as an employee of the Company I will or may have access to confidential information, I agree with the Company as follows:</w:t>
      </w:r>
    </w:p>
    <w:p>
      <w:pPr>
        <w:spacing w:after="0" w:line="141" w:lineRule="exact"/>
        <w:rPr>
          <w:sz w:val="20"/>
          <w:szCs w:val="20"/>
          <w:color w:val="auto"/>
        </w:rPr>
      </w:pPr>
    </w:p>
    <w:p>
      <w:pPr>
        <w:ind w:left="1100" w:hanging="551"/>
        <w:spacing w:after="0"/>
        <w:tabs>
          <w:tab w:leader="none" w:pos="1100" w:val="left"/>
        </w:tabs>
        <w:numPr>
          <w:ilvl w:val="0"/>
          <w:numId w:val="435"/>
        </w:numPr>
        <w:rPr>
          <w:rFonts w:ascii="Arial" w:cs="Arial" w:eastAsia="Arial" w:hAnsi="Arial"/>
          <w:sz w:val="15"/>
          <w:szCs w:val="15"/>
          <w:color w:val="auto"/>
        </w:rPr>
      </w:pPr>
      <w:r>
        <w:rPr>
          <w:rFonts w:ascii="Arial" w:cs="Arial" w:eastAsia="Arial" w:hAnsi="Arial"/>
          <w:sz w:val="15"/>
          <w:szCs w:val="15"/>
          <w:u w:val="single" w:color="auto"/>
          <w:color w:val="auto"/>
        </w:rPr>
        <w:t>Performance: Prior Obligations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firstLine="1104"/>
        <w:spacing w:after="0" w:line="264" w:lineRule="auto"/>
        <w:tabs>
          <w:tab w:leader="none" w:pos="1665" w:val="left"/>
        </w:tabs>
        <w:numPr>
          <w:ilvl w:val="1"/>
          <w:numId w:val="435"/>
        </w:numPr>
        <w:rPr>
          <w:rFonts w:ascii="Arial" w:cs="Arial" w:eastAsia="Arial" w:hAnsi="Arial"/>
          <w:sz w:val="15"/>
          <w:szCs w:val="15"/>
          <w:color w:val="auto"/>
        </w:rPr>
      </w:pPr>
      <w:r>
        <w:rPr>
          <w:rFonts w:ascii="Arial" w:cs="Arial" w:eastAsia="Arial" w:hAnsi="Arial"/>
          <w:sz w:val="15"/>
          <w:szCs w:val="15"/>
          <w:color w:val="auto"/>
        </w:rPr>
        <w:t>I agree to use best efforts to perform my assigned duties diligently, conscientiously, and with reasonable skill, and shall comply with all rules, procedures and standards promulgated from time to time by the Company with regard to my conduct and my access to and use of the Company’s property, equipment and facilities. Among such rules, procedures and standards are those governing ethical and other professional standards for dealing with customers, government agencies, vendors, competitors, consultants, fellow employees, and the public-at-large, security provisions designed to protect Company property and the personal security of Company employees, rules respecting attendance, punctuality, and hours of work, and rules and procedures designed to protect the confidentiality of proprietary information. The Company agrees to make reasonable efforts to inform me of such rules, standards and procedures as are in effect from time to time.</w:t>
      </w:r>
    </w:p>
    <w:p>
      <w:pPr>
        <w:spacing w:after="0" w:line="158" w:lineRule="exact"/>
        <w:rPr>
          <w:rFonts w:ascii="Arial" w:cs="Arial" w:eastAsia="Arial" w:hAnsi="Arial"/>
          <w:sz w:val="15"/>
          <w:szCs w:val="15"/>
          <w:color w:val="auto"/>
        </w:rPr>
      </w:pPr>
    </w:p>
    <w:p>
      <w:pPr>
        <w:ind w:right="40" w:firstLine="1104"/>
        <w:spacing w:after="0" w:line="264" w:lineRule="auto"/>
        <w:tabs>
          <w:tab w:leader="none" w:pos="1674" w:val="left"/>
        </w:tabs>
        <w:numPr>
          <w:ilvl w:val="1"/>
          <w:numId w:val="435"/>
        </w:numPr>
        <w:rPr>
          <w:rFonts w:ascii="Arial" w:cs="Arial" w:eastAsia="Arial" w:hAnsi="Arial"/>
          <w:sz w:val="15"/>
          <w:szCs w:val="15"/>
          <w:color w:val="auto"/>
        </w:rPr>
      </w:pPr>
      <w:r>
        <w:rPr>
          <w:rFonts w:ascii="Arial" w:cs="Arial" w:eastAsia="Arial" w:hAnsi="Arial"/>
          <w:sz w:val="15"/>
          <w:szCs w:val="15"/>
          <w:color w:val="auto"/>
        </w:rPr>
        <w:t>I hereby represent, warrant and agree (i) that I have the full right to enter into this Agreement and perform the services required of me hereunder, without any restriction whatsoever; (ii) that in the course of performing services hereunder, I will not violate the terms or conditions of any agreement between me and any third party or infringe or wrongfully appropriate any patents, copyrights, trade secrets or other intellectual property rights of any person or entity anywhere in the world; (iii) that I have not and will not disclose or use during my employment by the Company any confidential information that I acquired as a result of any previous employment or consulting arrangement or under a previous obligation of confidentiality; and (iv) that I have disclosed to the Company in writing any and all continuing obligations to previous employers or others that require me not to disclose any information to the Company.</w:t>
      </w:r>
    </w:p>
    <w:p>
      <w:pPr>
        <w:spacing w:after="0" w:line="158" w:lineRule="exact"/>
        <w:rPr>
          <w:rFonts w:ascii="Arial" w:cs="Arial" w:eastAsia="Arial" w:hAnsi="Arial"/>
          <w:sz w:val="15"/>
          <w:szCs w:val="15"/>
          <w:color w:val="auto"/>
        </w:rPr>
      </w:pPr>
    </w:p>
    <w:p>
      <w:pPr>
        <w:ind w:right="80" w:firstLine="549"/>
        <w:spacing w:after="0" w:line="264" w:lineRule="auto"/>
        <w:tabs>
          <w:tab w:leader="none" w:pos="1112" w:val="left"/>
        </w:tabs>
        <w:numPr>
          <w:ilvl w:val="0"/>
          <w:numId w:val="435"/>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While employed by the Company and thereafter, I shall not, directly or indirectly, use any Confidential Information (as hereinafter defined) other than pursuant to my employment by and for the benefit of the Company, or disclose any Confidential Information to anyone outside of the Company, whether by private communication, public address, publication or otherwise, or disclose any Confidential Information to anyone within the Company who has not been authorized to receive such information, except as directed in writing by an authorized representative of the Company. The term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as used throughout this Agreement shall mean all trade secrets, proprietary information, know-how, data, designs, specifications, processes, customer lists and other technical or business information (and any tangible evidence, record or representation thereof), whether prepared,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85990" cy="2730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conceived or developed by a consultant or employee of the Company (including myself) or received by the Company from an outside source, which is in the possession of the Company (whether or not the property of the Company), which in any way relates to the present or future business of the Company, which is maintained in confidence by the Company, or which might permit the Company or its customers to obtain a competitive advantage over competitors who do not have access to such trade secrets, proprietary information, or other data or information. Without limiting the generality of the foregoing. Confidential Information shall include, without limitation:</w:t>
      </w:r>
    </w:p>
    <w:p>
      <w:pPr>
        <w:spacing w:after="0" w:line="156" w:lineRule="exact"/>
        <w:rPr>
          <w:sz w:val="20"/>
          <w:szCs w:val="20"/>
          <w:color w:val="auto"/>
        </w:rPr>
      </w:pPr>
    </w:p>
    <w:p>
      <w:pPr>
        <w:ind w:right="140" w:firstLine="1104"/>
        <w:spacing w:after="0" w:line="268" w:lineRule="auto"/>
        <w:tabs>
          <w:tab w:leader="none" w:pos="1665" w:val="left"/>
        </w:tabs>
        <w:numPr>
          <w:ilvl w:val="0"/>
          <w:numId w:val="436"/>
        </w:numPr>
        <w:rPr>
          <w:rFonts w:ascii="Arial" w:cs="Arial" w:eastAsia="Arial" w:hAnsi="Arial"/>
          <w:sz w:val="15"/>
          <w:szCs w:val="15"/>
          <w:color w:val="auto"/>
        </w:rPr>
      </w:pPr>
      <w:r>
        <w:rPr>
          <w:rFonts w:ascii="Arial" w:cs="Arial" w:eastAsia="Arial" w:hAnsi="Arial"/>
          <w:sz w:val="15"/>
          <w:szCs w:val="15"/>
          <w:color w:val="auto"/>
        </w:rPr>
        <w:t>any idea, improvement, invention, innovation, development, concept, technical or clinical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56" w:lineRule="exact"/>
        <w:rPr>
          <w:rFonts w:ascii="Arial" w:cs="Arial" w:eastAsia="Arial" w:hAnsi="Arial"/>
          <w:sz w:val="15"/>
          <w:szCs w:val="15"/>
          <w:color w:val="auto"/>
        </w:rPr>
      </w:pPr>
    </w:p>
    <w:p>
      <w:pPr>
        <w:jc w:val="both"/>
        <w:ind w:right="140" w:firstLine="1104"/>
        <w:spacing w:after="0" w:line="273" w:lineRule="auto"/>
        <w:tabs>
          <w:tab w:leader="none" w:pos="1674" w:val="left"/>
        </w:tabs>
        <w:numPr>
          <w:ilvl w:val="0"/>
          <w:numId w:val="436"/>
        </w:numPr>
        <w:rPr>
          <w:rFonts w:ascii="Arial" w:cs="Arial" w:eastAsia="Arial" w:hAnsi="Arial"/>
          <w:sz w:val="15"/>
          <w:szCs w:val="15"/>
          <w:color w:val="auto"/>
        </w:rPr>
      </w:pPr>
      <w:r>
        <w:rPr>
          <w:rFonts w:ascii="Arial" w:cs="Arial" w:eastAsia="Arial" w:hAnsi="Arial"/>
          <w:sz w:val="15"/>
          <w:szCs w:val="15"/>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53" w:lineRule="exact"/>
        <w:rPr>
          <w:sz w:val="20"/>
          <w:szCs w:val="20"/>
          <w:color w:val="auto"/>
        </w:rPr>
      </w:pPr>
    </w:p>
    <w:p>
      <w:pPr>
        <w:ind w:right="60" w:firstLine="556"/>
        <w:spacing w:after="0" w:line="289" w:lineRule="auto"/>
        <w:rPr>
          <w:sz w:val="20"/>
          <w:szCs w:val="20"/>
          <w:color w:val="auto"/>
        </w:rPr>
      </w:pPr>
      <w:r>
        <w:rPr>
          <w:rFonts w:ascii="Arial" w:cs="Arial" w:eastAsia="Arial" w:hAnsi="Arial"/>
          <w:sz w:val="15"/>
          <w:szCs w:val="15"/>
          <w:color w:val="auto"/>
        </w:rPr>
        <w:t>Notwithstanding the foregoing, the term Confidential Information shall not apply to information which the Company has voluntarily disclosed to the public without restriction, or which has otherwise lawfully entered the public domain.</w:t>
      </w:r>
    </w:p>
    <w:p>
      <w:pPr>
        <w:sectPr>
          <w:pgSz w:w="11900" w:h="16912" w:orient="portrait"/>
          <w:cols w:equalWidth="0" w:num="1">
            <w:col w:w="11420"/>
          </w:cols>
          <w:pgMar w:left="240" w:top="314" w:right="239" w:bottom="0" w:gutter="0" w:footer="0" w:header="0"/>
        </w:sectPr>
      </w:pPr>
    </w:p>
    <w:bookmarkStart w:id="393" w:name="page394"/>
    <w:bookmarkEnd w:id="393"/>
    <w:p>
      <w:pPr>
        <w:ind w:right="220" w:firstLine="556"/>
        <w:spacing w:after="0" w:line="289" w:lineRule="auto"/>
        <w:rPr>
          <w:sz w:val="20"/>
          <w:szCs w:val="20"/>
          <w:color w:val="auto"/>
        </w:rPr>
      </w:pPr>
      <w:r>
        <w:rPr>
          <w:rFonts w:ascii="Arial" w:cs="Arial" w:eastAsia="Arial" w:hAnsi="Arial"/>
          <w:sz w:val="15"/>
          <w:szCs w:val="15"/>
          <w:color w:val="auto"/>
        </w:rPr>
        <w:t>I shall promptly notify my supervisor or any officer of the Company if I learn of any possible unauthorized use or disclosure of Confidential Information and shall cooperate fully with the Company to enforce its rights in such information.</w:t>
      </w:r>
    </w:p>
    <w:p>
      <w:pPr>
        <w:spacing w:after="0" w:line="141" w:lineRule="exact"/>
        <w:rPr>
          <w:sz w:val="20"/>
          <w:szCs w:val="20"/>
          <w:color w:val="auto"/>
        </w:rPr>
      </w:pPr>
    </w:p>
    <w:p>
      <w:pPr>
        <w:ind w:right="20" w:firstLine="556"/>
        <w:spacing w:after="0" w:line="327" w:lineRule="auto"/>
        <w:rPr>
          <w:sz w:val="20"/>
          <w:szCs w:val="20"/>
          <w:color w:val="auto"/>
        </w:rPr>
      </w:pPr>
      <w:r>
        <w:rPr>
          <w:rFonts w:ascii="Arial" w:cs="Arial" w:eastAsia="Arial" w:hAnsi="Arial"/>
          <w:sz w:val="14"/>
          <w:szCs w:val="14"/>
          <w:color w:val="auto"/>
        </w:rPr>
        <w:t>I understand that the Company from time to time has in its possession information (including product and development plans and specifications) which is claimed by customers and others to be proprietary and which the Company has agreed to keep confidential. I agree that all such information shall be Confidential Information for purposes of this Agreement.</w:t>
      </w:r>
    </w:p>
    <w:p>
      <w:pPr>
        <w:spacing w:after="0" w:line="117" w:lineRule="exact"/>
        <w:rPr>
          <w:sz w:val="20"/>
          <w:szCs w:val="20"/>
          <w:color w:val="auto"/>
        </w:rPr>
      </w:pPr>
    </w:p>
    <w:p>
      <w:pPr>
        <w:ind w:left="1100" w:hanging="551"/>
        <w:spacing w:after="0"/>
        <w:tabs>
          <w:tab w:leader="none" w:pos="1100" w:val="left"/>
        </w:tabs>
        <w:numPr>
          <w:ilvl w:val="0"/>
          <w:numId w:val="437"/>
        </w:numPr>
        <w:rPr>
          <w:rFonts w:ascii="Arial" w:cs="Arial" w:eastAsia="Arial" w:hAnsi="Arial"/>
          <w:sz w:val="15"/>
          <w:szCs w:val="15"/>
          <w:color w:val="auto"/>
        </w:rPr>
      </w:pPr>
      <w:r>
        <w:rPr>
          <w:rFonts w:ascii="Arial" w:cs="Arial" w:eastAsia="Arial" w:hAnsi="Arial"/>
          <w:sz w:val="15"/>
          <w:szCs w:val="15"/>
          <w:u w:val="single" w:color="auto"/>
          <w:color w:val="auto"/>
        </w:rPr>
        <w:t>Ownership and Assignment of Intellectual Property</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60" w:firstLine="1104"/>
        <w:spacing w:after="0" w:line="302" w:lineRule="auto"/>
        <w:tabs>
          <w:tab w:leader="none" w:pos="1665" w:val="left"/>
        </w:tabs>
        <w:numPr>
          <w:ilvl w:val="1"/>
          <w:numId w:val="437"/>
        </w:numPr>
        <w:rPr>
          <w:rFonts w:ascii="Arial" w:cs="Arial" w:eastAsia="Arial" w:hAnsi="Arial"/>
          <w:sz w:val="14"/>
          <w:szCs w:val="14"/>
          <w:color w:val="auto"/>
        </w:rPr>
      </w:pPr>
      <w:r>
        <w:rPr>
          <w:rFonts w:ascii="Arial" w:cs="Arial" w:eastAsia="Arial" w:hAnsi="Arial"/>
          <w:sz w:val="14"/>
          <w:szCs w:val="14"/>
          <w:color w:val="auto"/>
        </w:rPr>
        <w:t>I agree that all originals and all copies of all manuscripts, drawings, prints, manuals, diagrams, letters, notes, notebooks, reports, models, records, files, memoranda, plans, sketches and all other documents and materials containing, representing, evidencing, recording, or constituting any Confidential Information (as defined in Section 2 above), however and whenever produced (whether by myself or others) during the course of my employment, shall be the sole property of the Company.</w:t>
      </w:r>
    </w:p>
    <w:p>
      <w:pPr>
        <w:spacing w:after="0" w:line="133" w:lineRule="exact"/>
        <w:rPr>
          <w:rFonts w:ascii="Arial" w:cs="Arial" w:eastAsia="Arial" w:hAnsi="Arial"/>
          <w:sz w:val="14"/>
          <w:szCs w:val="14"/>
          <w:color w:val="auto"/>
        </w:rPr>
      </w:pPr>
    </w:p>
    <w:p>
      <w:pPr>
        <w:ind w:right="600" w:firstLine="1104"/>
        <w:spacing w:after="0" w:line="289" w:lineRule="auto"/>
        <w:tabs>
          <w:tab w:leader="none" w:pos="1674" w:val="left"/>
        </w:tabs>
        <w:numPr>
          <w:ilvl w:val="1"/>
          <w:numId w:val="437"/>
        </w:numPr>
        <w:rPr>
          <w:rFonts w:ascii="Arial" w:cs="Arial" w:eastAsia="Arial" w:hAnsi="Arial"/>
          <w:sz w:val="15"/>
          <w:szCs w:val="15"/>
          <w:color w:val="auto"/>
        </w:rPr>
      </w:pPr>
      <w:r>
        <w:rPr>
          <w:rFonts w:ascii="Arial" w:cs="Arial" w:eastAsia="Arial" w:hAnsi="Arial"/>
          <w:sz w:val="15"/>
          <w:szCs w:val="15"/>
          <w:color w:val="auto"/>
        </w:rPr>
        <w:t>I agree that all Confidential Information and all other discoveries, inventions, ideas, concepts, trademarks, service marks, logos, processes, products, formulas, computer programs or software, source codes, object codes, algorithms, machines, apparatuses,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me, either alone or with others, and related to the business of the Company or to tasks assigned to me during the course of my employment, whether or not made during my regular working hours, whether or not conceived, developed, reduced to practice or made on the Company’s premises and whether or not disclosed by me to the Company (collectively “</w:t>
      </w:r>
      <w:r>
        <w:rPr>
          <w:rFonts w:ascii="Arial" w:cs="Arial" w:eastAsia="Arial" w:hAnsi="Arial"/>
          <w:sz w:val="15"/>
          <w:szCs w:val="15"/>
          <w:u w:val="single" w:color="auto"/>
          <w:color w:val="auto"/>
        </w:rPr>
        <w:t>Company Inventions</w:t>
      </w:r>
      <w:r>
        <w:rPr>
          <w:rFonts w:ascii="Arial" w:cs="Arial" w:eastAsia="Arial" w:hAnsi="Arial"/>
          <w:sz w:val="15"/>
          <w:szCs w:val="15"/>
          <w:color w:val="auto"/>
        </w:rPr>
        <w:t>”), and any and all services and products which embody, emulate or employ any such Company Invention or Confidential Information shall be the sole property of the Company and all copyrights, patents, patent rights, trademarks and reproduction rights to, and other proprietary rights in, each such Company Invention or Confidential Information, whether or not patentable or copyrightable, shall belong exclusively to the Company. For the avoidance of doubt, Confidential Information shall only include information that relates to the present or future business of the Company, and Company Inventions shall only include inventions that relate to the business of the Company or to tasks assigned to me during the course of my employment.</w:t>
      </w:r>
    </w:p>
    <w:p>
      <w:pPr>
        <w:spacing w:after="0" w:line="165" w:lineRule="exact"/>
        <w:rPr>
          <w:sz w:val="20"/>
          <w:szCs w:val="20"/>
          <w:color w:val="auto"/>
        </w:rPr>
      </w:pPr>
    </w:p>
    <w:p>
      <w:pPr>
        <w:ind w:right="100" w:firstLine="1104"/>
        <w:spacing w:after="0" w:line="264" w:lineRule="auto"/>
        <w:tabs>
          <w:tab w:leader="none" w:pos="1677" w:val="left"/>
        </w:tabs>
        <w:numPr>
          <w:ilvl w:val="1"/>
          <w:numId w:val="438"/>
        </w:numPr>
        <w:rPr>
          <w:rFonts w:ascii="Arial" w:cs="Arial" w:eastAsia="Arial" w:hAnsi="Arial"/>
          <w:sz w:val="15"/>
          <w:szCs w:val="15"/>
          <w:color w:val="auto"/>
        </w:rPr>
      </w:pPr>
      <w:r>
        <w:rPr>
          <w:rFonts w:ascii="Arial" w:cs="Arial" w:eastAsia="Arial" w:hAnsi="Arial"/>
          <w:sz w:val="15"/>
          <w:szCs w:val="15"/>
          <w:color w:val="auto"/>
        </w:rPr>
        <w:t>I agree to, and hereby do, assign to the Company all my right, title and interest throughout the world in and to all Company Inventions and to anything tangible which evidences, incorporates, constitutes, represents or records any Company Invention. I agree that all Company Inventions shall constitute works made for hire under the copyright laws of the United States and hereby assign and, to the extent any such assignment cannot be made at present, I hereby agree to assign to the Company all copyrights, patents and other proprietary rights I may have in any Company Inventions, together with the right to file for and/or own wholly without restriction United States and foreign patents, trademarks, and copyrights. I agree to waive, and hereby waive, all moral rights or proprietary rights in or to any Company Inventions and, to the extent that such rights may not be waived, agree not to assert such rights against the Company or its licensees, successors or assigns.</w:t>
      </w:r>
    </w:p>
    <w:p>
      <w:pPr>
        <w:spacing w:after="0" w:line="158" w:lineRule="exact"/>
        <w:rPr>
          <w:rFonts w:ascii="Arial" w:cs="Arial" w:eastAsia="Arial" w:hAnsi="Arial"/>
          <w:sz w:val="15"/>
          <w:szCs w:val="15"/>
          <w:color w:val="auto"/>
        </w:rPr>
      </w:pPr>
    </w:p>
    <w:p>
      <w:pPr>
        <w:ind w:right="80" w:firstLine="1104"/>
        <w:spacing w:after="0" w:line="273" w:lineRule="auto"/>
        <w:tabs>
          <w:tab w:leader="none" w:pos="1674" w:val="left"/>
        </w:tabs>
        <w:numPr>
          <w:ilvl w:val="1"/>
          <w:numId w:val="438"/>
        </w:numPr>
        <w:rPr>
          <w:rFonts w:ascii="Arial" w:cs="Arial" w:eastAsia="Arial" w:hAnsi="Arial"/>
          <w:sz w:val="15"/>
          <w:szCs w:val="15"/>
          <w:color w:val="auto"/>
        </w:rPr>
      </w:pPr>
      <w:r>
        <w:rPr>
          <w:rFonts w:ascii="Arial" w:cs="Arial" w:eastAsia="Arial" w:hAnsi="Arial"/>
          <w:sz w:val="15"/>
          <w:szCs w:val="15"/>
          <w:color w:val="auto"/>
        </w:rPr>
        <w:t xml:space="preserve">I hereby certify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sets forth any and all confidential information and intellectual property that I claim as my own or otherwise intend to exclude from this Agreement because it was developed by me prior to the date of this Agreement. I understand that after execution of this Agreement I shall have no right to exclude Confidential Information or Company Inventions from this Agreement.</w:t>
      </w:r>
    </w:p>
    <w:p>
      <w:pPr>
        <w:spacing w:after="0" w:line="152" w:lineRule="exact"/>
        <w:rPr>
          <w:rFonts w:ascii="Arial" w:cs="Arial" w:eastAsia="Arial" w:hAnsi="Arial"/>
          <w:sz w:val="15"/>
          <w:szCs w:val="15"/>
          <w:color w:val="auto"/>
        </w:rPr>
      </w:pPr>
    </w:p>
    <w:p>
      <w:pPr>
        <w:ind w:right="120" w:firstLine="549"/>
        <w:spacing w:after="0" w:line="273" w:lineRule="auto"/>
        <w:tabs>
          <w:tab w:leader="none" w:pos="1112" w:val="left"/>
        </w:tabs>
        <w:numPr>
          <w:ilvl w:val="0"/>
          <w:numId w:val="439"/>
        </w:numPr>
        <w:rPr>
          <w:rFonts w:ascii="Arial" w:cs="Arial" w:eastAsia="Arial" w:hAnsi="Arial"/>
          <w:sz w:val="15"/>
          <w:szCs w:val="15"/>
          <w:color w:val="auto"/>
        </w:rPr>
      </w:pPr>
      <w:r>
        <w:rPr>
          <w:rFonts w:ascii="Arial" w:cs="Arial" w:eastAsia="Arial" w:hAnsi="Arial"/>
          <w:sz w:val="15"/>
          <w:szCs w:val="15"/>
          <w:u w:val="single" w:color="auto"/>
          <w:color w:val="auto"/>
        </w:rPr>
        <w:t>Employee’s Obligation to Keep Records</w:t>
      </w:r>
      <w:r>
        <w:rPr>
          <w:rFonts w:ascii="Arial" w:cs="Arial" w:eastAsia="Arial" w:hAnsi="Arial"/>
          <w:sz w:val="15"/>
          <w:szCs w:val="15"/>
          <w:color w:val="auto"/>
        </w:rPr>
        <w:t>. I shall make and maintain adequate and current written records of all Company Inventions, including notebooks and invention disclosures, which records shall be available to and remain the property of the Company at all times. I shall disclose all Company Inventions promptly, fully and in writing to the Company immediately upon production or development of the same and at any time upon request.</w:t>
      </w:r>
    </w:p>
    <w:p>
      <w:pPr>
        <w:spacing w:after="0" w:line="152" w:lineRule="exact"/>
        <w:rPr>
          <w:rFonts w:ascii="Arial" w:cs="Arial" w:eastAsia="Arial" w:hAnsi="Arial"/>
          <w:sz w:val="15"/>
          <w:szCs w:val="15"/>
          <w:color w:val="auto"/>
        </w:rPr>
      </w:pPr>
    </w:p>
    <w:p>
      <w:pPr>
        <w:ind w:right="120" w:firstLine="549"/>
        <w:spacing w:after="0" w:line="273" w:lineRule="auto"/>
        <w:tabs>
          <w:tab w:leader="none" w:pos="1112" w:val="left"/>
        </w:tabs>
        <w:numPr>
          <w:ilvl w:val="0"/>
          <w:numId w:val="439"/>
        </w:numPr>
        <w:rPr>
          <w:rFonts w:ascii="Arial" w:cs="Arial" w:eastAsia="Arial" w:hAnsi="Arial"/>
          <w:sz w:val="15"/>
          <w:szCs w:val="15"/>
          <w:color w:val="auto"/>
        </w:rPr>
      </w:pPr>
      <w:r>
        <w:rPr>
          <w:rFonts w:ascii="Arial" w:cs="Arial" w:eastAsia="Arial" w:hAnsi="Arial"/>
          <w:sz w:val="15"/>
          <w:szCs w:val="15"/>
          <w:u w:val="single" w:color="auto"/>
          <w:color w:val="auto"/>
        </w:rPr>
        <w:t>Employee’s Obligation to Cooperate</w:t>
      </w:r>
      <w:r>
        <w:rPr>
          <w:rFonts w:ascii="Arial" w:cs="Arial" w:eastAsia="Arial" w:hAnsi="Arial"/>
          <w:sz w:val="15"/>
          <w:szCs w:val="15"/>
          <w:color w:val="auto"/>
        </w:rPr>
        <w:t>. I will, at any time during my employment, or after it terminates, upon request of the Company, execute all documents and perform all lawful acts which the Company considers necessary or advisable to secure its rights hereunder and to carry out the intent of this Agreement. Without limiting the generality of the foregoing, I will assist the Company in any reasonable manner to obtain for its own benefit patents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spacing w:after="0" w:line="289" w:lineRule="auto"/>
        <w:rPr>
          <w:sz w:val="20"/>
          <w:szCs w:val="20"/>
          <w:color w:val="auto"/>
        </w:rPr>
      </w:pPr>
      <w:r>
        <w:rPr>
          <w:rFonts w:ascii="Arial" w:cs="Arial" w:eastAsia="Arial" w:hAnsi="Arial"/>
          <w:sz w:val="14"/>
          <w:szCs w:val="14"/>
          <w:color w:val="auto"/>
        </w:rPr>
        <w:t>copyrights in any and all countries with respect to all Company Inventions assigned pursuant to Section 3, and I will execute, when requested, patent and other applications and assignments thereof to the Company, or persons designated by it, and any other lawful documents deemed necessary by the Company to carry out the purposes of this Agreement, and I will further assist the Company in every way to enforce any patents and copyrights obtained, including, without limitation, testifying in any suit or proceeding involving any of said patents or copyrights or executing any documents deemed necessary by the Company, all without further consideration than provided for herein. It is understood that reasonable out-of-pocket expenses of my assistance incurred at the request of the Company under this Section will be reimbursed by the Company.</w:t>
      </w:r>
    </w:p>
    <w:p>
      <w:pPr>
        <w:spacing w:after="0" w:line="143" w:lineRule="exact"/>
        <w:rPr>
          <w:sz w:val="20"/>
          <w:szCs w:val="20"/>
          <w:color w:val="auto"/>
        </w:rPr>
      </w:pPr>
    </w:p>
    <w:p>
      <w:pPr>
        <w:ind w:right="20" w:firstLine="549"/>
        <w:spacing w:after="0" w:line="265" w:lineRule="auto"/>
        <w:tabs>
          <w:tab w:leader="none" w:pos="1112" w:val="left"/>
        </w:tabs>
        <w:numPr>
          <w:ilvl w:val="0"/>
          <w:numId w:val="440"/>
        </w:numPr>
        <w:rPr>
          <w:rFonts w:ascii="Arial" w:cs="Arial" w:eastAsia="Arial" w:hAnsi="Arial"/>
          <w:sz w:val="15"/>
          <w:szCs w:val="15"/>
          <w:color w:val="auto"/>
        </w:rPr>
      </w:pPr>
      <w:r>
        <w:rPr>
          <w:rFonts w:ascii="Arial" w:cs="Arial" w:eastAsia="Arial" w:hAnsi="Arial"/>
          <w:sz w:val="15"/>
          <w:szCs w:val="15"/>
          <w:u w:val="single" w:color="auto"/>
          <w:color w:val="auto"/>
        </w:rPr>
        <w:t>Noncompetition and Non-solicitation</w:t>
      </w:r>
      <w:r>
        <w:rPr>
          <w:rFonts w:ascii="Arial" w:cs="Arial" w:eastAsia="Arial" w:hAnsi="Arial"/>
          <w:sz w:val="15"/>
          <w:szCs w:val="15"/>
          <w:color w:val="auto"/>
        </w:rPr>
        <w:t>. During my employment with the Company and for a period of 12 months after the termination of my employment with the Company for any reason, I shall not, without the Company’s prior written consent, on my own behalf, or as owner, manager, stockholder, consultant, director, officer, or employee of any business entity (except as a holder of not more than three (3%) percent of the stock of a publicly held company) participate in any capacity in any business activity that is in direct competition with any of the products or services being developed, marketed, distributed, planned, sold or otherwise provided by the Company or its affiliates at the time of, or during the 12 months preceding, my termination.</w:t>
      </w:r>
    </w:p>
    <w:p>
      <w:pPr>
        <w:spacing w:after="0" w:line="160" w:lineRule="exact"/>
        <w:rPr>
          <w:sz w:val="20"/>
          <w:szCs w:val="20"/>
          <w:color w:val="auto"/>
        </w:rPr>
      </w:pPr>
    </w:p>
    <w:p>
      <w:pPr>
        <w:ind w:right="140" w:firstLine="556"/>
        <w:spacing w:after="0" w:line="289" w:lineRule="auto"/>
        <w:rPr>
          <w:sz w:val="20"/>
          <w:szCs w:val="20"/>
          <w:color w:val="auto"/>
        </w:rPr>
      </w:pPr>
      <w:r>
        <w:rPr>
          <w:rFonts w:ascii="Arial" w:cs="Arial" w:eastAsia="Arial" w:hAnsi="Arial"/>
          <w:sz w:val="15"/>
          <w:szCs w:val="15"/>
          <w:color w:val="auto"/>
        </w:rPr>
        <w:t>During my employment with the Company and for a period of 12 months after the termination of my employment with the Company for any reason, I shall not solicit, induce or encourage any employee of the Company to terminate his or her employment with the Company.</w:t>
      </w:r>
    </w:p>
    <w:p>
      <w:pPr>
        <w:spacing w:after="0" w:line="141" w:lineRule="exact"/>
        <w:rPr>
          <w:sz w:val="20"/>
          <w:szCs w:val="20"/>
          <w:color w:val="auto"/>
        </w:rPr>
      </w:pPr>
    </w:p>
    <w:p>
      <w:pPr>
        <w:ind w:firstLine="549"/>
        <w:spacing w:after="0" w:line="261" w:lineRule="auto"/>
        <w:tabs>
          <w:tab w:leader="none" w:pos="1112" w:val="left"/>
        </w:tabs>
        <w:numPr>
          <w:ilvl w:val="0"/>
          <w:numId w:val="441"/>
        </w:numPr>
        <w:rPr>
          <w:rFonts w:ascii="Arial" w:cs="Arial" w:eastAsia="Arial" w:hAnsi="Arial"/>
          <w:sz w:val="15"/>
          <w:szCs w:val="15"/>
          <w:color w:val="auto"/>
        </w:rPr>
      </w:pPr>
      <w:r>
        <w:rPr>
          <w:rFonts w:ascii="Arial" w:cs="Arial" w:eastAsia="Arial" w:hAnsi="Arial"/>
          <w:sz w:val="15"/>
          <w:szCs w:val="15"/>
          <w:u w:val="single" w:color="auto"/>
          <w:color w:val="auto"/>
        </w:rPr>
        <w:t>Return of Property</w:t>
      </w:r>
      <w:r>
        <w:rPr>
          <w:rFonts w:ascii="Arial" w:cs="Arial" w:eastAsia="Arial" w:hAnsi="Arial"/>
          <w:sz w:val="15"/>
          <w:szCs w:val="15"/>
          <w:color w:val="auto"/>
        </w:rPr>
        <w:t>. Upon termination of my employment with the Company, or at any other time upon request of the Company, I shall cease using and return promptly any and all customer or prospective customer lists, other customer or prospective customer information or related materials, computer programs, software, electronic data, specifications, drawings, blueprints, data storage devices, reproductions, sketches, notes, notebooks, memoranda, reports, records, proposals, business plans, or copies of them, other documents or materials, tools, equipment, or other property belonging to the Company or its customers which I may then possess or have under my direct or indirect control. I further agree that upon termination of employment, I shall not take with me any documents or data in any form or of any description containing or pertaining to Confidential Information or Company Inventions, other than documents I have a right to retain under applicable law (with the understanding that my obligations under this Agreement continue to apply to any such retained documents). For purposes of clarity, using best efforts to completely remove (with the Company’s prior written permission) from any personal computer, laptop, smart phone, IPad, or any other electronic device, any Company Property that I have previously returned to the Company in accordance with this Section 7 satisfies my obligations under this section.</w:t>
      </w:r>
    </w:p>
    <w:p>
      <w:pPr>
        <w:spacing w:after="0" w:line="164" w:lineRule="exact"/>
        <w:rPr>
          <w:rFonts w:ascii="Arial" w:cs="Arial" w:eastAsia="Arial" w:hAnsi="Arial"/>
          <w:sz w:val="15"/>
          <w:szCs w:val="15"/>
          <w:color w:val="auto"/>
        </w:rPr>
      </w:pPr>
    </w:p>
    <w:p>
      <w:pPr>
        <w:ind w:right="300" w:firstLine="549"/>
        <w:spacing w:after="0" w:line="334" w:lineRule="auto"/>
        <w:tabs>
          <w:tab w:leader="none" w:pos="1112" w:val="left"/>
        </w:tabs>
        <w:numPr>
          <w:ilvl w:val="0"/>
          <w:numId w:val="441"/>
        </w:numPr>
        <w:rPr>
          <w:rFonts w:ascii="Arial" w:cs="Arial" w:eastAsia="Arial" w:hAnsi="Arial"/>
          <w:sz w:val="13"/>
          <w:szCs w:val="13"/>
          <w:color w:val="auto"/>
        </w:rPr>
      </w:pPr>
      <w:r>
        <w:rPr>
          <w:rFonts w:ascii="Arial" w:cs="Arial" w:eastAsia="Arial" w:hAnsi="Arial"/>
          <w:sz w:val="13"/>
          <w:szCs w:val="13"/>
          <w:u w:val="single" w:color="auto"/>
          <w:color w:val="auto"/>
        </w:rPr>
        <w:t>Other Obligations</w:t>
      </w:r>
      <w:r>
        <w:rPr>
          <w:rFonts w:ascii="Arial" w:cs="Arial" w:eastAsia="Arial" w:hAnsi="Arial"/>
          <w:sz w:val="13"/>
          <w:szCs w:val="13"/>
          <w:color w:val="auto"/>
        </w:rPr>
        <w:t>. I acknowledge that the Company from time to time may have agreements with other persons, including the government of the United States or other countries and agencies thereof, which impose obligations or restrictions on the Company regarding inventions made during the course of work thereunder or regarding the confidential nature of such work. I agree to be bound by all such obligations and restrictions and to take all action necessary to discharge the obligations of the Company thereunder.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hanging="551"/>
        <w:spacing w:after="0"/>
        <w:tabs>
          <w:tab w:leader="none" w:pos="1100" w:val="left"/>
        </w:tabs>
        <w:numPr>
          <w:ilvl w:val="0"/>
          <w:numId w:val="442"/>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ectPr>
          <w:pgSz w:w="11900" w:h="16838" w:orient="portrait"/>
          <w:cols w:equalWidth="0" w:num="1">
            <w:col w:w="11440"/>
          </w:cols>
          <w:pgMar w:left="240" w:top="315" w:right="219" w:bottom="0" w:gutter="0" w:footer="0" w:header="0"/>
        </w:sectPr>
      </w:pPr>
    </w:p>
    <w:bookmarkStart w:id="394" w:name="page395"/>
    <w:bookmarkEnd w:id="394"/>
    <w:p>
      <w:pPr>
        <w:ind w:firstLine="1104"/>
        <w:spacing w:after="0" w:line="273" w:lineRule="auto"/>
        <w:tabs>
          <w:tab w:leader="none" w:pos="1665" w:val="left"/>
        </w:tabs>
        <w:numPr>
          <w:ilvl w:val="0"/>
          <w:numId w:val="443"/>
        </w:numPr>
        <w:rPr>
          <w:rFonts w:ascii="Arial" w:cs="Arial" w:eastAsia="Arial" w:hAnsi="Arial"/>
          <w:sz w:val="15"/>
          <w:szCs w:val="15"/>
          <w:color w:val="auto"/>
        </w:rPr>
      </w:pPr>
      <w:r>
        <w:rPr>
          <w:rFonts w:ascii="Arial" w:cs="Arial" w:eastAsia="Arial" w:hAnsi="Arial"/>
          <w:sz w:val="15"/>
          <w:szCs w:val="15"/>
          <w:color w:val="auto"/>
        </w:rPr>
        <w:t>This Agreement contains the entire and only agreement between me and the Company with respect to the subject matter hereof, superseding any previous oral or written communications, representations, understandings, or agreements with the Company or any officer or representative hereof. In the event of any inconsistency between this Agreement and any other contract between me and the Company, the provisions of this Agreement shall prevail.</w:t>
      </w:r>
    </w:p>
    <w:p>
      <w:pPr>
        <w:spacing w:after="0" w:line="152" w:lineRule="exact"/>
        <w:rPr>
          <w:rFonts w:ascii="Arial" w:cs="Arial" w:eastAsia="Arial" w:hAnsi="Arial"/>
          <w:sz w:val="15"/>
          <w:szCs w:val="15"/>
          <w:color w:val="auto"/>
        </w:rPr>
      </w:pPr>
    </w:p>
    <w:p>
      <w:pPr>
        <w:ind w:right="80" w:firstLine="1104"/>
        <w:spacing w:after="0" w:line="268" w:lineRule="auto"/>
        <w:tabs>
          <w:tab w:leader="none" w:pos="1674" w:val="left"/>
        </w:tabs>
        <w:numPr>
          <w:ilvl w:val="0"/>
          <w:numId w:val="443"/>
        </w:numPr>
        <w:rPr>
          <w:rFonts w:ascii="Arial" w:cs="Arial" w:eastAsia="Arial" w:hAnsi="Arial"/>
          <w:sz w:val="15"/>
          <w:szCs w:val="15"/>
          <w:color w:val="auto"/>
        </w:rPr>
      </w:pPr>
      <w:r>
        <w:rPr>
          <w:rFonts w:ascii="Arial" w:cs="Arial" w:eastAsia="Arial" w:hAnsi="Arial"/>
          <w:sz w:val="15"/>
          <w:szCs w:val="15"/>
          <w:color w:val="auto"/>
        </w:rPr>
        <w:t>My obligations under Sections 2, 3, 5, 6 (for the periods set forth therein), 7, 8 and 9 of this Agreement shall survive the termination of my employment with the Company regardless of the manner of or reasons for such termination, and regardless of whether such termination constitutes a breach of any other agreement I may have with the Company. My obligations under this Agreement shall be binding upon my heirs, assigns, executors, administrators and representatives, and the provisions of this Agreement shall inure to the benefit of and be binding on the successors and assigns of the Company.</w:t>
      </w:r>
    </w:p>
    <w:p>
      <w:pPr>
        <w:spacing w:after="0" w:line="156" w:lineRule="exact"/>
        <w:rPr>
          <w:rFonts w:ascii="Arial" w:cs="Arial" w:eastAsia="Arial" w:hAnsi="Arial"/>
          <w:sz w:val="15"/>
          <w:szCs w:val="15"/>
          <w:color w:val="auto"/>
        </w:rPr>
      </w:pPr>
    </w:p>
    <w:p>
      <w:pPr>
        <w:ind w:right="40" w:firstLine="1104"/>
        <w:spacing w:after="0" w:line="264" w:lineRule="auto"/>
        <w:tabs>
          <w:tab w:leader="none" w:pos="1677" w:val="left"/>
        </w:tabs>
        <w:numPr>
          <w:ilvl w:val="0"/>
          <w:numId w:val="443"/>
        </w:numPr>
        <w:rPr>
          <w:rFonts w:ascii="Arial" w:cs="Arial" w:eastAsia="Arial" w:hAnsi="Arial"/>
          <w:sz w:val="15"/>
          <w:szCs w:val="15"/>
          <w:color w:val="auto"/>
        </w:rPr>
      </w:pPr>
      <w:r>
        <w:rPr>
          <w:rFonts w:ascii="Arial" w:cs="Arial" w:eastAsia="Arial" w:hAnsi="Arial"/>
          <w:sz w:val="15"/>
          <w:szCs w:val="15"/>
          <w:color w:val="auto"/>
        </w:rPr>
        <w:t>If any provision of this Agreement shall be determined to be unenforceable by any court of competent jurisdiction by reason of its extending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immediately preceding sentence, any provision of this Agreement shall be determined to be invalid, illegal or otherwise unenforceable by any court of competent jurisdiction, the validity, legality and enforceability of the other provisions of this Agreement shall not be affected thereby. Except as otherwise provided in this paragraph, any invalid, illegal or unenforceable provision of this Agreement shall be severable, and after any such severance, all other provisions hereof shall remain in full force and effect.</w:t>
      </w:r>
    </w:p>
    <w:p>
      <w:pPr>
        <w:spacing w:after="0" w:line="158" w:lineRule="exact"/>
        <w:rPr>
          <w:rFonts w:ascii="Arial" w:cs="Arial" w:eastAsia="Arial" w:hAnsi="Arial"/>
          <w:sz w:val="15"/>
          <w:szCs w:val="15"/>
          <w:color w:val="auto"/>
        </w:rPr>
      </w:pPr>
    </w:p>
    <w:p>
      <w:pPr>
        <w:ind w:right="100" w:firstLine="1104"/>
        <w:spacing w:after="0" w:line="268" w:lineRule="auto"/>
        <w:tabs>
          <w:tab w:leader="none" w:pos="1674" w:val="left"/>
        </w:tabs>
        <w:numPr>
          <w:ilvl w:val="0"/>
          <w:numId w:val="443"/>
        </w:numPr>
        <w:rPr>
          <w:rFonts w:ascii="Arial" w:cs="Arial" w:eastAsia="Arial" w:hAnsi="Arial"/>
          <w:sz w:val="15"/>
          <w:szCs w:val="15"/>
          <w:color w:val="auto"/>
        </w:rPr>
      </w:pPr>
      <w:r>
        <w:rPr>
          <w:rFonts w:ascii="Arial" w:cs="Arial" w:eastAsia="Arial" w:hAnsi="Arial"/>
          <w:sz w:val="15"/>
          <w:szCs w:val="15"/>
          <w:color w:val="auto"/>
        </w:rPr>
        <w:t>I acknowledge and agree that violation of this Agreement by me would cause irreparable harm to the Company not adequately compensable by money damages alone, and I therefore agree that, in addition to all other remedies available to the Company at law, in equity or otherwise, the Company shall be entitled to injunctive relief to prevent an actual or threatened violation of this Agreement and to enforce the provisions hereof, without showing or proving any actual damage to the Company or posting any bond in connection therewith.</w:t>
      </w:r>
    </w:p>
    <w:p>
      <w:pPr>
        <w:spacing w:after="0" w:line="156" w:lineRule="exact"/>
        <w:rPr>
          <w:rFonts w:ascii="Arial" w:cs="Arial" w:eastAsia="Arial" w:hAnsi="Arial"/>
          <w:sz w:val="15"/>
          <w:szCs w:val="15"/>
          <w:color w:val="auto"/>
        </w:rPr>
      </w:pPr>
    </w:p>
    <w:p>
      <w:pPr>
        <w:jc w:val="both"/>
        <w:ind w:right="60" w:firstLine="1104"/>
        <w:spacing w:after="0" w:line="273" w:lineRule="auto"/>
        <w:tabs>
          <w:tab w:leader="none" w:pos="1677" w:val="left"/>
        </w:tabs>
        <w:numPr>
          <w:ilvl w:val="0"/>
          <w:numId w:val="443"/>
        </w:numPr>
        <w:rPr>
          <w:rFonts w:ascii="Arial" w:cs="Arial" w:eastAsia="Arial" w:hAnsi="Arial"/>
          <w:sz w:val="15"/>
          <w:szCs w:val="15"/>
          <w:color w:val="auto"/>
        </w:rPr>
      </w:pPr>
      <w:r>
        <w:rPr>
          <w:rFonts w:ascii="Arial" w:cs="Arial" w:eastAsia="Arial" w:hAnsi="Arial"/>
          <w:sz w:val="15"/>
          <w:szCs w:val="15"/>
          <w:color w:val="auto"/>
        </w:rPr>
        <w:t>No failure by the Company to insist upon strict compliance with any of the terms, covenants, or conditions hereof, and no delay or omission by the Company in exercising any right under this Agreement, will operate as a waiver of such terms, covenants, conditions or rights. A waiver or consent given by the Company on any one occasion is effective only in that instance and will not be construed as a bar to or waiver of any right on any other occasion.</w:t>
      </w:r>
    </w:p>
    <w:p>
      <w:pPr>
        <w:spacing w:after="0" w:line="152" w:lineRule="exact"/>
        <w:rPr>
          <w:rFonts w:ascii="Arial" w:cs="Arial" w:eastAsia="Arial" w:hAnsi="Arial"/>
          <w:sz w:val="15"/>
          <w:szCs w:val="15"/>
          <w:color w:val="auto"/>
        </w:rPr>
      </w:pPr>
    </w:p>
    <w:p>
      <w:pPr>
        <w:ind w:right="420" w:firstLine="1104"/>
        <w:spacing w:after="0" w:line="289" w:lineRule="auto"/>
        <w:tabs>
          <w:tab w:leader="none" w:pos="1671" w:val="left"/>
        </w:tabs>
        <w:numPr>
          <w:ilvl w:val="0"/>
          <w:numId w:val="443"/>
        </w:numPr>
        <w:rPr>
          <w:rFonts w:ascii="Arial" w:cs="Arial" w:eastAsia="Arial" w:hAnsi="Arial"/>
          <w:sz w:val="15"/>
          <w:szCs w:val="15"/>
          <w:color w:val="auto"/>
        </w:rPr>
      </w:pPr>
      <w:r>
        <w:rPr>
          <w:rFonts w:ascii="Arial" w:cs="Arial" w:eastAsia="Arial" w:hAnsi="Arial"/>
          <w:sz w:val="15"/>
          <w:szCs w:val="15"/>
          <w:color w:val="auto"/>
        </w:rPr>
        <w:t>This Agreement may not be changed, modified, released, discharged, abandoned, or otherwise amended, in whole or in part, except by an instrument in writing signed by me and the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0" w:firstLine="1104"/>
        <w:spacing w:after="0" w:line="289" w:lineRule="auto"/>
        <w:tabs>
          <w:tab w:leader="none" w:pos="1686" w:val="left"/>
        </w:tabs>
        <w:numPr>
          <w:ilvl w:val="0"/>
          <w:numId w:val="444"/>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and enforced in accordance with, the laws of The Commonwealth of Massachusetts, without regard to its principles of conflicts of laws. This Agreement is executed under seal.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640"/>
        <w:spacing w:after="0" w:line="273" w:lineRule="auto"/>
        <w:rPr>
          <w:sz w:val="20"/>
          <w:szCs w:val="20"/>
          <w:color w:val="auto"/>
        </w:rPr>
      </w:pPr>
      <w:r>
        <w:rPr>
          <w:rFonts w:ascii="Arial" w:cs="Arial" w:eastAsia="Arial" w:hAnsi="Arial"/>
          <w:sz w:val="15"/>
          <w:szCs w:val="15"/>
          <w:color w:val="auto"/>
        </w:rPr>
        <w:t>BY PLACING MY SIGNATURE HEREUNDER, I ACKNOWLEDGE THAT I HAVE HAD THE OPPORTUNITY TO SEEK THE ADVICE OF INDEPENDENT LEGAL COUNSEL AND I HAVE READ ALL THE PROVISIONS OF THIS EMPLOYEE NONDISCLOSURE, NONCOMPETITION AND ASSIGNMENT OF INTELLECTUAL PROPERTY AGREEMENT AND THAT I AGREE TO ALL OF ITS TERMS.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Effective Date: June 6, 2016</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EMPLOYEE:</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Peter Keller</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167"/>
        </w:trPr>
        <w:tc>
          <w:tcPr>
            <w:tcW w:w="76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Signature</w:t>
            </w:r>
          </w:p>
        </w:tc>
        <w:tc>
          <w:tcPr>
            <w:tcW w:w="4960" w:type="dxa"/>
            <w:vAlign w:val="bottom"/>
            <w:tcBorders>
              <w:top w:val="single" w:sz="8" w:color="auto"/>
            </w:tcBorders>
          </w:tcPr>
          <w:p>
            <w:pPr>
              <w:spacing w:after="0"/>
              <w:rPr>
                <w:sz w:val="14"/>
                <w:szCs w:val="14"/>
                <w:color w:val="auto"/>
              </w:rPr>
            </w:pP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Name:</w:t>
            </w:r>
          </w:p>
        </w:tc>
        <w:tc>
          <w:tcPr>
            <w:tcW w:w="4960" w:type="dxa"/>
            <w:vAlign w:val="bottom"/>
          </w:tcPr>
          <w:p>
            <w:pPr>
              <w:ind w:left="160"/>
              <w:spacing w:after="0"/>
              <w:rPr>
                <w:sz w:val="20"/>
                <w:szCs w:val="20"/>
                <w:color w:val="auto"/>
              </w:rPr>
            </w:pPr>
            <w:r>
              <w:rPr>
                <w:rFonts w:ascii="Arial" w:cs="Arial" w:eastAsia="Arial" w:hAnsi="Arial"/>
                <w:sz w:val="15"/>
                <w:szCs w:val="15"/>
                <w:color w:val="auto"/>
              </w:rPr>
              <w:t>Peter Keller</w:t>
            </w:r>
          </w:p>
        </w:tc>
      </w:tr>
      <w:tr>
        <w:trPr>
          <w:trHeight w:val="371"/>
        </w:trPr>
        <w:tc>
          <w:tcPr>
            <w:tcW w:w="760" w:type="dxa"/>
            <w:vAlign w:val="bottom"/>
          </w:tcPr>
          <w:p>
            <w:pPr>
              <w:spacing w:after="0"/>
              <w:rPr>
                <w:sz w:val="20"/>
                <w:szCs w:val="20"/>
                <w:color w:val="auto"/>
              </w:rPr>
            </w:pPr>
            <w:r>
              <w:rPr>
                <w:rFonts w:ascii="Arial" w:cs="Arial" w:eastAsia="Arial" w:hAnsi="Arial"/>
                <w:sz w:val="15"/>
                <w:szCs w:val="15"/>
                <w:color w:val="auto"/>
              </w:rPr>
              <w:t>Address:</w:t>
            </w:r>
          </w:p>
        </w:tc>
        <w:tc>
          <w:tcPr>
            <w:tcW w:w="4960" w:type="dxa"/>
            <w:vAlign w:val="bottom"/>
          </w:tcPr>
          <w:p>
            <w:pPr>
              <w:spacing w:after="0"/>
              <w:rPr>
                <w:sz w:val="24"/>
                <w:szCs w:val="24"/>
                <w:color w:val="auto"/>
              </w:rPr>
            </w:pPr>
          </w:p>
        </w:tc>
      </w:tr>
    </w:tbl>
    <w:p>
      <w:pPr>
        <w:spacing w:after="0" w:line="200" w:lineRule="exact"/>
        <w:rPr>
          <w:sz w:val="20"/>
          <w:szCs w:val="20"/>
          <w:color w:val="auto"/>
        </w:rPr>
      </w:pPr>
    </w:p>
    <w:p>
      <w:pPr>
        <w:spacing w:after="0" w:line="34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Accepted and Agreed:</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-108585</wp:posOffset>
            </wp:positionV>
            <wp:extent cx="3279775" cy="762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327977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Excluded Confidential Information and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Indemnification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129" w:right="219" w:bottom="719" w:gutter="0" w:footer="0" w:header="0"/>
        </w:sectPr>
      </w:pPr>
    </w:p>
    <w:bookmarkStart w:id="395" w:name="page396"/>
    <w:bookmarkEnd w:id="395"/>
    <w:p>
      <w:pPr>
        <w:jc w:val="right"/>
        <w:spacing w:after="0"/>
        <w:rPr>
          <w:sz w:val="20"/>
          <w:szCs w:val="20"/>
          <w:color w:val="auto"/>
        </w:rPr>
      </w:pPr>
      <w:r>
        <w:rPr>
          <w:rFonts w:ascii="Arial" w:cs="Arial" w:eastAsia="Arial" w:hAnsi="Arial"/>
          <w:sz w:val="15"/>
          <w:szCs w:val="15"/>
          <w:b w:val="1"/>
          <w:bCs w:val="1"/>
          <w:color w:val="auto"/>
        </w:rPr>
        <w:t>Exhibit 10.20</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Employment Agreement</w:t>
      </w:r>
    </w:p>
    <w:p>
      <w:pPr>
        <w:spacing w:after="0" w:line="204" w:lineRule="exact"/>
        <w:rPr>
          <w:sz w:val="20"/>
          <w:szCs w:val="20"/>
          <w:color w:val="auto"/>
        </w:rPr>
      </w:pPr>
    </w:p>
    <w:p>
      <w:pPr>
        <w:ind w:left="7" w:right="440" w:firstLine="556"/>
        <w:spacing w:after="0" w:line="327" w:lineRule="auto"/>
        <w:rPr>
          <w:sz w:val="20"/>
          <w:szCs w:val="20"/>
          <w:color w:val="auto"/>
        </w:rPr>
      </w:pPr>
      <w:r>
        <w:rPr>
          <w:rFonts w:ascii="Arial" w:cs="Arial" w:eastAsia="Arial" w:hAnsi="Arial"/>
          <w:sz w:val="14"/>
          <w:szCs w:val="14"/>
          <w:color w:val="auto"/>
        </w:rPr>
        <w:t>This Employment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June 6, 2016, is made by and between Selecta Biosciences, Inc., a Delaware corporation (together with any successor thereto, the “</w:t>
      </w:r>
      <w:r>
        <w:rPr>
          <w:rFonts w:ascii="Arial" w:cs="Arial" w:eastAsia="Arial" w:hAnsi="Arial"/>
          <w:sz w:val="14"/>
          <w:szCs w:val="14"/>
          <w:u w:val="single" w:color="auto"/>
          <w:color w:val="auto"/>
        </w:rPr>
        <w:t>Company</w:t>
      </w:r>
      <w:r>
        <w:rPr>
          <w:rFonts w:ascii="Arial" w:cs="Arial" w:eastAsia="Arial" w:hAnsi="Arial"/>
          <w:sz w:val="14"/>
          <w:szCs w:val="14"/>
          <w:color w:val="auto"/>
        </w:rPr>
        <w:t>”), and Earl Sands, M.D. (“</w:t>
      </w:r>
      <w:r>
        <w:rPr>
          <w:rFonts w:ascii="Arial" w:cs="Arial" w:eastAsia="Arial" w:hAnsi="Arial"/>
          <w:sz w:val="14"/>
          <w:szCs w:val="14"/>
          <w:u w:val="single" w:color="auto"/>
          <w:color w:val="auto"/>
        </w:rPr>
        <w:t>Executive</w:t>
      </w:r>
      <w:r>
        <w:rPr>
          <w:rFonts w:ascii="Arial" w:cs="Arial" w:eastAsia="Arial" w:hAnsi="Arial"/>
          <w:sz w:val="14"/>
          <w:szCs w:val="14"/>
          <w:color w:val="auto"/>
        </w:rPr>
        <w:t>”) (collectively referred to as the “</w:t>
      </w:r>
      <w:r>
        <w:rPr>
          <w:rFonts w:ascii="Arial" w:cs="Arial" w:eastAsia="Arial" w:hAnsi="Arial"/>
          <w:sz w:val="14"/>
          <w:szCs w:val="14"/>
          <w:u w:val="single" w:color="auto"/>
          <w:color w:val="auto"/>
        </w:rPr>
        <w:t>Parties</w:t>
      </w:r>
      <w:r>
        <w:rPr>
          <w:rFonts w:ascii="Arial" w:cs="Arial" w:eastAsia="Arial" w:hAnsi="Arial"/>
          <w:sz w:val="14"/>
          <w:szCs w:val="14"/>
          <w:color w:val="auto"/>
        </w:rPr>
        <w:t>” or individually referred to as a “</w:t>
      </w:r>
      <w:r>
        <w:rPr>
          <w:rFonts w:ascii="Arial" w:cs="Arial" w:eastAsia="Arial" w:hAnsi="Arial"/>
          <w:sz w:val="14"/>
          <w:szCs w:val="14"/>
          <w:u w:val="single" w:color="auto"/>
          <w:color w:val="auto"/>
        </w:rPr>
        <w:t>Party</w:t>
      </w:r>
      <w:r>
        <w:rPr>
          <w:rFonts w:ascii="Arial" w:cs="Arial" w:eastAsia="Arial" w:hAnsi="Arial"/>
          <w:sz w:val="14"/>
          <w:szCs w:val="14"/>
          <w:color w:val="auto"/>
        </w:rPr>
        <w:t>”).</w:t>
      </w:r>
    </w:p>
    <w:p>
      <w:pPr>
        <w:spacing w:after="0" w:line="11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RECITALS</w:t>
      </w:r>
    </w:p>
    <w:p>
      <w:pPr>
        <w:spacing w:after="0" w:line="204" w:lineRule="exact"/>
        <w:rPr>
          <w:sz w:val="20"/>
          <w:szCs w:val="20"/>
          <w:color w:val="auto"/>
        </w:rPr>
      </w:pPr>
    </w:p>
    <w:p>
      <w:pPr>
        <w:ind w:left="567" w:hanging="567"/>
        <w:spacing w:after="0"/>
        <w:tabs>
          <w:tab w:leader="none" w:pos="567" w:val="left"/>
        </w:tabs>
        <w:numPr>
          <w:ilvl w:val="0"/>
          <w:numId w:val="445"/>
        </w:numPr>
        <w:rPr>
          <w:rFonts w:ascii="Arial" w:cs="Arial" w:eastAsia="Arial" w:hAnsi="Arial"/>
          <w:sz w:val="14"/>
          <w:szCs w:val="14"/>
          <w:color w:val="auto"/>
        </w:rPr>
      </w:pPr>
      <w:r>
        <w:rPr>
          <w:rFonts w:ascii="Arial" w:cs="Arial" w:eastAsia="Arial" w:hAnsi="Arial"/>
          <w:sz w:val="14"/>
          <w:szCs w:val="14"/>
          <w:color w:val="auto"/>
        </w:rPr>
        <w:t>It is the desire of the Company to assure itself of the services of Executive following the Effective Date (as defined below) and thereafter by entering into this Agreement.</w:t>
      </w:r>
    </w:p>
    <w:p>
      <w:pPr>
        <w:spacing w:after="0" w:line="209" w:lineRule="exact"/>
        <w:rPr>
          <w:rFonts w:ascii="Arial" w:cs="Arial" w:eastAsia="Arial" w:hAnsi="Arial"/>
          <w:sz w:val="14"/>
          <w:szCs w:val="14"/>
          <w:color w:val="auto"/>
        </w:rPr>
      </w:pPr>
    </w:p>
    <w:p>
      <w:pPr>
        <w:ind w:left="567" w:hanging="567"/>
        <w:spacing w:after="0"/>
        <w:tabs>
          <w:tab w:leader="none" w:pos="567" w:val="left"/>
        </w:tabs>
        <w:numPr>
          <w:ilvl w:val="0"/>
          <w:numId w:val="445"/>
        </w:numPr>
        <w:rPr>
          <w:rFonts w:ascii="Arial" w:cs="Arial" w:eastAsia="Arial" w:hAnsi="Arial"/>
          <w:sz w:val="15"/>
          <w:szCs w:val="15"/>
          <w:color w:val="auto"/>
        </w:rPr>
      </w:pPr>
      <w:r>
        <w:rPr>
          <w:rFonts w:ascii="Arial" w:cs="Arial" w:eastAsia="Arial" w:hAnsi="Arial"/>
          <w:sz w:val="15"/>
          <w:szCs w:val="15"/>
          <w:color w:val="auto"/>
        </w:rPr>
        <w:t>Executive and the Company mutually desire that Executive provide services to the Company on the terms herein provided.</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AGREEMENT</w:t>
      </w:r>
    </w:p>
    <w:p>
      <w:pPr>
        <w:spacing w:after="0" w:line="204" w:lineRule="exact"/>
        <w:rPr>
          <w:sz w:val="20"/>
          <w:szCs w:val="20"/>
          <w:color w:val="auto"/>
        </w:rPr>
      </w:pPr>
    </w:p>
    <w:p>
      <w:pPr>
        <w:ind w:left="547"/>
        <w:spacing w:after="0"/>
        <w:rPr>
          <w:sz w:val="20"/>
          <w:szCs w:val="20"/>
          <w:color w:val="auto"/>
        </w:rPr>
      </w:pPr>
      <w:r>
        <w:rPr>
          <w:rFonts w:ascii="Arial" w:cs="Arial" w:eastAsia="Arial" w:hAnsi="Arial"/>
          <w:sz w:val="15"/>
          <w:szCs w:val="15"/>
          <w:color w:val="auto"/>
        </w:rPr>
        <w:t>NOW, THEREFORE, in consideration of the foregoing and of the respective covenants and agreements set forth below, the Parties hereto agree as follows:</w:t>
      </w:r>
    </w:p>
    <w:p>
      <w:pPr>
        <w:spacing w:after="0" w:line="192" w:lineRule="exact"/>
        <w:rPr>
          <w:sz w:val="20"/>
          <w:szCs w:val="20"/>
          <w:color w:val="auto"/>
        </w:rPr>
      </w:pPr>
    </w:p>
    <w:p>
      <w:pPr>
        <w:ind w:left="547" w:hanging="547"/>
        <w:spacing w:after="0"/>
        <w:tabs>
          <w:tab w:leader="none" w:pos="547" w:val="left"/>
        </w:tabs>
        <w:numPr>
          <w:ilvl w:val="0"/>
          <w:numId w:val="44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Employment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60" w:firstLine="549"/>
        <w:spacing w:after="0" w:line="273" w:lineRule="auto"/>
        <w:tabs>
          <w:tab w:leader="none" w:pos="1117" w:val="left"/>
        </w:tabs>
        <w:numPr>
          <w:ilvl w:val="1"/>
          <w:numId w:val="446"/>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Effective on the closing of the Company’s initial public offering of stock pursuant to an effective registration statement filed under the Securities Act of 1933, as amended (the “</w:t>
      </w:r>
      <w:r>
        <w:rPr>
          <w:rFonts w:ascii="Arial" w:cs="Arial" w:eastAsia="Arial" w:hAnsi="Arial"/>
          <w:sz w:val="15"/>
          <w:szCs w:val="15"/>
          <w:u w:val="single" w:color="auto"/>
          <w:color w:val="auto"/>
        </w:rPr>
        <w:t>Effective Date</w:t>
      </w:r>
      <w:r>
        <w:rPr>
          <w:rFonts w:ascii="Arial" w:cs="Arial" w:eastAsia="Arial" w:hAnsi="Arial"/>
          <w:sz w:val="15"/>
          <w:szCs w:val="15"/>
          <w:color w:val="auto"/>
        </w:rPr>
        <w:t xml:space="preserve">”), the Company shall employ Executive and Executive shall remain in the employ of the Company, for the period and in the positions set forth in this </w:t>
      </w:r>
      <w:r>
        <w:rPr>
          <w:rFonts w:ascii="Arial" w:cs="Arial" w:eastAsia="Arial" w:hAnsi="Arial"/>
          <w:sz w:val="15"/>
          <w:szCs w:val="15"/>
          <w:u w:val="single" w:color="auto"/>
          <w:color w:val="auto"/>
        </w:rPr>
        <w:t>Section 1</w:t>
      </w:r>
      <w:r>
        <w:rPr>
          <w:rFonts w:ascii="Arial" w:cs="Arial" w:eastAsia="Arial" w:hAnsi="Arial"/>
          <w:sz w:val="15"/>
          <w:szCs w:val="15"/>
          <w:color w:val="auto"/>
        </w:rPr>
        <w:t>, and subject to the other terms and conditions herein provided.</w:t>
      </w:r>
    </w:p>
    <w:p>
      <w:pPr>
        <w:spacing w:after="0" w:line="152" w:lineRule="exact"/>
        <w:rPr>
          <w:rFonts w:ascii="Arial" w:cs="Arial" w:eastAsia="Arial" w:hAnsi="Arial"/>
          <w:sz w:val="15"/>
          <w:szCs w:val="15"/>
          <w:color w:val="auto"/>
        </w:rPr>
      </w:pPr>
    </w:p>
    <w:p>
      <w:pPr>
        <w:ind w:left="7" w:firstLine="549"/>
        <w:spacing w:after="0" w:line="264" w:lineRule="auto"/>
        <w:tabs>
          <w:tab w:leader="none" w:pos="1125" w:val="left"/>
        </w:tabs>
        <w:numPr>
          <w:ilvl w:val="1"/>
          <w:numId w:val="446"/>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5"/>
          <w:szCs w:val="15"/>
          <w:u w:val="single" w:color="auto"/>
          <w:color w:val="auto"/>
        </w:rPr>
        <w:t>Section 3(b)</w:t>
      </w:r>
      <w:r>
        <w:rPr>
          <w:rFonts w:ascii="Arial" w:cs="Arial" w:eastAsia="Arial" w:hAnsi="Arial"/>
          <w:sz w:val="15"/>
          <w:szCs w:val="15"/>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5"/>
          <w:szCs w:val="15"/>
          <w:u w:val="single" w:color="auto"/>
          <w:color w:val="auto"/>
        </w:rPr>
        <w:t>Term</w:t>
      </w:r>
      <w:r>
        <w:rPr>
          <w:rFonts w:ascii="Arial" w:cs="Arial" w:eastAsia="Arial" w:hAnsi="Arial"/>
          <w:sz w:val="15"/>
          <w:szCs w:val="15"/>
          <w:color w:val="auto"/>
        </w:rPr>
        <w:t xml:space="preserve">”) shall commence on the Effective Date and end on the date this Agreement is terminated under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left="7" w:right="140" w:firstLine="549"/>
        <w:spacing w:after="0" w:line="284" w:lineRule="auto"/>
        <w:tabs>
          <w:tab w:leader="none" w:pos="1128" w:val="left"/>
        </w:tabs>
        <w:numPr>
          <w:ilvl w:val="1"/>
          <w:numId w:val="446"/>
        </w:numPr>
        <w:rPr>
          <w:rFonts w:ascii="Arial" w:cs="Arial" w:eastAsia="Arial" w:hAnsi="Arial"/>
          <w:sz w:val="14"/>
          <w:szCs w:val="14"/>
          <w:color w:val="auto"/>
        </w:rPr>
      </w:pPr>
      <w:r>
        <w:rPr>
          <w:rFonts w:ascii="Arial" w:cs="Arial" w:eastAsia="Arial" w:hAnsi="Arial"/>
          <w:sz w:val="14"/>
          <w:szCs w:val="14"/>
          <w:u w:val="single" w:color="auto"/>
          <w:color w:val="auto"/>
        </w:rPr>
        <w:t>Positions and Duties</w:t>
      </w:r>
      <w:r>
        <w:rPr>
          <w:rFonts w:ascii="Arial" w:cs="Arial" w:eastAsia="Arial" w:hAnsi="Arial"/>
          <w:sz w:val="14"/>
          <w:szCs w:val="14"/>
          <w:color w:val="auto"/>
        </w:rPr>
        <w:t>. Executive shall serve as Chief Medical Officer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Arial" w:cs="Arial" w:eastAsia="Arial" w:hAnsi="Arial"/>
          <w:sz w:val="14"/>
          <w:szCs w:val="14"/>
          <w:u w:val="single" w:color="auto"/>
          <w:color w:val="auto"/>
        </w:rPr>
        <w:t>Restrictive</w:t>
      </w:r>
      <w:r>
        <w:rPr>
          <w:rFonts w:ascii="Arial" w:cs="Arial" w:eastAsia="Arial" w:hAnsi="Arial"/>
          <w:sz w:val="14"/>
          <w:szCs w:val="14"/>
          <w:color w:val="auto"/>
        </w:rPr>
        <w:t xml:space="preserve"> </w:t>
      </w:r>
      <w:r>
        <w:rPr>
          <w:rFonts w:ascii="Arial" w:cs="Arial" w:eastAsia="Arial" w:hAnsi="Arial"/>
          <w:sz w:val="14"/>
          <w:szCs w:val="14"/>
          <w:u w:val="single" w:color="auto"/>
          <w:color w:val="auto"/>
        </w:rPr>
        <w:t>Covenant Agreement</w:t>
      </w:r>
      <w:r>
        <w:rPr>
          <w:rFonts w:ascii="Arial" w:cs="Arial" w:eastAsia="Arial" w:hAnsi="Arial"/>
          <w:sz w:val="14"/>
          <w:szCs w:val="14"/>
          <w:color w:val="auto"/>
        </w:rPr>
        <w:t>”).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14"/>
          <w:szCs w:val="14"/>
          <w:u w:val="single" w:color="auto"/>
          <w:color w:val="auto"/>
        </w:rPr>
        <w:t>Policy</w:t>
      </w:r>
      <w:r>
        <w:rPr>
          <w:rFonts w:ascii="Arial" w:cs="Arial" w:eastAsia="Arial" w:hAnsi="Arial"/>
          <w:sz w:val="14"/>
          <w:szCs w:val="14"/>
          <w:color w:val="auto"/>
        </w:rPr>
        <w: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6" w:lineRule="exact"/>
        <w:rPr>
          <w:rFonts w:ascii="Arial" w:cs="Arial" w:eastAsia="Arial" w:hAnsi="Arial"/>
          <w:sz w:val="14"/>
          <w:szCs w:val="14"/>
          <w:color w:val="auto"/>
        </w:rPr>
      </w:pPr>
    </w:p>
    <w:p>
      <w:pPr>
        <w:ind w:left="547" w:hanging="547"/>
        <w:spacing w:after="0"/>
        <w:tabs>
          <w:tab w:leader="none" w:pos="547" w:val="left"/>
        </w:tabs>
        <w:numPr>
          <w:ilvl w:val="0"/>
          <w:numId w:val="44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Compensation and Related Matters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jc w:val="both"/>
        <w:ind w:left="7" w:right="20" w:firstLine="549"/>
        <w:spacing w:after="0" w:line="268" w:lineRule="auto"/>
        <w:tabs>
          <w:tab w:leader="none" w:pos="1117" w:val="left"/>
        </w:tabs>
        <w:numPr>
          <w:ilvl w:val="1"/>
          <w:numId w:val="446"/>
        </w:numPr>
        <w:rPr>
          <w:rFonts w:ascii="Arial" w:cs="Arial" w:eastAsia="Arial" w:hAnsi="Arial"/>
          <w:sz w:val="15"/>
          <w:szCs w:val="15"/>
          <w:color w:val="auto"/>
        </w:rPr>
      </w:pPr>
      <w:r>
        <w:rPr>
          <w:rFonts w:ascii="Arial" w:cs="Arial" w:eastAsia="Arial" w:hAnsi="Arial"/>
          <w:sz w:val="15"/>
          <w:szCs w:val="15"/>
          <w:u w:val="single" w:color="auto"/>
          <w:color w:val="auto"/>
        </w:rPr>
        <w:t>Annual Base Salary</w:t>
      </w:r>
      <w:r>
        <w:rPr>
          <w:rFonts w:ascii="Arial" w:cs="Arial" w:eastAsia="Arial" w:hAnsi="Arial"/>
          <w:sz w:val="15"/>
          <w:szCs w:val="15"/>
          <w:color w:val="auto"/>
        </w:rPr>
        <w:t>. During the Term, Executive shall receive a base salary at a rate of $300,000 per annum, which shall be paid in accordance with the customary payroll practices of the Company and shall be pro-rated for partial years of employment. Such annual base salary shall be reviewed (and may be increased) from time to time by the Board of Directors of the Company or an authorized committee of the Board (in either case, the “</w:t>
      </w:r>
      <w:r>
        <w:rPr>
          <w:rFonts w:ascii="Arial" w:cs="Arial" w:eastAsia="Arial" w:hAnsi="Arial"/>
          <w:sz w:val="15"/>
          <w:szCs w:val="15"/>
          <w:u w:val="single" w:color="auto"/>
          <w:color w:val="auto"/>
        </w:rPr>
        <w:t>Board</w:t>
      </w:r>
      <w:r>
        <w:rPr>
          <w:rFonts w:ascii="Arial" w:cs="Arial" w:eastAsia="Arial" w:hAnsi="Arial"/>
          <w:sz w:val="15"/>
          <w:szCs w:val="15"/>
          <w:color w:val="auto"/>
        </w:rPr>
        <w:t>”) (such annual base salary, as it may be increased from time to time, the “</w:t>
      </w:r>
      <w:r>
        <w:rPr>
          <w:rFonts w:ascii="Arial" w:cs="Arial" w:eastAsia="Arial" w:hAnsi="Arial"/>
          <w:sz w:val="15"/>
          <w:szCs w:val="15"/>
          <w:u w:val="single" w:color="auto"/>
          <w:color w:val="auto"/>
        </w:rPr>
        <w:t>Annual</w:t>
      </w:r>
      <w:r>
        <w:rPr>
          <w:rFonts w:ascii="Arial" w:cs="Arial" w:eastAsia="Arial" w:hAnsi="Arial"/>
          <w:sz w:val="15"/>
          <w:szCs w:val="15"/>
          <w:color w:val="auto"/>
        </w:rPr>
        <w:t xml:space="preserve"> </w:t>
      </w:r>
      <w:r>
        <w:rPr>
          <w:rFonts w:ascii="Arial" w:cs="Arial" w:eastAsia="Arial" w:hAnsi="Arial"/>
          <w:sz w:val="15"/>
          <w:szCs w:val="15"/>
          <w:u w:val="single" w:color="auto"/>
          <w:color w:val="auto"/>
        </w:rPr>
        <w:t>Base Salary</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ind w:left="7" w:right="100" w:firstLine="549"/>
        <w:spacing w:after="0" w:line="268" w:lineRule="auto"/>
        <w:tabs>
          <w:tab w:leader="none" w:pos="1125" w:val="left"/>
        </w:tabs>
        <w:numPr>
          <w:ilvl w:val="1"/>
          <w:numId w:val="446"/>
        </w:numPr>
        <w:rPr>
          <w:rFonts w:ascii="Arial" w:cs="Arial" w:eastAsia="Arial" w:hAnsi="Arial"/>
          <w:sz w:val="15"/>
          <w:szCs w:val="15"/>
          <w:color w:val="auto"/>
        </w:rPr>
      </w:pPr>
      <w:r>
        <w:rPr>
          <w:rFonts w:ascii="Arial" w:cs="Arial" w:eastAsia="Arial" w:hAnsi="Arial"/>
          <w:sz w:val="15"/>
          <w:szCs w:val="15"/>
          <w:u w:val="single" w:color="auto"/>
          <w:color w:val="auto"/>
        </w:rPr>
        <w:t>Bonus</w:t>
      </w:r>
      <w:r>
        <w:rPr>
          <w:rFonts w:ascii="Arial" w:cs="Arial" w:eastAsia="Arial" w:hAnsi="Arial"/>
          <w:sz w:val="15"/>
          <w:szCs w:val="15"/>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5"/>
          <w:szCs w:val="15"/>
          <w:u w:val="single" w:color="auto"/>
          <w:color w:val="auto"/>
        </w:rPr>
        <w:t>Annual Bonus</w:t>
      </w:r>
      <w:r>
        <w:rPr>
          <w:rFonts w:ascii="Arial" w:cs="Arial" w:eastAsia="Arial" w:hAnsi="Arial"/>
          <w:sz w:val="15"/>
          <w:szCs w:val="15"/>
          <w:color w:val="auto"/>
        </w:rPr>
        <w:t>”) shall be targeted at 35% of Executive’s Annual Base Salary (the “</w:t>
      </w:r>
      <w:r>
        <w:rPr>
          <w:rFonts w:ascii="Arial" w:cs="Arial" w:eastAsia="Arial" w:hAnsi="Arial"/>
          <w:sz w:val="15"/>
          <w:szCs w:val="15"/>
          <w:u w:val="single" w:color="auto"/>
          <w:color w:val="auto"/>
        </w:rPr>
        <w:t>Target Bonus</w:t>
      </w:r>
      <w:r>
        <w:rPr>
          <w:rFonts w:ascii="Arial" w:cs="Arial" w:eastAsia="Arial" w:hAnsi="Arial"/>
          <w:sz w:val="15"/>
          <w:szCs w:val="15"/>
          <w:color w:val="auto"/>
        </w:rPr>
        <w:t>”). The Annual Bonus payable under the incentive program shall be based on the achievement of performance goals to be determined by the Board. The payment of any Annual Bonus pursuant to the incentive program will be made on or before March 15 of the year following the year in which such Annual Bonus is earned.</w:t>
      </w:r>
    </w:p>
    <w:p>
      <w:pPr>
        <w:spacing w:after="0" w:line="156" w:lineRule="exact"/>
        <w:rPr>
          <w:rFonts w:ascii="Arial" w:cs="Arial" w:eastAsia="Arial" w:hAnsi="Arial"/>
          <w:sz w:val="15"/>
          <w:szCs w:val="15"/>
          <w:color w:val="auto"/>
        </w:rPr>
      </w:pPr>
    </w:p>
    <w:p>
      <w:pPr>
        <w:ind w:left="7" w:right="100" w:firstLine="549"/>
        <w:spacing w:after="0" w:line="273" w:lineRule="auto"/>
        <w:tabs>
          <w:tab w:leader="none" w:pos="1128" w:val="left"/>
        </w:tabs>
        <w:numPr>
          <w:ilvl w:val="1"/>
          <w:numId w:val="446"/>
        </w:numPr>
        <w:rPr>
          <w:rFonts w:ascii="Arial" w:cs="Arial" w:eastAsia="Arial" w:hAnsi="Arial"/>
          <w:sz w:val="15"/>
          <w:szCs w:val="15"/>
          <w:color w:val="auto"/>
        </w:rPr>
      </w:pPr>
      <w:r>
        <w:rPr>
          <w:rFonts w:ascii="Arial" w:cs="Arial" w:eastAsia="Arial" w:hAnsi="Arial"/>
          <w:sz w:val="15"/>
          <w:szCs w:val="15"/>
          <w:u w:val="single" w:color="auto"/>
          <w:color w:val="auto"/>
        </w:rPr>
        <w:t>Benefits</w:t>
      </w:r>
      <w:r>
        <w:rPr>
          <w:rFonts w:ascii="Arial" w:cs="Arial" w:eastAsia="Arial" w:hAnsi="Arial"/>
          <w:sz w:val="15"/>
          <w:szCs w:val="15"/>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this Agreement.</w:t>
      </w:r>
    </w:p>
    <w:p>
      <w:pPr>
        <w:spacing w:after="0" w:line="152" w:lineRule="exact"/>
        <w:rPr>
          <w:rFonts w:ascii="Arial" w:cs="Arial" w:eastAsia="Arial" w:hAnsi="Arial"/>
          <w:sz w:val="15"/>
          <w:szCs w:val="15"/>
          <w:color w:val="auto"/>
        </w:rPr>
      </w:pPr>
    </w:p>
    <w:p>
      <w:pPr>
        <w:ind w:left="7" w:right="60" w:firstLine="549"/>
        <w:spacing w:after="0" w:line="302" w:lineRule="auto"/>
        <w:tabs>
          <w:tab w:leader="none" w:pos="1125" w:val="left"/>
        </w:tabs>
        <w:numPr>
          <w:ilvl w:val="1"/>
          <w:numId w:val="446"/>
        </w:numPr>
        <w:rPr>
          <w:rFonts w:ascii="Arial" w:cs="Arial" w:eastAsia="Arial" w:hAnsi="Arial"/>
          <w:sz w:val="14"/>
          <w:szCs w:val="14"/>
          <w:color w:val="auto"/>
        </w:rPr>
      </w:pPr>
      <w:r>
        <w:rPr>
          <w:rFonts w:ascii="Arial" w:cs="Arial" w:eastAsia="Arial" w:hAnsi="Arial"/>
          <w:sz w:val="14"/>
          <w:szCs w:val="14"/>
          <w:u w:val="single" w:color="auto"/>
          <w:color w:val="auto"/>
        </w:rPr>
        <w:t>Vacation</w:t>
      </w:r>
      <w:r>
        <w:rPr>
          <w:rFonts w:ascii="Arial" w:cs="Arial" w:eastAsia="Arial" w:hAnsi="Arial"/>
          <w:sz w:val="14"/>
          <w:szCs w:val="14"/>
          <w:color w:val="auto"/>
        </w:rPr>
        <w:t>. During the Term, Executive shall be entitled to four weeks of paid personal leave, or paid personal leave per calendar year in accordance with the Company’s Policies, whichever is greater. Vacation days accrued, but not used by the end of any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33" w:lineRule="exact"/>
        <w:rPr>
          <w:rFonts w:ascii="Arial" w:cs="Arial" w:eastAsia="Arial" w:hAnsi="Arial"/>
          <w:sz w:val="14"/>
          <w:szCs w:val="14"/>
          <w:color w:val="auto"/>
        </w:rPr>
      </w:pPr>
    </w:p>
    <w:p>
      <w:pPr>
        <w:ind w:left="7" w:right="60" w:firstLine="549"/>
        <w:spacing w:after="0" w:line="261" w:lineRule="auto"/>
        <w:tabs>
          <w:tab w:leader="none" w:pos="1128" w:val="left"/>
        </w:tabs>
        <w:numPr>
          <w:ilvl w:val="1"/>
          <w:numId w:val="446"/>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xml:space="preserve">. During the Term, the Company shall reimburse Executive for all reasonable travel and other business expenses incurred by Executive in the performance of Executive’s duties to the Company in accordance with the Company’s expense reimbursement Policy. The parties acknowledge that (i) the Company’s principal place of business is currently in Watertown, Massachusetts, (ii) Executive’s primary work place is currently in the state of Georgia, and (iii) Executive may from time to time perform his obligations under this Agreement remotely. Notwithstanding any contrary terms of the Company’s expense reimbursement Policy, but subject to </w:t>
      </w:r>
      <w:r>
        <w:rPr>
          <w:rFonts w:ascii="Arial" w:cs="Arial" w:eastAsia="Arial" w:hAnsi="Arial"/>
          <w:sz w:val="15"/>
          <w:szCs w:val="15"/>
          <w:u w:val="single" w:color="auto"/>
          <w:color w:val="auto"/>
        </w:rPr>
        <w:t>Section 9(l)(iv)</w:t>
      </w:r>
      <w:r>
        <w:rPr>
          <w:rFonts w:ascii="Arial" w:cs="Arial" w:eastAsia="Arial" w:hAnsi="Arial"/>
          <w:sz w:val="15"/>
          <w:szCs w:val="15"/>
          <w:color w:val="auto"/>
        </w:rPr>
        <w:t>, the Company shall reimburse Executive for reasonable expenses incurred by Executive for travel between Massachusetts and Georgia in performing his duties for the Company, including airfare, lodging and local transportation, up to a maximum of $6,100 per month, which for the avoidance of doubt shall not limit amounts otherwise reimbursable under the Company’s expense reimbursement Policy. To the extent the Company reasonably determines all or a portion of any such reimbursement constitutes taxable income to Executive, Executive will be liable and responsible for the employee portion of all taxes owed in connection therewith and the Company may (but will not be required to) deduct or withhold such taxes from any compensation payable to Executive by the Company or its affiliates.</w:t>
      </w:r>
    </w:p>
    <w:p>
      <w:pPr>
        <w:spacing w:after="0" w:line="164" w:lineRule="exact"/>
        <w:rPr>
          <w:rFonts w:ascii="Arial" w:cs="Arial" w:eastAsia="Arial" w:hAnsi="Arial"/>
          <w:sz w:val="15"/>
          <w:szCs w:val="15"/>
          <w:color w:val="auto"/>
        </w:rPr>
      </w:pPr>
    </w:p>
    <w:p>
      <w:pPr>
        <w:jc w:val="both"/>
        <w:ind w:left="7" w:right="180" w:firstLine="549"/>
        <w:spacing w:after="0" w:line="273" w:lineRule="auto"/>
        <w:tabs>
          <w:tab w:leader="none" w:pos="1123" w:val="left"/>
        </w:tabs>
        <w:numPr>
          <w:ilvl w:val="1"/>
          <w:numId w:val="446"/>
        </w:numPr>
        <w:rPr>
          <w:rFonts w:ascii="Arial" w:cs="Arial" w:eastAsia="Arial" w:hAnsi="Arial"/>
          <w:sz w:val="15"/>
          <w:szCs w:val="15"/>
          <w:color w:val="auto"/>
        </w:rPr>
      </w:pPr>
      <w:r>
        <w:rPr>
          <w:rFonts w:ascii="Arial" w:cs="Arial" w:eastAsia="Arial" w:hAnsi="Arial"/>
          <w:sz w:val="15"/>
          <w:szCs w:val="15"/>
          <w:u w:val="single" w:color="auto"/>
          <w:color w:val="auto"/>
        </w:rPr>
        <w:t>Key Person Insurance</w:t>
      </w:r>
      <w:r>
        <w:rPr>
          <w:rFonts w:ascii="Arial" w:cs="Arial" w:eastAsia="Arial" w:hAnsi="Arial"/>
          <w:sz w:val="15"/>
          <w:szCs w:val="15"/>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-4230370</wp:posOffset>
            </wp:positionV>
            <wp:extent cx="7285990" cy="2730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3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00"/>
        <w:spacing w:after="0" w:line="289" w:lineRule="auto"/>
        <w:rPr>
          <w:sz w:val="20"/>
          <w:szCs w:val="20"/>
          <w:color w:val="auto"/>
        </w:rPr>
      </w:pPr>
      <w:r>
        <w:rPr>
          <w:rFonts w:ascii="Arial" w:cs="Arial" w:eastAsia="Arial" w:hAnsi="Arial"/>
          <w:sz w:val="15"/>
          <w:szCs w:val="15"/>
          <w:color w:val="auto"/>
        </w:rPr>
        <w:t>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35" w:lineRule="exact"/>
        <w:rPr>
          <w:sz w:val="20"/>
          <w:szCs w:val="20"/>
          <w:color w:val="auto"/>
        </w:rPr>
      </w:pPr>
    </w:p>
    <w:p>
      <w:pPr>
        <w:ind w:left="547" w:hanging="547"/>
        <w:spacing w:after="0"/>
        <w:tabs>
          <w:tab w:leader="none" w:pos="547" w:val="left"/>
        </w:tabs>
        <w:numPr>
          <w:ilvl w:val="0"/>
          <w:numId w:val="4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Executive’s employment hereunder may be terminated by the Company or Executive, as applicable, without any breach of this Agreement under the following circumstances:</w:t>
      </w:r>
    </w:p>
    <w:p>
      <w:pPr>
        <w:spacing w:after="0" w:line="209" w:lineRule="exact"/>
        <w:rPr>
          <w:rFonts w:ascii="Arial" w:cs="Arial" w:eastAsia="Arial" w:hAnsi="Arial"/>
          <w:sz w:val="15"/>
          <w:szCs w:val="15"/>
          <w:b w:val="1"/>
          <w:bCs w:val="1"/>
          <w:color w:val="auto"/>
        </w:rPr>
      </w:pPr>
    </w:p>
    <w:p>
      <w:pPr>
        <w:ind w:left="1107" w:hanging="551"/>
        <w:spacing w:after="0"/>
        <w:tabs>
          <w:tab w:leader="none" w:pos="1107" w:val="left"/>
        </w:tabs>
        <w:numPr>
          <w:ilvl w:val="1"/>
          <w:numId w:val="447"/>
        </w:numPr>
        <w:rPr>
          <w:rFonts w:ascii="Arial" w:cs="Arial" w:eastAsia="Arial" w:hAnsi="Arial"/>
          <w:sz w:val="15"/>
          <w:szCs w:val="15"/>
          <w:color w:val="auto"/>
        </w:rPr>
      </w:pPr>
      <w:r>
        <w:rPr>
          <w:rFonts w:ascii="Arial" w:cs="Arial" w:eastAsia="Arial" w:hAnsi="Arial"/>
          <w:sz w:val="15"/>
          <w:szCs w:val="15"/>
          <w:u w:val="single" w:color="auto"/>
          <w:color w:val="auto"/>
        </w:rPr>
        <w:t>Circumstances</w:t>
      </w:r>
      <w:r>
        <w:rPr>
          <w:rFonts w:ascii="Arial" w:cs="Arial" w:eastAsia="Arial" w:hAnsi="Arial"/>
          <w:sz w:val="15"/>
          <w:szCs w:val="15"/>
          <w:color w:val="auto"/>
        </w:rPr>
        <w:t>.</w:t>
      </w:r>
    </w:p>
    <w:p>
      <w:pPr>
        <w:sectPr>
          <w:pgSz w:w="11900" w:h="16838" w:orient="portrait"/>
          <w:cols w:equalWidth="0" w:num="1">
            <w:col w:w="11447"/>
          </w:cols>
          <w:pgMar w:left="233" w:top="331" w:right="219" w:bottom="0" w:gutter="0" w:footer="0" w:header="0"/>
        </w:sectPr>
      </w:pPr>
    </w:p>
    <w:bookmarkStart w:id="396" w:name="page397"/>
    <w:bookmarkEnd w:id="396"/>
    <w:p>
      <w:pPr>
        <w:ind w:left="1687" w:hanging="576"/>
        <w:spacing w:after="0"/>
        <w:tabs>
          <w:tab w:leader="none" w:pos="1687" w:val="left"/>
        </w:tabs>
        <w:numPr>
          <w:ilvl w:val="2"/>
          <w:numId w:val="448"/>
        </w:numPr>
        <w:rPr>
          <w:rFonts w:ascii="Arial" w:cs="Arial" w:eastAsia="Arial" w:hAnsi="Arial"/>
          <w:sz w:val="15"/>
          <w:szCs w:val="15"/>
          <w:color w:val="auto"/>
        </w:rPr>
      </w:pPr>
      <w:r>
        <w:rPr>
          <w:rFonts w:ascii="Arial" w:cs="Arial" w:eastAsia="Arial" w:hAnsi="Arial"/>
          <w:sz w:val="15"/>
          <w:szCs w:val="15"/>
          <w:i w:val="1"/>
          <w:iCs w:val="1"/>
          <w:color w:val="auto"/>
        </w:rPr>
        <w:t>Death</w:t>
      </w:r>
      <w:r>
        <w:rPr>
          <w:rFonts w:ascii="Arial" w:cs="Arial" w:eastAsia="Arial" w:hAnsi="Arial"/>
          <w:sz w:val="15"/>
          <w:szCs w:val="15"/>
          <w:color w:val="auto"/>
        </w:rPr>
        <w:t>. Executive’s employment hereunder shall terminate upon Executive’s death.</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48"/>
        </w:numPr>
        <w:rPr>
          <w:rFonts w:ascii="Arial" w:cs="Arial" w:eastAsia="Arial" w:hAnsi="Arial"/>
          <w:sz w:val="15"/>
          <w:szCs w:val="15"/>
          <w:color w:val="auto"/>
        </w:rPr>
      </w:pPr>
      <w:r>
        <w:rPr>
          <w:rFonts w:ascii="Arial" w:cs="Arial" w:eastAsia="Arial" w:hAnsi="Arial"/>
          <w:sz w:val="15"/>
          <w:szCs w:val="15"/>
          <w:i w:val="1"/>
          <w:iCs w:val="1"/>
          <w:color w:val="auto"/>
        </w:rPr>
        <w:t>Disability</w:t>
      </w:r>
      <w:r>
        <w:rPr>
          <w:rFonts w:ascii="Arial" w:cs="Arial" w:eastAsia="Arial" w:hAnsi="Arial"/>
          <w:sz w:val="15"/>
          <w:szCs w:val="15"/>
          <w:color w:val="auto"/>
        </w:rPr>
        <w:t>. If Executive has incurred a Disability, as defined below, the Company may terminate Executive’s employment.</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448"/>
        </w:numPr>
        <w:rPr>
          <w:rFonts w:ascii="Arial" w:cs="Arial" w:eastAsia="Arial" w:hAnsi="Arial"/>
          <w:sz w:val="15"/>
          <w:szCs w:val="15"/>
          <w:color w:val="auto"/>
        </w:rPr>
      </w:pPr>
      <w:r>
        <w:rPr>
          <w:rFonts w:ascii="Arial" w:cs="Arial" w:eastAsia="Arial" w:hAnsi="Arial"/>
          <w:sz w:val="15"/>
          <w:szCs w:val="15"/>
          <w:i w:val="1"/>
          <w:iCs w:val="1"/>
          <w:color w:val="auto"/>
        </w:rPr>
        <w:t>Termination for Cause</w:t>
      </w:r>
      <w:r>
        <w:rPr>
          <w:rFonts w:ascii="Arial" w:cs="Arial" w:eastAsia="Arial" w:hAnsi="Arial"/>
          <w:sz w:val="15"/>
          <w:szCs w:val="15"/>
          <w:color w:val="auto"/>
        </w:rPr>
        <w:t>. The Company may terminate Executive’s employment for Cause, as defined below.</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48"/>
        </w:numPr>
        <w:rPr>
          <w:rFonts w:ascii="Arial" w:cs="Arial" w:eastAsia="Arial" w:hAnsi="Arial"/>
          <w:sz w:val="15"/>
          <w:szCs w:val="15"/>
          <w:color w:val="auto"/>
        </w:rPr>
      </w:pPr>
      <w:r>
        <w:rPr>
          <w:rFonts w:ascii="Arial" w:cs="Arial" w:eastAsia="Arial" w:hAnsi="Arial"/>
          <w:sz w:val="15"/>
          <w:szCs w:val="15"/>
          <w:i w:val="1"/>
          <w:iCs w:val="1"/>
          <w:color w:val="auto"/>
        </w:rPr>
        <w:t>Termination without Cause</w:t>
      </w:r>
      <w:r>
        <w:rPr>
          <w:rFonts w:ascii="Arial" w:cs="Arial" w:eastAsia="Arial" w:hAnsi="Arial"/>
          <w:sz w:val="15"/>
          <w:szCs w:val="15"/>
          <w:color w:val="auto"/>
        </w:rPr>
        <w:t>. The Company may terminate Executive’s employment without Cause.</w:t>
      </w:r>
    </w:p>
    <w:p>
      <w:pPr>
        <w:spacing w:after="0" w:line="198" w:lineRule="exact"/>
        <w:rPr>
          <w:rFonts w:ascii="Arial" w:cs="Arial" w:eastAsia="Arial" w:hAnsi="Arial"/>
          <w:sz w:val="15"/>
          <w:szCs w:val="15"/>
          <w:color w:val="auto"/>
        </w:rPr>
      </w:pPr>
    </w:p>
    <w:p>
      <w:pPr>
        <w:ind w:left="1667" w:hanging="556"/>
        <w:spacing w:after="0"/>
        <w:tabs>
          <w:tab w:leader="none" w:pos="1667" w:val="left"/>
        </w:tabs>
        <w:numPr>
          <w:ilvl w:val="2"/>
          <w:numId w:val="448"/>
        </w:numPr>
        <w:rPr>
          <w:rFonts w:ascii="Arial" w:cs="Arial" w:eastAsia="Arial" w:hAnsi="Arial"/>
          <w:sz w:val="14"/>
          <w:szCs w:val="14"/>
          <w:color w:val="auto"/>
        </w:rPr>
      </w:pPr>
      <w:r>
        <w:rPr>
          <w:rFonts w:ascii="Arial" w:cs="Arial" w:eastAsia="Arial" w:hAnsi="Arial"/>
          <w:sz w:val="14"/>
          <w:szCs w:val="14"/>
          <w:i w:val="1"/>
          <w:iCs w:val="1"/>
          <w:color w:val="auto"/>
        </w:rPr>
        <w:t xml:space="preserve">Resignation from the Company with Good Reason. </w:t>
      </w:r>
      <w:r>
        <w:rPr>
          <w:rFonts w:ascii="Arial" w:cs="Arial" w:eastAsia="Arial" w:hAnsi="Arial"/>
          <w:sz w:val="14"/>
          <w:szCs w:val="14"/>
          <w:color w:val="auto"/>
        </w:rPr>
        <w:t>Executive may resign Executive’s employment with the Company with Good Reason, as defined below.</w:t>
      </w:r>
    </w:p>
    <w:p>
      <w:pPr>
        <w:spacing w:after="0" w:line="209" w:lineRule="exact"/>
        <w:rPr>
          <w:rFonts w:ascii="Arial" w:cs="Arial" w:eastAsia="Arial" w:hAnsi="Arial"/>
          <w:sz w:val="14"/>
          <w:szCs w:val="14"/>
          <w:color w:val="auto"/>
        </w:rPr>
      </w:pPr>
    </w:p>
    <w:p>
      <w:pPr>
        <w:ind w:left="547" w:right="260" w:firstLine="564"/>
        <w:spacing w:after="0" w:line="289" w:lineRule="auto"/>
        <w:tabs>
          <w:tab w:leader="none" w:pos="1674" w:val="left"/>
        </w:tabs>
        <w:numPr>
          <w:ilvl w:val="2"/>
          <w:numId w:val="448"/>
        </w:numPr>
        <w:rPr>
          <w:rFonts w:ascii="Arial" w:cs="Arial" w:eastAsia="Arial" w:hAnsi="Arial"/>
          <w:sz w:val="15"/>
          <w:szCs w:val="15"/>
          <w:color w:val="auto"/>
        </w:rPr>
      </w:pPr>
      <w:r>
        <w:rPr>
          <w:rFonts w:ascii="Arial" w:cs="Arial" w:eastAsia="Arial" w:hAnsi="Arial"/>
          <w:sz w:val="15"/>
          <w:szCs w:val="15"/>
          <w:i w:val="1"/>
          <w:iCs w:val="1"/>
          <w:color w:val="auto"/>
        </w:rPr>
        <w:t>Resignation from the Company Without Good Reason</w:t>
      </w:r>
      <w:r>
        <w:rPr>
          <w:rFonts w:ascii="Arial" w:cs="Arial" w:eastAsia="Arial" w:hAnsi="Arial"/>
          <w:sz w:val="15"/>
          <w:szCs w:val="15"/>
          <w:color w:val="auto"/>
        </w:rPr>
        <w:t>. Executive may resign Executive’s employment with the Company for any reason other than Good</w:t>
      </w:r>
      <w:r>
        <w:rPr>
          <w:rFonts w:ascii="Arial" w:cs="Arial" w:eastAsia="Arial" w:hAnsi="Arial"/>
          <w:sz w:val="15"/>
          <w:szCs w:val="15"/>
          <w:i w:val="1"/>
          <w:iCs w:val="1"/>
          <w:color w:val="auto"/>
        </w:rPr>
        <w:t xml:space="preserve"> </w:t>
      </w:r>
      <w:r>
        <w:rPr>
          <w:rFonts w:ascii="Arial" w:cs="Arial" w:eastAsia="Arial" w:hAnsi="Arial"/>
          <w:sz w:val="15"/>
          <w:szCs w:val="15"/>
          <w:color w:val="auto"/>
        </w:rPr>
        <w:t>Reason or for no reason.</w:t>
      </w:r>
    </w:p>
    <w:p>
      <w:pPr>
        <w:spacing w:after="0" w:line="140" w:lineRule="exact"/>
        <w:rPr>
          <w:rFonts w:ascii="Arial" w:cs="Arial" w:eastAsia="Arial" w:hAnsi="Arial"/>
          <w:sz w:val="15"/>
          <w:szCs w:val="15"/>
          <w:color w:val="auto"/>
        </w:rPr>
      </w:pPr>
    </w:p>
    <w:p>
      <w:pPr>
        <w:ind w:left="7" w:right="80" w:firstLine="549"/>
        <w:spacing w:after="0" w:line="280" w:lineRule="auto"/>
        <w:tabs>
          <w:tab w:leader="none" w:pos="1125" w:val="left"/>
        </w:tabs>
        <w:numPr>
          <w:ilvl w:val="1"/>
          <w:numId w:val="449"/>
        </w:numPr>
        <w:rPr>
          <w:rFonts w:ascii="Arial" w:cs="Arial" w:eastAsia="Arial" w:hAnsi="Arial"/>
          <w:sz w:val="14"/>
          <w:szCs w:val="14"/>
          <w:color w:val="auto"/>
        </w:rPr>
      </w:pP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Any termination of Executive’s employment by the Company or by Executive under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(other than termination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shall be at least thirty (30) days following the date of such notice, but no more than forty</w:t>
      </w:r>
    </w:p>
    <w:p>
      <w:pPr>
        <w:ind w:left="7" w:right="60" w:hanging="7"/>
        <w:spacing w:after="0" w:line="260" w:lineRule="auto"/>
        <w:tabs>
          <w:tab w:leader="none" w:pos="303" w:val="left"/>
        </w:tabs>
        <w:numPr>
          <w:ilvl w:val="0"/>
          <w:numId w:val="450"/>
        </w:numPr>
        <w:rPr>
          <w:rFonts w:ascii="Arial" w:cs="Arial" w:eastAsia="Arial" w:hAnsi="Arial"/>
          <w:sz w:val="15"/>
          <w:szCs w:val="15"/>
          <w:color w:val="auto"/>
        </w:rPr>
      </w:pPr>
      <w:r>
        <w:rPr>
          <w:rFonts w:ascii="Arial" w:cs="Arial" w:eastAsia="Arial" w:hAnsi="Arial"/>
          <w:sz w:val="15"/>
          <w:szCs w:val="15"/>
          <w:color w:val="auto"/>
        </w:rPr>
        <w:t>days following the date of such notice (a “</w:t>
      </w:r>
      <w:r>
        <w:rPr>
          <w:rFonts w:ascii="Arial" w:cs="Arial" w:eastAsia="Arial" w:hAnsi="Arial"/>
          <w:sz w:val="15"/>
          <w:szCs w:val="15"/>
          <w:u w:val="single" w:color="auto"/>
          <w:color w:val="auto"/>
        </w:rPr>
        <w:t>Notice of Termination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5"/>
          <w:szCs w:val="15"/>
          <w:i w:val="1"/>
          <w:iCs w:val="1"/>
          <w:color w:val="auto"/>
        </w:rPr>
        <w:t>provided</w:t>
      </w:r>
      <w:r>
        <w:rPr>
          <w:rFonts w:ascii="Arial" w:cs="Arial" w:eastAsia="Arial" w:hAnsi="Arial"/>
          <w:sz w:val="15"/>
          <w:szCs w:val="15"/>
          <w:color w:val="auto"/>
        </w:rPr>
        <w:t>, in either case,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 Any decision to terminate Executive’s employment for Cause</w:t>
      </w:r>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line="289" w:lineRule="auto"/>
        <w:rPr>
          <w:sz w:val="20"/>
          <w:szCs w:val="20"/>
          <w:color w:val="auto"/>
        </w:rPr>
      </w:pPr>
      <w:r>
        <w:rPr>
          <w:rFonts w:ascii="Arial" w:cs="Arial" w:eastAsia="Arial" w:hAnsi="Arial"/>
          <w:sz w:val="15"/>
          <w:szCs w:val="15"/>
          <w:color w:val="auto"/>
        </w:rPr>
        <w:t>shall be made by a majority vote of the Board after Executive has received written notice from the Board setting forth in reasonable detail the facts and circumstances claimed to provide the basis for the Cause and the Board has provided the Executive reasonable opportunity to be heard by the Board with counsel present if he chooses.</w:t>
      </w:r>
    </w:p>
    <w:p>
      <w:pPr>
        <w:spacing w:after="0" w:line="141" w:lineRule="exact"/>
        <w:rPr>
          <w:sz w:val="20"/>
          <w:szCs w:val="20"/>
          <w:color w:val="auto"/>
        </w:rPr>
      </w:pPr>
    </w:p>
    <w:p>
      <w:pPr>
        <w:ind w:left="7" w:right="240" w:firstLine="549"/>
        <w:spacing w:after="0" w:line="283" w:lineRule="auto"/>
        <w:tabs>
          <w:tab w:leader="none" w:pos="1128" w:val="left"/>
        </w:tabs>
        <w:numPr>
          <w:ilvl w:val="1"/>
          <w:numId w:val="451"/>
        </w:numPr>
        <w:rPr>
          <w:rFonts w:ascii="Arial" w:cs="Arial" w:eastAsia="Arial" w:hAnsi="Arial"/>
          <w:sz w:val="14"/>
          <w:szCs w:val="14"/>
          <w:color w:val="auto"/>
        </w:rPr>
      </w:pPr>
      <w:r>
        <w:rPr>
          <w:rFonts w:ascii="Arial" w:cs="Arial" w:eastAsia="Arial" w:hAnsi="Arial"/>
          <w:sz w:val="14"/>
          <w:szCs w:val="14"/>
          <w:u w:val="single" w:color="auto"/>
          <w:color w:val="auto"/>
        </w:rPr>
        <w:t>Company Obligations upon Termination</w:t>
      </w:r>
      <w:r>
        <w:rPr>
          <w:rFonts w:ascii="Arial" w:cs="Arial" w:eastAsia="Arial" w:hAnsi="Arial"/>
          <w:sz w:val="14"/>
          <w:szCs w:val="14"/>
          <w:color w:val="auto"/>
        </w:rPr>
        <w:t xml:space="preserve">. Upon termination of Executive’s employment pursuant to any of the circumstances listed in this </w:t>
      </w:r>
      <w:r>
        <w:rPr>
          <w:rFonts w:ascii="Arial" w:cs="Arial" w:eastAsia="Arial" w:hAnsi="Arial"/>
          <w:sz w:val="14"/>
          <w:szCs w:val="14"/>
          <w:u w:val="single" w:color="auto"/>
          <w:color w:val="auto"/>
        </w:rPr>
        <w:t>Section 3</w:t>
      </w:r>
      <w:r>
        <w:rPr>
          <w:rFonts w:ascii="Arial" w:cs="Arial" w:eastAsia="Arial" w:hAnsi="Arial"/>
          <w:sz w:val="14"/>
          <w:szCs w:val="14"/>
          <w:color w:val="auto"/>
        </w:rPr>
        <w:t>, Executive (or Executive’s estate) shall be entitled to receive the sum of: (i) the portion of Executive’s Annual Base Salary earned through the Date of Termination, but not yet paid to Executive;</w:t>
      </w:r>
    </w:p>
    <w:p>
      <w:pPr>
        <w:spacing w:after="0" w:line="1" w:lineRule="exact"/>
        <w:rPr>
          <w:rFonts w:ascii="Arial" w:cs="Arial" w:eastAsia="Arial" w:hAnsi="Arial"/>
          <w:sz w:val="14"/>
          <w:szCs w:val="14"/>
          <w:color w:val="auto"/>
        </w:rPr>
      </w:pPr>
    </w:p>
    <w:p>
      <w:pPr>
        <w:ind w:left="7" w:hanging="7"/>
        <w:spacing w:after="0" w:line="260" w:lineRule="auto"/>
        <w:tabs>
          <w:tab w:leader="none" w:pos="235" w:val="left"/>
        </w:tabs>
        <w:numPr>
          <w:ilvl w:val="0"/>
          <w:numId w:val="452"/>
        </w:numPr>
        <w:rPr>
          <w:rFonts w:ascii="Arial" w:cs="Arial" w:eastAsia="Arial" w:hAnsi="Arial"/>
          <w:sz w:val="15"/>
          <w:szCs w:val="15"/>
          <w:color w:val="auto"/>
        </w:rPr>
      </w:pPr>
      <w:r>
        <w:rPr>
          <w:rFonts w:ascii="Arial" w:cs="Arial" w:eastAsia="Arial" w:hAnsi="Arial"/>
          <w:sz w:val="15"/>
          <w:szCs w:val="15"/>
          <w:color w:val="auto"/>
        </w:rPr>
        <w:t xml:space="preserve">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5"/>
          <w:szCs w:val="15"/>
          <w:u w:val="single" w:color="auto"/>
          <w:color w:val="auto"/>
        </w:rPr>
        <w:t>Section 2(e)</w:t>
      </w:r>
      <w:r>
        <w:rPr>
          <w:rFonts w:ascii="Arial" w:cs="Arial" w:eastAsia="Arial" w:hAnsi="Arial"/>
          <w:sz w:val="15"/>
          <w:szCs w:val="15"/>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5"/>
          <w:szCs w:val="15"/>
          <w:u w:val="single" w:color="auto"/>
          <w:color w:val="auto"/>
        </w:rPr>
        <w:t>Company Arrangements</w:t>
      </w:r>
      <w:r>
        <w:rPr>
          <w:rFonts w:ascii="Arial" w:cs="Arial" w:eastAsia="Arial" w:hAnsi="Arial"/>
          <w:sz w:val="15"/>
          <w:szCs w:val="15"/>
          <w:color w:val="auto"/>
        </w:rPr>
        <w:t>”). Except as otherwise expressly required by law (</w:t>
      </w:r>
      <w:r>
        <w:rPr>
          <w:rFonts w:ascii="Arial" w:cs="Arial" w:eastAsia="Arial" w:hAnsi="Arial"/>
          <w:sz w:val="15"/>
          <w:szCs w:val="15"/>
          <w:u w:val="single" w:color="auto"/>
          <w:color w:val="auto"/>
        </w:rPr>
        <w:t>e.g.</w:t>
      </w:r>
      <w:r>
        <w:rPr>
          <w:rFonts w:ascii="Arial" w:cs="Arial" w:eastAsia="Arial" w:hAnsi="Arial"/>
          <w:sz w:val="15"/>
          <w:szCs w:val="15"/>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64" w:lineRule="exact"/>
        <w:rPr>
          <w:rFonts w:ascii="Arial" w:cs="Arial" w:eastAsia="Arial" w:hAnsi="Arial"/>
          <w:sz w:val="15"/>
          <w:szCs w:val="15"/>
          <w:color w:val="auto"/>
        </w:rPr>
      </w:pPr>
    </w:p>
    <w:p>
      <w:pPr>
        <w:ind w:left="7" w:right="120" w:firstLine="549"/>
        <w:spacing w:after="0" w:line="289" w:lineRule="auto"/>
        <w:tabs>
          <w:tab w:leader="none" w:pos="1125" w:val="left"/>
        </w:tabs>
        <w:numPr>
          <w:ilvl w:val="1"/>
          <w:numId w:val="452"/>
        </w:numPr>
        <w:rPr>
          <w:rFonts w:ascii="Arial" w:cs="Arial" w:eastAsia="Arial" w:hAnsi="Arial"/>
          <w:sz w:val="15"/>
          <w:szCs w:val="15"/>
          <w:color w:val="auto"/>
        </w:rPr>
      </w:pPr>
      <w:r>
        <w:rPr>
          <w:rFonts w:ascii="Arial" w:cs="Arial" w:eastAsia="Arial" w:hAnsi="Arial"/>
          <w:sz w:val="15"/>
          <w:szCs w:val="15"/>
          <w:u w:val="single" w:color="auto"/>
          <w:color w:val="auto"/>
        </w:rPr>
        <w:t>Deemed Resignation</w:t>
      </w:r>
      <w:r>
        <w:rPr>
          <w:rFonts w:ascii="Arial" w:cs="Arial" w:eastAsia="Arial" w:hAnsi="Arial"/>
          <w:sz w:val="15"/>
          <w:szCs w:val="15"/>
          <w:color w:val="auto"/>
        </w:rPr>
        <w:t>. Upon termination of Executive’s employment for any reason, Executive shall be deemed to have resigned from all offices and directorships, if any, then held with the Company or any of its subsidiaries.</w:t>
      </w:r>
    </w:p>
    <w:p>
      <w:pPr>
        <w:spacing w:after="0" w:line="135" w:lineRule="exact"/>
        <w:rPr>
          <w:sz w:val="20"/>
          <w:szCs w:val="20"/>
          <w:color w:val="auto"/>
        </w:rPr>
      </w:pPr>
    </w:p>
    <w:p>
      <w:pPr>
        <w:ind w:left="547" w:hanging="547"/>
        <w:spacing w:after="0"/>
        <w:tabs>
          <w:tab w:leader="none" w:pos="547" w:val="left"/>
        </w:tabs>
        <w:numPr>
          <w:ilvl w:val="0"/>
          <w:numId w:val="4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firstLine="549"/>
        <w:spacing w:after="0" w:line="302" w:lineRule="auto"/>
        <w:tabs>
          <w:tab w:leader="none" w:pos="1117" w:val="left"/>
        </w:tabs>
        <w:numPr>
          <w:ilvl w:val="1"/>
          <w:numId w:val="453"/>
        </w:numPr>
        <w:rPr>
          <w:rFonts w:ascii="Arial" w:cs="Arial" w:eastAsia="Arial" w:hAnsi="Arial"/>
          <w:sz w:val="14"/>
          <w:szCs w:val="14"/>
          <w:color w:val="auto"/>
        </w:rPr>
      </w:pPr>
      <w:r>
        <w:rPr>
          <w:rFonts w:ascii="Arial" w:cs="Arial" w:eastAsia="Arial" w:hAnsi="Arial"/>
          <w:sz w:val="14"/>
          <w:szCs w:val="14"/>
          <w:u w:val="single" w:color="auto"/>
          <w:color w:val="auto"/>
        </w:rPr>
        <w:t>Termination for Cause, or Termination Upon Death, Disability or Resignation from the Company Without Good Reason</w:t>
      </w:r>
      <w:r>
        <w:rPr>
          <w:rFonts w:ascii="Arial" w:cs="Arial" w:eastAsia="Arial" w:hAnsi="Arial"/>
          <w:sz w:val="14"/>
          <w:szCs w:val="14"/>
          <w:color w:val="auto"/>
        </w:rPr>
        <w:t xml:space="preserve">. If Executive’s employment shall terminate as a result of Executive’s death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or Disability pursuant to </w:t>
      </w:r>
      <w:r>
        <w:rPr>
          <w:rFonts w:ascii="Arial" w:cs="Arial" w:eastAsia="Arial" w:hAnsi="Arial"/>
          <w:sz w:val="14"/>
          <w:szCs w:val="14"/>
          <w:u w:val="single" w:color="auto"/>
          <w:color w:val="auto"/>
        </w:rPr>
        <w:t>Section 3(a)(ii)</w:t>
      </w:r>
      <w:r>
        <w:rPr>
          <w:rFonts w:ascii="Arial" w:cs="Arial" w:eastAsia="Arial" w:hAnsi="Arial"/>
          <w:sz w:val="14"/>
          <w:szCs w:val="14"/>
          <w:color w:val="auto"/>
        </w:rPr>
        <w:t xml:space="preserve">,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xml:space="preserve"> for Cause, or pursuant to </w:t>
      </w:r>
      <w:r>
        <w:rPr>
          <w:rFonts w:ascii="Arial" w:cs="Arial" w:eastAsia="Arial" w:hAnsi="Arial"/>
          <w:sz w:val="14"/>
          <w:szCs w:val="14"/>
          <w:u w:val="single" w:color="auto"/>
          <w:color w:val="auto"/>
        </w:rPr>
        <w:t>Section 3(a)(vi)</w:t>
      </w:r>
      <w:r>
        <w:rPr>
          <w:rFonts w:ascii="Arial" w:cs="Arial" w:eastAsia="Arial" w:hAnsi="Arial"/>
          <w:sz w:val="14"/>
          <w:szCs w:val="14"/>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4"/>
          <w:szCs w:val="14"/>
          <w:u w:val="single" w:color="auto"/>
          <w:color w:val="auto"/>
        </w:rPr>
        <w:t>Section 3(c)</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ind w:left="7" w:right="20" w:firstLine="549"/>
        <w:spacing w:after="0" w:line="245" w:lineRule="auto"/>
        <w:tabs>
          <w:tab w:leader="none" w:pos="1125" w:val="left"/>
        </w:tabs>
        <w:numPr>
          <w:ilvl w:val="1"/>
          <w:numId w:val="453"/>
        </w:numPr>
        <w:rPr>
          <w:rFonts w:ascii="Arial" w:cs="Arial" w:eastAsia="Arial" w:hAnsi="Arial"/>
          <w:sz w:val="15"/>
          <w:szCs w:val="15"/>
          <w:color w:val="auto"/>
        </w:rPr>
      </w:pPr>
      <w:r>
        <w:rPr>
          <w:rFonts w:ascii="Arial" w:cs="Arial" w:eastAsia="Arial" w:hAnsi="Arial"/>
          <w:sz w:val="15"/>
          <w:szCs w:val="15"/>
          <w:u w:val="single" w:color="auto"/>
          <w:color w:val="auto"/>
        </w:rPr>
        <w:t>Termination without Cause, or Resignation from the Company with Good Reason</w:t>
      </w:r>
      <w:r>
        <w:rPr>
          <w:rFonts w:ascii="Arial" w:cs="Arial" w:eastAsia="Arial" w:hAnsi="Arial"/>
          <w:sz w:val="15"/>
          <w:szCs w:val="15"/>
          <w:color w:val="auto"/>
        </w:rPr>
        <w:t xml:space="preserve">. If Executive’s employment terminates without Cause pursuant to </w:t>
      </w:r>
      <w:r>
        <w:rPr>
          <w:rFonts w:ascii="Arial" w:cs="Arial" w:eastAsia="Arial" w:hAnsi="Arial"/>
          <w:sz w:val="15"/>
          <w:szCs w:val="15"/>
          <w:u w:val="single" w:color="auto"/>
          <w:color w:val="auto"/>
        </w:rPr>
        <w:t>Section 3(a)(iv)</w:t>
      </w:r>
      <w:r>
        <w:rPr>
          <w:rFonts w:ascii="Arial" w:cs="Arial" w:eastAsia="Arial" w:hAnsi="Arial"/>
          <w:sz w:val="15"/>
          <w:szCs w:val="15"/>
          <w:color w:val="auto"/>
        </w:rPr>
        <w:t xml:space="preserve">, or pursuant to </w:t>
      </w:r>
      <w:r>
        <w:rPr>
          <w:rFonts w:ascii="Arial" w:cs="Arial" w:eastAsia="Arial" w:hAnsi="Arial"/>
          <w:sz w:val="15"/>
          <w:szCs w:val="15"/>
          <w:u w:val="single" w:color="auto"/>
          <w:color w:val="auto"/>
        </w:rPr>
        <w:t>Section 3(a)(v)</w:t>
      </w:r>
      <w:r>
        <w:rPr>
          <w:rFonts w:ascii="Arial" w:cs="Arial" w:eastAsia="Arial" w:hAnsi="Arial"/>
          <w:sz w:val="15"/>
          <w:szCs w:val="15"/>
          <w:color w:val="auto"/>
        </w:rPr>
        <w:t xml:space="preserve"> due to Executive’s resignation with Good Reason, then, subject to Executive signing on or before the 60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this Agreement (the “</w:t>
      </w: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and Executive’s continued compliance with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Executive shall receive, in addition to payments and benefits set forth in </w:t>
      </w:r>
      <w:r>
        <w:rPr>
          <w:rFonts w:ascii="Arial" w:cs="Arial" w:eastAsia="Arial" w:hAnsi="Arial"/>
          <w:sz w:val="15"/>
          <w:szCs w:val="15"/>
          <w:u w:val="single" w:color="auto"/>
          <w:color w:val="auto"/>
        </w:rPr>
        <w:t>Section 3(c)</w:t>
      </w:r>
      <w:r>
        <w:rPr>
          <w:rFonts w:ascii="Arial" w:cs="Arial" w:eastAsia="Arial" w:hAnsi="Arial"/>
          <w:sz w:val="15"/>
          <w:szCs w:val="15"/>
          <w:color w:val="auto"/>
        </w:rPr>
        <w:t>, the following:</w:t>
      </w:r>
    </w:p>
    <w:p>
      <w:pPr>
        <w:spacing w:after="0" w:line="172" w:lineRule="exact"/>
        <w:rPr>
          <w:rFonts w:ascii="Arial" w:cs="Arial" w:eastAsia="Arial" w:hAnsi="Arial"/>
          <w:sz w:val="15"/>
          <w:szCs w:val="15"/>
          <w:color w:val="auto"/>
        </w:rPr>
      </w:pPr>
    </w:p>
    <w:p>
      <w:pPr>
        <w:ind w:left="547" w:right="40" w:firstLine="564"/>
        <w:spacing w:after="0" w:line="289" w:lineRule="auto"/>
        <w:tabs>
          <w:tab w:leader="none" w:pos="1677" w:val="left"/>
        </w:tabs>
        <w:numPr>
          <w:ilvl w:val="2"/>
          <w:numId w:val="453"/>
        </w:numPr>
        <w:rPr>
          <w:rFonts w:ascii="Arial" w:cs="Arial" w:eastAsia="Arial" w:hAnsi="Arial"/>
          <w:sz w:val="15"/>
          <w:szCs w:val="15"/>
          <w:color w:val="auto"/>
        </w:rPr>
      </w:pPr>
      <w:r>
        <w:rPr>
          <w:rFonts w:ascii="Arial" w:cs="Arial" w:eastAsia="Arial" w:hAnsi="Arial"/>
          <w:sz w:val="15"/>
          <w:szCs w:val="15"/>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15"/>
          <w:szCs w:val="15"/>
          <w:u w:val="single" w:color="auto"/>
          <w:color w:val="auto"/>
        </w:rPr>
        <w:t>Severance Period</w:t>
      </w:r>
      <w:r>
        <w:rPr>
          <w:rFonts w:ascii="Arial" w:cs="Arial" w:eastAsia="Arial" w:hAnsi="Arial"/>
          <w:sz w:val="15"/>
          <w:szCs w:val="15"/>
          <w:color w:val="auto"/>
        </w:rPr>
        <w:t>”) in accordance with the Company’s normal payroll practices;</w:t>
      </w:r>
    </w:p>
    <w:p>
      <w:pPr>
        <w:spacing w:after="0" w:line="140" w:lineRule="exact"/>
        <w:rPr>
          <w:rFonts w:ascii="Arial" w:cs="Arial" w:eastAsia="Arial" w:hAnsi="Arial"/>
          <w:sz w:val="15"/>
          <w:szCs w:val="15"/>
          <w:color w:val="auto"/>
        </w:rPr>
      </w:pPr>
    </w:p>
    <w:p>
      <w:pPr>
        <w:ind w:left="547" w:right="20" w:firstLine="564"/>
        <w:spacing w:after="0" w:line="289" w:lineRule="auto"/>
        <w:tabs>
          <w:tab w:leader="none" w:pos="1686" w:val="left"/>
        </w:tabs>
        <w:numPr>
          <w:ilvl w:val="2"/>
          <w:numId w:val="453"/>
        </w:numPr>
        <w:rPr>
          <w:rFonts w:ascii="Arial" w:cs="Arial" w:eastAsia="Arial" w:hAnsi="Arial"/>
          <w:sz w:val="15"/>
          <w:szCs w:val="15"/>
          <w:color w:val="auto"/>
        </w:rPr>
      </w:pPr>
      <w:r>
        <w:rPr>
          <w:rFonts w:ascii="Arial" w:cs="Arial" w:eastAsia="Arial" w:hAnsi="Arial"/>
          <w:sz w:val="15"/>
          <w:szCs w:val="15"/>
          <w:color w:val="auto"/>
        </w:rPr>
        <w:t>a pro-rata portion of the Annual Bonus, payable in the form of a lump sum payment, in an amount equal to the product of (A)(i) the Target Bonus, if the Date of Termination occurs during the first quarter of the calendar year or (ii) the Annual Bonus amount based on</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rPr>
          <w:sz w:val="20"/>
          <w:szCs w:val="20"/>
          <w:color w:val="auto"/>
        </w:rPr>
      </w:pPr>
      <w:r>
        <w:rPr>
          <w:rFonts w:ascii="Arial" w:cs="Arial" w:eastAsia="Arial" w:hAnsi="Arial"/>
          <w:sz w:val="14"/>
          <w:szCs w:val="14"/>
          <w:color w:val="auto"/>
        </w:rPr>
        <w:t>actual performance as determined by the Board or an authorized committee thereof, if the Date of Termination occurs after the first quarter of the calendar year, multiplied by</w:t>
      </w:r>
    </w:p>
    <w:p>
      <w:pPr>
        <w:spacing w:after="0" w:line="35" w:lineRule="exact"/>
        <w:rPr>
          <w:sz w:val="20"/>
          <w:szCs w:val="20"/>
          <w:color w:val="auto"/>
        </w:rPr>
      </w:pPr>
    </w:p>
    <w:p>
      <w:pPr>
        <w:ind w:left="807" w:hanging="251"/>
        <w:spacing w:after="0"/>
        <w:tabs>
          <w:tab w:leader="none" w:pos="807" w:val="left"/>
        </w:tabs>
        <w:numPr>
          <w:ilvl w:val="0"/>
          <w:numId w:val="454"/>
        </w:numPr>
        <w:rPr>
          <w:rFonts w:ascii="Arial" w:cs="Arial" w:eastAsia="Arial" w:hAnsi="Arial"/>
          <w:sz w:val="15"/>
          <w:szCs w:val="15"/>
          <w:color w:val="auto"/>
        </w:rPr>
      </w:pPr>
      <w:r>
        <w:rPr>
          <w:rFonts w:ascii="Arial" w:cs="Arial" w:eastAsia="Arial" w:hAnsi="Arial"/>
          <w:sz w:val="15"/>
          <w:szCs w:val="15"/>
          <w:color w:val="auto"/>
        </w:rPr>
        <w:t>a fraction, using the number of full months of the year elapsed prior to the Date of Termination as the numerator and 12 as the denominator; and</w:t>
      </w:r>
    </w:p>
    <w:p>
      <w:pPr>
        <w:spacing w:after="0" w:line="187" w:lineRule="exact"/>
        <w:rPr>
          <w:rFonts w:ascii="Arial" w:cs="Arial" w:eastAsia="Arial" w:hAnsi="Arial"/>
          <w:sz w:val="15"/>
          <w:szCs w:val="15"/>
          <w:color w:val="auto"/>
        </w:rPr>
      </w:pPr>
    </w:p>
    <w:p>
      <w:pPr>
        <w:ind w:left="547" w:right="40" w:firstLine="564"/>
        <w:spacing w:after="0" w:line="283" w:lineRule="auto"/>
        <w:tabs>
          <w:tab w:leader="none" w:pos="1694" w:val="left"/>
        </w:tabs>
        <w:numPr>
          <w:ilvl w:val="1"/>
          <w:numId w:val="454"/>
        </w:numPr>
        <w:rPr>
          <w:rFonts w:ascii="Arial" w:cs="Arial" w:eastAsia="Arial" w:hAnsi="Arial"/>
          <w:sz w:val="14"/>
          <w:szCs w:val="14"/>
          <w:color w:val="auto"/>
        </w:rPr>
      </w:pPr>
      <w:r>
        <w:rPr>
          <w:rFonts w:ascii="Arial" w:cs="Arial" w:eastAsia="Arial" w:hAnsi="Arial"/>
          <w:sz w:val="14"/>
          <w:szCs w:val="14"/>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4"/>
          <w:szCs w:val="14"/>
          <w:u w:val="single" w:color="auto"/>
          <w:color w:val="auto"/>
        </w:rPr>
        <w:t>COBRA</w:t>
      </w:r>
      <w:r>
        <w:rPr>
          <w:rFonts w:ascii="Arial" w:cs="Arial" w:eastAsia="Arial" w:hAnsi="Arial"/>
          <w:sz w:val="14"/>
          <w:szCs w:val="14"/>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49" w:lineRule="exact"/>
        <w:rPr>
          <w:sz w:val="20"/>
          <w:szCs w:val="20"/>
          <w:color w:val="auto"/>
        </w:rPr>
      </w:pPr>
    </w:p>
    <w:p>
      <w:pPr>
        <w:ind w:left="7" w:right="40" w:firstLine="549"/>
        <w:spacing w:after="0" w:line="271" w:lineRule="auto"/>
        <w:tabs>
          <w:tab w:leader="none" w:pos="1128" w:val="left"/>
        </w:tabs>
        <w:numPr>
          <w:ilvl w:val="0"/>
          <w:numId w:val="455"/>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4"/>
          <w:szCs w:val="14"/>
          <w:u w:val="single" w:color="auto"/>
          <w:color w:val="auto"/>
        </w:rPr>
        <w:t>Section 3(a)(iv)</w:t>
      </w:r>
      <w:r>
        <w:rPr>
          <w:rFonts w:ascii="Arial" w:cs="Arial" w:eastAsia="Arial" w:hAnsi="Arial"/>
          <w:sz w:val="14"/>
          <w:szCs w:val="14"/>
          <w:color w:val="auto"/>
        </w:rPr>
        <w:t xml:space="preserve">, or pursuant to </w:t>
      </w:r>
      <w:r>
        <w:rPr>
          <w:rFonts w:ascii="Arial" w:cs="Arial" w:eastAsia="Arial" w:hAnsi="Arial"/>
          <w:sz w:val="14"/>
          <w:szCs w:val="14"/>
          <w:u w:val="single" w:color="auto"/>
          <w:color w:val="auto"/>
        </w:rPr>
        <w:t>Section 3(a)(v)</w:t>
      </w:r>
      <w:r>
        <w:rPr>
          <w:rFonts w:ascii="Arial" w:cs="Arial" w:eastAsia="Arial" w:hAnsi="Arial"/>
          <w:sz w:val="14"/>
          <w:szCs w:val="14"/>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Executive shall receive, in addition to the payments and benefits set forth in </w:t>
      </w:r>
      <w:r>
        <w:rPr>
          <w:rFonts w:ascii="Arial" w:cs="Arial" w:eastAsia="Arial" w:hAnsi="Arial"/>
          <w:sz w:val="14"/>
          <w:szCs w:val="14"/>
          <w:u w:val="single" w:color="auto"/>
          <w:color w:val="auto"/>
        </w:rPr>
        <w:t>Section 3(c)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4(b)</w:t>
      </w:r>
      <w:r>
        <w:rPr>
          <w:rFonts w:ascii="Arial" w:cs="Arial" w:eastAsia="Arial" w:hAnsi="Arial"/>
          <w:sz w:val="14"/>
          <w:szCs w:val="14"/>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ectPr>
          <w:pgSz w:w="11900" w:h="16838" w:orient="portrait"/>
          <w:cols w:equalWidth="0" w:num="1">
            <w:col w:w="11427"/>
          </w:cols>
          <w:pgMar w:left="233" w:top="314" w:right="239" w:bottom="0" w:gutter="0" w:footer="0" w:header="0"/>
        </w:sectPr>
      </w:pPr>
    </w:p>
    <w:bookmarkStart w:id="397" w:name="page398"/>
    <w:bookmarkEnd w:id="397"/>
    <w:p>
      <w:pPr>
        <w:ind w:left="7" w:right="60" w:firstLine="549"/>
        <w:spacing w:after="0" w:line="289" w:lineRule="auto"/>
        <w:tabs>
          <w:tab w:leader="none" w:pos="1125" w:val="left"/>
        </w:tabs>
        <w:numPr>
          <w:ilvl w:val="1"/>
          <w:numId w:val="456"/>
        </w:numPr>
        <w:rPr>
          <w:rFonts w:ascii="Arial" w:cs="Arial" w:eastAsia="Arial" w:hAnsi="Arial"/>
          <w:sz w:val="15"/>
          <w:szCs w:val="15"/>
          <w:color w:val="auto"/>
        </w:rPr>
      </w:pP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Notwithstanding anything to the contrary in this Agreement, the provisions of </w:t>
      </w:r>
      <w:r>
        <w:rPr>
          <w:rFonts w:ascii="Arial" w:cs="Arial" w:eastAsia="Arial" w:hAnsi="Arial"/>
          <w:sz w:val="15"/>
          <w:szCs w:val="15"/>
          <w:u w:val="single" w:color="auto"/>
          <w:color w:val="auto"/>
        </w:rPr>
        <w:t>Sections 5</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9</w:t>
      </w:r>
      <w:r>
        <w:rPr>
          <w:rFonts w:ascii="Arial" w:cs="Arial" w:eastAsia="Arial" w:hAnsi="Arial"/>
          <w:sz w:val="15"/>
          <w:szCs w:val="15"/>
          <w:color w:val="auto"/>
        </w:rPr>
        <w:t xml:space="preserve"> will survive the termination of Executive’s employment and the termination of the Term.</w:t>
      </w:r>
    </w:p>
    <w:p>
      <w:pPr>
        <w:spacing w:after="0" w:line="134" w:lineRule="exact"/>
        <w:rPr>
          <w:rFonts w:ascii="Arial" w:cs="Arial" w:eastAsia="Arial" w:hAnsi="Arial"/>
          <w:sz w:val="15"/>
          <w:szCs w:val="15"/>
          <w:color w:val="auto"/>
        </w:rPr>
      </w:pPr>
    </w:p>
    <w:p>
      <w:pPr>
        <w:ind w:left="7" w:right="40" w:hanging="7"/>
        <w:spacing w:after="0" w:line="271" w:lineRule="auto"/>
        <w:tabs>
          <w:tab w:leader="none" w:pos="563" w:val="left"/>
        </w:tabs>
        <w:numPr>
          <w:ilvl w:val="0"/>
          <w:numId w:val="45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Restrictive Covenants</w:t>
      </w:r>
      <w:r>
        <w:rPr>
          <w:rFonts w:ascii="Arial" w:cs="Arial" w:eastAsia="Arial" w:hAnsi="Arial"/>
          <w:sz w:val="15"/>
          <w:szCs w:val="15"/>
          <w:b w:val="1"/>
          <w:bCs w:val="1"/>
          <w:color w:val="auto"/>
        </w:rPr>
        <w:t xml:space="preserve">. </w:t>
      </w:r>
      <w:r>
        <w:rPr>
          <w:rFonts w:ascii="Arial" w:cs="Arial" w:eastAsia="Arial" w:hAnsi="Arial"/>
          <w:sz w:val="15"/>
          <w:szCs w:val="15"/>
          <w:color w:val="auto"/>
        </w:rPr>
        <w:t>As a condition to the effectiveness of this Agreement, Executive will execute and deliver to the Company contemporaneously herewith the Restrictive</w:t>
      </w:r>
      <w:r>
        <w:rPr>
          <w:rFonts w:ascii="Arial" w:cs="Arial" w:eastAsia="Arial" w:hAnsi="Arial"/>
          <w:sz w:val="15"/>
          <w:szCs w:val="15"/>
          <w:b w:val="1"/>
          <w:bCs w:val="1"/>
          <w:color w:val="auto"/>
        </w:rPr>
        <w:t xml:space="preserve"> </w:t>
      </w:r>
      <w:r>
        <w:rPr>
          <w:rFonts w:ascii="Arial" w:cs="Arial" w:eastAsia="Arial" w:hAnsi="Arial"/>
          <w:sz w:val="15"/>
          <w:szCs w:val="15"/>
          <w:color w:val="auto"/>
        </w:rPr>
        <w:t>Covenant Agreement.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47" w:lineRule="exact"/>
        <w:rPr>
          <w:rFonts w:ascii="Arial" w:cs="Arial" w:eastAsia="Arial" w:hAnsi="Arial"/>
          <w:sz w:val="15"/>
          <w:szCs w:val="15"/>
          <w:b w:val="1"/>
          <w:bCs w:val="1"/>
          <w:color w:val="auto"/>
        </w:rPr>
      </w:pPr>
    </w:p>
    <w:p>
      <w:pPr>
        <w:ind w:left="547" w:hanging="547"/>
        <w:spacing w:after="0"/>
        <w:tabs>
          <w:tab w:leader="none" w:pos="547" w:val="left"/>
        </w:tabs>
        <w:numPr>
          <w:ilvl w:val="0"/>
          <w:numId w:val="45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Assignment and Successors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The Company must assign its rights and obligations under this Agreement to any of its affiliates or to any successor to all or substantially all of the business or the assets of the</w:t>
      </w:r>
    </w:p>
    <w:p>
      <w:pPr>
        <w:spacing w:after="0" w:line="35" w:lineRule="exact"/>
        <w:rPr>
          <w:sz w:val="20"/>
          <w:szCs w:val="20"/>
          <w:color w:val="auto"/>
        </w:rPr>
      </w:pPr>
    </w:p>
    <w:p>
      <w:pPr>
        <w:ind w:left="7" w:right="180"/>
        <w:spacing w:after="0" w:line="275" w:lineRule="auto"/>
        <w:rPr>
          <w:sz w:val="20"/>
          <w:szCs w:val="20"/>
          <w:color w:val="auto"/>
        </w:rPr>
      </w:pPr>
      <w:r>
        <w:rPr>
          <w:rFonts w:ascii="Arial" w:cs="Arial" w:eastAsia="Arial" w:hAnsi="Arial"/>
          <w:sz w:val="15"/>
          <w:szCs w:val="15"/>
          <w:color w:val="auto"/>
        </w:rPr>
        <w:t>Company (by merger or otherwise). This Agreement shall be binding upon and inure to the benefit of the Company, Executive and their respective successors, assigns, personnel and legal representatives, executors, administrators,</w:t>
      </w:r>
    </w:p>
    <w:p>
      <w:pPr>
        <w:spacing w:after="0" w:line="15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0"/>
        <w:spacing w:after="0" w:line="268" w:lineRule="auto"/>
        <w:rPr>
          <w:sz w:val="20"/>
          <w:szCs w:val="20"/>
          <w:color w:val="auto"/>
        </w:rPr>
      </w:pPr>
      <w:r>
        <w:rPr>
          <w:rFonts w:ascii="Arial" w:cs="Arial" w:eastAsia="Arial" w:hAnsi="Arial"/>
          <w:sz w:val="15"/>
          <w:szCs w:val="15"/>
          <w:color w:val="auto"/>
        </w:rPr>
        <w:t>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50" w:lineRule="exact"/>
        <w:rPr>
          <w:sz w:val="20"/>
          <w:szCs w:val="20"/>
          <w:color w:val="auto"/>
        </w:rPr>
      </w:pPr>
    </w:p>
    <w:p>
      <w:pPr>
        <w:ind w:left="547" w:hanging="547"/>
        <w:spacing w:after="0"/>
        <w:tabs>
          <w:tab w:leader="none" w:pos="547" w:val="left"/>
        </w:tabs>
        <w:numPr>
          <w:ilvl w:val="0"/>
          <w:numId w:val="45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Certain Definitions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1107" w:hanging="551"/>
        <w:spacing w:after="0"/>
        <w:tabs>
          <w:tab w:leader="none" w:pos="1107" w:val="left"/>
        </w:tabs>
        <w:numPr>
          <w:ilvl w:val="1"/>
          <w:numId w:val="458"/>
        </w:numPr>
        <w:rPr>
          <w:rFonts w:ascii="Arial" w:cs="Arial" w:eastAsia="Arial" w:hAnsi="Arial"/>
          <w:sz w:val="15"/>
          <w:szCs w:val="15"/>
          <w:color w:val="auto"/>
        </w:rPr>
      </w:pPr>
      <w:r>
        <w:rPr>
          <w:rFonts w:ascii="Arial" w:cs="Arial" w:eastAsia="Arial" w:hAnsi="Arial"/>
          <w:sz w:val="15"/>
          <w:szCs w:val="15"/>
          <w:u w:val="single" w:color="auto"/>
          <w:color w:val="auto"/>
        </w:rPr>
        <w:t>Cause</w:t>
      </w:r>
      <w:r>
        <w:rPr>
          <w:rFonts w:ascii="Arial" w:cs="Arial" w:eastAsia="Arial" w:hAnsi="Arial"/>
          <w:sz w:val="15"/>
          <w:szCs w:val="15"/>
          <w:color w:val="auto"/>
        </w:rPr>
        <w:t>. The Company shall have “Cause” to terminate Executive’s employment hereunder upon:</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58"/>
        </w:numPr>
        <w:rPr>
          <w:rFonts w:ascii="Arial" w:cs="Arial" w:eastAsia="Arial" w:hAnsi="Arial"/>
          <w:sz w:val="15"/>
          <w:szCs w:val="15"/>
          <w:color w:val="auto"/>
        </w:rPr>
      </w:pPr>
      <w:r>
        <w:rPr>
          <w:rFonts w:ascii="Arial" w:cs="Arial" w:eastAsia="Arial" w:hAnsi="Arial"/>
          <w:sz w:val="15"/>
          <w:szCs w:val="15"/>
          <w:color w:val="auto"/>
        </w:rPr>
        <w:t>Executive’s commission of, or indictment or conviction of, any felony or any crime involving dishonesty by Executive;</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58"/>
        </w:numPr>
        <w:rPr>
          <w:rFonts w:ascii="Arial" w:cs="Arial" w:eastAsia="Arial" w:hAnsi="Arial"/>
          <w:sz w:val="15"/>
          <w:szCs w:val="15"/>
          <w:color w:val="auto"/>
        </w:rPr>
      </w:pPr>
      <w:r>
        <w:rPr>
          <w:rFonts w:ascii="Arial" w:cs="Arial" w:eastAsia="Arial" w:hAnsi="Arial"/>
          <w:sz w:val="15"/>
          <w:szCs w:val="15"/>
          <w:color w:val="auto"/>
        </w:rPr>
        <w:t>Executive’s participation in any fraud against the Company;</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458"/>
        </w:numPr>
        <w:rPr>
          <w:rFonts w:ascii="Arial" w:cs="Arial" w:eastAsia="Arial" w:hAnsi="Arial"/>
          <w:sz w:val="15"/>
          <w:szCs w:val="15"/>
          <w:color w:val="auto"/>
        </w:rPr>
      </w:pPr>
      <w:r>
        <w:rPr>
          <w:rFonts w:ascii="Arial" w:cs="Arial" w:eastAsia="Arial" w:hAnsi="Arial"/>
          <w:sz w:val="15"/>
          <w:szCs w:val="15"/>
          <w:color w:val="auto"/>
        </w:rPr>
        <w:t>any intentional damage to any property of the Company by Executive;</w:t>
      </w:r>
    </w:p>
    <w:p>
      <w:pPr>
        <w:spacing w:after="0" w:line="198" w:lineRule="exact"/>
        <w:rPr>
          <w:rFonts w:ascii="Arial" w:cs="Arial" w:eastAsia="Arial" w:hAnsi="Arial"/>
          <w:sz w:val="15"/>
          <w:szCs w:val="15"/>
          <w:color w:val="auto"/>
        </w:rPr>
      </w:pPr>
    </w:p>
    <w:p>
      <w:pPr>
        <w:ind w:left="547" w:right="40" w:firstLine="564"/>
        <w:spacing w:after="0" w:line="289" w:lineRule="auto"/>
        <w:tabs>
          <w:tab w:leader="none" w:pos="1674" w:val="left"/>
        </w:tabs>
        <w:numPr>
          <w:ilvl w:val="2"/>
          <w:numId w:val="458"/>
        </w:numPr>
        <w:rPr>
          <w:rFonts w:ascii="Arial" w:cs="Arial" w:eastAsia="Arial" w:hAnsi="Arial"/>
          <w:sz w:val="15"/>
          <w:szCs w:val="15"/>
          <w:color w:val="auto"/>
        </w:rPr>
      </w:pPr>
      <w:r>
        <w:rPr>
          <w:rFonts w:ascii="Arial" w:cs="Arial" w:eastAsia="Arial" w:hAnsi="Arial"/>
          <w:sz w:val="15"/>
          <w:szCs w:val="15"/>
          <w:color w:val="auto"/>
        </w:rPr>
        <w:t>Executive’s misconduct which materially and adversely reflects upon the business, operations, or reputation of the Company, which misconduct has not been cured (or cannot be cured) within thirty (30) days after the Company gives written notice to Executive regarding such misconduct; or</w:t>
      </w:r>
    </w:p>
    <w:p>
      <w:pPr>
        <w:spacing w:after="0" w:line="140" w:lineRule="exact"/>
        <w:rPr>
          <w:rFonts w:ascii="Arial" w:cs="Arial" w:eastAsia="Arial" w:hAnsi="Arial"/>
          <w:sz w:val="15"/>
          <w:szCs w:val="15"/>
          <w:color w:val="auto"/>
        </w:rPr>
      </w:pPr>
    </w:p>
    <w:p>
      <w:pPr>
        <w:ind w:left="547" w:right="80" w:firstLine="564"/>
        <w:spacing w:after="0" w:line="289" w:lineRule="auto"/>
        <w:tabs>
          <w:tab w:leader="none" w:pos="1665" w:val="left"/>
        </w:tabs>
        <w:numPr>
          <w:ilvl w:val="2"/>
          <w:numId w:val="458"/>
        </w:numPr>
        <w:rPr>
          <w:rFonts w:ascii="Arial" w:cs="Arial" w:eastAsia="Arial" w:hAnsi="Arial"/>
          <w:sz w:val="15"/>
          <w:szCs w:val="15"/>
          <w:color w:val="auto"/>
        </w:rPr>
      </w:pPr>
      <w:r>
        <w:rPr>
          <w:rFonts w:ascii="Arial" w:cs="Arial" w:eastAsia="Arial" w:hAnsi="Arial"/>
          <w:sz w:val="15"/>
          <w:szCs w:val="15"/>
          <w:color w:val="auto"/>
        </w:rPr>
        <w:t>Executive’s breach of any material provision of this Agreement or any other written agreement between Executive and the Company and failure to cure such breach (if capable of cure) within thirty (30) days after the Company gives written notice to Executive regarding such breach.</w:t>
      </w:r>
    </w:p>
    <w:p>
      <w:pPr>
        <w:spacing w:after="0" w:line="140" w:lineRule="exact"/>
        <w:rPr>
          <w:rFonts w:ascii="Arial" w:cs="Arial" w:eastAsia="Arial" w:hAnsi="Arial"/>
          <w:sz w:val="15"/>
          <w:szCs w:val="15"/>
          <w:color w:val="auto"/>
        </w:rPr>
      </w:pPr>
    </w:p>
    <w:p>
      <w:pPr>
        <w:ind w:left="1127" w:hanging="571"/>
        <w:spacing w:after="0"/>
        <w:tabs>
          <w:tab w:leader="none" w:pos="1127" w:val="left"/>
        </w:tabs>
        <w:numPr>
          <w:ilvl w:val="1"/>
          <w:numId w:val="458"/>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“Change in Control” shall have the meaning set forth in the version of the Selecta Biosciences, Inc. 2016 Incentive Award Plan in effect on the</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Effective Date.</w:t>
      </w:r>
    </w:p>
    <w:p>
      <w:pPr>
        <w:spacing w:after="0" w:line="187" w:lineRule="exact"/>
        <w:rPr>
          <w:rFonts w:ascii="Arial" w:cs="Arial" w:eastAsia="Arial" w:hAnsi="Arial"/>
          <w:sz w:val="14"/>
          <w:szCs w:val="14"/>
          <w:color w:val="auto"/>
        </w:rPr>
      </w:pPr>
    </w:p>
    <w:p>
      <w:pPr>
        <w:ind w:left="1127" w:hanging="571"/>
        <w:spacing w:after="0"/>
        <w:tabs>
          <w:tab w:leader="none" w:pos="1127" w:val="left"/>
        </w:tabs>
        <w:numPr>
          <w:ilvl w:val="1"/>
          <w:numId w:val="458"/>
        </w:numPr>
        <w:rPr>
          <w:rFonts w:ascii="Arial" w:cs="Arial" w:eastAsia="Arial" w:hAnsi="Arial"/>
          <w:sz w:val="15"/>
          <w:szCs w:val="15"/>
          <w:color w:val="auto"/>
        </w:rPr>
      </w:pPr>
      <w:r>
        <w:rPr>
          <w:rFonts w:ascii="Arial" w:cs="Arial" w:eastAsia="Arial" w:hAnsi="Arial"/>
          <w:sz w:val="15"/>
          <w:szCs w:val="15"/>
          <w:u w:val="single" w:color="auto"/>
          <w:color w:val="auto"/>
        </w:rPr>
        <w:t>Code</w:t>
      </w:r>
      <w:r>
        <w:rPr>
          <w:rFonts w:ascii="Arial" w:cs="Arial" w:eastAsia="Arial" w:hAnsi="Arial"/>
          <w:sz w:val="15"/>
          <w:szCs w:val="15"/>
          <w:color w:val="auto"/>
        </w:rPr>
        <w:t>. “Code” shall mean the Internal Revenue Code of 1986, as amended, and the regulations and guidance promulgated thereunder.</w:t>
      </w:r>
    </w:p>
    <w:p>
      <w:pPr>
        <w:spacing w:after="0" w:line="198" w:lineRule="exact"/>
        <w:rPr>
          <w:rFonts w:ascii="Arial" w:cs="Arial" w:eastAsia="Arial" w:hAnsi="Arial"/>
          <w:sz w:val="15"/>
          <w:szCs w:val="15"/>
          <w:color w:val="auto"/>
        </w:rPr>
      </w:pPr>
    </w:p>
    <w:p>
      <w:pPr>
        <w:ind w:left="7" w:right="380" w:firstLine="549"/>
        <w:spacing w:after="0" w:line="273" w:lineRule="auto"/>
        <w:tabs>
          <w:tab w:leader="none" w:pos="1125" w:val="left"/>
        </w:tabs>
        <w:numPr>
          <w:ilvl w:val="1"/>
          <w:numId w:val="458"/>
        </w:numPr>
        <w:rPr>
          <w:rFonts w:ascii="Arial" w:cs="Arial" w:eastAsia="Arial" w:hAnsi="Arial"/>
          <w:sz w:val="15"/>
          <w:szCs w:val="15"/>
          <w:color w:val="auto"/>
        </w:rPr>
      </w:pPr>
      <w:r>
        <w:rPr>
          <w:rFonts w:ascii="Arial" w:cs="Arial" w:eastAsia="Arial" w:hAnsi="Arial"/>
          <w:sz w:val="15"/>
          <w:szCs w:val="15"/>
          <w:u w:val="single" w:color="auto"/>
          <w:color w:val="auto"/>
        </w:rPr>
        <w:t>Date of Termination</w:t>
      </w:r>
      <w:r>
        <w:rPr>
          <w:rFonts w:ascii="Arial" w:cs="Arial" w:eastAsia="Arial" w:hAnsi="Arial"/>
          <w:sz w:val="15"/>
          <w:szCs w:val="15"/>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5"/>
          <w:szCs w:val="15"/>
          <w:u w:val="single" w:color="auto"/>
          <w:color w:val="auto"/>
        </w:rPr>
        <w:t>Section 3(a)(ii) — (vi)</w:t>
      </w:r>
      <w:r>
        <w:rPr>
          <w:rFonts w:ascii="Arial" w:cs="Arial" w:eastAsia="Arial" w:hAnsi="Arial"/>
          <w:sz w:val="15"/>
          <w:szCs w:val="15"/>
          <w:color w:val="auto"/>
        </w:rPr>
        <w:t xml:space="preserve"> either the date indicated in the Notice of Termination or the date specified by the Company pursuant to </w:t>
      </w:r>
      <w:r>
        <w:rPr>
          <w:rFonts w:ascii="Arial" w:cs="Arial" w:eastAsia="Arial" w:hAnsi="Arial"/>
          <w:sz w:val="15"/>
          <w:szCs w:val="15"/>
          <w:u w:val="single" w:color="auto"/>
          <w:color w:val="auto"/>
        </w:rPr>
        <w:t>Section 3(b)</w:t>
      </w:r>
      <w:r>
        <w:rPr>
          <w:rFonts w:ascii="Arial" w:cs="Arial" w:eastAsia="Arial" w:hAnsi="Arial"/>
          <w:sz w:val="15"/>
          <w:szCs w:val="15"/>
          <w:color w:val="auto"/>
        </w:rPr>
        <w:t>, whichever is earlier.</w:t>
      </w:r>
    </w:p>
    <w:p>
      <w:pPr>
        <w:spacing w:after="0" w:line="152" w:lineRule="exact"/>
        <w:rPr>
          <w:rFonts w:ascii="Arial" w:cs="Arial" w:eastAsia="Arial" w:hAnsi="Arial"/>
          <w:sz w:val="15"/>
          <w:szCs w:val="15"/>
          <w:color w:val="auto"/>
        </w:rPr>
      </w:pPr>
    </w:p>
    <w:p>
      <w:pPr>
        <w:ind w:left="7" w:firstLine="549"/>
        <w:spacing w:after="0" w:line="263" w:lineRule="auto"/>
        <w:tabs>
          <w:tab w:leader="none" w:pos="1128" w:val="left"/>
        </w:tabs>
        <w:numPr>
          <w:ilvl w:val="1"/>
          <w:numId w:val="458"/>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5"/>
          <w:szCs w:val="15"/>
          <w:i w:val="1"/>
          <w:iCs w:val="1"/>
          <w:color w:val="auto"/>
        </w:rPr>
        <w:t>provided, however</w:t>
      </w:r>
      <w:r>
        <w:rPr>
          <w:rFonts w:ascii="Arial" w:cs="Arial" w:eastAsia="Arial" w:hAnsi="Arial"/>
          <w:sz w:val="15"/>
          <w:szCs w:val="15"/>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w:t>
      </w:r>
    </w:p>
    <w:p>
      <w:pPr>
        <w:spacing w:after="0" w:line="159"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00"/>
        <w:spacing w:after="0" w:line="273" w:lineRule="auto"/>
        <w:rPr>
          <w:sz w:val="20"/>
          <w:szCs w:val="20"/>
          <w:color w:val="auto"/>
        </w:rPr>
      </w:pPr>
      <w:r>
        <w:rPr>
          <w:rFonts w:ascii="Arial" w:cs="Arial" w:eastAsia="Arial" w:hAnsi="Arial"/>
          <w:sz w:val="15"/>
          <w:szCs w:val="15"/>
          <w:color w:val="auto"/>
        </w:rPr>
        <w:t>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53" w:lineRule="exact"/>
        <w:rPr>
          <w:sz w:val="20"/>
          <w:szCs w:val="20"/>
          <w:color w:val="auto"/>
        </w:rPr>
      </w:pPr>
    </w:p>
    <w:p>
      <w:pPr>
        <w:ind w:left="7" w:right="100" w:firstLine="549"/>
        <w:spacing w:after="0" w:line="278" w:lineRule="auto"/>
        <w:tabs>
          <w:tab w:leader="none" w:pos="1123" w:val="left"/>
        </w:tabs>
        <w:numPr>
          <w:ilvl w:val="1"/>
          <w:numId w:val="459"/>
        </w:numPr>
        <w:rPr>
          <w:rFonts w:ascii="Arial" w:cs="Arial" w:eastAsia="Arial" w:hAnsi="Arial"/>
          <w:sz w:val="14"/>
          <w:szCs w:val="14"/>
          <w:color w:val="auto"/>
        </w:rPr>
      </w:pPr>
      <w:r>
        <w:rPr>
          <w:rFonts w:ascii="Arial" w:cs="Arial" w:eastAsia="Arial" w:hAnsi="Arial"/>
          <w:sz w:val="14"/>
          <w:szCs w:val="14"/>
          <w:u w:val="single" w:color="auto"/>
          <w:color w:val="auto"/>
        </w:rPr>
        <w:t>Good Reason</w:t>
      </w:r>
      <w:r>
        <w:rPr>
          <w:rFonts w:ascii="Arial" w:cs="Arial" w:eastAsia="Arial" w:hAnsi="Arial"/>
          <w:sz w:val="14"/>
          <w:szCs w:val="14"/>
          <w:color w:val="auto"/>
        </w:rPr>
        <w:t>. For the sole purpose of determining Executive’s right to severance payments and benefits as described above, Executive’s resignation will be with “Good Reason” if Executive resigns within one year after any of the following events, unless Executive consents to the applicable event in writing: (i) a material reduction in Executive’s Annual Base Salary or Target Bonus, (ii) a material diminution in Executive’s authority, title, duties or areas of responsibility, (iii) the requirement that Executive report to someone other than the Chief Executive Officer or (iv) a 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w:t>
      </w:r>
    </w:p>
    <w:p>
      <w:pPr>
        <w:spacing w:after="0" w:line="3" w:lineRule="exact"/>
        <w:rPr>
          <w:rFonts w:ascii="Arial" w:cs="Arial" w:eastAsia="Arial" w:hAnsi="Arial"/>
          <w:sz w:val="14"/>
          <w:szCs w:val="14"/>
          <w:color w:val="auto"/>
        </w:rPr>
      </w:pPr>
    </w:p>
    <w:p>
      <w:pPr>
        <w:ind w:left="227" w:hanging="227"/>
        <w:spacing w:after="0"/>
        <w:tabs>
          <w:tab w:leader="none" w:pos="227" w:val="left"/>
        </w:tabs>
        <w:numPr>
          <w:ilvl w:val="0"/>
          <w:numId w:val="460"/>
        </w:numPr>
        <w:rPr>
          <w:rFonts w:ascii="Arial" w:cs="Arial" w:eastAsia="Arial" w:hAnsi="Arial"/>
          <w:sz w:val="15"/>
          <w:szCs w:val="15"/>
          <w:color w:val="auto"/>
        </w:rPr>
      </w:pPr>
      <w:r>
        <w:rPr>
          <w:rFonts w:ascii="Arial" w:cs="Arial" w:eastAsia="Arial" w:hAnsi="Arial"/>
          <w:sz w:val="15"/>
          <w:szCs w:val="15"/>
          <w:color w:val="auto"/>
        </w:rPr>
        <w:t>provided the Company with an opportunity to cure the same within thirty (30) days after the receipt of such notice.</w:t>
      </w:r>
    </w:p>
    <w:p>
      <w:pPr>
        <w:spacing w:after="0" w:line="182" w:lineRule="exact"/>
        <w:rPr>
          <w:sz w:val="20"/>
          <w:szCs w:val="20"/>
          <w:color w:val="auto"/>
        </w:rPr>
      </w:pPr>
    </w:p>
    <w:p>
      <w:pPr>
        <w:ind w:left="547" w:hanging="547"/>
        <w:spacing w:after="0"/>
        <w:tabs>
          <w:tab w:leader="none" w:pos="547" w:val="left"/>
        </w:tabs>
        <w:numPr>
          <w:ilvl w:val="0"/>
          <w:numId w:val="46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Parachute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 w:firstLine="549"/>
        <w:spacing w:after="0" w:line="282" w:lineRule="auto"/>
        <w:tabs>
          <w:tab w:leader="none" w:pos="1117" w:val="left"/>
        </w:tabs>
        <w:numPr>
          <w:ilvl w:val="1"/>
          <w:numId w:val="461"/>
        </w:numPr>
        <w:rPr>
          <w:rFonts w:ascii="Arial" w:cs="Arial" w:eastAsia="Arial" w:hAnsi="Arial"/>
          <w:sz w:val="14"/>
          <w:szCs w:val="14"/>
          <w:color w:val="auto"/>
        </w:rPr>
      </w:pPr>
      <w:r>
        <w:rPr>
          <w:rFonts w:ascii="Arial" w:cs="Arial" w:eastAsia="Arial" w:hAnsi="Arial"/>
          <w:sz w:val="14"/>
          <w:szCs w:val="14"/>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4"/>
          <w:szCs w:val="14"/>
          <w:u w:val="single" w:color="auto"/>
          <w:color w:val="auto"/>
        </w:rPr>
        <w:t>Section 4(b)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4(c)</w:t>
      </w:r>
      <w:r>
        <w:rPr>
          <w:rFonts w:ascii="Arial" w:cs="Arial" w:eastAsia="Arial" w:hAnsi="Arial"/>
          <w:sz w:val="14"/>
          <w:szCs w:val="14"/>
          <w:color w:val="auto"/>
        </w:rPr>
        <w:t xml:space="preserve"> hereof, being hereinafter referred to as the “</w:t>
      </w:r>
      <w:r>
        <w:rPr>
          <w:rFonts w:ascii="Arial" w:cs="Arial" w:eastAsia="Arial" w:hAnsi="Arial"/>
          <w:sz w:val="14"/>
          <w:szCs w:val="14"/>
          <w:u w:val="single" w:color="auto"/>
          <w:color w:val="auto"/>
        </w:rPr>
        <w:t>Total Payments</w:t>
      </w:r>
      <w:r>
        <w:rPr>
          <w:rFonts w:ascii="Arial" w:cs="Arial" w:eastAsia="Arial" w:hAnsi="Arial"/>
          <w:sz w:val="14"/>
          <w:szCs w:val="14"/>
          <w:color w:val="auto"/>
        </w:rPr>
        <w:t>”), would be subject (in whole or in part) to the excise tax imposed by Section 4999 of the Code (the “</w:t>
      </w:r>
      <w:r>
        <w:rPr>
          <w:rFonts w:ascii="Arial" w:cs="Arial" w:eastAsia="Arial" w:hAnsi="Arial"/>
          <w:sz w:val="14"/>
          <w:szCs w:val="14"/>
          <w:u w:val="single" w:color="auto"/>
          <w:color w:val="auto"/>
        </w:rPr>
        <w:t>Excise Tax</w:t>
      </w:r>
      <w:r>
        <w:rPr>
          <w:rFonts w:ascii="Arial" w:cs="Arial" w:eastAsia="Arial" w:hAnsi="Arial"/>
          <w:sz w:val="14"/>
          <w:szCs w:val="14"/>
          <w:color w:val="auto"/>
        </w:rPr>
        <w:t xml:space="preserve">”), then the Total Payments shall be reduced (in the order provided in </w:t>
      </w:r>
      <w:r>
        <w:rPr>
          <w:rFonts w:ascii="Arial" w:cs="Arial" w:eastAsia="Arial" w:hAnsi="Arial"/>
          <w:sz w:val="14"/>
          <w:szCs w:val="14"/>
          <w:u w:val="single" w:color="auto"/>
          <w:color w:val="auto"/>
        </w:rPr>
        <w:t>Section 8(b)</w:t>
      </w:r>
      <w:r>
        <w:rPr>
          <w:rFonts w:ascii="Arial" w:cs="Arial" w:eastAsia="Arial" w:hAnsi="Arial"/>
          <w:sz w:val="14"/>
          <w:szCs w:val="14"/>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0" w:lineRule="exact"/>
        <w:rPr>
          <w:rFonts w:ascii="Arial" w:cs="Arial" w:eastAsia="Arial" w:hAnsi="Arial"/>
          <w:sz w:val="14"/>
          <w:szCs w:val="14"/>
          <w:color w:val="auto"/>
        </w:rPr>
      </w:pPr>
    </w:p>
    <w:p>
      <w:pPr>
        <w:jc w:val="both"/>
        <w:ind w:left="7" w:right="180" w:firstLine="549"/>
        <w:spacing w:after="0" w:line="302" w:lineRule="auto"/>
        <w:tabs>
          <w:tab w:leader="none" w:pos="1125" w:val="left"/>
        </w:tabs>
        <w:numPr>
          <w:ilvl w:val="1"/>
          <w:numId w:val="461"/>
        </w:numPr>
        <w:rPr>
          <w:rFonts w:ascii="Arial" w:cs="Arial" w:eastAsia="Arial" w:hAnsi="Arial"/>
          <w:sz w:val="14"/>
          <w:szCs w:val="14"/>
          <w:color w:val="auto"/>
        </w:rPr>
      </w:pPr>
      <w:r>
        <w:rPr>
          <w:rFonts w:ascii="Arial" w:cs="Arial" w:eastAsia="Arial" w:hAnsi="Arial"/>
          <w:sz w:val="14"/>
          <w:szCs w:val="14"/>
          <w:color w:val="auto"/>
        </w:rPr>
        <w:t>The Total Payments shall be reduced in the following order: (i) reduction on a pro-rata basis of any cash severance payments that are exempt from Section 409A of the Code (“</w:t>
      </w:r>
      <w:r>
        <w:rPr>
          <w:rFonts w:ascii="Arial" w:cs="Arial" w:eastAsia="Arial" w:hAnsi="Arial"/>
          <w:sz w:val="14"/>
          <w:szCs w:val="14"/>
          <w:u w:val="single" w:color="auto"/>
          <w:color w:val="auto"/>
        </w:rPr>
        <w:t>Section 409A</w:t>
      </w:r>
      <w:r>
        <w:rPr>
          <w:rFonts w:ascii="Arial" w:cs="Arial" w:eastAsia="Arial" w:hAnsi="Arial"/>
          <w:sz w:val="14"/>
          <w:szCs w:val="14"/>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w:t>
      </w:r>
    </w:p>
    <w:p>
      <w:pPr>
        <w:sectPr>
          <w:pgSz w:w="11900" w:h="16838" w:orient="portrait"/>
          <w:cols w:equalWidth="0" w:num="1">
            <w:col w:w="11427"/>
          </w:cols>
          <w:pgMar w:left="233" w:top="314" w:right="239" w:bottom="0" w:gutter="0" w:footer="0" w:header="0"/>
        </w:sectPr>
      </w:pPr>
    </w:p>
    <w:bookmarkStart w:id="398" w:name="page399"/>
    <w:bookmarkEnd w:id="398"/>
    <w:p>
      <w:pPr>
        <w:ind w:left="7" w:right="280"/>
        <w:spacing w:after="0" w:line="289" w:lineRule="auto"/>
        <w:rPr>
          <w:sz w:val="20"/>
          <w:szCs w:val="20"/>
          <w:color w:val="auto"/>
        </w:rPr>
      </w:pPr>
      <w:r>
        <w:rPr>
          <w:rFonts w:ascii="Arial" w:cs="Arial" w:eastAsia="Arial" w:hAnsi="Arial"/>
          <w:sz w:val="15"/>
          <w:szCs w:val="15"/>
          <w:color w:val="auto"/>
        </w:rPr>
        <w:t>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41" w:lineRule="exact"/>
        <w:rPr>
          <w:sz w:val="20"/>
          <w:szCs w:val="20"/>
          <w:color w:val="auto"/>
        </w:rPr>
      </w:pPr>
    </w:p>
    <w:p>
      <w:pPr>
        <w:ind w:left="7" w:right="140" w:firstLine="549"/>
        <w:spacing w:after="0" w:line="273" w:lineRule="auto"/>
        <w:tabs>
          <w:tab w:leader="none" w:pos="1128" w:val="left"/>
        </w:tabs>
        <w:numPr>
          <w:ilvl w:val="0"/>
          <w:numId w:val="462"/>
        </w:numPr>
        <w:rPr>
          <w:rFonts w:ascii="Arial" w:cs="Arial" w:eastAsia="Arial" w:hAnsi="Arial"/>
          <w:sz w:val="15"/>
          <w:szCs w:val="15"/>
          <w:color w:val="auto"/>
        </w:rPr>
      </w:pPr>
      <w:r>
        <w:rPr>
          <w:rFonts w:ascii="Arial" w:cs="Arial" w:eastAsia="Arial" w:hAnsi="Arial"/>
          <w:sz w:val="15"/>
          <w:szCs w:val="15"/>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5"/>
          <w:szCs w:val="15"/>
          <w:u w:val="single" w:color="auto"/>
          <w:color w:val="auto"/>
        </w:rPr>
        <w:t>Independent Advisors</w:t>
      </w:r>
      <w:r>
        <w:rPr>
          <w:rFonts w:ascii="Arial" w:cs="Arial" w:eastAsia="Arial" w:hAnsi="Arial"/>
          <w:sz w:val="15"/>
          <w:szCs w:val="15"/>
          <w:color w:val="auto"/>
        </w:rPr>
        <w:t xml:space="preserve">”) to make determinations regarding the application of this </w:t>
      </w:r>
      <w:r>
        <w:rPr>
          <w:rFonts w:ascii="Arial" w:cs="Arial" w:eastAsia="Arial" w:hAnsi="Arial"/>
          <w:sz w:val="15"/>
          <w:szCs w:val="15"/>
          <w:u w:val="single" w:color="auto"/>
          <w:color w:val="auto"/>
        </w:rPr>
        <w:t>Section 8</w:t>
      </w:r>
      <w:r>
        <w:rPr>
          <w:rFonts w:ascii="Arial" w:cs="Arial" w:eastAsia="Arial" w:hAnsi="Arial"/>
          <w:sz w:val="15"/>
          <w:szCs w:val="15"/>
          <w:color w:val="auto"/>
        </w:rPr>
        <w:t>. For purposes of such determinations, no portion of the Total Payments shall be taken into account which, in the opinion of the Independent Advisors, (i) does not constitute a “parachute payment” within the</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40"/>
        <w:spacing w:after="0" w:line="302" w:lineRule="auto"/>
        <w:rPr>
          <w:sz w:val="20"/>
          <w:szCs w:val="20"/>
          <w:color w:val="auto"/>
        </w:rPr>
      </w:pPr>
      <w:r>
        <w:rPr>
          <w:rFonts w:ascii="Arial" w:cs="Arial" w:eastAsia="Arial" w:hAnsi="Arial"/>
          <w:sz w:val="14"/>
          <w:szCs w:val="14"/>
          <w:color w:val="auto"/>
        </w:rPr>
        <w:t>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33" w:lineRule="exact"/>
        <w:rPr>
          <w:sz w:val="20"/>
          <w:szCs w:val="20"/>
          <w:color w:val="auto"/>
        </w:rPr>
      </w:pPr>
    </w:p>
    <w:p>
      <w:pPr>
        <w:ind w:left="7" w:firstLine="549"/>
        <w:spacing w:after="0" w:line="284" w:lineRule="auto"/>
        <w:tabs>
          <w:tab w:leader="none" w:pos="1125" w:val="left"/>
        </w:tabs>
        <w:numPr>
          <w:ilvl w:val="1"/>
          <w:numId w:val="463"/>
        </w:numPr>
        <w:rPr>
          <w:rFonts w:ascii="Arial" w:cs="Arial" w:eastAsia="Arial" w:hAnsi="Arial"/>
          <w:sz w:val="14"/>
          <w:szCs w:val="14"/>
          <w:color w:val="auto"/>
        </w:rPr>
      </w:pPr>
      <w:r>
        <w:rPr>
          <w:rFonts w:ascii="Arial" w:cs="Arial" w:eastAsia="Arial" w:hAnsi="Arial"/>
          <w:sz w:val="14"/>
          <w:szCs w:val="14"/>
          <w:color w:val="auto"/>
        </w:rPr>
        <w:t xml:space="preserve">If Executive incurs legal fees or other expenses (including expert witness and accounting fees) in an effort to determine the applicability of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or establish entitlement to or obtain any portion of the Total Payments that have been reduced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(collectively, “</w:t>
      </w:r>
      <w:r>
        <w:rPr>
          <w:rFonts w:ascii="Arial" w:cs="Arial" w:eastAsia="Arial" w:hAnsi="Arial"/>
          <w:sz w:val="14"/>
          <w:szCs w:val="14"/>
          <w:u w:val="single" w:color="auto"/>
          <w:color w:val="auto"/>
        </w:rPr>
        <w:t>Legal and Other Expenses</w:t>
      </w:r>
      <w:r>
        <w:rPr>
          <w:rFonts w:ascii="Arial" w:cs="Arial" w:eastAsia="Arial" w:hAnsi="Arial"/>
          <w:sz w:val="14"/>
          <w:szCs w:val="14"/>
          <w:color w:val="auto"/>
        </w:rPr>
        <w:t xml:space="preserve">”), Executive shall be entitled to payment of or reimbursement for such Legal and Other Expenses in accordance with this </w:t>
      </w:r>
      <w:r>
        <w:rPr>
          <w:rFonts w:ascii="Arial" w:cs="Arial" w:eastAsia="Arial" w:hAnsi="Arial"/>
          <w:sz w:val="14"/>
          <w:szCs w:val="14"/>
          <w:u w:val="single" w:color="auto"/>
          <w:color w:val="auto"/>
        </w:rPr>
        <w:t>Section 8(d)</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Sections 9(l)(iv)</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9(m)</w:t>
      </w:r>
      <w:r>
        <w:rPr>
          <w:rFonts w:ascii="Arial" w:cs="Arial" w:eastAsia="Arial" w:hAnsi="Arial"/>
          <w:sz w:val="14"/>
          <w:szCs w:val="14"/>
          <w:color w:val="auto"/>
        </w:rPr>
        <w:t xml:space="preserve"> and the other provisions of this </w:t>
      </w:r>
      <w:r>
        <w:rPr>
          <w:rFonts w:ascii="Arial" w:cs="Arial" w:eastAsia="Arial" w:hAnsi="Arial"/>
          <w:sz w:val="14"/>
          <w:szCs w:val="14"/>
          <w:u w:val="single" w:color="auto"/>
          <w:color w:val="auto"/>
        </w:rPr>
        <w:t>Section 8</w:t>
      </w:r>
      <w:r>
        <w:rPr>
          <w:rFonts w:ascii="Arial" w:cs="Arial" w:eastAsia="Arial" w:hAnsi="Arial"/>
          <w:sz w:val="14"/>
          <w:szCs w:val="14"/>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48" w:lineRule="exact"/>
        <w:rPr>
          <w:rFonts w:ascii="Arial" w:cs="Arial" w:eastAsia="Arial" w:hAnsi="Arial"/>
          <w:sz w:val="14"/>
          <w:szCs w:val="14"/>
          <w:color w:val="auto"/>
        </w:rPr>
      </w:pPr>
    </w:p>
    <w:p>
      <w:pPr>
        <w:ind w:left="7" w:right="60" w:firstLine="549"/>
        <w:spacing w:after="0" w:line="302" w:lineRule="auto"/>
        <w:tabs>
          <w:tab w:leader="none" w:pos="1128" w:val="left"/>
        </w:tabs>
        <w:numPr>
          <w:ilvl w:val="1"/>
          <w:numId w:val="463"/>
        </w:numPr>
        <w:rPr>
          <w:rFonts w:ascii="Arial" w:cs="Arial" w:eastAsia="Arial" w:hAnsi="Arial"/>
          <w:sz w:val="14"/>
          <w:szCs w:val="14"/>
          <w:color w:val="auto"/>
        </w:rPr>
      </w:pPr>
      <w:r>
        <w:rPr>
          <w:rFonts w:ascii="Arial" w:cs="Arial" w:eastAsia="Arial" w:hAnsi="Arial"/>
          <w:sz w:val="14"/>
          <w:szCs w:val="14"/>
          <w:color w:val="auto"/>
        </w:rPr>
        <w:t xml:space="preserve">In the event it is later determined that to implement the objective and intent of this </w:t>
      </w:r>
      <w:r>
        <w:rPr>
          <w:rFonts w:ascii="Arial" w:cs="Arial" w:eastAsia="Arial" w:hAnsi="Arial"/>
          <w:sz w:val="14"/>
          <w:szCs w:val="14"/>
          <w:u w:val="single" w:color="auto"/>
          <w:color w:val="auto"/>
        </w:rPr>
        <w:t>Section 8</w:t>
      </w:r>
      <w:r>
        <w:rPr>
          <w:rFonts w:ascii="Arial" w:cs="Arial" w:eastAsia="Arial" w:hAnsi="Arial"/>
          <w:sz w:val="14"/>
          <w:szCs w:val="14"/>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27" w:lineRule="exact"/>
        <w:rPr>
          <w:rFonts w:ascii="Arial" w:cs="Arial" w:eastAsia="Arial" w:hAnsi="Arial"/>
          <w:sz w:val="14"/>
          <w:szCs w:val="14"/>
          <w:color w:val="auto"/>
        </w:rPr>
      </w:pPr>
    </w:p>
    <w:p>
      <w:pPr>
        <w:ind w:left="547" w:hanging="547"/>
        <w:spacing w:after="0"/>
        <w:tabs>
          <w:tab w:leader="none" w:pos="547" w:val="left"/>
        </w:tabs>
        <w:numPr>
          <w:ilvl w:val="0"/>
          <w:numId w:val="46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 Provisions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0" w:firstLine="549"/>
        <w:spacing w:after="0" w:line="302" w:lineRule="auto"/>
        <w:tabs>
          <w:tab w:leader="none" w:pos="1117" w:val="left"/>
        </w:tabs>
        <w:numPr>
          <w:ilvl w:val="1"/>
          <w:numId w:val="464"/>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33" w:lineRule="exact"/>
        <w:rPr>
          <w:rFonts w:ascii="Arial" w:cs="Arial" w:eastAsia="Arial" w:hAnsi="Arial"/>
          <w:sz w:val="14"/>
          <w:szCs w:val="14"/>
          <w:color w:val="auto"/>
        </w:rPr>
      </w:pPr>
    </w:p>
    <w:p>
      <w:pPr>
        <w:ind w:left="7" w:right="240" w:firstLine="549"/>
        <w:spacing w:after="0" w:line="289" w:lineRule="auto"/>
        <w:tabs>
          <w:tab w:leader="none" w:pos="1125" w:val="left"/>
        </w:tabs>
        <w:numPr>
          <w:ilvl w:val="1"/>
          <w:numId w:val="464"/>
        </w:numPr>
        <w:rPr>
          <w:rFonts w:ascii="Arial" w:cs="Arial" w:eastAsia="Arial" w:hAnsi="Arial"/>
          <w:sz w:val="15"/>
          <w:szCs w:val="15"/>
          <w:color w:val="auto"/>
        </w:rPr>
      </w:pPr>
      <w:r>
        <w:rPr>
          <w:rFonts w:ascii="Arial" w:cs="Arial" w:eastAsia="Arial" w:hAnsi="Arial"/>
          <w:sz w:val="15"/>
          <w:szCs w:val="15"/>
          <w:u w:val="single" w:color="auto"/>
          <w:color w:val="auto"/>
        </w:rPr>
        <w:t>Validity</w:t>
      </w:r>
      <w:r>
        <w:rPr>
          <w:rFonts w:ascii="Arial" w:cs="Arial" w:eastAsia="Arial" w:hAnsi="Arial"/>
          <w:sz w:val="15"/>
          <w:szCs w:val="15"/>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40" w:lineRule="exact"/>
        <w:rPr>
          <w:rFonts w:ascii="Arial" w:cs="Arial" w:eastAsia="Arial" w:hAnsi="Arial"/>
          <w:sz w:val="15"/>
          <w:szCs w:val="15"/>
          <w:color w:val="auto"/>
        </w:rPr>
      </w:pPr>
    </w:p>
    <w:p>
      <w:pPr>
        <w:ind w:left="7" w:right="280" w:firstLine="549"/>
        <w:spacing w:after="0" w:line="289" w:lineRule="auto"/>
        <w:tabs>
          <w:tab w:leader="none" w:pos="1128" w:val="left"/>
        </w:tabs>
        <w:numPr>
          <w:ilvl w:val="1"/>
          <w:numId w:val="464"/>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40" w:lineRule="exact"/>
        <w:rPr>
          <w:rFonts w:ascii="Arial" w:cs="Arial" w:eastAsia="Arial" w:hAnsi="Arial"/>
          <w:sz w:val="15"/>
          <w:szCs w:val="15"/>
          <w:color w:val="auto"/>
        </w:rPr>
      </w:pPr>
    </w:p>
    <w:p>
      <w:pPr>
        <w:ind w:left="1687" w:hanging="576"/>
        <w:spacing w:after="0"/>
        <w:tabs>
          <w:tab w:leader="none" w:pos="1687" w:val="left"/>
        </w:tabs>
        <w:numPr>
          <w:ilvl w:val="2"/>
          <w:numId w:val="464"/>
        </w:numPr>
        <w:rPr>
          <w:rFonts w:ascii="Arial" w:cs="Arial" w:eastAsia="Arial" w:hAnsi="Arial"/>
          <w:sz w:val="15"/>
          <w:szCs w:val="15"/>
          <w:color w:val="auto"/>
        </w:rPr>
      </w:pPr>
      <w:r>
        <w:rPr>
          <w:rFonts w:ascii="Arial" w:cs="Arial" w:eastAsia="Arial" w:hAnsi="Arial"/>
          <w:sz w:val="15"/>
          <w:szCs w:val="15"/>
          <w:color w:val="auto"/>
        </w:rPr>
        <w:t>If to the Company, to the General Counsel of the Company at the Company’s headquarters,</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64"/>
        </w:numPr>
        <w:rPr>
          <w:rFonts w:ascii="Arial" w:cs="Arial" w:eastAsia="Arial" w:hAnsi="Arial"/>
          <w:sz w:val="15"/>
          <w:szCs w:val="15"/>
          <w:color w:val="auto"/>
        </w:rPr>
      </w:pPr>
      <w:r>
        <w:rPr>
          <w:rFonts w:ascii="Arial" w:cs="Arial" w:eastAsia="Arial" w:hAnsi="Arial"/>
          <w:sz w:val="15"/>
          <w:szCs w:val="15"/>
          <w:color w:val="auto"/>
        </w:rPr>
        <w:t>If to Executive, to the last address that the Company has in its personnel records for Executive, or</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07" w:hanging="596"/>
        <w:spacing w:after="0"/>
        <w:tabs>
          <w:tab w:leader="none" w:pos="1707" w:val="left"/>
        </w:tabs>
        <w:numPr>
          <w:ilvl w:val="2"/>
          <w:numId w:val="465"/>
        </w:numPr>
        <w:rPr>
          <w:rFonts w:ascii="Arial" w:cs="Arial" w:eastAsia="Arial" w:hAnsi="Arial"/>
          <w:sz w:val="15"/>
          <w:szCs w:val="15"/>
          <w:color w:val="auto"/>
        </w:rPr>
      </w:pPr>
      <w:r>
        <w:rPr>
          <w:rFonts w:ascii="Arial" w:cs="Arial" w:eastAsia="Arial" w:hAnsi="Arial"/>
          <w:sz w:val="15"/>
          <w:szCs w:val="15"/>
          <w:color w:val="auto"/>
        </w:rPr>
        <w:t>at any other address as any Party shall have specified by notice in writing to the other Party.</w:t>
      </w:r>
    </w:p>
    <w:p>
      <w:pPr>
        <w:spacing w:after="0" w:line="198" w:lineRule="exact"/>
        <w:rPr>
          <w:rFonts w:ascii="Arial" w:cs="Arial" w:eastAsia="Arial" w:hAnsi="Arial"/>
          <w:sz w:val="15"/>
          <w:szCs w:val="15"/>
          <w:color w:val="auto"/>
        </w:rPr>
      </w:pPr>
    </w:p>
    <w:p>
      <w:pPr>
        <w:ind w:left="7" w:right="100" w:firstLine="549"/>
        <w:spacing w:after="0" w:line="289" w:lineRule="auto"/>
        <w:tabs>
          <w:tab w:leader="none" w:pos="1125" w:val="left"/>
        </w:tabs>
        <w:numPr>
          <w:ilvl w:val="1"/>
          <w:numId w:val="466"/>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40" w:lineRule="exact"/>
        <w:rPr>
          <w:rFonts w:ascii="Arial" w:cs="Arial" w:eastAsia="Arial" w:hAnsi="Arial"/>
          <w:sz w:val="15"/>
          <w:szCs w:val="15"/>
          <w:color w:val="auto"/>
        </w:rPr>
      </w:pPr>
    </w:p>
    <w:p>
      <w:pPr>
        <w:ind w:left="7" w:right="20" w:firstLine="549"/>
        <w:spacing w:after="0" w:line="289" w:lineRule="auto"/>
        <w:tabs>
          <w:tab w:leader="none" w:pos="1128" w:val="left"/>
        </w:tabs>
        <w:numPr>
          <w:ilvl w:val="1"/>
          <w:numId w:val="466"/>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xml:space="preserve">. The terms of this Agreement, the Restrictive Covenant Agreement incorporated herein by reference as set forth in </w:t>
      </w:r>
      <w:r>
        <w:rPr>
          <w:rFonts w:ascii="Arial" w:cs="Arial" w:eastAsia="Arial" w:hAnsi="Arial"/>
          <w:sz w:val="14"/>
          <w:szCs w:val="14"/>
          <w:u w:val="single" w:color="auto"/>
          <w:color w:val="auto"/>
        </w:rPr>
        <w:t>Section 5</w:t>
      </w:r>
      <w:r>
        <w:rPr>
          <w:rFonts w:ascii="Arial" w:cs="Arial" w:eastAsia="Arial" w:hAnsi="Arial"/>
          <w:sz w:val="14"/>
          <w:szCs w:val="14"/>
          <w:color w:val="auto"/>
        </w:rPr>
        <w:t>, the Indemnification Agreement (defined below) and any stock option agreement between the Company and Executive entered into prior to the date hereof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42" w:lineRule="exact"/>
        <w:rPr>
          <w:rFonts w:ascii="Arial" w:cs="Arial" w:eastAsia="Arial" w:hAnsi="Arial"/>
          <w:sz w:val="14"/>
          <w:szCs w:val="14"/>
          <w:color w:val="auto"/>
        </w:rPr>
      </w:pPr>
    </w:p>
    <w:p>
      <w:pPr>
        <w:ind w:left="1107" w:hanging="551"/>
        <w:spacing w:after="0"/>
        <w:tabs>
          <w:tab w:leader="none" w:pos="1107" w:val="left"/>
        </w:tabs>
        <w:numPr>
          <w:ilvl w:val="1"/>
          <w:numId w:val="466"/>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xml:space="preserve">. The Parties acknowledge that they have or will enter into an Indemnification Agreement in substantially the form attached as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hereto.</w:t>
      </w:r>
    </w:p>
    <w:p>
      <w:pPr>
        <w:spacing w:after="0" w:line="209" w:lineRule="exact"/>
        <w:rPr>
          <w:rFonts w:ascii="Arial" w:cs="Arial" w:eastAsia="Arial" w:hAnsi="Arial"/>
          <w:sz w:val="14"/>
          <w:szCs w:val="14"/>
          <w:color w:val="auto"/>
        </w:rPr>
      </w:pPr>
    </w:p>
    <w:p>
      <w:pPr>
        <w:ind w:left="7" w:right="20" w:firstLine="549"/>
        <w:spacing w:after="0" w:line="265" w:lineRule="auto"/>
        <w:tabs>
          <w:tab w:leader="none" w:pos="1137" w:val="left"/>
        </w:tabs>
        <w:numPr>
          <w:ilvl w:val="1"/>
          <w:numId w:val="466"/>
        </w:numPr>
        <w:rPr>
          <w:rFonts w:ascii="Arial" w:cs="Arial" w:eastAsia="Arial" w:hAnsi="Arial"/>
          <w:sz w:val="15"/>
          <w:szCs w:val="15"/>
          <w:color w:val="auto"/>
        </w:rPr>
      </w:pPr>
      <w:r>
        <w:rPr>
          <w:rFonts w:ascii="Arial" w:cs="Arial" w:eastAsia="Arial" w:hAnsi="Arial"/>
          <w:sz w:val="15"/>
          <w:szCs w:val="15"/>
          <w:u w:val="single" w:color="auto"/>
          <w:color w:val="auto"/>
        </w:rPr>
        <w:t>Amendments; Waivers</w:t>
      </w:r>
      <w:r>
        <w:rPr>
          <w:rFonts w:ascii="Arial" w:cs="Arial" w:eastAsia="Arial" w:hAnsi="Arial"/>
          <w:sz w:val="15"/>
          <w:szCs w:val="15"/>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59" w:lineRule="exact"/>
        <w:rPr>
          <w:rFonts w:ascii="Arial" w:cs="Arial" w:eastAsia="Arial" w:hAnsi="Arial"/>
          <w:sz w:val="15"/>
          <w:szCs w:val="15"/>
          <w:color w:val="auto"/>
        </w:rPr>
      </w:pPr>
    </w:p>
    <w:p>
      <w:pPr>
        <w:ind w:left="7" w:right="400" w:firstLine="549"/>
        <w:spacing w:after="0" w:line="273" w:lineRule="auto"/>
        <w:tabs>
          <w:tab w:leader="none" w:pos="1125" w:val="left"/>
        </w:tabs>
        <w:numPr>
          <w:ilvl w:val="1"/>
          <w:numId w:val="466"/>
        </w:numPr>
        <w:rPr>
          <w:rFonts w:ascii="Arial" w:cs="Arial" w:eastAsia="Arial" w:hAnsi="Arial"/>
          <w:sz w:val="15"/>
          <w:szCs w:val="15"/>
          <w:color w:val="auto"/>
        </w:rPr>
      </w:pPr>
      <w:r>
        <w:rPr>
          <w:rFonts w:ascii="Arial" w:cs="Arial" w:eastAsia="Arial" w:hAnsi="Arial"/>
          <w:sz w:val="15"/>
          <w:szCs w:val="15"/>
          <w:u w:val="single" w:color="auto"/>
          <w:color w:val="auto"/>
        </w:rPr>
        <w:t>No Inconsistent Actions</w:t>
      </w:r>
      <w:r>
        <w:rPr>
          <w:rFonts w:ascii="Arial" w:cs="Arial" w:eastAsia="Arial" w:hAnsi="Arial"/>
          <w:sz w:val="15"/>
          <w:szCs w:val="15"/>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52" w:lineRule="exact"/>
        <w:rPr>
          <w:rFonts w:ascii="Arial" w:cs="Arial" w:eastAsia="Arial" w:hAnsi="Arial"/>
          <w:sz w:val="15"/>
          <w:szCs w:val="15"/>
          <w:color w:val="auto"/>
        </w:rPr>
      </w:pPr>
    </w:p>
    <w:p>
      <w:pPr>
        <w:ind w:left="7" w:right="60" w:firstLine="549"/>
        <w:spacing w:after="0" w:line="279" w:lineRule="auto"/>
        <w:tabs>
          <w:tab w:leader="none" w:pos="1138" w:val="left"/>
        </w:tabs>
        <w:numPr>
          <w:ilvl w:val="1"/>
          <w:numId w:val="466"/>
        </w:numPr>
        <w:rPr>
          <w:rFonts w:ascii="Arial" w:cs="Arial" w:eastAsia="Arial" w:hAnsi="Arial"/>
          <w:sz w:val="14"/>
          <w:szCs w:val="14"/>
          <w:color w:val="auto"/>
        </w:rPr>
      </w:pPr>
      <w:r>
        <w:rPr>
          <w:rFonts w:ascii="Arial" w:cs="Arial" w:eastAsia="Arial" w:hAnsi="Arial"/>
          <w:sz w:val="14"/>
          <w:szCs w:val="14"/>
          <w:u w:val="single" w:color="auto"/>
          <w:color w:val="auto"/>
        </w:rPr>
        <w:t>Construction</w:t>
      </w:r>
      <w:r>
        <w:rPr>
          <w:rFonts w:ascii="Arial" w:cs="Arial" w:eastAsia="Arial" w:hAnsi="Arial"/>
          <w:sz w:val="14"/>
          <w:szCs w:val="14"/>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w:t>
      </w:r>
    </w:p>
    <w:p>
      <w:pPr>
        <w:spacing w:after="0" w:line="1" w:lineRule="exact"/>
        <w:rPr>
          <w:rFonts w:ascii="Arial" w:cs="Arial" w:eastAsia="Arial" w:hAnsi="Arial"/>
          <w:sz w:val="14"/>
          <w:szCs w:val="14"/>
          <w:color w:val="auto"/>
        </w:rPr>
      </w:pPr>
    </w:p>
    <w:p>
      <w:pPr>
        <w:ind w:left="7" w:right="500" w:hanging="7"/>
        <w:spacing w:after="0" w:line="266" w:lineRule="auto"/>
        <w:tabs>
          <w:tab w:leader="none" w:pos="226" w:val="left"/>
        </w:tabs>
        <w:numPr>
          <w:ilvl w:val="0"/>
          <w:numId w:val="467"/>
        </w:numPr>
        <w:rPr>
          <w:rFonts w:ascii="Arial" w:cs="Arial" w:eastAsia="Arial" w:hAnsi="Arial"/>
          <w:sz w:val="15"/>
          <w:szCs w:val="15"/>
          <w:color w:val="auto"/>
        </w:rPr>
      </w:pPr>
      <w:r>
        <w:rPr>
          <w:rFonts w:ascii="Arial" w:cs="Arial" w:eastAsia="Arial" w:hAnsi="Arial"/>
          <w:sz w:val="15"/>
          <w:szCs w:val="15"/>
          <w:color w:val="auto"/>
        </w:rPr>
        <w:t>“herein,”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57" w:lineRule="exact"/>
        <w:rPr>
          <w:rFonts w:ascii="Arial" w:cs="Arial" w:eastAsia="Arial" w:hAnsi="Arial"/>
          <w:sz w:val="15"/>
          <w:szCs w:val="15"/>
          <w:color w:val="auto"/>
        </w:rPr>
      </w:pPr>
    </w:p>
    <w:p>
      <w:pPr>
        <w:ind w:left="7" w:right="100" w:firstLine="549"/>
        <w:spacing w:after="0" w:line="289" w:lineRule="auto"/>
        <w:tabs>
          <w:tab w:leader="none" w:pos="1126" w:val="left"/>
        </w:tabs>
        <w:numPr>
          <w:ilvl w:val="1"/>
          <w:numId w:val="467"/>
        </w:numPr>
        <w:rPr>
          <w:rFonts w:ascii="Arial" w:cs="Arial" w:eastAsia="Arial" w:hAnsi="Arial"/>
          <w:sz w:val="15"/>
          <w:szCs w:val="15"/>
          <w:color w:val="auto"/>
        </w:rPr>
      </w:pPr>
      <w:r>
        <w:rPr>
          <w:rFonts w:ascii="Arial" w:cs="Arial" w:eastAsia="Arial" w:hAnsi="Arial"/>
          <w:sz w:val="15"/>
          <w:szCs w:val="15"/>
          <w:u w:val="single" w:color="auto"/>
          <w:color w:val="auto"/>
        </w:rPr>
        <w:t>Enforcement</w:t>
      </w:r>
      <w:r>
        <w:rPr>
          <w:rFonts w:ascii="Arial" w:cs="Arial" w:eastAsia="Arial" w:hAnsi="Arial"/>
          <w:sz w:val="15"/>
          <w:szCs w:val="15"/>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7"/>
        <w:spacing w:after="0" w:line="302" w:lineRule="auto"/>
        <w:rPr>
          <w:sz w:val="20"/>
          <w:szCs w:val="20"/>
          <w:color w:val="auto"/>
        </w:rPr>
      </w:pPr>
      <w:r>
        <w:rPr>
          <w:rFonts w:ascii="Arial" w:cs="Arial" w:eastAsia="Arial" w:hAnsi="Arial"/>
          <w:sz w:val="14"/>
          <w:szCs w:val="14"/>
          <w:color w:val="auto"/>
        </w:rPr>
        <w:t>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ectPr>
          <w:pgSz w:w="11900" w:h="16839" w:orient="portrait"/>
          <w:cols w:equalWidth="0" w:num="1">
            <w:col w:w="11427"/>
          </w:cols>
          <w:pgMar w:left="233" w:top="129" w:right="239" w:bottom="0" w:gutter="0" w:footer="0" w:header="0"/>
        </w:sectPr>
      </w:pPr>
    </w:p>
    <w:bookmarkStart w:id="399" w:name="page400"/>
    <w:bookmarkEnd w:id="399"/>
    <w:p>
      <w:pPr>
        <w:spacing w:after="0" w:line="38" w:lineRule="exact"/>
        <w:rPr>
          <w:sz w:val="20"/>
          <w:szCs w:val="20"/>
          <w:color w:val="auto"/>
        </w:rPr>
      </w:pPr>
    </w:p>
    <w:p>
      <w:pPr>
        <w:ind w:left="7" w:right="300" w:firstLine="549"/>
        <w:spacing w:after="0" w:line="273" w:lineRule="auto"/>
        <w:tabs>
          <w:tab w:leader="none" w:pos="1125" w:val="left"/>
        </w:tabs>
        <w:numPr>
          <w:ilvl w:val="0"/>
          <w:numId w:val="468"/>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52" w:lineRule="exact"/>
        <w:rPr>
          <w:rFonts w:ascii="Arial" w:cs="Arial" w:eastAsia="Arial" w:hAnsi="Arial"/>
          <w:sz w:val="15"/>
          <w:szCs w:val="15"/>
          <w:color w:val="auto"/>
        </w:rPr>
      </w:pPr>
    </w:p>
    <w:p>
      <w:pPr>
        <w:ind w:left="1127" w:hanging="571"/>
        <w:spacing w:after="0"/>
        <w:tabs>
          <w:tab w:leader="none" w:pos="1127" w:val="left"/>
        </w:tabs>
        <w:numPr>
          <w:ilvl w:val="0"/>
          <w:numId w:val="468"/>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47" w:right="60" w:firstLine="564"/>
        <w:spacing w:after="0" w:line="289" w:lineRule="auto"/>
        <w:tabs>
          <w:tab w:leader="none" w:pos="1677" w:val="left"/>
        </w:tabs>
        <w:numPr>
          <w:ilvl w:val="1"/>
          <w:numId w:val="468"/>
        </w:numPr>
        <w:rPr>
          <w:rFonts w:ascii="Arial" w:cs="Arial" w:eastAsia="Arial" w:hAnsi="Arial"/>
          <w:sz w:val="15"/>
          <w:szCs w:val="15"/>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 intent of the Parties is that the payments and benefits under this Agreement comply with or be exempt from Section 409A and, accordingly, to</w:t>
      </w:r>
      <w:r>
        <w:rPr>
          <w:rFonts w:ascii="Arial" w:cs="Arial" w:eastAsia="Arial" w:hAnsi="Arial"/>
          <w:sz w:val="15"/>
          <w:szCs w:val="15"/>
          <w:i w:val="1"/>
          <w:iCs w:val="1"/>
          <w:color w:val="auto"/>
        </w:rPr>
        <w:t xml:space="preserve"> </w:t>
      </w:r>
      <w:r>
        <w:rPr>
          <w:rFonts w:ascii="Arial" w:cs="Arial" w:eastAsia="Arial" w:hAnsi="Arial"/>
          <w:sz w:val="15"/>
          <w:szCs w:val="15"/>
          <w:color w:val="auto"/>
        </w:rPr>
        <w:t>the maximum extent permitted, this Agreement shall be interpreted to be in compliance therewith.</w:t>
      </w:r>
    </w:p>
    <w:p>
      <w:pPr>
        <w:spacing w:after="0" w:line="140" w:lineRule="exact"/>
        <w:rPr>
          <w:rFonts w:ascii="Arial" w:cs="Arial" w:eastAsia="Arial" w:hAnsi="Arial"/>
          <w:sz w:val="15"/>
          <w:szCs w:val="15"/>
          <w:color w:val="auto"/>
        </w:rPr>
      </w:pPr>
    </w:p>
    <w:p>
      <w:pPr>
        <w:ind w:left="547" w:right="60" w:firstLine="564"/>
        <w:spacing w:after="0" w:line="263" w:lineRule="auto"/>
        <w:tabs>
          <w:tab w:leader="none" w:pos="1686" w:val="left"/>
        </w:tabs>
        <w:numPr>
          <w:ilvl w:val="1"/>
          <w:numId w:val="468"/>
        </w:numPr>
        <w:rPr>
          <w:rFonts w:ascii="Arial" w:cs="Arial" w:eastAsia="Arial" w:hAnsi="Arial"/>
          <w:sz w:val="15"/>
          <w:szCs w:val="15"/>
          <w:color w:val="auto"/>
        </w:rPr>
      </w:pPr>
      <w:r>
        <w:rPr>
          <w:rFonts w:ascii="Arial" w:cs="Arial" w:eastAsia="Arial" w:hAnsi="Arial"/>
          <w:sz w:val="15"/>
          <w:szCs w:val="15"/>
          <w:i w:val="1"/>
          <w:iCs w:val="1"/>
          <w:color w:val="auto"/>
        </w:rPr>
        <w:t xml:space="preserve">Separation from Service. </w:t>
      </w:r>
      <w:r>
        <w:rPr>
          <w:rFonts w:ascii="Arial" w:cs="Arial" w:eastAsia="Arial" w:hAnsi="Arial"/>
          <w:sz w:val="15"/>
          <w:szCs w:val="15"/>
          <w:color w:val="auto"/>
        </w:rPr>
        <w:t>Notwithstanding anything in this Agreement to the contrary, any compensation or benefits payable under this Agreement that is</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xml:space="preserve">”) and, except as provided below, any such compensation or benefits described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not be paid, or, in the case of installments, shall not commence payment, until the sixtieth (60th) day following Executive’s Separation from Service (the “</w:t>
      </w:r>
      <w:r>
        <w:rPr>
          <w:rFonts w:ascii="Arial" w:cs="Arial" w:eastAsia="Arial" w:hAnsi="Arial"/>
          <w:sz w:val="15"/>
          <w:szCs w:val="15"/>
          <w:u w:val="single" w:color="auto"/>
          <w:color w:val="auto"/>
        </w:rPr>
        <w:t>First Payment Date</w:t>
      </w:r>
      <w:r>
        <w:rPr>
          <w:rFonts w:ascii="Arial" w:cs="Arial" w:eastAsia="Arial" w:hAnsi="Arial"/>
          <w:sz w:val="15"/>
          <w:szCs w:val="15"/>
          <w:color w:val="auto"/>
        </w:rPr>
        <w:t>”). Any installment payments that would have been made to Executive during the sixty (60) day period immediately following Executive’s Separation from Service but for the preceding sentence shall be paid to Executive on the First Payment Date and the remaining payments shall be made as provided in this Agreement.</w:t>
      </w:r>
    </w:p>
    <w:p>
      <w:pPr>
        <w:spacing w:after="0" w:line="159" w:lineRule="exact"/>
        <w:rPr>
          <w:rFonts w:ascii="Arial" w:cs="Arial" w:eastAsia="Arial" w:hAnsi="Arial"/>
          <w:sz w:val="15"/>
          <w:szCs w:val="15"/>
          <w:color w:val="auto"/>
        </w:rPr>
      </w:pPr>
    </w:p>
    <w:p>
      <w:pPr>
        <w:ind w:left="547" w:right="20" w:firstLine="564"/>
        <w:spacing w:after="0" w:line="286" w:lineRule="auto"/>
        <w:tabs>
          <w:tab w:leader="none" w:pos="1694" w:val="left"/>
        </w:tabs>
        <w:numPr>
          <w:ilvl w:val="1"/>
          <w:numId w:val="468"/>
        </w:numPr>
        <w:rPr>
          <w:rFonts w:ascii="Arial" w:cs="Arial" w:eastAsia="Arial" w:hAnsi="Arial"/>
          <w:sz w:val="14"/>
          <w:szCs w:val="14"/>
          <w:color w:val="auto"/>
        </w:rPr>
      </w:pPr>
      <w:r>
        <w:rPr>
          <w:rFonts w:ascii="Arial" w:cs="Arial" w:eastAsia="Arial" w:hAnsi="Arial"/>
          <w:sz w:val="14"/>
          <w:szCs w:val="14"/>
          <w:i w:val="1"/>
          <w:iCs w:val="1"/>
          <w:color w:val="auto"/>
        </w:rPr>
        <w:t xml:space="preserve">Specified Employee. </w:t>
      </w:r>
      <w:r>
        <w:rPr>
          <w:rFonts w:ascii="Arial" w:cs="Arial" w:eastAsia="Arial" w:hAnsi="Arial"/>
          <w:sz w:val="14"/>
          <w:szCs w:val="14"/>
          <w:color w:val="auto"/>
        </w:rPr>
        <w:t>Notwithstanding anything in this Agreement to the contrary, if Executive is deemed by the Company at the time of Executive’s</w:t>
      </w:r>
      <w:r>
        <w:rPr>
          <w:rFonts w:ascii="Arial" w:cs="Arial" w:eastAsia="Arial" w:hAnsi="Arial"/>
          <w:sz w:val="14"/>
          <w:szCs w:val="14"/>
          <w:i w:val="1"/>
          <w:iCs w:val="1"/>
          <w:color w:val="auto"/>
        </w:rPr>
        <w:t xml:space="preserve"> </w:t>
      </w:r>
      <w:r>
        <w:rPr>
          <w:rFonts w:ascii="Arial" w:cs="Arial" w:eastAsia="Arial" w:hAnsi="Arial"/>
          <w:sz w:val="14"/>
          <w:szCs w:val="14"/>
          <w:color w:val="auto"/>
        </w:rPr>
        <w:t>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46" w:lineRule="exact"/>
        <w:rPr>
          <w:rFonts w:ascii="Arial" w:cs="Arial" w:eastAsia="Arial" w:hAnsi="Arial"/>
          <w:sz w:val="14"/>
          <w:szCs w:val="14"/>
          <w:color w:val="auto"/>
        </w:rPr>
      </w:pPr>
    </w:p>
    <w:p>
      <w:pPr>
        <w:ind w:left="547" w:right="40" w:firstLine="564"/>
        <w:spacing w:after="0" w:line="268" w:lineRule="auto"/>
        <w:tabs>
          <w:tab w:leader="none" w:pos="1674" w:val="left"/>
        </w:tabs>
        <w:numPr>
          <w:ilvl w:val="1"/>
          <w:numId w:val="468"/>
        </w:numPr>
        <w:rPr>
          <w:rFonts w:ascii="Arial" w:cs="Arial" w:eastAsia="Arial" w:hAnsi="Arial"/>
          <w:sz w:val="15"/>
          <w:szCs w:val="15"/>
          <w:color w:val="auto"/>
        </w:rPr>
      </w:pPr>
      <w:r>
        <w:rPr>
          <w:rFonts w:ascii="Arial" w:cs="Arial" w:eastAsia="Arial" w:hAnsi="Arial"/>
          <w:sz w:val="15"/>
          <w:szCs w:val="15"/>
          <w:i w:val="1"/>
          <w:iCs w:val="1"/>
          <w:color w:val="auto"/>
        </w:rPr>
        <w:t xml:space="preserve">Expense Reimbursements. </w:t>
      </w:r>
      <w:r>
        <w:rPr>
          <w:rFonts w:ascii="Arial" w:cs="Arial" w:eastAsia="Arial" w:hAnsi="Arial"/>
          <w:sz w:val="15"/>
          <w:szCs w:val="15"/>
          <w:color w:val="auto"/>
        </w:rPr>
        <w:t>To the extent that any reimbursements under this Agreement are subject to Section 409A, any such reimbursements payable to</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shall be paid to Executive no later than December 31 of the year following the year in which the expense was incurred; provided, that Executive submits Executive’s reimbursement request promptly following the date the expense is incurred, the amount of expenses reimbursed in one year shall not affect the amount eligible for reimbursement in any subsequent year, other than medical</w:t>
      </w:r>
    </w:p>
    <w:p>
      <w:pPr>
        <w:spacing w:after="0" w:line="156"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right="320"/>
        <w:spacing w:after="0" w:line="289" w:lineRule="auto"/>
        <w:rPr>
          <w:sz w:val="20"/>
          <w:szCs w:val="20"/>
          <w:color w:val="auto"/>
        </w:rPr>
      </w:pPr>
      <w:r>
        <w:rPr>
          <w:rFonts w:ascii="Arial" w:cs="Arial" w:eastAsia="Arial" w:hAnsi="Arial"/>
          <w:sz w:val="15"/>
          <w:szCs w:val="15"/>
          <w:color w:val="auto"/>
        </w:rPr>
        <w:t>expenses referred to in Section 105(b) of the Code, and Executive’s right to reimbursement under this Agreement will not be subject to liquidation or exchange for another benefit.</w:t>
      </w:r>
    </w:p>
    <w:p>
      <w:pPr>
        <w:spacing w:after="0" w:line="141" w:lineRule="exact"/>
        <w:rPr>
          <w:sz w:val="20"/>
          <w:szCs w:val="20"/>
          <w:color w:val="auto"/>
        </w:rPr>
      </w:pPr>
    </w:p>
    <w:p>
      <w:pPr>
        <w:ind w:left="547" w:firstLine="564"/>
        <w:spacing w:after="0" w:line="268" w:lineRule="auto"/>
        <w:tabs>
          <w:tab w:leader="none" w:pos="1665" w:val="left"/>
        </w:tabs>
        <w:numPr>
          <w:ilvl w:val="2"/>
          <w:numId w:val="469"/>
        </w:numPr>
        <w:rPr>
          <w:rFonts w:ascii="Arial" w:cs="Arial" w:eastAsia="Arial" w:hAnsi="Arial"/>
          <w:sz w:val="15"/>
          <w:szCs w:val="15"/>
          <w:color w:val="auto"/>
        </w:rPr>
      </w:pPr>
      <w:r>
        <w:rPr>
          <w:rFonts w:ascii="Arial" w:cs="Arial" w:eastAsia="Arial" w:hAnsi="Arial"/>
          <w:sz w:val="15"/>
          <w:szCs w:val="15"/>
          <w:i w:val="1"/>
          <w:iCs w:val="1"/>
          <w:color w:val="auto"/>
        </w:rPr>
        <w:t xml:space="preserve">Installments. </w:t>
      </w:r>
      <w:r>
        <w:rPr>
          <w:rFonts w:ascii="Arial" w:cs="Arial" w:eastAsia="Arial" w:hAnsi="Arial"/>
          <w:sz w:val="15"/>
          <w:szCs w:val="15"/>
          <w:color w:val="auto"/>
        </w:rPr>
        <w:t>Executive’s right to receive any installment payments under this Agreement, including without limitation any continuation salary payments that</w:t>
      </w:r>
      <w:r>
        <w:rPr>
          <w:rFonts w:ascii="Arial" w:cs="Arial" w:eastAsia="Arial" w:hAnsi="Arial"/>
          <w:sz w:val="15"/>
          <w:szCs w:val="15"/>
          <w:i w:val="1"/>
          <w:iCs w:val="1"/>
          <w:color w:val="auto"/>
        </w:rPr>
        <w:t xml:space="preserve"> </w:t>
      </w:r>
      <w:r>
        <w:rPr>
          <w:rFonts w:ascii="Arial" w:cs="Arial" w:eastAsia="Arial" w:hAnsi="Arial"/>
          <w:sz w:val="15"/>
          <w:szCs w:val="15"/>
          <w:color w:val="auto"/>
        </w:rPr>
        <w:t>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56" w:lineRule="exact"/>
        <w:rPr>
          <w:rFonts w:ascii="Arial" w:cs="Arial" w:eastAsia="Arial" w:hAnsi="Arial"/>
          <w:sz w:val="15"/>
          <w:szCs w:val="15"/>
          <w:color w:val="auto"/>
        </w:rPr>
      </w:pPr>
    </w:p>
    <w:p>
      <w:pPr>
        <w:ind w:left="7" w:right="40" w:firstLine="549"/>
        <w:spacing w:after="0" w:line="289" w:lineRule="auto"/>
        <w:tabs>
          <w:tab w:leader="none" w:pos="1122" w:val="left"/>
        </w:tabs>
        <w:numPr>
          <w:ilvl w:val="1"/>
          <w:numId w:val="470"/>
        </w:numPr>
        <w:rPr>
          <w:rFonts w:ascii="Arial" w:cs="Arial" w:eastAsia="Arial" w:hAnsi="Arial"/>
          <w:sz w:val="15"/>
          <w:szCs w:val="15"/>
          <w:color w:val="auto"/>
        </w:rPr>
      </w:pPr>
      <w:r>
        <w:rPr>
          <w:rFonts w:ascii="Arial" w:cs="Arial" w:eastAsia="Arial" w:hAnsi="Arial"/>
          <w:sz w:val="15"/>
          <w:szCs w:val="15"/>
          <w:u w:val="single" w:color="auto"/>
          <w:color w:val="auto"/>
        </w:rPr>
        <w:t>Attorneys’ Fees</w:t>
      </w:r>
      <w:r>
        <w:rPr>
          <w:rFonts w:ascii="Arial" w:cs="Arial" w:eastAsia="Arial" w:hAnsi="Arial"/>
          <w:sz w:val="15"/>
          <w:szCs w:val="15"/>
          <w:color w:val="auto"/>
        </w:rPr>
        <w:t>. In the event that either Party prevails in a dispute with the other Party concerning the rights and obligations hereunder, the non-prevailing Party shall pay the prevailing Party’s reasonable attorneys’ fees and costs.</w:t>
      </w:r>
    </w:p>
    <w:p>
      <w:pPr>
        <w:spacing w:after="0" w:line="134" w:lineRule="exact"/>
        <w:rPr>
          <w:rFonts w:ascii="Arial" w:cs="Arial" w:eastAsia="Arial" w:hAnsi="Arial"/>
          <w:sz w:val="15"/>
          <w:szCs w:val="15"/>
          <w:color w:val="auto"/>
        </w:rPr>
      </w:pPr>
    </w:p>
    <w:p>
      <w:pPr>
        <w:ind w:left="547" w:hanging="547"/>
        <w:spacing w:after="0"/>
        <w:tabs>
          <w:tab w:leader="none" w:pos="547" w:val="left"/>
        </w:tabs>
        <w:numPr>
          <w:ilvl w:val="0"/>
          <w:numId w:val="4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Executive Acknowledgement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Executive acknowledges that Executive has read and understands this Agreement, is fully aware of its legal effect, has not acted in reliance upon any representations or</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color w:val="auto"/>
        </w:rPr>
        <w:t>promises made by the Company other than those contained in writing herein, and has entered into this Agreement freely based on Executive’s own judgment.</w:t>
      </w:r>
    </w:p>
    <w:p>
      <w:pPr>
        <w:spacing w:after="0" w:line="188"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rPr>
          <w:sz w:val="20"/>
          <w:szCs w:val="20"/>
          <w:color w:val="auto"/>
        </w:rPr>
      </w:pPr>
      <w:r>
        <w:rPr>
          <w:rFonts w:ascii="Arial" w:cs="Arial" w:eastAsia="Arial" w:hAnsi="Arial"/>
          <w:sz w:val="15"/>
          <w:szCs w:val="15"/>
          <w:color w:val="auto"/>
        </w:rPr>
        <w:t>IN WITNESS WHEREOF, the Parties have executed this Agreement on the date and year first above written.</w:t>
      </w:r>
    </w:p>
    <w:p>
      <w:pPr>
        <w:spacing w:after="0" w:line="192" w:lineRule="exact"/>
        <w:rPr>
          <w:sz w:val="20"/>
          <w:szCs w:val="20"/>
          <w:color w:val="auto"/>
        </w:rPr>
      </w:pPr>
    </w:p>
    <w:p>
      <w:pPr>
        <w:ind w:left="5727"/>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p>
      <w:pPr>
        <w:ind w:left="5727"/>
        <w:spacing w:after="0"/>
        <w:tabs>
          <w:tab w:leader="none" w:pos="6187"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14605</wp:posOffset>
            </wp:positionV>
            <wp:extent cx="3324225" cy="762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spacing w:after="0" w:line="4"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Name: Werner Cautreels, Ph.D.</w:t>
      </w:r>
    </w:p>
    <w:p>
      <w:pPr>
        <w:spacing w:after="0" w:line="23"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Title: President and Chief Executive Officer</w:t>
      </w:r>
    </w:p>
    <w:p>
      <w:pPr>
        <w:spacing w:after="0" w:line="373"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/s/ Earl Sands,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625850" cy="762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Earl Sands, M.D.</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285990" cy="2730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u w:val="single" w:color="auto"/>
          <w:color w:val="auto"/>
        </w:rPr>
        <w:t>EXHIBIT A</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Separation Agreement and Release</w:t>
      </w:r>
    </w:p>
    <w:p>
      <w:pPr>
        <w:spacing w:after="0" w:line="204" w:lineRule="exact"/>
        <w:rPr>
          <w:sz w:val="20"/>
          <w:szCs w:val="20"/>
          <w:color w:val="auto"/>
        </w:rPr>
      </w:pPr>
    </w:p>
    <w:p>
      <w:pPr>
        <w:ind w:left="7" w:right="140" w:firstLine="562"/>
        <w:spacing w:after="0" w:line="273" w:lineRule="auto"/>
        <w:rPr>
          <w:sz w:val="20"/>
          <w:szCs w:val="20"/>
          <w:color w:val="auto"/>
        </w:rPr>
      </w:pPr>
      <w:r>
        <w:rPr>
          <w:rFonts w:ascii="Arial" w:cs="Arial" w:eastAsia="Arial" w:hAnsi="Arial"/>
          <w:sz w:val="15"/>
          <w:szCs w:val="15"/>
          <w:color w:val="auto"/>
        </w:rPr>
        <w:t>This Separation Agreement and Release (“Agreement”) is made by and between Earl Sands, M.D.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153" w:lineRule="exact"/>
        <w:rPr>
          <w:sz w:val="20"/>
          <w:szCs w:val="20"/>
          <w:color w:val="auto"/>
        </w:rPr>
      </w:pPr>
    </w:p>
    <w:p>
      <w:pPr>
        <w:ind w:left="567"/>
        <w:spacing w:after="0"/>
        <w:rPr>
          <w:sz w:val="20"/>
          <w:szCs w:val="20"/>
          <w:color w:val="auto"/>
        </w:rPr>
      </w:pPr>
      <w:r>
        <w:rPr>
          <w:rFonts w:ascii="Arial" w:cs="Arial" w:eastAsia="Arial" w:hAnsi="Arial"/>
          <w:sz w:val="15"/>
          <w:szCs w:val="15"/>
          <w:color w:val="auto"/>
        </w:rPr>
        <w:t>WHEREAS, the Parties have previously entered into that certain Employment Agreement, dated as of June 6, 2016 (the “Employment Agreement”); and</w:t>
      </w:r>
    </w:p>
    <w:p>
      <w:pPr>
        <w:spacing w:after="0" w:line="198" w:lineRule="exact"/>
        <w:rPr>
          <w:sz w:val="20"/>
          <w:szCs w:val="20"/>
          <w:color w:val="auto"/>
        </w:rPr>
      </w:pPr>
    </w:p>
    <w:p>
      <w:pPr>
        <w:ind w:left="7" w:right="60" w:firstLine="562"/>
        <w:spacing w:after="0" w:line="289" w:lineRule="auto"/>
        <w:rPr>
          <w:sz w:val="20"/>
          <w:szCs w:val="20"/>
          <w:color w:val="auto"/>
        </w:rPr>
      </w:pPr>
      <w:r>
        <w:rPr>
          <w:rFonts w:ascii="Arial" w:cs="Arial" w:eastAsia="Arial" w:hAnsi="Arial"/>
          <w:sz w:val="14"/>
          <w:szCs w:val="14"/>
          <w:color w:val="auto"/>
        </w:rPr>
        <w:t>WHEREAS, in connection with Executive’s termination of employment with the Company or a subsidiary or affiliate of the Company effective , 20 ,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w:t>
      </w:r>
    </w:p>
    <w:p>
      <w:pPr>
        <w:sectPr>
          <w:pgSz w:w="11900" w:h="16876" w:orient="portrait"/>
          <w:cols w:equalWidth="0" w:num="1">
            <w:col w:w="11427"/>
          </w:cols>
          <w:pgMar w:left="233" w:top="314" w:right="239" w:bottom="0" w:gutter="0" w:footer="0" w:header="0"/>
        </w:sectPr>
      </w:pPr>
    </w:p>
    <w:bookmarkStart w:id="400" w:name="page401"/>
    <w:bookmarkEnd w:id="400"/>
    <w:p>
      <w:pPr>
        <w:ind w:right="120"/>
        <w:spacing w:after="0" w:line="289" w:lineRule="auto"/>
        <w:rPr>
          <w:sz w:val="20"/>
          <w:szCs w:val="20"/>
          <w:color w:val="auto"/>
        </w:rPr>
      </w:pPr>
      <w:r>
        <w:rPr>
          <w:rFonts w:ascii="Arial" w:cs="Arial" w:eastAsia="Arial" w:hAnsi="Arial"/>
          <w:sz w:val="15"/>
          <w:szCs w:val="15"/>
          <w:color w:val="auto"/>
        </w:rPr>
        <w:t>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141" w:lineRule="exact"/>
        <w:rPr>
          <w:sz w:val="20"/>
          <w:szCs w:val="20"/>
          <w:color w:val="auto"/>
        </w:rPr>
      </w:pPr>
    </w:p>
    <w:p>
      <w:pPr>
        <w:jc w:val="both"/>
        <w:ind w:right="340" w:firstLine="562"/>
        <w:spacing w:after="0" w:line="273" w:lineRule="auto"/>
        <w:rPr>
          <w:sz w:val="20"/>
          <w:szCs w:val="20"/>
          <w:color w:val="auto"/>
        </w:rPr>
      </w:pPr>
      <w:r>
        <w:rPr>
          <w:rFonts w:ascii="Arial" w:cs="Arial" w:eastAsia="Arial" w:hAnsi="Arial"/>
          <w:sz w:val="15"/>
          <w:szCs w:val="15"/>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53" w:lineRule="exact"/>
        <w:rPr>
          <w:sz w:val="20"/>
          <w:szCs w:val="20"/>
          <w:color w:val="auto"/>
        </w:rPr>
      </w:pPr>
    </w:p>
    <w:p>
      <w:pPr>
        <w:ind w:right="420" w:firstLine="555"/>
        <w:spacing w:after="0" w:line="268" w:lineRule="auto"/>
        <w:tabs>
          <w:tab w:leader="none" w:pos="1106" w:val="left"/>
        </w:tabs>
        <w:numPr>
          <w:ilvl w:val="0"/>
          <w:numId w:val="472"/>
        </w:numPr>
        <w:rPr>
          <w:rFonts w:ascii="Arial" w:cs="Arial" w:eastAsia="Arial" w:hAnsi="Arial"/>
          <w:sz w:val="15"/>
          <w:szCs w:val="15"/>
          <w:color w:val="auto"/>
        </w:rPr>
      </w:pPr>
      <w:r>
        <w:rPr>
          <w:rFonts w:ascii="Arial" w:cs="Arial" w:eastAsia="Arial" w:hAnsi="Arial"/>
          <w:sz w:val="15"/>
          <w:szCs w:val="15"/>
          <w:u w:val="single" w:color="auto"/>
          <w:color w:val="auto"/>
        </w:rPr>
        <w:t>Severance Payments; Salary and Benefits</w:t>
      </w:r>
      <w:r>
        <w:rPr>
          <w:rFonts w:ascii="Arial" w:cs="Arial" w:eastAsia="Arial" w:hAnsi="Arial"/>
          <w:sz w:val="15"/>
          <w:szCs w:val="15"/>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56" w:lineRule="exact"/>
        <w:rPr>
          <w:rFonts w:ascii="Arial" w:cs="Arial" w:eastAsia="Arial" w:hAnsi="Arial"/>
          <w:sz w:val="15"/>
          <w:szCs w:val="15"/>
          <w:color w:val="auto"/>
        </w:rPr>
      </w:pPr>
    </w:p>
    <w:p>
      <w:pPr>
        <w:ind w:right="80" w:firstLine="555"/>
        <w:spacing w:after="0" w:line="283" w:lineRule="auto"/>
        <w:tabs>
          <w:tab w:leader="none" w:pos="1106" w:val="left"/>
        </w:tabs>
        <w:numPr>
          <w:ilvl w:val="0"/>
          <w:numId w:val="472"/>
        </w:numPr>
        <w:rPr>
          <w:rFonts w:ascii="Arial" w:cs="Arial" w:eastAsia="Arial" w:hAnsi="Arial"/>
          <w:sz w:val="14"/>
          <w:szCs w:val="14"/>
          <w:color w:val="auto"/>
        </w:rPr>
      </w:pPr>
      <w:r>
        <w:rPr>
          <w:rFonts w:ascii="Arial" w:cs="Arial" w:eastAsia="Arial" w:hAnsi="Arial"/>
          <w:sz w:val="14"/>
          <w:szCs w:val="14"/>
          <w:u w:val="single" w:color="auto"/>
          <w:color w:val="auto"/>
        </w:rPr>
        <w:t>Release of Claims</w:t>
      </w:r>
      <w:r>
        <w:rPr>
          <w:rFonts w:ascii="Arial" w:cs="Arial" w:eastAsia="Arial" w:hAnsi="Arial"/>
          <w:sz w:val="14"/>
          <w:szCs w:val="14"/>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(as defined in Section 7 below), including, without limitation: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ind w:right="80" w:firstLine="1104"/>
        <w:spacing w:after="0" w:line="289" w:lineRule="auto"/>
        <w:tabs>
          <w:tab w:leader="none" w:pos="1665" w:val="left"/>
        </w:tabs>
        <w:numPr>
          <w:ilvl w:val="1"/>
          <w:numId w:val="472"/>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employment or service relationship with the Company or any of its direct or indirect subsidiaries or affiliates and the termination of that relationship;</w:t>
      </w:r>
    </w:p>
    <w:p>
      <w:pPr>
        <w:spacing w:after="0" w:line="140" w:lineRule="exact"/>
        <w:rPr>
          <w:rFonts w:ascii="Arial" w:cs="Arial" w:eastAsia="Arial" w:hAnsi="Arial"/>
          <w:sz w:val="15"/>
          <w:szCs w:val="15"/>
          <w:color w:val="auto"/>
        </w:rPr>
      </w:pPr>
    </w:p>
    <w:p>
      <w:pPr>
        <w:ind w:right="60" w:firstLine="1104"/>
        <w:spacing w:after="0" w:line="273" w:lineRule="auto"/>
        <w:tabs>
          <w:tab w:leader="none" w:pos="1674" w:val="left"/>
        </w:tabs>
        <w:numPr>
          <w:ilvl w:val="1"/>
          <w:numId w:val="472"/>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2" w:lineRule="exact"/>
        <w:rPr>
          <w:rFonts w:ascii="Arial" w:cs="Arial" w:eastAsia="Arial" w:hAnsi="Arial"/>
          <w:sz w:val="15"/>
          <w:szCs w:val="15"/>
          <w:color w:val="auto"/>
        </w:rPr>
      </w:pPr>
    </w:p>
    <w:p>
      <w:pPr>
        <w:ind w:right="140" w:firstLine="1104"/>
        <w:spacing w:after="0" w:line="268" w:lineRule="auto"/>
        <w:tabs>
          <w:tab w:leader="none" w:pos="1677" w:val="left"/>
        </w:tabs>
        <w:numPr>
          <w:ilvl w:val="1"/>
          <w:numId w:val="472"/>
        </w:numPr>
        <w:rPr>
          <w:rFonts w:ascii="Arial" w:cs="Arial" w:eastAsia="Arial" w:hAnsi="Arial"/>
          <w:sz w:val="15"/>
          <w:szCs w:val="15"/>
          <w:color w:val="auto"/>
        </w:rPr>
      </w:pPr>
      <w:r>
        <w:rPr>
          <w:rFonts w:ascii="Arial" w:cs="Arial" w:eastAsia="Arial" w:hAnsi="Arial"/>
          <w:sz w:val="15"/>
          <w:szCs w:val="15"/>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56" w:lineRule="exact"/>
        <w:rPr>
          <w:rFonts w:ascii="Arial" w:cs="Arial" w:eastAsia="Arial" w:hAnsi="Arial"/>
          <w:sz w:val="15"/>
          <w:szCs w:val="15"/>
          <w:color w:val="auto"/>
        </w:rPr>
      </w:pPr>
    </w:p>
    <w:p>
      <w:pPr>
        <w:ind w:right="180" w:firstLine="1104"/>
        <w:spacing w:after="0" w:line="268" w:lineRule="auto"/>
        <w:tabs>
          <w:tab w:leader="none" w:pos="1674" w:val="left"/>
        </w:tabs>
        <w:numPr>
          <w:ilvl w:val="1"/>
          <w:numId w:val="472"/>
        </w:numPr>
        <w:rPr>
          <w:rFonts w:ascii="Arial" w:cs="Arial" w:eastAsia="Arial" w:hAnsi="Arial"/>
          <w:sz w:val="15"/>
          <w:szCs w:val="15"/>
          <w:color w:val="auto"/>
        </w:rPr>
      </w:pPr>
      <w:r>
        <w:rPr>
          <w:rFonts w:ascii="Arial" w:cs="Arial" w:eastAsia="Arial" w:hAnsi="Arial"/>
          <w:sz w:val="15"/>
          <w:szCs w:val="15"/>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56" w:lineRule="exact"/>
        <w:rPr>
          <w:rFonts w:ascii="Arial" w:cs="Arial" w:eastAsia="Arial" w:hAnsi="Arial"/>
          <w:sz w:val="15"/>
          <w:szCs w:val="15"/>
          <w:color w:val="auto"/>
        </w:rPr>
      </w:pPr>
    </w:p>
    <w:p>
      <w:pPr>
        <w:ind w:left="1660" w:hanging="556"/>
        <w:spacing w:after="0"/>
        <w:tabs>
          <w:tab w:leader="none" w:pos="1660" w:val="left"/>
        </w:tabs>
        <w:numPr>
          <w:ilvl w:val="1"/>
          <w:numId w:val="472"/>
        </w:numPr>
        <w:rPr>
          <w:rFonts w:ascii="Arial" w:cs="Arial" w:eastAsia="Arial" w:hAnsi="Arial"/>
          <w:sz w:val="15"/>
          <w:szCs w:val="15"/>
          <w:color w:val="auto"/>
        </w:rPr>
      </w:pPr>
      <w:r>
        <w:rPr>
          <w:rFonts w:ascii="Arial" w:cs="Arial" w:eastAsia="Arial" w:hAnsi="Arial"/>
          <w:sz w:val="15"/>
          <w:szCs w:val="15"/>
          <w:color w:val="auto"/>
        </w:rPr>
        <w:t>any and all claims for violation of the federal or any state constitution;</w:t>
      </w:r>
    </w:p>
    <w:p>
      <w:pPr>
        <w:spacing w:after="0" w:line="198" w:lineRule="exact"/>
        <w:rPr>
          <w:rFonts w:ascii="Arial" w:cs="Arial" w:eastAsia="Arial" w:hAnsi="Arial"/>
          <w:sz w:val="15"/>
          <w:szCs w:val="15"/>
          <w:color w:val="auto"/>
        </w:rPr>
      </w:pPr>
    </w:p>
    <w:p>
      <w:pPr>
        <w:ind w:left="1660" w:hanging="556"/>
        <w:spacing w:after="0"/>
        <w:tabs>
          <w:tab w:leader="none" w:pos="1660" w:val="left"/>
        </w:tabs>
        <w:numPr>
          <w:ilvl w:val="1"/>
          <w:numId w:val="472"/>
        </w:numPr>
        <w:rPr>
          <w:rFonts w:ascii="Arial" w:cs="Arial" w:eastAsia="Arial" w:hAnsi="Arial"/>
          <w:sz w:val="15"/>
          <w:szCs w:val="15"/>
          <w:color w:val="auto"/>
        </w:rPr>
      </w:pPr>
      <w:r>
        <w:rPr>
          <w:rFonts w:ascii="Arial" w:cs="Arial" w:eastAsia="Arial" w:hAnsi="Arial"/>
          <w:sz w:val="15"/>
          <w:szCs w:val="15"/>
          <w:color w:val="auto"/>
        </w:rPr>
        <w:t>any and all claims arising out of any other laws and regulations relating to employment or employment discrimination;</w:t>
      </w:r>
    </w:p>
    <w:p>
      <w:pPr>
        <w:spacing w:after="0" w:line="198" w:lineRule="exact"/>
        <w:rPr>
          <w:rFonts w:ascii="Arial" w:cs="Arial" w:eastAsia="Arial" w:hAnsi="Arial"/>
          <w:sz w:val="15"/>
          <w:szCs w:val="15"/>
          <w:color w:val="auto"/>
        </w:rPr>
      </w:pPr>
    </w:p>
    <w:p>
      <w:pPr>
        <w:ind w:right="20" w:firstLine="1104"/>
        <w:spacing w:after="0" w:line="289" w:lineRule="auto"/>
        <w:tabs>
          <w:tab w:leader="none" w:pos="1686" w:val="left"/>
        </w:tabs>
        <w:numPr>
          <w:ilvl w:val="1"/>
          <w:numId w:val="472"/>
        </w:numPr>
        <w:rPr>
          <w:rFonts w:ascii="Arial" w:cs="Arial" w:eastAsia="Arial" w:hAnsi="Arial"/>
          <w:sz w:val="15"/>
          <w:szCs w:val="15"/>
          <w:color w:val="auto"/>
        </w:rPr>
      </w:pPr>
      <w:r>
        <w:rPr>
          <w:rFonts w:ascii="Arial" w:cs="Arial" w:eastAsia="Arial" w:hAnsi="Arial"/>
          <w:sz w:val="15"/>
          <w:szCs w:val="15"/>
          <w:color w:val="auto"/>
        </w:rPr>
        <w:t>any claim for any loss, cost, damage, or expense arising out of any dispute over the non-withholding or other tax treatment of any of the proceeds received by Executive as a result of this Agreement; and</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1"/>
          <w:numId w:val="472"/>
        </w:numPr>
        <w:rPr>
          <w:rFonts w:ascii="Arial" w:cs="Arial" w:eastAsia="Arial" w:hAnsi="Arial"/>
          <w:sz w:val="15"/>
          <w:szCs w:val="15"/>
          <w:color w:val="auto"/>
        </w:rPr>
      </w:pPr>
      <w:r>
        <w:rPr>
          <w:rFonts w:ascii="Arial" w:cs="Arial" w:eastAsia="Arial" w:hAnsi="Arial"/>
          <w:sz w:val="15"/>
          <w:szCs w:val="15"/>
          <w:color w:val="auto"/>
        </w:rPr>
        <w:t>any and all claims for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-3260090</wp:posOffset>
            </wp:positionV>
            <wp:extent cx="7285990" cy="2730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such monetary relief from the Company or any Releasee),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law and any Retained Claims. This release further does not release claims for breach of Section 3(c), Section 4(b) or Section 4(c) of the Employment Agreement.</w:t>
      </w:r>
    </w:p>
    <w:p>
      <w:pPr>
        <w:spacing w:after="0" w:line="198" w:lineRule="exact"/>
        <w:rPr>
          <w:sz w:val="20"/>
          <w:szCs w:val="20"/>
          <w:color w:val="auto"/>
        </w:rPr>
      </w:pPr>
    </w:p>
    <w:p>
      <w:pPr>
        <w:ind w:firstLine="559"/>
        <w:spacing w:after="0" w:line="281" w:lineRule="auto"/>
        <w:tabs>
          <w:tab w:leader="none" w:pos="1111" w:val="left"/>
        </w:tabs>
        <w:numPr>
          <w:ilvl w:val="0"/>
          <w:numId w:val="473"/>
        </w:numPr>
        <w:rPr>
          <w:rFonts w:ascii="Arial" w:cs="Arial" w:eastAsia="Arial" w:hAnsi="Arial"/>
          <w:sz w:val="14"/>
          <w:szCs w:val="14"/>
          <w:color w:val="auto"/>
        </w:rPr>
      </w:pPr>
      <w:r>
        <w:rPr>
          <w:rFonts w:ascii="Arial" w:cs="Arial" w:eastAsia="Arial" w:hAnsi="Arial"/>
          <w:sz w:val="14"/>
          <w:szCs w:val="14"/>
          <w:u w:val="single" w:color="auto"/>
          <w:color w:val="auto"/>
        </w:rPr>
        <w:t>Acknowledgment of Waiver of Claims under ADEA</w:t>
      </w:r>
      <w:r>
        <w:rPr>
          <w:rFonts w:ascii="Arial" w:cs="Arial" w:eastAsia="Arial" w:hAnsi="Arial"/>
          <w:sz w:val="14"/>
          <w:szCs w:val="14"/>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Effective Date of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53" w:lineRule="exact"/>
        <w:rPr>
          <w:rFonts w:ascii="Arial" w:cs="Arial" w:eastAsia="Arial" w:hAnsi="Arial"/>
          <w:sz w:val="14"/>
          <w:szCs w:val="14"/>
          <w:color w:val="auto"/>
        </w:rPr>
      </w:pPr>
    </w:p>
    <w:p>
      <w:pPr>
        <w:ind w:right="160" w:firstLine="559"/>
        <w:spacing w:after="0" w:line="327" w:lineRule="auto"/>
        <w:tabs>
          <w:tab w:leader="none" w:pos="1111" w:val="left"/>
        </w:tabs>
        <w:numPr>
          <w:ilvl w:val="0"/>
          <w:numId w:val="473"/>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17" w:lineRule="exact"/>
        <w:rPr>
          <w:rFonts w:ascii="Arial" w:cs="Arial" w:eastAsia="Arial" w:hAnsi="Arial"/>
          <w:sz w:val="14"/>
          <w:szCs w:val="14"/>
          <w:color w:val="auto"/>
        </w:rPr>
      </w:pPr>
    </w:p>
    <w:p>
      <w:pPr>
        <w:ind w:left="1100" w:hanging="545"/>
        <w:spacing w:after="0"/>
        <w:tabs>
          <w:tab w:leader="none" w:pos="1100" w:val="left"/>
        </w:tabs>
        <w:numPr>
          <w:ilvl w:val="0"/>
          <w:numId w:val="473"/>
        </w:numPr>
        <w:rPr>
          <w:rFonts w:ascii="Arial" w:cs="Arial" w:eastAsia="Arial" w:hAnsi="Arial"/>
          <w:sz w:val="15"/>
          <w:szCs w:val="15"/>
          <w:color w:val="auto"/>
        </w:rPr>
      </w:pPr>
      <w:r>
        <w:rPr>
          <w:rFonts w:ascii="Arial" w:cs="Arial" w:eastAsia="Arial" w:hAnsi="Arial"/>
          <w:sz w:val="15"/>
          <w:szCs w:val="15"/>
          <w:u w:val="single" w:color="auto"/>
          <w:color w:val="auto"/>
        </w:rPr>
        <w:t>No Oral Modification</w:t>
      </w:r>
      <w:r>
        <w:rPr>
          <w:rFonts w:ascii="Arial" w:cs="Arial" w:eastAsia="Arial" w:hAnsi="Arial"/>
          <w:sz w:val="15"/>
          <w:szCs w:val="15"/>
          <w:color w:val="auto"/>
        </w:rPr>
        <w:t>. This Agreement may only be amended in a writing signed by Executive and a duly authorized officer of the Company.</w:t>
      </w:r>
    </w:p>
    <w:p>
      <w:pPr>
        <w:spacing w:after="0" w:line="198" w:lineRule="exact"/>
        <w:rPr>
          <w:rFonts w:ascii="Arial" w:cs="Arial" w:eastAsia="Arial" w:hAnsi="Arial"/>
          <w:sz w:val="15"/>
          <w:szCs w:val="15"/>
          <w:color w:val="auto"/>
        </w:rPr>
      </w:pPr>
    </w:p>
    <w:p>
      <w:pPr>
        <w:ind w:left="1100" w:hanging="545"/>
        <w:spacing w:after="0"/>
        <w:tabs>
          <w:tab w:leader="none" w:pos="1100" w:val="left"/>
        </w:tabs>
        <w:numPr>
          <w:ilvl w:val="0"/>
          <w:numId w:val="473"/>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subject to the provisions of Sections 9(a) and 9(c) of the Employment Agreement.</w:t>
      </w:r>
    </w:p>
    <w:p>
      <w:pPr>
        <w:spacing w:after="0" w:line="198" w:lineRule="exact"/>
        <w:rPr>
          <w:rFonts w:ascii="Arial" w:cs="Arial" w:eastAsia="Arial" w:hAnsi="Arial"/>
          <w:sz w:val="15"/>
          <w:szCs w:val="15"/>
          <w:color w:val="auto"/>
        </w:rPr>
      </w:pPr>
    </w:p>
    <w:p>
      <w:pPr>
        <w:ind w:right="200" w:firstLine="555"/>
        <w:spacing w:after="0" w:line="268" w:lineRule="auto"/>
        <w:tabs>
          <w:tab w:leader="none" w:pos="1106" w:val="left"/>
        </w:tabs>
        <w:numPr>
          <w:ilvl w:val="0"/>
          <w:numId w:val="473"/>
        </w:numPr>
        <w:rPr>
          <w:rFonts w:ascii="Arial" w:cs="Arial" w:eastAsia="Arial" w:hAnsi="Arial"/>
          <w:sz w:val="15"/>
          <w:szCs w:val="15"/>
          <w:color w:val="auto"/>
        </w:rPr>
      </w:pPr>
      <w:r>
        <w:rPr>
          <w:rFonts w:ascii="Arial" w:cs="Arial" w:eastAsia="Arial" w:hAnsi="Arial"/>
          <w:sz w:val="15"/>
          <w:szCs w:val="15"/>
          <w:u w:val="single" w:color="auto"/>
          <w:color w:val="auto"/>
        </w:rPr>
        <w:t>Effective Date</w:t>
      </w:r>
      <w:r>
        <w:rPr>
          <w:rFonts w:ascii="Arial" w:cs="Arial" w:eastAsia="Arial" w:hAnsi="Arial"/>
          <w:sz w:val="15"/>
          <w:szCs w:val="15"/>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ectPr>
          <w:pgSz w:w="11900" w:h="16838" w:orient="portrait"/>
          <w:cols w:equalWidth="0" w:num="1">
            <w:col w:w="11440"/>
          </w:cols>
          <w:pgMar w:left="240" w:top="129" w:right="219" w:bottom="0" w:gutter="0" w:footer="0" w:header="0"/>
        </w:sectPr>
      </w:pPr>
    </w:p>
    <w:bookmarkStart w:id="401" w:name="page402"/>
    <w:bookmarkEnd w:id="401"/>
    <w:p>
      <w:pPr>
        <w:ind w:right="100" w:firstLine="555"/>
        <w:spacing w:after="0" w:line="264" w:lineRule="auto"/>
        <w:tabs>
          <w:tab w:leader="none" w:pos="1106" w:val="left"/>
        </w:tabs>
        <w:numPr>
          <w:ilvl w:val="0"/>
          <w:numId w:val="474"/>
        </w:numPr>
        <w:rPr>
          <w:rFonts w:ascii="Arial" w:cs="Arial" w:eastAsia="Arial" w:hAnsi="Arial"/>
          <w:sz w:val="15"/>
          <w:szCs w:val="15"/>
          <w:color w:val="auto"/>
        </w:rPr>
      </w:pPr>
      <w:r>
        <w:rPr>
          <w:rFonts w:ascii="Arial" w:cs="Arial" w:eastAsia="Arial" w:hAnsi="Arial"/>
          <w:sz w:val="15"/>
          <w:szCs w:val="15"/>
          <w:u w:val="single" w:color="auto"/>
          <w:color w:val="auto"/>
        </w:rPr>
        <w:t>Voluntary Execution of Agreement</w:t>
      </w:r>
      <w:r>
        <w:rPr>
          <w:rFonts w:ascii="Arial" w:cs="Arial" w:eastAsia="Arial" w:hAnsi="Arial"/>
          <w:sz w:val="15"/>
          <w:szCs w:val="15"/>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IN WITNESS WHEREOF, the Parties have executed this Agreement on the respective dates set forth below.</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14605</wp:posOffset>
            </wp:positionV>
            <wp:extent cx="6839585" cy="762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6839585"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Earl Sands, M.D.</w:t>
      </w:r>
    </w:p>
    <w:p>
      <w:pPr>
        <w:spacing w:after="0" w:line="377"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14605</wp:posOffset>
            </wp:positionV>
            <wp:extent cx="6839585" cy="762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6839585" cy="762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B</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Employee Nondisclosure, Noncompetition and Assignment of Intellectual Property Agreement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EMPLOYEE NONDISCLOSURE, NONCOMPETITION AND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ASSIGNMENT OF INTELLECTUAL PROPERTY AGREEMENT</w:t>
      </w:r>
    </w:p>
    <w:p>
      <w:pPr>
        <w:spacing w:after="0" w:line="188"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In consideration and as a condition of my employment by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of the compensation to be paid to me, and in recognition of the fact that as an employee of the Company I will or may have access to confidential information, I agree with the Company as follows:</w:t>
      </w:r>
    </w:p>
    <w:p>
      <w:pPr>
        <w:spacing w:after="0" w:line="141" w:lineRule="exact"/>
        <w:rPr>
          <w:sz w:val="20"/>
          <w:szCs w:val="20"/>
          <w:color w:val="auto"/>
        </w:rPr>
      </w:pPr>
    </w:p>
    <w:p>
      <w:pPr>
        <w:ind w:left="1100" w:hanging="551"/>
        <w:spacing w:after="0"/>
        <w:tabs>
          <w:tab w:leader="none" w:pos="1100" w:val="left"/>
        </w:tabs>
        <w:numPr>
          <w:ilvl w:val="0"/>
          <w:numId w:val="475"/>
        </w:numPr>
        <w:rPr>
          <w:rFonts w:ascii="Arial" w:cs="Arial" w:eastAsia="Arial" w:hAnsi="Arial"/>
          <w:sz w:val="15"/>
          <w:szCs w:val="15"/>
          <w:color w:val="auto"/>
        </w:rPr>
      </w:pPr>
      <w:r>
        <w:rPr>
          <w:rFonts w:ascii="Arial" w:cs="Arial" w:eastAsia="Arial" w:hAnsi="Arial"/>
          <w:sz w:val="15"/>
          <w:szCs w:val="15"/>
          <w:u w:val="single" w:color="auto"/>
          <w:color w:val="auto"/>
        </w:rPr>
        <w:t>Performance: Prior Obligations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firstLine="1104"/>
        <w:spacing w:after="0" w:line="264" w:lineRule="auto"/>
        <w:tabs>
          <w:tab w:leader="none" w:pos="1665" w:val="left"/>
        </w:tabs>
        <w:numPr>
          <w:ilvl w:val="1"/>
          <w:numId w:val="475"/>
        </w:numPr>
        <w:rPr>
          <w:rFonts w:ascii="Arial" w:cs="Arial" w:eastAsia="Arial" w:hAnsi="Arial"/>
          <w:sz w:val="15"/>
          <w:szCs w:val="15"/>
          <w:color w:val="auto"/>
        </w:rPr>
      </w:pPr>
      <w:r>
        <w:rPr>
          <w:rFonts w:ascii="Arial" w:cs="Arial" w:eastAsia="Arial" w:hAnsi="Arial"/>
          <w:sz w:val="15"/>
          <w:szCs w:val="15"/>
          <w:color w:val="auto"/>
        </w:rPr>
        <w:t>I agree to use best efforts to perform my assigned duties diligently, conscientiously, and with reasonable skill, and shall comply with all rules, procedures and standards promulgated from time to time by the Company with regard to my conduct and my access to and use of the Company’s property, equipment and facilities. Among such rules, procedures and standards are those governing ethical and other professional standards for dealing with customers, government agencies, vendors, competitors, consultants, fellow employees, and the public-at-large, security provisions designed to protect Company property and the personal security of Company employees, rules respecting attendance, punctuality, and hours of work, and rules and procedures designed to protect the confidentiality of proprietary information. The Company agrees to make reasonable efforts to inform me of such rules, standards and procedures as are in effect from time to time.</w:t>
      </w:r>
    </w:p>
    <w:p>
      <w:pPr>
        <w:spacing w:after="0" w:line="158" w:lineRule="exact"/>
        <w:rPr>
          <w:rFonts w:ascii="Arial" w:cs="Arial" w:eastAsia="Arial" w:hAnsi="Arial"/>
          <w:sz w:val="15"/>
          <w:szCs w:val="15"/>
          <w:color w:val="auto"/>
        </w:rPr>
      </w:pPr>
    </w:p>
    <w:p>
      <w:pPr>
        <w:ind w:right="40" w:firstLine="1104"/>
        <w:spacing w:after="0" w:line="264" w:lineRule="auto"/>
        <w:tabs>
          <w:tab w:leader="none" w:pos="1674" w:val="left"/>
        </w:tabs>
        <w:numPr>
          <w:ilvl w:val="1"/>
          <w:numId w:val="475"/>
        </w:numPr>
        <w:rPr>
          <w:rFonts w:ascii="Arial" w:cs="Arial" w:eastAsia="Arial" w:hAnsi="Arial"/>
          <w:sz w:val="15"/>
          <w:szCs w:val="15"/>
          <w:color w:val="auto"/>
        </w:rPr>
      </w:pPr>
      <w:r>
        <w:rPr>
          <w:rFonts w:ascii="Arial" w:cs="Arial" w:eastAsia="Arial" w:hAnsi="Arial"/>
          <w:sz w:val="15"/>
          <w:szCs w:val="15"/>
          <w:color w:val="auto"/>
        </w:rPr>
        <w:t>I hereby represent, warrant and agree (i) that I have the full right to enter into this Agreement and perform the services required of me hereunder, without any restriction whatsoever; (ii) that in the course of performing services hereunder, I will not violate the terms or conditions of any agreement between me and any third party or infringe or wrongfully appropriate any patents, copyrights, trade secrets or other intellectual property rights of any person or entity anywhere in the world; (iii) that I have not and will not disclose or use during my employment by the Company any confidential information that I acquired as a result of any previous employment or consulting arrangement or under a previous obligation of confidentiality; and (iv) that I have disclosed to the Company in writing any and all continuing obligations to previous employers or others that require me not to disclose any information to the Company.</w:t>
      </w:r>
    </w:p>
    <w:p>
      <w:pPr>
        <w:spacing w:after="0" w:line="158" w:lineRule="exact"/>
        <w:rPr>
          <w:rFonts w:ascii="Arial" w:cs="Arial" w:eastAsia="Arial" w:hAnsi="Arial"/>
          <w:sz w:val="15"/>
          <w:szCs w:val="15"/>
          <w:color w:val="auto"/>
        </w:rPr>
      </w:pPr>
    </w:p>
    <w:p>
      <w:pPr>
        <w:ind w:right="80" w:firstLine="549"/>
        <w:spacing w:after="0" w:line="264" w:lineRule="auto"/>
        <w:tabs>
          <w:tab w:leader="none" w:pos="1112" w:val="left"/>
        </w:tabs>
        <w:numPr>
          <w:ilvl w:val="0"/>
          <w:numId w:val="475"/>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While employed by the Company and thereafter, I shall not, directly or indirectly, use any Confidential Information (as hereinafter defined) other than pursuant to my employment by and for the benefit of the Company, or disclose any Confidential Information to anyone outside of the Company, whether by private communication, public address, publication or otherwise, or disclose any Confidential Information to anyone within the Company who has not been authorized to receive such information, except as directed in writing by an authorized representative of the Company. The term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as used throughout this Agreement shall mean all trade secrets, proprietary information, know-how, data, designs, specifications, processes, customer lists and other technical or business information (and any tangible evidence, record or representation thereof), whether prepared,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85990" cy="2730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conceived or developed by a consultant or employee of the Company (including myself) or received by the Company from an outside source, which is in the possession of the Company (whether or not the property of the Company), which in any way relates to the present or future business of the Company, which is maintained in confidence by the Company, or which might permit the Company or its customers to obtain a competitive advantage over competitors who do not have access to such trade secrets, proprietary information, or other data or information. Without limiting the generality of the foregoing. Confidential Information shall include, without limitation:</w:t>
      </w:r>
    </w:p>
    <w:p>
      <w:pPr>
        <w:spacing w:after="0" w:line="156" w:lineRule="exact"/>
        <w:rPr>
          <w:sz w:val="20"/>
          <w:szCs w:val="20"/>
          <w:color w:val="auto"/>
        </w:rPr>
      </w:pPr>
    </w:p>
    <w:p>
      <w:pPr>
        <w:ind w:right="140" w:firstLine="1104"/>
        <w:spacing w:after="0" w:line="268" w:lineRule="auto"/>
        <w:tabs>
          <w:tab w:leader="none" w:pos="1665" w:val="left"/>
        </w:tabs>
        <w:numPr>
          <w:ilvl w:val="0"/>
          <w:numId w:val="476"/>
        </w:numPr>
        <w:rPr>
          <w:rFonts w:ascii="Arial" w:cs="Arial" w:eastAsia="Arial" w:hAnsi="Arial"/>
          <w:sz w:val="15"/>
          <w:szCs w:val="15"/>
          <w:color w:val="auto"/>
        </w:rPr>
      </w:pPr>
      <w:r>
        <w:rPr>
          <w:rFonts w:ascii="Arial" w:cs="Arial" w:eastAsia="Arial" w:hAnsi="Arial"/>
          <w:sz w:val="15"/>
          <w:szCs w:val="15"/>
          <w:color w:val="auto"/>
        </w:rPr>
        <w:t>any idea, improvement, invention, innovation, development, concept, technical or clinical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56" w:lineRule="exact"/>
        <w:rPr>
          <w:rFonts w:ascii="Arial" w:cs="Arial" w:eastAsia="Arial" w:hAnsi="Arial"/>
          <w:sz w:val="15"/>
          <w:szCs w:val="15"/>
          <w:color w:val="auto"/>
        </w:rPr>
      </w:pPr>
    </w:p>
    <w:p>
      <w:pPr>
        <w:jc w:val="both"/>
        <w:ind w:right="140" w:firstLine="1104"/>
        <w:spacing w:after="0" w:line="273" w:lineRule="auto"/>
        <w:tabs>
          <w:tab w:leader="none" w:pos="1674" w:val="left"/>
        </w:tabs>
        <w:numPr>
          <w:ilvl w:val="0"/>
          <w:numId w:val="476"/>
        </w:numPr>
        <w:rPr>
          <w:rFonts w:ascii="Arial" w:cs="Arial" w:eastAsia="Arial" w:hAnsi="Arial"/>
          <w:sz w:val="15"/>
          <w:szCs w:val="15"/>
          <w:color w:val="auto"/>
        </w:rPr>
      </w:pPr>
      <w:r>
        <w:rPr>
          <w:rFonts w:ascii="Arial" w:cs="Arial" w:eastAsia="Arial" w:hAnsi="Arial"/>
          <w:sz w:val="15"/>
          <w:szCs w:val="15"/>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53" w:lineRule="exact"/>
        <w:rPr>
          <w:sz w:val="20"/>
          <w:szCs w:val="20"/>
          <w:color w:val="auto"/>
        </w:rPr>
      </w:pPr>
    </w:p>
    <w:p>
      <w:pPr>
        <w:ind w:right="60" w:firstLine="556"/>
        <w:spacing w:after="0" w:line="289" w:lineRule="auto"/>
        <w:rPr>
          <w:sz w:val="20"/>
          <w:szCs w:val="20"/>
          <w:color w:val="auto"/>
        </w:rPr>
      </w:pPr>
      <w:r>
        <w:rPr>
          <w:rFonts w:ascii="Arial" w:cs="Arial" w:eastAsia="Arial" w:hAnsi="Arial"/>
          <w:sz w:val="15"/>
          <w:szCs w:val="15"/>
          <w:color w:val="auto"/>
        </w:rPr>
        <w:t>Notwithstanding the foregoing, the term Confidential Information shall not apply to information which the Company has voluntarily disclosed to the public without restriction, or which has otherwise lawfully entered the public domain.</w:t>
      </w:r>
    </w:p>
    <w:p>
      <w:pPr>
        <w:sectPr>
          <w:pgSz w:w="11900" w:h="16838" w:orient="portrait"/>
          <w:cols w:equalWidth="0" w:num="1">
            <w:col w:w="11420"/>
          </w:cols>
          <w:pgMar w:left="240" w:top="314" w:right="239" w:bottom="0" w:gutter="0" w:footer="0" w:header="0"/>
        </w:sectPr>
      </w:pPr>
    </w:p>
    <w:bookmarkStart w:id="402" w:name="page403"/>
    <w:bookmarkEnd w:id="402"/>
    <w:p>
      <w:pPr>
        <w:ind w:right="220" w:firstLine="556"/>
        <w:spacing w:after="0" w:line="289" w:lineRule="auto"/>
        <w:rPr>
          <w:sz w:val="20"/>
          <w:szCs w:val="20"/>
          <w:color w:val="auto"/>
        </w:rPr>
      </w:pPr>
      <w:r>
        <w:rPr>
          <w:rFonts w:ascii="Arial" w:cs="Arial" w:eastAsia="Arial" w:hAnsi="Arial"/>
          <w:sz w:val="15"/>
          <w:szCs w:val="15"/>
          <w:color w:val="auto"/>
        </w:rPr>
        <w:t>I shall promptly notify my supervisor or any officer of the Company if I learn of any possible unauthorized use or disclosure of Confidential Information and shall cooperate fully with the Company to enforce its rights in such information.</w:t>
      </w:r>
    </w:p>
    <w:p>
      <w:pPr>
        <w:spacing w:after="0" w:line="141" w:lineRule="exact"/>
        <w:rPr>
          <w:sz w:val="20"/>
          <w:szCs w:val="20"/>
          <w:color w:val="auto"/>
        </w:rPr>
      </w:pPr>
    </w:p>
    <w:p>
      <w:pPr>
        <w:ind w:right="20" w:firstLine="556"/>
        <w:spacing w:after="0" w:line="327" w:lineRule="auto"/>
        <w:rPr>
          <w:sz w:val="20"/>
          <w:szCs w:val="20"/>
          <w:color w:val="auto"/>
        </w:rPr>
      </w:pPr>
      <w:r>
        <w:rPr>
          <w:rFonts w:ascii="Arial" w:cs="Arial" w:eastAsia="Arial" w:hAnsi="Arial"/>
          <w:sz w:val="14"/>
          <w:szCs w:val="14"/>
          <w:color w:val="auto"/>
        </w:rPr>
        <w:t>I understand that the Company from time to time has in its possession information (including product and development plans and specifications) which is claimed by customers and others to be proprietary and which the Company has agreed to keep confidential. I agree that all such information shall be Confidential Information for purposes of this Agreement.</w:t>
      </w:r>
    </w:p>
    <w:p>
      <w:pPr>
        <w:spacing w:after="0" w:line="117" w:lineRule="exact"/>
        <w:rPr>
          <w:sz w:val="20"/>
          <w:szCs w:val="20"/>
          <w:color w:val="auto"/>
        </w:rPr>
      </w:pPr>
    </w:p>
    <w:p>
      <w:pPr>
        <w:ind w:left="1100" w:hanging="551"/>
        <w:spacing w:after="0"/>
        <w:tabs>
          <w:tab w:leader="none" w:pos="1100" w:val="left"/>
        </w:tabs>
        <w:numPr>
          <w:ilvl w:val="0"/>
          <w:numId w:val="477"/>
        </w:numPr>
        <w:rPr>
          <w:rFonts w:ascii="Arial" w:cs="Arial" w:eastAsia="Arial" w:hAnsi="Arial"/>
          <w:sz w:val="15"/>
          <w:szCs w:val="15"/>
          <w:color w:val="auto"/>
        </w:rPr>
      </w:pPr>
      <w:r>
        <w:rPr>
          <w:rFonts w:ascii="Arial" w:cs="Arial" w:eastAsia="Arial" w:hAnsi="Arial"/>
          <w:sz w:val="15"/>
          <w:szCs w:val="15"/>
          <w:u w:val="single" w:color="auto"/>
          <w:color w:val="auto"/>
        </w:rPr>
        <w:t>Ownership and Assignment of Intellectual Property</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60" w:firstLine="1104"/>
        <w:spacing w:after="0" w:line="302" w:lineRule="auto"/>
        <w:tabs>
          <w:tab w:leader="none" w:pos="1665" w:val="left"/>
        </w:tabs>
        <w:numPr>
          <w:ilvl w:val="1"/>
          <w:numId w:val="477"/>
        </w:numPr>
        <w:rPr>
          <w:rFonts w:ascii="Arial" w:cs="Arial" w:eastAsia="Arial" w:hAnsi="Arial"/>
          <w:sz w:val="14"/>
          <w:szCs w:val="14"/>
          <w:color w:val="auto"/>
        </w:rPr>
      </w:pPr>
      <w:r>
        <w:rPr>
          <w:rFonts w:ascii="Arial" w:cs="Arial" w:eastAsia="Arial" w:hAnsi="Arial"/>
          <w:sz w:val="14"/>
          <w:szCs w:val="14"/>
          <w:color w:val="auto"/>
        </w:rPr>
        <w:t>I agree that all originals and all copies of all manuscripts, drawings, prints, manuals, diagrams, letters, notes, notebooks, reports, models, records, files, memoranda, plans, sketches and all other documents and materials containing, representing, evidencing, recording, or constituting any Confidential Information (as defined in Section 2 above), however and whenever produced (whether by myself or others) during the course of my employment, shall be the sole property of the Company.</w:t>
      </w:r>
    </w:p>
    <w:p>
      <w:pPr>
        <w:spacing w:after="0" w:line="133" w:lineRule="exact"/>
        <w:rPr>
          <w:rFonts w:ascii="Arial" w:cs="Arial" w:eastAsia="Arial" w:hAnsi="Arial"/>
          <w:sz w:val="14"/>
          <w:szCs w:val="14"/>
          <w:color w:val="auto"/>
        </w:rPr>
      </w:pPr>
    </w:p>
    <w:p>
      <w:pPr>
        <w:ind w:right="600" w:firstLine="1104"/>
        <w:spacing w:after="0" w:line="289" w:lineRule="auto"/>
        <w:tabs>
          <w:tab w:leader="none" w:pos="1674" w:val="left"/>
        </w:tabs>
        <w:numPr>
          <w:ilvl w:val="1"/>
          <w:numId w:val="477"/>
        </w:numPr>
        <w:rPr>
          <w:rFonts w:ascii="Arial" w:cs="Arial" w:eastAsia="Arial" w:hAnsi="Arial"/>
          <w:sz w:val="15"/>
          <w:szCs w:val="15"/>
          <w:color w:val="auto"/>
        </w:rPr>
      </w:pPr>
      <w:r>
        <w:rPr>
          <w:rFonts w:ascii="Arial" w:cs="Arial" w:eastAsia="Arial" w:hAnsi="Arial"/>
          <w:sz w:val="15"/>
          <w:szCs w:val="15"/>
          <w:color w:val="auto"/>
        </w:rPr>
        <w:t>I agree that all Confidential Information and all other discoveries, inventions, ideas, concepts, trademarks, service marks, logos, processes, products, formulas, computer programs or software, source codes, object codes, algorithms, machines, apparatuses,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me, either alone or with others, and related to the business of the Company or to tasks assigned to me during the course of my employment, whether or not made during my regular working hours, whether or not conceived, developed, reduced to practice or made on the Company’s premises and whether or not disclosed by me to the Company (collectively “</w:t>
      </w:r>
      <w:r>
        <w:rPr>
          <w:rFonts w:ascii="Arial" w:cs="Arial" w:eastAsia="Arial" w:hAnsi="Arial"/>
          <w:sz w:val="15"/>
          <w:szCs w:val="15"/>
          <w:u w:val="single" w:color="auto"/>
          <w:color w:val="auto"/>
        </w:rPr>
        <w:t>Company Inventions</w:t>
      </w:r>
      <w:r>
        <w:rPr>
          <w:rFonts w:ascii="Arial" w:cs="Arial" w:eastAsia="Arial" w:hAnsi="Arial"/>
          <w:sz w:val="15"/>
          <w:szCs w:val="15"/>
          <w:color w:val="auto"/>
        </w:rPr>
        <w:t>”), and any and all services and products which embody, emulate or employ any such Company Invention or Confidential Information shall be the sole property of the Company and all copyrights, patents, patent rights, trademarks and reproduction rights to, and other proprietary rights in, each such Company Invention or Confidential Information, whether or not patentable or copyrightable, shall belong exclusively to the Company. For the avoidance of doubt, Confidential Information shall only include information that relates to the present or future business of the Company, and Company Inventions shall only include inventions that relate to the business of the Company or to tasks assigned to me during the course of my employment.</w:t>
      </w:r>
    </w:p>
    <w:p>
      <w:pPr>
        <w:spacing w:after="0" w:line="165" w:lineRule="exact"/>
        <w:rPr>
          <w:sz w:val="20"/>
          <w:szCs w:val="20"/>
          <w:color w:val="auto"/>
        </w:rPr>
      </w:pPr>
    </w:p>
    <w:p>
      <w:pPr>
        <w:ind w:right="100" w:firstLine="1104"/>
        <w:spacing w:after="0" w:line="264" w:lineRule="auto"/>
        <w:tabs>
          <w:tab w:leader="none" w:pos="1677" w:val="left"/>
        </w:tabs>
        <w:numPr>
          <w:ilvl w:val="1"/>
          <w:numId w:val="478"/>
        </w:numPr>
        <w:rPr>
          <w:rFonts w:ascii="Arial" w:cs="Arial" w:eastAsia="Arial" w:hAnsi="Arial"/>
          <w:sz w:val="15"/>
          <w:szCs w:val="15"/>
          <w:color w:val="auto"/>
        </w:rPr>
      </w:pPr>
      <w:r>
        <w:rPr>
          <w:rFonts w:ascii="Arial" w:cs="Arial" w:eastAsia="Arial" w:hAnsi="Arial"/>
          <w:sz w:val="15"/>
          <w:szCs w:val="15"/>
          <w:color w:val="auto"/>
        </w:rPr>
        <w:t>I agree to, and hereby do, assign to the Company all my right, title and interest throughout the world in and to all Company Inventions and to anything tangible which evidences, incorporates, constitutes, represents or records any Company Invention. I agree that all Company Inventions shall constitute works made for hire under the copyright laws of the United States and hereby assign and, to the extent any such assignment cannot be made at present, I hereby agree to assign to the Company all copyrights, patents and other proprietary rights I may have in any Company Inventions, together with the right to file for and/or own wholly without restriction United States and foreign patents, trademarks, and copyrights. I agree to waive, and hereby waive, all moral rights or proprietary rights in or to any Company Inventions and, to the extent that such rights may not be waived, agree not to assert such rights against the Company or its licensees, successors or assigns.</w:t>
      </w:r>
    </w:p>
    <w:p>
      <w:pPr>
        <w:spacing w:after="0" w:line="158" w:lineRule="exact"/>
        <w:rPr>
          <w:rFonts w:ascii="Arial" w:cs="Arial" w:eastAsia="Arial" w:hAnsi="Arial"/>
          <w:sz w:val="15"/>
          <w:szCs w:val="15"/>
          <w:color w:val="auto"/>
        </w:rPr>
      </w:pPr>
    </w:p>
    <w:p>
      <w:pPr>
        <w:ind w:right="80" w:firstLine="1104"/>
        <w:spacing w:after="0" w:line="273" w:lineRule="auto"/>
        <w:tabs>
          <w:tab w:leader="none" w:pos="1674" w:val="left"/>
        </w:tabs>
        <w:numPr>
          <w:ilvl w:val="1"/>
          <w:numId w:val="478"/>
        </w:numPr>
        <w:rPr>
          <w:rFonts w:ascii="Arial" w:cs="Arial" w:eastAsia="Arial" w:hAnsi="Arial"/>
          <w:sz w:val="15"/>
          <w:szCs w:val="15"/>
          <w:color w:val="auto"/>
        </w:rPr>
      </w:pPr>
      <w:r>
        <w:rPr>
          <w:rFonts w:ascii="Arial" w:cs="Arial" w:eastAsia="Arial" w:hAnsi="Arial"/>
          <w:sz w:val="15"/>
          <w:szCs w:val="15"/>
          <w:color w:val="auto"/>
        </w:rPr>
        <w:t xml:space="preserve">I hereby certify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sets forth any and all confidential information and intellectual property that I claim as my own or otherwise intend to exclude from this Agreement because it was developed by me prior to the date of this Agreement. I understand that after execution of this Agreement I shall have no right to exclude Confidential Information or Company Inventions from this Agreement.</w:t>
      </w:r>
    </w:p>
    <w:p>
      <w:pPr>
        <w:spacing w:after="0" w:line="152" w:lineRule="exact"/>
        <w:rPr>
          <w:rFonts w:ascii="Arial" w:cs="Arial" w:eastAsia="Arial" w:hAnsi="Arial"/>
          <w:sz w:val="15"/>
          <w:szCs w:val="15"/>
          <w:color w:val="auto"/>
        </w:rPr>
      </w:pPr>
    </w:p>
    <w:p>
      <w:pPr>
        <w:ind w:right="120" w:firstLine="549"/>
        <w:spacing w:after="0" w:line="273" w:lineRule="auto"/>
        <w:tabs>
          <w:tab w:leader="none" w:pos="1112" w:val="left"/>
        </w:tabs>
        <w:numPr>
          <w:ilvl w:val="0"/>
          <w:numId w:val="479"/>
        </w:numPr>
        <w:rPr>
          <w:rFonts w:ascii="Arial" w:cs="Arial" w:eastAsia="Arial" w:hAnsi="Arial"/>
          <w:sz w:val="15"/>
          <w:szCs w:val="15"/>
          <w:color w:val="auto"/>
        </w:rPr>
      </w:pPr>
      <w:r>
        <w:rPr>
          <w:rFonts w:ascii="Arial" w:cs="Arial" w:eastAsia="Arial" w:hAnsi="Arial"/>
          <w:sz w:val="15"/>
          <w:szCs w:val="15"/>
          <w:u w:val="single" w:color="auto"/>
          <w:color w:val="auto"/>
        </w:rPr>
        <w:t>Employee’s Obligation to Keep Records</w:t>
      </w:r>
      <w:r>
        <w:rPr>
          <w:rFonts w:ascii="Arial" w:cs="Arial" w:eastAsia="Arial" w:hAnsi="Arial"/>
          <w:sz w:val="15"/>
          <w:szCs w:val="15"/>
          <w:color w:val="auto"/>
        </w:rPr>
        <w:t>. I shall make and maintain adequate and current written records of all Company Inventions, including notebooks and invention disclosures, which records shall be available to and remain the property of the Company at all times. I shall disclose all Company Inventions promptly, fully and in writing to the Company immediately upon production or development of the same and at any time upon request.</w:t>
      </w:r>
    </w:p>
    <w:p>
      <w:pPr>
        <w:spacing w:after="0" w:line="152" w:lineRule="exact"/>
        <w:rPr>
          <w:rFonts w:ascii="Arial" w:cs="Arial" w:eastAsia="Arial" w:hAnsi="Arial"/>
          <w:sz w:val="15"/>
          <w:szCs w:val="15"/>
          <w:color w:val="auto"/>
        </w:rPr>
      </w:pPr>
    </w:p>
    <w:p>
      <w:pPr>
        <w:ind w:right="120" w:firstLine="549"/>
        <w:spacing w:after="0" w:line="273" w:lineRule="auto"/>
        <w:tabs>
          <w:tab w:leader="none" w:pos="1112" w:val="left"/>
        </w:tabs>
        <w:numPr>
          <w:ilvl w:val="0"/>
          <w:numId w:val="479"/>
        </w:numPr>
        <w:rPr>
          <w:rFonts w:ascii="Arial" w:cs="Arial" w:eastAsia="Arial" w:hAnsi="Arial"/>
          <w:sz w:val="15"/>
          <w:szCs w:val="15"/>
          <w:color w:val="auto"/>
        </w:rPr>
      </w:pPr>
      <w:r>
        <w:rPr>
          <w:rFonts w:ascii="Arial" w:cs="Arial" w:eastAsia="Arial" w:hAnsi="Arial"/>
          <w:sz w:val="15"/>
          <w:szCs w:val="15"/>
          <w:u w:val="single" w:color="auto"/>
          <w:color w:val="auto"/>
        </w:rPr>
        <w:t>Employee’s Obligation to Cooperate</w:t>
      </w:r>
      <w:r>
        <w:rPr>
          <w:rFonts w:ascii="Arial" w:cs="Arial" w:eastAsia="Arial" w:hAnsi="Arial"/>
          <w:sz w:val="15"/>
          <w:szCs w:val="15"/>
          <w:color w:val="auto"/>
        </w:rPr>
        <w:t>. I will, at any time during my employment, or after it terminates, upon request of the Company, execute all documents and perform all lawful acts which the Company considers necessary or advisable to secure its rights hereunder and to carry out the intent of this Agreement. Without limiting the generality of the foregoing, I will assist the Company in any reasonable manner to obtain for its own benefit patents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spacing w:after="0" w:line="289" w:lineRule="auto"/>
        <w:rPr>
          <w:sz w:val="20"/>
          <w:szCs w:val="20"/>
          <w:color w:val="auto"/>
        </w:rPr>
      </w:pPr>
      <w:r>
        <w:rPr>
          <w:rFonts w:ascii="Arial" w:cs="Arial" w:eastAsia="Arial" w:hAnsi="Arial"/>
          <w:sz w:val="14"/>
          <w:szCs w:val="14"/>
          <w:color w:val="auto"/>
        </w:rPr>
        <w:t>copyrights in any and all countries with respect to all Company Inventions assigned pursuant to Section 3, and I will execute, when requested, patent and other applications and assignments thereof to the Company, or persons designated by it, and any other lawful documents deemed necessary by the Company to carry out the purposes of this Agreement, and I will further assist the Company in every way to enforce any patents and copyrights obtained, including, without limitation, testifying in any suit or proceeding involving any of said patents or copyrights or executing any documents deemed necessary by the Company, all without further consideration than provided for herein. It is understood that reasonable out-of-pocket expenses of my assistance incurred at the request of the Company under this Section will be reimbursed by the Company.</w:t>
      </w:r>
    </w:p>
    <w:p>
      <w:pPr>
        <w:spacing w:after="0" w:line="143" w:lineRule="exact"/>
        <w:rPr>
          <w:sz w:val="20"/>
          <w:szCs w:val="20"/>
          <w:color w:val="auto"/>
        </w:rPr>
      </w:pPr>
    </w:p>
    <w:p>
      <w:pPr>
        <w:ind w:right="20" w:firstLine="549"/>
        <w:spacing w:after="0" w:line="265" w:lineRule="auto"/>
        <w:tabs>
          <w:tab w:leader="none" w:pos="1112" w:val="left"/>
        </w:tabs>
        <w:numPr>
          <w:ilvl w:val="0"/>
          <w:numId w:val="480"/>
        </w:numPr>
        <w:rPr>
          <w:rFonts w:ascii="Arial" w:cs="Arial" w:eastAsia="Arial" w:hAnsi="Arial"/>
          <w:sz w:val="15"/>
          <w:szCs w:val="15"/>
          <w:color w:val="auto"/>
        </w:rPr>
      </w:pPr>
      <w:r>
        <w:rPr>
          <w:rFonts w:ascii="Arial" w:cs="Arial" w:eastAsia="Arial" w:hAnsi="Arial"/>
          <w:sz w:val="15"/>
          <w:szCs w:val="15"/>
          <w:u w:val="single" w:color="auto"/>
          <w:color w:val="auto"/>
        </w:rPr>
        <w:t>Noncompetition and Non-solicitation</w:t>
      </w:r>
      <w:r>
        <w:rPr>
          <w:rFonts w:ascii="Arial" w:cs="Arial" w:eastAsia="Arial" w:hAnsi="Arial"/>
          <w:sz w:val="15"/>
          <w:szCs w:val="15"/>
          <w:color w:val="auto"/>
        </w:rPr>
        <w:t>. During my employment with the Company and for a period of 12 months after the termination of my employment with the Company for any reason, I shall not, without the Company’s prior written consent, on my own behalf, or as owner, manager, stockholder, consultant, director, officer, or employee of any business entity (except as a holder of not more than three (3%) percent of the stock of a publicly held company) participate in any capacity in any business activity that is in direct competition with any of the products or services being developed, marketed, distributed, planned, sold or otherwise provided by the Company or its affiliates at the time of, or during the 12 months preceding, my termination.</w:t>
      </w:r>
    </w:p>
    <w:p>
      <w:pPr>
        <w:spacing w:after="0" w:line="160" w:lineRule="exact"/>
        <w:rPr>
          <w:sz w:val="20"/>
          <w:szCs w:val="20"/>
          <w:color w:val="auto"/>
        </w:rPr>
      </w:pPr>
    </w:p>
    <w:p>
      <w:pPr>
        <w:ind w:right="140" w:firstLine="556"/>
        <w:spacing w:after="0" w:line="289" w:lineRule="auto"/>
        <w:rPr>
          <w:sz w:val="20"/>
          <w:szCs w:val="20"/>
          <w:color w:val="auto"/>
        </w:rPr>
      </w:pPr>
      <w:r>
        <w:rPr>
          <w:rFonts w:ascii="Arial" w:cs="Arial" w:eastAsia="Arial" w:hAnsi="Arial"/>
          <w:sz w:val="15"/>
          <w:szCs w:val="15"/>
          <w:color w:val="auto"/>
        </w:rPr>
        <w:t>During my employment with the Company and for a period of 12 months after the termination of my employment with the Company for any reason, I shall not solicit, induce or encourage any employee of the Company to terminate his or her employment with the Company.</w:t>
      </w:r>
    </w:p>
    <w:p>
      <w:pPr>
        <w:spacing w:after="0" w:line="141" w:lineRule="exact"/>
        <w:rPr>
          <w:sz w:val="20"/>
          <w:szCs w:val="20"/>
          <w:color w:val="auto"/>
        </w:rPr>
      </w:pPr>
    </w:p>
    <w:p>
      <w:pPr>
        <w:ind w:firstLine="549"/>
        <w:spacing w:after="0" w:line="261" w:lineRule="auto"/>
        <w:tabs>
          <w:tab w:leader="none" w:pos="1112" w:val="left"/>
        </w:tabs>
        <w:numPr>
          <w:ilvl w:val="0"/>
          <w:numId w:val="481"/>
        </w:numPr>
        <w:rPr>
          <w:rFonts w:ascii="Arial" w:cs="Arial" w:eastAsia="Arial" w:hAnsi="Arial"/>
          <w:sz w:val="15"/>
          <w:szCs w:val="15"/>
          <w:color w:val="auto"/>
        </w:rPr>
      </w:pPr>
      <w:r>
        <w:rPr>
          <w:rFonts w:ascii="Arial" w:cs="Arial" w:eastAsia="Arial" w:hAnsi="Arial"/>
          <w:sz w:val="15"/>
          <w:szCs w:val="15"/>
          <w:u w:val="single" w:color="auto"/>
          <w:color w:val="auto"/>
        </w:rPr>
        <w:t>Return of Property</w:t>
      </w:r>
      <w:r>
        <w:rPr>
          <w:rFonts w:ascii="Arial" w:cs="Arial" w:eastAsia="Arial" w:hAnsi="Arial"/>
          <w:sz w:val="15"/>
          <w:szCs w:val="15"/>
          <w:color w:val="auto"/>
        </w:rPr>
        <w:t>. Upon termination of my employment with the Company, or at any other time upon request of the Company, I shall cease using and return promptly any and all customer or prospective customer lists, other customer or prospective customer information or related materials, computer programs, software, electronic data, specifications, drawings, blueprints, data storage devices, reproductions, sketches, notes, notebooks, memoranda, reports, records, proposals, business plans, or copies of them, other documents or materials, tools, equipment, or other property belonging to the Company or its customers which I may then possess or have under my direct or indirect control. I further agree that upon termination of employment, I shall not take with me any documents or data in any form or of any description containing or pertaining to Confidential Information or Company Inventions, other than documents I have a right to retain under applicable law (with the understanding that my obligations under this Agreement continue to apply to any such retained documents). For purposes of clarity, using best efforts to completely remove (with the Company’s prior written permission) from any personal computer, laptop, smart phone, IPad, or any other electronic device, any Company Property that I have previously returned to the Company in accordance with this Section 7 satisfies my obligations under this section.</w:t>
      </w:r>
    </w:p>
    <w:p>
      <w:pPr>
        <w:spacing w:after="0" w:line="164" w:lineRule="exact"/>
        <w:rPr>
          <w:rFonts w:ascii="Arial" w:cs="Arial" w:eastAsia="Arial" w:hAnsi="Arial"/>
          <w:sz w:val="15"/>
          <w:szCs w:val="15"/>
          <w:color w:val="auto"/>
        </w:rPr>
      </w:pPr>
    </w:p>
    <w:p>
      <w:pPr>
        <w:ind w:right="300" w:firstLine="549"/>
        <w:spacing w:after="0" w:line="334" w:lineRule="auto"/>
        <w:tabs>
          <w:tab w:leader="none" w:pos="1112" w:val="left"/>
        </w:tabs>
        <w:numPr>
          <w:ilvl w:val="0"/>
          <w:numId w:val="481"/>
        </w:numPr>
        <w:rPr>
          <w:rFonts w:ascii="Arial" w:cs="Arial" w:eastAsia="Arial" w:hAnsi="Arial"/>
          <w:sz w:val="13"/>
          <w:szCs w:val="13"/>
          <w:color w:val="auto"/>
        </w:rPr>
      </w:pPr>
      <w:r>
        <w:rPr>
          <w:rFonts w:ascii="Arial" w:cs="Arial" w:eastAsia="Arial" w:hAnsi="Arial"/>
          <w:sz w:val="13"/>
          <w:szCs w:val="13"/>
          <w:u w:val="single" w:color="auto"/>
          <w:color w:val="auto"/>
        </w:rPr>
        <w:t>Other Obligations</w:t>
      </w:r>
      <w:r>
        <w:rPr>
          <w:rFonts w:ascii="Arial" w:cs="Arial" w:eastAsia="Arial" w:hAnsi="Arial"/>
          <w:sz w:val="13"/>
          <w:szCs w:val="13"/>
          <w:color w:val="auto"/>
        </w:rPr>
        <w:t>. I acknowledge that the Company from time to time may have agreements with other persons, including the government of the United States or other countries and agencies thereof, which impose obligations or restrictions on the Company regarding inventions made during the course of work thereunder or regarding the confidential nature of such work. I agree to be bound by all such obligations and restrictions and to take all action necessary to discharge the obligations of the Company thereunder.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hanging="551"/>
        <w:spacing w:after="0"/>
        <w:tabs>
          <w:tab w:leader="none" w:pos="1100" w:val="left"/>
        </w:tabs>
        <w:numPr>
          <w:ilvl w:val="0"/>
          <w:numId w:val="482"/>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ectPr>
          <w:pgSz w:w="11900" w:h="16838" w:orient="portrait"/>
          <w:cols w:equalWidth="0" w:num="1">
            <w:col w:w="11440"/>
          </w:cols>
          <w:pgMar w:left="240" w:top="129" w:right="219" w:bottom="47" w:gutter="0" w:footer="0" w:header="0"/>
        </w:sectPr>
      </w:pPr>
    </w:p>
    <w:bookmarkStart w:id="403" w:name="page404"/>
    <w:bookmarkEnd w:id="403"/>
    <w:p>
      <w:pPr>
        <w:spacing w:after="0" w:line="191" w:lineRule="auto"/>
        <w:tabs>
          <w:tab w:leader="none" w:pos="1100" w:val="left"/>
        </w:tabs>
        <w:framePr w:w="420" w:h="138" w:wrap="auto" w:vAnchor="page" w:hAnchor="page" w:x="6840" w:y="10276"/>
        <w:rPr>
          <w:rFonts w:ascii="Arial" w:cs="Arial" w:eastAsia="Arial" w:hAnsi="Arial"/>
          <w:sz w:val="15"/>
          <w:szCs w:val="15"/>
          <w:color w:val="auto"/>
        </w:rPr>
      </w:pPr>
      <w:r>
        <w:rPr>
          <w:rFonts w:ascii="Arial" w:cs="Arial" w:eastAsia="Arial" w:hAnsi="Arial"/>
          <w:sz w:val="15"/>
          <w:szCs w:val="15"/>
          <w:color w:val="auto"/>
        </w:rPr>
        <w:t>[***]</w:t>
      </w:r>
    </w:p>
    <w:p>
      <w:pPr>
        <w:spacing w:after="0" w:line="205" w:lineRule="auto"/>
        <w:tabs>
          <w:tab w:leader="none" w:pos="1100" w:val="left"/>
        </w:tabs>
        <w:framePr w:w="1320" w:h="138" w:wrap="auto" w:vAnchor="page" w:hAnchor="page" w:x="6840" w:y="9905"/>
        <w:rPr>
          <w:rFonts w:ascii="Arial" w:cs="Arial" w:eastAsia="Arial" w:hAnsi="Arial"/>
          <w:sz w:val="14"/>
          <w:szCs w:val="14"/>
          <w:color w:val="auto"/>
        </w:rPr>
      </w:pPr>
      <w:r>
        <w:rPr>
          <w:rFonts w:ascii="Arial" w:cs="Arial" w:eastAsia="Arial" w:hAnsi="Arial"/>
          <w:sz w:val="14"/>
          <w:szCs w:val="14"/>
          <w:color w:val="auto"/>
        </w:rPr>
        <w:t>Earl E. Sands, M.D.</w:t>
      </w:r>
    </w:p>
    <w:p>
      <w:pPr>
        <w:ind w:firstLine="1104"/>
        <w:spacing w:after="0" w:line="273" w:lineRule="auto"/>
        <w:tabs>
          <w:tab w:leader="none" w:pos="1665" w:val="left"/>
        </w:tabs>
        <w:numPr>
          <w:ilvl w:val="0"/>
          <w:numId w:val="483"/>
        </w:numPr>
        <w:rPr>
          <w:rFonts w:ascii="Arial" w:cs="Arial" w:eastAsia="Arial" w:hAnsi="Arial"/>
          <w:sz w:val="15"/>
          <w:szCs w:val="15"/>
          <w:color w:val="auto"/>
        </w:rPr>
      </w:pPr>
      <w:r>
        <w:rPr>
          <w:rFonts w:ascii="Arial" w:cs="Arial" w:eastAsia="Arial" w:hAnsi="Arial"/>
          <w:sz w:val="15"/>
          <w:szCs w:val="15"/>
          <w:color w:val="auto"/>
        </w:rPr>
        <w:t>This Agreement contains the entire and only agreement between me and the Company with respect to the subject matter hereof, superseding any previous oral or written communications, representations, understandings, or agreements with the Company or any officer or representative hereof. In the event of any inconsistency between this Agreement and any other contract between me and the Company, the provisions of this Agreement shall prevail.</w:t>
      </w:r>
    </w:p>
    <w:p>
      <w:pPr>
        <w:spacing w:after="0" w:line="152" w:lineRule="exact"/>
        <w:rPr>
          <w:rFonts w:ascii="Arial" w:cs="Arial" w:eastAsia="Arial" w:hAnsi="Arial"/>
          <w:sz w:val="15"/>
          <w:szCs w:val="15"/>
          <w:color w:val="auto"/>
        </w:rPr>
      </w:pPr>
    </w:p>
    <w:p>
      <w:pPr>
        <w:ind w:right="80" w:firstLine="1104"/>
        <w:spacing w:after="0" w:line="268" w:lineRule="auto"/>
        <w:tabs>
          <w:tab w:leader="none" w:pos="1674" w:val="left"/>
        </w:tabs>
        <w:numPr>
          <w:ilvl w:val="0"/>
          <w:numId w:val="483"/>
        </w:numPr>
        <w:rPr>
          <w:rFonts w:ascii="Arial" w:cs="Arial" w:eastAsia="Arial" w:hAnsi="Arial"/>
          <w:sz w:val="15"/>
          <w:szCs w:val="15"/>
          <w:color w:val="auto"/>
        </w:rPr>
      </w:pPr>
      <w:r>
        <w:rPr>
          <w:rFonts w:ascii="Arial" w:cs="Arial" w:eastAsia="Arial" w:hAnsi="Arial"/>
          <w:sz w:val="15"/>
          <w:szCs w:val="15"/>
          <w:color w:val="auto"/>
        </w:rPr>
        <w:t>My obligations under Sections 2, 3, 5, 6 (for the periods set forth therein), 7, 8 and 9 of this Agreement shall survive the termination of my employment with the Company regardless of the manner of or reasons for such termination, and regardless of whether such termination constitutes a breach of any other agreement I may have with the Company. My obligations under this Agreement shall be binding upon my heirs, assigns, executors, administrators and representatives, and the provisions of this Agreement shall inure to the benefit of and be binding on the successors and assigns of the Company.</w:t>
      </w:r>
    </w:p>
    <w:p>
      <w:pPr>
        <w:spacing w:after="0" w:line="156" w:lineRule="exact"/>
        <w:rPr>
          <w:rFonts w:ascii="Arial" w:cs="Arial" w:eastAsia="Arial" w:hAnsi="Arial"/>
          <w:sz w:val="15"/>
          <w:szCs w:val="15"/>
          <w:color w:val="auto"/>
        </w:rPr>
      </w:pPr>
    </w:p>
    <w:p>
      <w:pPr>
        <w:ind w:right="40" w:firstLine="1104"/>
        <w:spacing w:after="0" w:line="264" w:lineRule="auto"/>
        <w:tabs>
          <w:tab w:leader="none" w:pos="1677" w:val="left"/>
        </w:tabs>
        <w:numPr>
          <w:ilvl w:val="0"/>
          <w:numId w:val="483"/>
        </w:numPr>
        <w:rPr>
          <w:rFonts w:ascii="Arial" w:cs="Arial" w:eastAsia="Arial" w:hAnsi="Arial"/>
          <w:sz w:val="15"/>
          <w:szCs w:val="15"/>
          <w:color w:val="auto"/>
        </w:rPr>
      </w:pPr>
      <w:r>
        <w:rPr>
          <w:rFonts w:ascii="Arial" w:cs="Arial" w:eastAsia="Arial" w:hAnsi="Arial"/>
          <w:sz w:val="15"/>
          <w:szCs w:val="15"/>
          <w:color w:val="auto"/>
        </w:rPr>
        <w:t>If any provision of this Agreement shall be determined to be unenforceable by any court of competent jurisdiction by reason of its extending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immediately preceding sentence, any provision of this Agreement shall be determined to be invalid, illegal or otherwise unenforceable by any court of competent jurisdiction, the validity, legality and enforceability of the other provisions of this Agreement shall not be affected thereby. Except as otherwise provided in this paragraph, any invalid, illegal or unenforceable provision of this Agreement shall be severable, and after any such severance, all other provisions hereof shall remain in full force and effect.</w:t>
      </w:r>
    </w:p>
    <w:p>
      <w:pPr>
        <w:spacing w:after="0" w:line="158" w:lineRule="exact"/>
        <w:rPr>
          <w:rFonts w:ascii="Arial" w:cs="Arial" w:eastAsia="Arial" w:hAnsi="Arial"/>
          <w:sz w:val="15"/>
          <w:szCs w:val="15"/>
          <w:color w:val="auto"/>
        </w:rPr>
      </w:pPr>
    </w:p>
    <w:p>
      <w:pPr>
        <w:ind w:right="100" w:firstLine="1104"/>
        <w:spacing w:after="0" w:line="268" w:lineRule="auto"/>
        <w:tabs>
          <w:tab w:leader="none" w:pos="1674" w:val="left"/>
        </w:tabs>
        <w:numPr>
          <w:ilvl w:val="0"/>
          <w:numId w:val="483"/>
        </w:numPr>
        <w:rPr>
          <w:rFonts w:ascii="Arial" w:cs="Arial" w:eastAsia="Arial" w:hAnsi="Arial"/>
          <w:sz w:val="15"/>
          <w:szCs w:val="15"/>
          <w:color w:val="auto"/>
        </w:rPr>
      </w:pPr>
      <w:r>
        <w:rPr>
          <w:rFonts w:ascii="Arial" w:cs="Arial" w:eastAsia="Arial" w:hAnsi="Arial"/>
          <w:sz w:val="15"/>
          <w:szCs w:val="15"/>
          <w:color w:val="auto"/>
        </w:rPr>
        <w:t>I acknowledge and agree that violation of this Agreement by me would cause irreparable harm to the Company not adequately compensable by money damages alone, and I therefore agree that, in addition to all other remedies available to the Company at law, in equity or otherwise, the Company shall be entitled to injunctive relief to prevent an actual or threatened violation of this Agreement and to enforce the provisions hereof, without showing or proving any actual damage to the Company or posting any bond in connection therewith.</w:t>
      </w:r>
    </w:p>
    <w:p>
      <w:pPr>
        <w:spacing w:after="0" w:line="156" w:lineRule="exact"/>
        <w:rPr>
          <w:rFonts w:ascii="Arial" w:cs="Arial" w:eastAsia="Arial" w:hAnsi="Arial"/>
          <w:sz w:val="15"/>
          <w:szCs w:val="15"/>
          <w:color w:val="auto"/>
        </w:rPr>
      </w:pPr>
    </w:p>
    <w:p>
      <w:pPr>
        <w:jc w:val="both"/>
        <w:ind w:right="60" w:firstLine="1104"/>
        <w:spacing w:after="0" w:line="273" w:lineRule="auto"/>
        <w:tabs>
          <w:tab w:leader="none" w:pos="1677" w:val="left"/>
        </w:tabs>
        <w:numPr>
          <w:ilvl w:val="0"/>
          <w:numId w:val="483"/>
        </w:numPr>
        <w:rPr>
          <w:rFonts w:ascii="Arial" w:cs="Arial" w:eastAsia="Arial" w:hAnsi="Arial"/>
          <w:sz w:val="15"/>
          <w:szCs w:val="15"/>
          <w:color w:val="auto"/>
        </w:rPr>
      </w:pPr>
      <w:r>
        <w:rPr>
          <w:rFonts w:ascii="Arial" w:cs="Arial" w:eastAsia="Arial" w:hAnsi="Arial"/>
          <w:sz w:val="15"/>
          <w:szCs w:val="15"/>
          <w:color w:val="auto"/>
        </w:rPr>
        <w:t>No failure by the Company to insist upon strict compliance with any of the terms, covenants, or conditions hereof, and no delay or omission by the Company in exercising any right under this Agreement, will operate as a waiver of such terms, covenants, conditions or rights. A waiver or consent given by the Company on any one occasion is effective only in that instance and will not be construed as a bar to or waiver of any right on any other occasion.</w:t>
      </w:r>
    </w:p>
    <w:p>
      <w:pPr>
        <w:spacing w:after="0" w:line="152" w:lineRule="exact"/>
        <w:rPr>
          <w:rFonts w:ascii="Arial" w:cs="Arial" w:eastAsia="Arial" w:hAnsi="Arial"/>
          <w:sz w:val="15"/>
          <w:szCs w:val="15"/>
          <w:color w:val="auto"/>
        </w:rPr>
      </w:pPr>
    </w:p>
    <w:p>
      <w:pPr>
        <w:ind w:right="420" w:firstLine="1104"/>
        <w:spacing w:after="0" w:line="289" w:lineRule="auto"/>
        <w:tabs>
          <w:tab w:leader="none" w:pos="1671" w:val="left"/>
        </w:tabs>
        <w:numPr>
          <w:ilvl w:val="0"/>
          <w:numId w:val="483"/>
        </w:numPr>
        <w:rPr>
          <w:rFonts w:ascii="Arial" w:cs="Arial" w:eastAsia="Arial" w:hAnsi="Arial"/>
          <w:sz w:val="15"/>
          <w:szCs w:val="15"/>
          <w:color w:val="auto"/>
        </w:rPr>
      </w:pPr>
      <w:r>
        <w:rPr>
          <w:rFonts w:ascii="Arial" w:cs="Arial" w:eastAsia="Arial" w:hAnsi="Arial"/>
          <w:sz w:val="15"/>
          <w:szCs w:val="15"/>
          <w:color w:val="auto"/>
        </w:rPr>
        <w:t>This Agreement may not be changed, modified, released, discharged, abandoned, or otherwise amended, in whole or in part, except by an instrument in writing signed by me and the Company.</w:t>
      </w:r>
    </w:p>
    <w:p>
      <w:pPr>
        <w:spacing w:after="0" w:line="141"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7" w:lineRule="exact"/>
        <w:rPr>
          <w:rFonts w:ascii="Arial" w:cs="Arial" w:eastAsia="Arial" w:hAnsi="Arial"/>
          <w:sz w:val="14"/>
          <w:szCs w:val="14"/>
          <w:color w:val="auto"/>
        </w:rPr>
      </w:pPr>
    </w:p>
    <w:p>
      <w:pPr>
        <w:ind w:right="180" w:firstLine="1104"/>
        <w:spacing w:after="0" w:line="289" w:lineRule="auto"/>
        <w:tabs>
          <w:tab w:leader="none" w:pos="1686" w:val="left"/>
        </w:tabs>
        <w:numPr>
          <w:ilvl w:val="0"/>
          <w:numId w:val="484"/>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and enforced in accordance with, the laws of The Commonwealth of Massachusetts, without regard to its principles of conflicts of laws. This Agreement is executed under seal.</w:t>
      </w:r>
    </w:p>
    <w:p>
      <w:pPr>
        <w:spacing w:after="0" w:line="141"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198"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7" w:lineRule="exact"/>
        <w:rPr>
          <w:rFonts w:ascii="Arial" w:cs="Arial" w:eastAsia="Arial" w:hAnsi="Arial"/>
          <w:sz w:val="14"/>
          <w:szCs w:val="14"/>
          <w:color w:val="auto"/>
        </w:rPr>
      </w:pPr>
    </w:p>
    <w:p>
      <w:pPr>
        <w:jc w:val="both"/>
        <w:ind w:right="640"/>
        <w:spacing w:after="0" w:line="273" w:lineRule="auto"/>
        <w:rPr>
          <w:sz w:val="20"/>
          <w:szCs w:val="20"/>
          <w:color w:val="auto"/>
        </w:rPr>
      </w:pPr>
      <w:r>
        <w:rPr>
          <w:rFonts w:ascii="Arial" w:cs="Arial" w:eastAsia="Arial" w:hAnsi="Arial"/>
          <w:sz w:val="15"/>
          <w:szCs w:val="15"/>
          <w:color w:val="auto"/>
        </w:rPr>
        <w:t>BY PLACING MY SIGNATURE HEREUNDER, I ACKNOWLEDGE THAT I HAVE HAD THE OPPORTUNITY TO SEEK THE ADVICE OF INDEPENDENT LEGAL COUNSEL AND I HAVE READ ALL THE PROVISIONS OF THIS EMPLOYEE NONDISCLOSURE, NONCOMPETITION AND ASSIGNMENT OF INTELLECTUAL PROPERTY AGREEMENT AND THAT I AGREE TO ALL OF ITS TERMS.</w:t>
      </w:r>
    </w:p>
    <w:p>
      <w:pPr>
        <w:spacing w:after="0" w:line="153"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5"/>
          <w:szCs w:val="15"/>
          <w:color w:val="auto"/>
        </w:rPr>
        <w:t>Effective Date: June 6, 2016</w:t>
      </w:r>
    </w:p>
    <w:p>
      <w:pPr>
        <w:spacing w:after="0" w:line="198" w:lineRule="exact"/>
        <w:rPr>
          <w:rFonts w:ascii="Arial" w:cs="Arial" w:eastAsia="Arial" w:hAnsi="Arial"/>
          <w:sz w:val="14"/>
          <w:szCs w:val="14"/>
          <w:color w:val="auto"/>
        </w:rPr>
      </w:pPr>
    </w:p>
    <w:p>
      <w:pPr>
        <w:ind w:left="5720"/>
        <w:spacing w:after="0"/>
        <w:rPr>
          <w:sz w:val="20"/>
          <w:szCs w:val="20"/>
          <w:color w:val="auto"/>
        </w:rPr>
      </w:pPr>
      <w:r>
        <w:rPr>
          <w:rFonts w:ascii="Arial" w:cs="Arial" w:eastAsia="Arial" w:hAnsi="Arial"/>
          <w:sz w:val="15"/>
          <w:szCs w:val="15"/>
          <w:color w:val="auto"/>
        </w:rPr>
        <w:t>EMPLOYEE:</w:t>
      </w:r>
    </w:p>
    <w:p>
      <w:pPr>
        <w:spacing w:after="0" w:line="383" w:lineRule="exact"/>
        <w:rPr>
          <w:rFonts w:ascii="Arial" w:cs="Arial" w:eastAsia="Arial" w:hAnsi="Arial"/>
          <w:sz w:val="14"/>
          <w:szCs w:val="14"/>
          <w:color w:val="auto"/>
        </w:rPr>
      </w:pPr>
    </w:p>
    <w:p>
      <w:pPr>
        <w:ind w:left="5720"/>
        <w:spacing w:after="0"/>
        <w:rPr>
          <w:sz w:val="20"/>
          <w:szCs w:val="20"/>
          <w:color w:val="auto"/>
        </w:rPr>
      </w:pPr>
      <w:r>
        <w:rPr>
          <w:rFonts w:ascii="Arial" w:cs="Arial" w:eastAsia="Arial" w:hAnsi="Arial"/>
          <w:sz w:val="15"/>
          <w:szCs w:val="15"/>
          <w:color w:val="auto"/>
        </w:rPr>
        <w:t>/s/ Earl E. Sands, M.D.</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3636010</wp:posOffset>
            </wp:positionH>
            <wp:positionV relativeFrom="paragraph">
              <wp:posOffset>14605</wp:posOffset>
            </wp:positionV>
            <wp:extent cx="3625850" cy="762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rFonts w:ascii="Arial" w:cs="Arial" w:eastAsia="Arial" w:hAnsi="Arial"/>
          <w:sz w:val="14"/>
          <w:szCs w:val="14"/>
          <w:color w:val="auto"/>
        </w:rPr>
      </w:pPr>
    </w:p>
    <w:p>
      <w:pPr>
        <w:ind w:left="5720"/>
        <w:spacing w:after="0"/>
        <w:rPr>
          <w:sz w:val="20"/>
          <w:szCs w:val="20"/>
          <w:color w:val="auto"/>
        </w:rPr>
      </w:pPr>
      <w:r>
        <w:rPr>
          <w:rFonts w:ascii="Arial" w:cs="Arial" w:eastAsia="Arial" w:hAnsi="Arial"/>
          <w:sz w:val="15"/>
          <w:szCs w:val="15"/>
          <w:color w:val="auto"/>
        </w:rPr>
        <w:t>Signature</w:t>
      </w:r>
    </w:p>
    <w:p>
      <w:pPr>
        <w:spacing w:after="0" w:line="23" w:lineRule="exact"/>
        <w:rPr>
          <w:rFonts w:ascii="Arial" w:cs="Arial" w:eastAsia="Arial" w:hAnsi="Arial"/>
          <w:sz w:val="14"/>
          <w:szCs w:val="14"/>
          <w:color w:val="auto"/>
        </w:rPr>
      </w:pPr>
    </w:p>
    <w:p>
      <w:pPr>
        <w:ind w:left="5720"/>
        <w:spacing w:after="0"/>
        <w:rPr>
          <w:sz w:val="20"/>
          <w:szCs w:val="20"/>
          <w:color w:val="auto"/>
        </w:rPr>
      </w:pPr>
      <w:r>
        <w:rPr>
          <w:rFonts w:ascii="Arial" w:cs="Arial" w:eastAsia="Arial" w:hAnsi="Arial"/>
          <w:sz w:val="15"/>
          <w:szCs w:val="15"/>
          <w:color w:val="auto"/>
        </w:rPr>
        <w:t>Name:</w:t>
      </w:r>
    </w:p>
    <w:p>
      <w:pPr>
        <w:spacing w:after="0" w:line="188" w:lineRule="exact"/>
        <w:rPr>
          <w:rFonts w:ascii="Arial" w:cs="Arial" w:eastAsia="Arial" w:hAnsi="Arial"/>
          <w:sz w:val="14"/>
          <w:szCs w:val="14"/>
          <w:color w:val="auto"/>
        </w:rPr>
      </w:pPr>
    </w:p>
    <w:p>
      <w:pPr>
        <w:ind w:left="5720"/>
        <w:spacing w:after="0"/>
        <w:rPr>
          <w:sz w:val="20"/>
          <w:szCs w:val="20"/>
          <w:color w:val="auto"/>
        </w:rPr>
      </w:pPr>
      <w:r>
        <w:rPr>
          <w:rFonts w:ascii="Arial" w:cs="Arial" w:eastAsia="Arial" w:hAnsi="Arial"/>
          <w:sz w:val="15"/>
          <w:szCs w:val="15"/>
          <w:color w:val="auto"/>
        </w:rPr>
        <w:t>Address:</w:t>
      </w:r>
    </w:p>
    <w:p>
      <w:pPr>
        <w:spacing w:after="0" w:line="383" w:lineRule="exact"/>
        <w:rPr>
          <w:rFonts w:ascii="Arial" w:cs="Arial" w:eastAsia="Arial" w:hAnsi="Arial"/>
          <w:sz w:val="14"/>
          <w:szCs w:val="14"/>
          <w:color w:val="auto"/>
        </w:rPr>
      </w:pPr>
    </w:p>
    <w:p>
      <w:pPr>
        <w:ind w:left="5720"/>
        <w:spacing w:after="0"/>
        <w:rPr>
          <w:sz w:val="20"/>
          <w:szCs w:val="20"/>
          <w:color w:val="auto"/>
        </w:rPr>
      </w:pPr>
      <w:r>
        <w:rPr>
          <w:rFonts w:ascii="Arial" w:cs="Arial" w:eastAsia="Arial" w:hAnsi="Arial"/>
          <w:sz w:val="15"/>
          <w:szCs w:val="15"/>
          <w:color w:val="auto"/>
        </w:rPr>
        <w:t>Accepted and Agreed:</w:t>
      </w:r>
    </w:p>
    <w:p>
      <w:pPr>
        <w:spacing w:after="0" w:line="198" w:lineRule="exact"/>
        <w:rPr>
          <w:rFonts w:ascii="Arial" w:cs="Arial" w:eastAsia="Arial" w:hAnsi="Arial"/>
          <w:sz w:val="14"/>
          <w:szCs w:val="14"/>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rFonts w:ascii="Arial" w:cs="Arial" w:eastAsia="Arial" w:hAnsi="Arial"/>
          <w:sz w:val="14"/>
          <w:szCs w:val="14"/>
          <w:color w:val="auto"/>
        </w:rPr>
      </w:pPr>
    </w:p>
    <w:p>
      <w:pPr>
        <w:ind w:left="5720"/>
        <w:spacing w:after="0"/>
        <w:tabs>
          <w:tab w:leader="none" w:pos="62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3" w:lineRule="exact"/>
        <w:rPr>
          <w:rFonts w:ascii="Arial" w:cs="Arial" w:eastAsia="Arial" w:hAnsi="Arial"/>
          <w:sz w:val="14"/>
          <w:szCs w:val="14"/>
          <w:color w:val="auto"/>
        </w:rPr>
      </w:pPr>
    </w:p>
    <w:p>
      <w:pPr>
        <w:ind w:left="5720"/>
        <w:spacing w:after="0"/>
        <w:rPr>
          <w:sz w:val="20"/>
          <w:szCs w:val="20"/>
          <w:color w:val="auto"/>
        </w:rPr>
      </w:pPr>
      <w:r>
        <w:rPr>
          <w:rFonts w:ascii="Arial" w:cs="Arial" w:eastAsia="Arial" w:hAnsi="Arial"/>
          <w:sz w:val="15"/>
          <w:szCs w:val="15"/>
          <w:color w:val="auto"/>
        </w:rPr>
        <w:t>Name: Werner Cautreels, Ph.D.</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3981450</wp:posOffset>
            </wp:positionH>
            <wp:positionV relativeFrom="paragraph">
              <wp:posOffset>-108585</wp:posOffset>
            </wp:positionV>
            <wp:extent cx="3279775" cy="762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327977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 President and Chief Executive Officer</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82"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5"/>
          <w:szCs w:val="15"/>
          <w:u w:val="single" w:color="auto"/>
          <w:color w:val="auto"/>
        </w:rPr>
        <w:t>EXHIBIT A</w:t>
      </w:r>
    </w:p>
    <w:p>
      <w:pPr>
        <w:spacing w:after="0" w:line="198"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5"/>
          <w:szCs w:val="15"/>
          <w:u w:val="single" w:color="auto"/>
          <w:color w:val="auto"/>
        </w:rPr>
        <w:t>Excluded Confidential Information and Inventions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86"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C</w:t>
      </w:r>
    </w:p>
    <w:p>
      <w:pPr>
        <w:spacing w:after="0" w:line="198"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5"/>
          <w:szCs w:val="15"/>
          <w:b w:val="1"/>
          <w:bCs w:val="1"/>
          <w:color w:val="auto"/>
        </w:rPr>
        <w:t>Form of Indemnification Agreement</w:t>
      </w:r>
    </w:p>
    <w:p>
      <w:pPr>
        <w:spacing w:after="0" w:line="204"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5"/>
          <w:szCs w:val="15"/>
          <w:color w:val="auto"/>
        </w:rPr>
        <w:t>[attached]</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129" w:right="219" w:bottom="904" w:gutter="0" w:footer="0" w:header="0"/>
        </w:sectPr>
      </w:pPr>
    </w:p>
    <w:bookmarkStart w:id="404" w:name="page405"/>
    <w:bookmarkEnd w:id="404"/>
    <w:p>
      <w:pPr>
        <w:jc w:val="right"/>
        <w:spacing w:after="0"/>
        <w:rPr>
          <w:sz w:val="20"/>
          <w:szCs w:val="20"/>
          <w:color w:val="auto"/>
        </w:rPr>
      </w:pPr>
      <w:r>
        <w:rPr>
          <w:rFonts w:ascii="Arial" w:cs="Arial" w:eastAsia="Arial" w:hAnsi="Arial"/>
          <w:sz w:val="15"/>
          <w:szCs w:val="15"/>
          <w:b w:val="1"/>
          <w:bCs w:val="1"/>
          <w:color w:val="auto"/>
        </w:rPr>
        <w:t>Exhibit 10.21</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Employment Agreement</w:t>
      </w:r>
    </w:p>
    <w:p>
      <w:pPr>
        <w:spacing w:after="0" w:line="204" w:lineRule="exact"/>
        <w:rPr>
          <w:sz w:val="20"/>
          <w:szCs w:val="20"/>
          <w:color w:val="auto"/>
        </w:rPr>
      </w:pPr>
    </w:p>
    <w:p>
      <w:pPr>
        <w:ind w:left="7" w:right="440" w:firstLine="556"/>
        <w:spacing w:after="0" w:line="327" w:lineRule="auto"/>
        <w:rPr>
          <w:sz w:val="20"/>
          <w:szCs w:val="20"/>
          <w:color w:val="auto"/>
        </w:rPr>
      </w:pPr>
      <w:r>
        <w:rPr>
          <w:rFonts w:ascii="Arial" w:cs="Arial" w:eastAsia="Arial" w:hAnsi="Arial"/>
          <w:sz w:val="14"/>
          <w:szCs w:val="14"/>
          <w:color w:val="auto"/>
        </w:rPr>
        <w:t>This Employment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June 6, 2016, is made by and between Selecta Biosciences, Inc., a Delaware corporation (together with any successor thereto, the “</w:t>
      </w:r>
      <w:r>
        <w:rPr>
          <w:rFonts w:ascii="Arial" w:cs="Arial" w:eastAsia="Arial" w:hAnsi="Arial"/>
          <w:sz w:val="14"/>
          <w:szCs w:val="14"/>
          <w:u w:val="single" w:color="auto"/>
          <w:color w:val="auto"/>
        </w:rPr>
        <w:t>Company</w:t>
      </w:r>
      <w:r>
        <w:rPr>
          <w:rFonts w:ascii="Arial" w:cs="Arial" w:eastAsia="Arial" w:hAnsi="Arial"/>
          <w:sz w:val="14"/>
          <w:szCs w:val="14"/>
          <w:color w:val="auto"/>
        </w:rPr>
        <w:t>”), and Lloyd Johnston, Ph.D. (“</w:t>
      </w:r>
      <w:r>
        <w:rPr>
          <w:rFonts w:ascii="Arial" w:cs="Arial" w:eastAsia="Arial" w:hAnsi="Arial"/>
          <w:sz w:val="14"/>
          <w:szCs w:val="14"/>
          <w:u w:val="single" w:color="auto"/>
          <w:color w:val="auto"/>
        </w:rPr>
        <w:t>Executive</w:t>
      </w:r>
      <w:r>
        <w:rPr>
          <w:rFonts w:ascii="Arial" w:cs="Arial" w:eastAsia="Arial" w:hAnsi="Arial"/>
          <w:sz w:val="14"/>
          <w:szCs w:val="14"/>
          <w:color w:val="auto"/>
        </w:rPr>
        <w:t>”) (collectively referred to as the “</w:t>
      </w:r>
      <w:r>
        <w:rPr>
          <w:rFonts w:ascii="Arial" w:cs="Arial" w:eastAsia="Arial" w:hAnsi="Arial"/>
          <w:sz w:val="14"/>
          <w:szCs w:val="14"/>
          <w:u w:val="single" w:color="auto"/>
          <w:color w:val="auto"/>
        </w:rPr>
        <w:t>Parties</w:t>
      </w:r>
      <w:r>
        <w:rPr>
          <w:rFonts w:ascii="Arial" w:cs="Arial" w:eastAsia="Arial" w:hAnsi="Arial"/>
          <w:sz w:val="14"/>
          <w:szCs w:val="14"/>
          <w:color w:val="auto"/>
        </w:rPr>
        <w:t>” or individually referred to as a “</w:t>
      </w:r>
      <w:r>
        <w:rPr>
          <w:rFonts w:ascii="Arial" w:cs="Arial" w:eastAsia="Arial" w:hAnsi="Arial"/>
          <w:sz w:val="14"/>
          <w:szCs w:val="14"/>
          <w:u w:val="single" w:color="auto"/>
          <w:color w:val="auto"/>
        </w:rPr>
        <w:t>Party</w:t>
      </w:r>
      <w:r>
        <w:rPr>
          <w:rFonts w:ascii="Arial" w:cs="Arial" w:eastAsia="Arial" w:hAnsi="Arial"/>
          <w:sz w:val="14"/>
          <w:szCs w:val="14"/>
          <w:color w:val="auto"/>
        </w:rPr>
        <w:t>”).</w:t>
      </w:r>
    </w:p>
    <w:p>
      <w:pPr>
        <w:spacing w:after="0" w:line="11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RECITALS</w:t>
      </w:r>
    </w:p>
    <w:p>
      <w:pPr>
        <w:spacing w:after="0" w:line="204" w:lineRule="exact"/>
        <w:rPr>
          <w:sz w:val="20"/>
          <w:szCs w:val="20"/>
          <w:color w:val="auto"/>
        </w:rPr>
      </w:pPr>
    </w:p>
    <w:p>
      <w:pPr>
        <w:ind w:left="567" w:hanging="567"/>
        <w:spacing w:after="0"/>
        <w:tabs>
          <w:tab w:leader="none" w:pos="567" w:val="left"/>
        </w:tabs>
        <w:numPr>
          <w:ilvl w:val="0"/>
          <w:numId w:val="485"/>
        </w:numPr>
        <w:rPr>
          <w:rFonts w:ascii="Arial" w:cs="Arial" w:eastAsia="Arial" w:hAnsi="Arial"/>
          <w:sz w:val="14"/>
          <w:szCs w:val="14"/>
          <w:color w:val="auto"/>
        </w:rPr>
      </w:pPr>
      <w:r>
        <w:rPr>
          <w:rFonts w:ascii="Arial" w:cs="Arial" w:eastAsia="Arial" w:hAnsi="Arial"/>
          <w:sz w:val="14"/>
          <w:szCs w:val="14"/>
          <w:color w:val="auto"/>
        </w:rPr>
        <w:t>It is the desire of the Company to assure itself of the services of Executive following the Effective Date (as defined below) and thereafter by entering into this Agreement.</w:t>
      </w:r>
    </w:p>
    <w:p>
      <w:pPr>
        <w:spacing w:after="0" w:line="209" w:lineRule="exact"/>
        <w:rPr>
          <w:rFonts w:ascii="Arial" w:cs="Arial" w:eastAsia="Arial" w:hAnsi="Arial"/>
          <w:sz w:val="14"/>
          <w:szCs w:val="14"/>
          <w:color w:val="auto"/>
        </w:rPr>
      </w:pPr>
    </w:p>
    <w:p>
      <w:pPr>
        <w:ind w:left="567" w:hanging="567"/>
        <w:spacing w:after="0"/>
        <w:tabs>
          <w:tab w:leader="none" w:pos="567" w:val="left"/>
        </w:tabs>
        <w:numPr>
          <w:ilvl w:val="0"/>
          <w:numId w:val="485"/>
        </w:numPr>
        <w:rPr>
          <w:rFonts w:ascii="Arial" w:cs="Arial" w:eastAsia="Arial" w:hAnsi="Arial"/>
          <w:sz w:val="15"/>
          <w:szCs w:val="15"/>
          <w:color w:val="auto"/>
        </w:rPr>
      </w:pPr>
      <w:r>
        <w:rPr>
          <w:rFonts w:ascii="Arial" w:cs="Arial" w:eastAsia="Arial" w:hAnsi="Arial"/>
          <w:sz w:val="15"/>
          <w:szCs w:val="15"/>
          <w:color w:val="auto"/>
        </w:rPr>
        <w:t>Executive and the Company mutually desire that Executive provide services to the Company on the terms herein provided.</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AGREEMENT</w:t>
      </w:r>
    </w:p>
    <w:p>
      <w:pPr>
        <w:spacing w:after="0" w:line="204" w:lineRule="exact"/>
        <w:rPr>
          <w:sz w:val="20"/>
          <w:szCs w:val="20"/>
          <w:color w:val="auto"/>
        </w:rPr>
      </w:pPr>
    </w:p>
    <w:p>
      <w:pPr>
        <w:ind w:left="547"/>
        <w:spacing w:after="0"/>
        <w:rPr>
          <w:sz w:val="20"/>
          <w:szCs w:val="20"/>
          <w:color w:val="auto"/>
        </w:rPr>
      </w:pPr>
      <w:r>
        <w:rPr>
          <w:rFonts w:ascii="Arial" w:cs="Arial" w:eastAsia="Arial" w:hAnsi="Arial"/>
          <w:sz w:val="15"/>
          <w:szCs w:val="15"/>
          <w:color w:val="auto"/>
        </w:rPr>
        <w:t>NOW, THEREFORE, in consideration of the foregoing and of the respective covenants and agreements set forth below, the Parties hereto agree as follows:</w:t>
      </w:r>
    </w:p>
    <w:p>
      <w:pPr>
        <w:spacing w:after="0" w:line="192" w:lineRule="exact"/>
        <w:rPr>
          <w:sz w:val="20"/>
          <w:szCs w:val="20"/>
          <w:color w:val="auto"/>
        </w:rPr>
      </w:pPr>
    </w:p>
    <w:p>
      <w:pPr>
        <w:ind w:left="547" w:hanging="547"/>
        <w:spacing w:after="0"/>
        <w:tabs>
          <w:tab w:leader="none" w:pos="547" w:val="left"/>
        </w:tabs>
        <w:numPr>
          <w:ilvl w:val="0"/>
          <w:numId w:val="48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Employment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60" w:firstLine="549"/>
        <w:spacing w:after="0" w:line="273" w:lineRule="auto"/>
        <w:tabs>
          <w:tab w:leader="none" w:pos="1117" w:val="left"/>
        </w:tabs>
        <w:numPr>
          <w:ilvl w:val="1"/>
          <w:numId w:val="486"/>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Effective on the closing of the Company’s initial public offering of stock pursuant to an effective registration statement filed under the Securities Act of 1933, as amended (the “</w:t>
      </w:r>
      <w:r>
        <w:rPr>
          <w:rFonts w:ascii="Arial" w:cs="Arial" w:eastAsia="Arial" w:hAnsi="Arial"/>
          <w:sz w:val="15"/>
          <w:szCs w:val="15"/>
          <w:u w:val="single" w:color="auto"/>
          <w:color w:val="auto"/>
        </w:rPr>
        <w:t>Effective Date</w:t>
      </w:r>
      <w:r>
        <w:rPr>
          <w:rFonts w:ascii="Arial" w:cs="Arial" w:eastAsia="Arial" w:hAnsi="Arial"/>
          <w:sz w:val="15"/>
          <w:szCs w:val="15"/>
          <w:color w:val="auto"/>
        </w:rPr>
        <w:t xml:space="preserve">”), the Company shall employ Executive and Executive shall remain in the employ of the Company, for the period and in the positions set forth in this </w:t>
      </w:r>
      <w:r>
        <w:rPr>
          <w:rFonts w:ascii="Arial" w:cs="Arial" w:eastAsia="Arial" w:hAnsi="Arial"/>
          <w:sz w:val="15"/>
          <w:szCs w:val="15"/>
          <w:u w:val="single" w:color="auto"/>
          <w:color w:val="auto"/>
        </w:rPr>
        <w:t>Section 1</w:t>
      </w:r>
      <w:r>
        <w:rPr>
          <w:rFonts w:ascii="Arial" w:cs="Arial" w:eastAsia="Arial" w:hAnsi="Arial"/>
          <w:sz w:val="15"/>
          <w:szCs w:val="15"/>
          <w:color w:val="auto"/>
        </w:rPr>
        <w:t>, and subject to the other terms and conditions herein provided.</w:t>
      </w:r>
    </w:p>
    <w:p>
      <w:pPr>
        <w:spacing w:after="0" w:line="152" w:lineRule="exact"/>
        <w:rPr>
          <w:rFonts w:ascii="Arial" w:cs="Arial" w:eastAsia="Arial" w:hAnsi="Arial"/>
          <w:sz w:val="15"/>
          <w:szCs w:val="15"/>
          <w:color w:val="auto"/>
        </w:rPr>
      </w:pPr>
    </w:p>
    <w:p>
      <w:pPr>
        <w:ind w:left="7" w:firstLine="549"/>
        <w:spacing w:after="0" w:line="264" w:lineRule="auto"/>
        <w:tabs>
          <w:tab w:leader="none" w:pos="1125" w:val="left"/>
        </w:tabs>
        <w:numPr>
          <w:ilvl w:val="1"/>
          <w:numId w:val="486"/>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5"/>
          <w:szCs w:val="15"/>
          <w:u w:val="single" w:color="auto"/>
          <w:color w:val="auto"/>
        </w:rPr>
        <w:t>Section 3(b)</w:t>
      </w:r>
      <w:r>
        <w:rPr>
          <w:rFonts w:ascii="Arial" w:cs="Arial" w:eastAsia="Arial" w:hAnsi="Arial"/>
          <w:sz w:val="15"/>
          <w:szCs w:val="15"/>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5"/>
          <w:szCs w:val="15"/>
          <w:u w:val="single" w:color="auto"/>
          <w:color w:val="auto"/>
        </w:rPr>
        <w:t>Term</w:t>
      </w:r>
      <w:r>
        <w:rPr>
          <w:rFonts w:ascii="Arial" w:cs="Arial" w:eastAsia="Arial" w:hAnsi="Arial"/>
          <w:sz w:val="15"/>
          <w:szCs w:val="15"/>
          <w:color w:val="auto"/>
        </w:rPr>
        <w:t xml:space="preserve">”) shall commence on the Effective Date and end on the date this Agreement is terminated under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left="7" w:right="120" w:firstLine="549"/>
        <w:spacing w:after="0" w:line="286" w:lineRule="auto"/>
        <w:tabs>
          <w:tab w:leader="none" w:pos="1128" w:val="left"/>
        </w:tabs>
        <w:numPr>
          <w:ilvl w:val="1"/>
          <w:numId w:val="486"/>
        </w:numPr>
        <w:rPr>
          <w:rFonts w:ascii="Arial" w:cs="Arial" w:eastAsia="Arial" w:hAnsi="Arial"/>
          <w:sz w:val="14"/>
          <w:szCs w:val="14"/>
          <w:color w:val="auto"/>
        </w:rPr>
      </w:pPr>
      <w:r>
        <w:rPr>
          <w:rFonts w:ascii="Arial" w:cs="Arial" w:eastAsia="Arial" w:hAnsi="Arial"/>
          <w:sz w:val="14"/>
          <w:szCs w:val="14"/>
          <w:u w:val="single" w:color="auto"/>
          <w:color w:val="auto"/>
        </w:rPr>
        <w:t>Positions and Duties</w:t>
      </w:r>
      <w:r>
        <w:rPr>
          <w:rFonts w:ascii="Arial" w:cs="Arial" w:eastAsia="Arial" w:hAnsi="Arial"/>
          <w:sz w:val="14"/>
          <w:szCs w:val="14"/>
          <w:color w:val="auto"/>
        </w:rPr>
        <w:t>. Executive shall serve as Chief Operating Officer and Senior Vice President, Research and Development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Arial" w:cs="Arial" w:eastAsia="Arial" w:hAnsi="Arial"/>
          <w:sz w:val="14"/>
          <w:szCs w:val="14"/>
          <w:u w:val="single" w:color="auto"/>
          <w:color w:val="auto"/>
        </w:rPr>
        <w:t>Restrictive Covenant Agreement</w:t>
      </w:r>
      <w:r>
        <w:rPr>
          <w:rFonts w:ascii="Arial" w:cs="Arial" w:eastAsia="Arial" w:hAnsi="Arial"/>
          <w:sz w:val="14"/>
          <w:szCs w:val="14"/>
          <w:color w:val="auto"/>
        </w:rPr>
        <w:t>”). Executive agrees to observe and comply with the rules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85990" cy="2730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 w:right="580"/>
        <w:spacing w:after="0" w:line="289" w:lineRule="auto"/>
        <w:rPr>
          <w:sz w:val="20"/>
          <w:szCs w:val="20"/>
          <w:color w:val="auto"/>
        </w:rPr>
      </w:pPr>
      <w:r>
        <w:rPr>
          <w:rFonts w:ascii="Arial" w:cs="Arial" w:eastAsia="Arial" w:hAnsi="Arial"/>
          <w:sz w:val="15"/>
          <w:szCs w:val="15"/>
          <w:color w:val="auto"/>
        </w:rPr>
        <w:t>policies of the Company as adopted by the Company from time to time, in each case as amended from time to time, as set forth in writing, and as delivered or made available to Executive (each, a “</w:t>
      </w:r>
      <w:r>
        <w:rPr>
          <w:rFonts w:ascii="Arial" w:cs="Arial" w:eastAsia="Arial" w:hAnsi="Arial"/>
          <w:sz w:val="15"/>
          <w:szCs w:val="15"/>
          <w:u w:val="single" w:color="auto"/>
          <w:color w:val="auto"/>
        </w:rPr>
        <w:t>Policy</w:t>
      </w:r>
      <w:r>
        <w:rPr>
          <w:rFonts w:ascii="Arial" w:cs="Arial" w:eastAsia="Arial" w:hAnsi="Arial"/>
          <w:sz w:val="15"/>
          <w:szCs w:val="15"/>
          <w:color w:val="auto"/>
        </w:rPr>
        <w:t>”).</w:t>
      </w:r>
    </w:p>
    <w:p>
      <w:pPr>
        <w:spacing w:after="0" w:line="135" w:lineRule="exact"/>
        <w:rPr>
          <w:sz w:val="20"/>
          <w:szCs w:val="20"/>
          <w:color w:val="auto"/>
        </w:rPr>
      </w:pPr>
    </w:p>
    <w:p>
      <w:pPr>
        <w:ind w:left="547" w:hanging="547"/>
        <w:spacing w:after="0"/>
        <w:tabs>
          <w:tab w:leader="none" w:pos="547" w:val="left"/>
        </w:tabs>
        <w:numPr>
          <w:ilvl w:val="0"/>
          <w:numId w:val="48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Compensation and Related Matters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jc w:val="both"/>
        <w:ind w:left="7" w:right="20" w:firstLine="549"/>
        <w:spacing w:after="0" w:line="268" w:lineRule="auto"/>
        <w:tabs>
          <w:tab w:leader="none" w:pos="1117" w:val="left"/>
        </w:tabs>
        <w:numPr>
          <w:ilvl w:val="1"/>
          <w:numId w:val="487"/>
        </w:numPr>
        <w:rPr>
          <w:rFonts w:ascii="Arial" w:cs="Arial" w:eastAsia="Arial" w:hAnsi="Arial"/>
          <w:sz w:val="15"/>
          <w:szCs w:val="15"/>
          <w:color w:val="auto"/>
        </w:rPr>
      </w:pPr>
      <w:r>
        <w:rPr>
          <w:rFonts w:ascii="Arial" w:cs="Arial" w:eastAsia="Arial" w:hAnsi="Arial"/>
          <w:sz w:val="15"/>
          <w:szCs w:val="15"/>
          <w:u w:val="single" w:color="auto"/>
          <w:color w:val="auto"/>
        </w:rPr>
        <w:t>Annual Base Salary</w:t>
      </w:r>
      <w:r>
        <w:rPr>
          <w:rFonts w:ascii="Arial" w:cs="Arial" w:eastAsia="Arial" w:hAnsi="Arial"/>
          <w:sz w:val="15"/>
          <w:szCs w:val="15"/>
          <w:color w:val="auto"/>
        </w:rPr>
        <w:t>. During the Term, Executive shall receive a base salary at a rate of $318,000 per annum, which shall be paid in accordance with the customary payroll practices of the Company and shall be pro-rated for partial years of employment. Such annual base salary shall be reviewed (and may be increased) from time to time by the Board of Directors of the Company or an authorized committee of the Board (in either case, the “</w:t>
      </w:r>
      <w:r>
        <w:rPr>
          <w:rFonts w:ascii="Arial" w:cs="Arial" w:eastAsia="Arial" w:hAnsi="Arial"/>
          <w:sz w:val="15"/>
          <w:szCs w:val="15"/>
          <w:u w:val="single" w:color="auto"/>
          <w:color w:val="auto"/>
        </w:rPr>
        <w:t>Board</w:t>
      </w:r>
      <w:r>
        <w:rPr>
          <w:rFonts w:ascii="Arial" w:cs="Arial" w:eastAsia="Arial" w:hAnsi="Arial"/>
          <w:sz w:val="15"/>
          <w:szCs w:val="15"/>
          <w:color w:val="auto"/>
        </w:rPr>
        <w:t>”) (such annual base salary, as it may be increased from time to time, the “</w:t>
      </w:r>
      <w:r>
        <w:rPr>
          <w:rFonts w:ascii="Arial" w:cs="Arial" w:eastAsia="Arial" w:hAnsi="Arial"/>
          <w:sz w:val="15"/>
          <w:szCs w:val="15"/>
          <w:u w:val="single" w:color="auto"/>
          <w:color w:val="auto"/>
        </w:rPr>
        <w:t>Annual</w:t>
      </w:r>
      <w:r>
        <w:rPr>
          <w:rFonts w:ascii="Arial" w:cs="Arial" w:eastAsia="Arial" w:hAnsi="Arial"/>
          <w:sz w:val="15"/>
          <w:szCs w:val="15"/>
          <w:color w:val="auto"/>
        </w:rPr>
        <w:t xml:space="preserve"> </w:t>
      </w:r>
      <w:r>
        <w:rPr>
          <w:rFonts w:ascii="Arial" w:cs="Arial" w:eastAsia="Arial" w:hAnsi="Arial"/>
          <w:sz w:val="15"/>
          <w:szCs w:val="15"/>
          <w:u w:val="single" w:color="auto"/>
          <w:color w:val="auto"/>
        </w:rPr>
        <w:t>Base Salary</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ind w:left="7" w:right="100" w:firstLine="549"/>
        <w:spacing w:after="0" w:line="268" w:lineRule="auto"/>
        <w:tabs>
          <w:tab w:leader="none" w:pos="1125" w:val="left"/>
        </w:tabs>
        <w:numPr>
          <w:ilvl w:val="1"/>
          <w:numId w:val="487"/>
        </w:numPr>
        <w:rPr>
          <w:rFonts w:ascii="Arial" w:cs="Arial" w:eastAsia="Arial" w:hAnsi="Arial"/>
          <w:sz w:val="15"/>
          <w:szCs w:val="15"/>
          <w:color w:val="auto"/>
        </w:rPr>
      </w:pPr>
      <w:r>
        <w:rPr>
          <w:rFonts w:ascii="Arial" w:cs="Arial" w:eastAsia="Arial" w:hAnsi="Arial"/>
          <w:sz w:val="15"/>
          <w:szCs w:val="15"/>
          <w:u w:val="single" w:color="auto"/>
          <w:color w:val="auto"/>
        </w:rPr>
        <w:t>Bonus</w:t>
      </w:r>
      <w:r>
        <w:rPr>
          <w:rFonts w:ascii="Arial" w:cs="Arial" w:eastAsia="Arial" w:hAnsi="Arial"/>
          <w:sz w:val="15"/>
          <w:szCs w:val="15"/>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5"/>
          <w:szCs w:val="15"/>
          <w:u w:val="single" w:color="auto"/>
          <w:color w:val="auto"/>
        </w:rPr>
        <w:t>Annual Bonus</w:t>
      </w:r>
      <w:r>
        <w:rPr>
          <w:rFonts w:ascii="Arial" w:cs="Arial" w:eastAsia="Arial" w:hAnsi="Arial"/>
          <w:sz w:val="15"/>
          <w:szCs w:val="15"/>
          <w:color w:val="auto"/>
        </w:rPr>
        <w:t>”) shall be targeted at 35% of Executive’s Annual Base Salary (the “</w:t>
      </w:r>
      <w:r>
        <w:rPr>
          <w:rFonts w:ascii="Arial" w:cs="Arial" w:eastAsia="Arial" w:hAnsi="Arial"/>
          <w:sz w:val="15"/>
          <w:szCs w:val="15"/>
          <w:u w:val="single" w:color="auto"/>
          <w:color w:val="auto"/>
        </w:rPr>
        <w:t>Target Bonus</w:t>
      </w:r>
      <w:r>
        <w:rPr>
          <w:rFonts w:ascii="Arial" w:cs="Arial" w:eastAsia="Arial" w:hAnsi="Arial"/>
          <w:sz w:val="15"/>
          <w:szCs w:val="15"/>
          <w:color w:val="auto"/>
        </w:rPr>
        <w:t>”). The Annual Bonus payable under the incentive program shall be based on the achievement of performance goals to be determined by the Board. The payment of any Annual Bonus pursuant to the incentive program will be made on or before March 15 of the year following the year in which such Annual Bonus is earned.</w:t>
      </w:r>
    </w:p>
    <w:p>
      <w:pPr>
        <w:spacing w:after="0" w:line="156" w:lineRule="exact"/>
        <w:rPr>
          <w:rFonts w:ascii="Arial" w:cs="Arial" w:eastAsia="Arial" w:hAnsi="Arial"/>
          <w:sz w:val="15"/>
          <w:szCs w:val="15"/>
          <w:color w:val="auto"/>
        </w:rPr>
      </w:pPr>
    </w:p>
    <w:p>
      <w:pPr>
        <w:ind w:left="7" w:right="100" w:firstLine="549"/>
        <w:spacing w:after="0" w:line="273" w:lineRule="auto"/>
        <w:tabs>
          <w:tab w:leader="none" w:pos="1128" w:val="left"/>
        </w:tabs>
        <w:numPr>
          <w:ilvl w:val="1"/>
          <w:numId w:val="487"/>
        </w:numPr>
        <w:rPr>
          <w:rFonts w:ascii="Arial" w:cs="Arial" w:eastAsia="Arial" w:hAnsi="Arial"/>
          <w:sz w:val="15"/>
          <w:szCs w:val="15"/>
          <w:color w:val="auto"/>
        </w:rPr>
      </w:pPr>
      <w:r>
        <w:rPr>
          <w:rFonts w:ascii="Arial" w:cs="Arial" w:eastAsia="Arial" w:hAnsi="Arial"/>
          <w:sz w:val="15"/>
          <w:szCs w:val="15"/>
          <w:u w:val="single" w:color="auto"/>
          <w:color w:val="auto"/>
        </w:rPr>
        <w:t>Benefits</w:t>
      </w:r>
      <w:r>
        <w:rPr>
          <w:rFonts w:ascii="Arial" w:cs="Arial" w:eastAsia="Arial" w:hAnsi="Arial"/>
          <w:sz w:val="15"/>
          <w:szCs w:val="15"/>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this Agreement.</w:t>
      </w:r>
    </w:p>
    <w:p>
      <w:pPr>
        <w:spacing w:after="0" w:line="152" w:lineRule="exact"/>
        <w:rPr>
          <w:rFonts w:ascii="Arial" w:cs="Arial" w:eastAsia="Arial" w:hAnsi="Arial"/>
          <w:sz w:val="15"/>
          <w:szCs w:val="15"/>
          <w:color w:val="auto"/>
        </w:rPr>
      </w:pPr>
    </w:p>
    <w:p>
      <w:pPr>
        <w:ind w:left="7" w:right="60" w:firstLine="549"/>
        <w:spacing w:after="0" w:line="302" w:lineRule="auto"/>
        <w:tabs>
          <w:tab w:leader="none" w:pos="1125" w:val="left"/>
        </w:tabs>
        <w:numPr>
          <w:ilvl w:val="1"/>
          <w:numId w:val="487"/>
        </w:numPr>
        <w:rPr>
          <w:rFonts w:ascii="Arial" w:cs="Arial" w:eastAsia="Arial" w:hAnsi="Arial"/>
          <w:sz w:val="14"/>
          <w:szCs w:val="14"/>
          <w:color w:val="auto"/>
        </w:rPr>
      </w:pPr>
      <w:r>
        <w:rPr>
          <w:rFonts w:ascii="Arial" w:cs="Arial" w:eastAsia="Arial" w:hAnsi="Arial"/>
          <w:sz w:val="14"/>
          <w:szCs w:val="14"/>
          <w:u w:val="single" w:color="auto"/>
          <w:color w:val="auto"/>
        </w:rPr>
        <w:t>Vacation</w:t>
      </w:r>
      <w:r>
        <w:rPr>
          <w:rFonts w:ascii="Arial" w:cs="Arial" w:eastAsia="Arial" w:hAnsi="Arial"/>
          <w:sz w:val="14"/>
          <w:szCs w:val="14"/>
          <w:color w:val="auto"/>
        </w:rPr>
        <w:t>. During the Term, Executive shall be entitled to four weeks of paid personal leave, or paid personal leave per calendar year in accordance with the Company’s Policies, whichever is greater. Vacation days accrued, but not used by the end of any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33" w:lineRule="exact"/>
        <w:rPr>
          <w:rFonts w:ascii="Arial" w:cs="Arial" w:eastAsia="Arial" w:hAnsi="Arial"/>
          <w:sz w:val="14"/>
          <w:szCs w:val="14"/>
          <w:color w:val="auto"/>
        </w:rPr>
      </w:pPr>
    </w:p>
    <w:p>
      <w:pPr>
        <w:ind w:left="7" w:right="400" w:firstLine="549"/>
        <w:spacing w:after="0" w:line="289" w:lineRule="auto"/>
        <w:tabs>
          <w:tab w:leader="none" w:pos="1128" w:val="left"/>
        </w:tabs>
        <w:numPr>
          <w:ilvl w:val="1"/>
          <w:numId w:val="487"/>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40" w:lineRule="exact"/>
        <w:rPr>
          <w:rFonts w:ascii="Arial" w:cs="Arial" w:eastAsia="Arial" w:hAnsi="Arial"/>
          <w:sz w:val="15"/>
          <w:szCs w:val="15"/>
          <w:color w:val="auto"/>
        </w:rPr>
      </w:pPr>
    </w:p>
    <w:p>
      <w:pPr>
        <w:ind w:left="7" w:right="20" w:firstLine="549"/>
        <w:spacing w:after="0" w:line="265" w:lineRule="auto"/>
        <w:tabs>
          <w:tab w:leader="none" w:pos="1123" w:val="left"/>
        </w:tabs>
        <w:numPr>
          <w:ilvl w:val="1"/>
          <w:numId w:val="487"/>
        </w:numPr>
        <w:rPr>
          <w:rFonts w:ascii="Arial" w:cs="Arial" w:eastAsia="Arial" w:hAnsi="Arial"/>
          <w:sz w:val="15"/>
          <w:szCs w:val="15"/>
          <w:color w:val="auto"/>
        </w:rPr>
      </w:pPr>
      <w:r>
        <w:rPr>
          <w:rFonts w:ascii="Arial" w:cs="Arial" w:eastAsia="Arial" w:hAnsi="Arial"/>
          <w:sz w:val="15"/>
          <w:szCs w:val="15"/>
          <w:u w:val="single" w:color="auto"/>
          <w:color w:val="auto"/>
        </w:rPr>
        <w:t>Key Person Insurance</w:t>
      </w:r>
      <w:r>
        <w:rPr>
          <w:rFonts w:ascii="Arial" w:cs="Arial" w:eastAsia="Arial" w:hAnsi="Arial"/>
          <w:sz w:val="15"/>
          <w:szCs w:val="15"/>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59" w:lineRule="exact"/>
        <w:rPr>
          <w:rFonts w:ascii="Arial" w:cs="Arial" w:eastAsia="Arial" w:hAnsi="Arial"/>
          <w:sz w:val="15"/>
          <w:szCs w:val="15"/>
          <w:color w:val="auto"/>
        </w:rPr>
      </w:pPr>
    </w:p>
    <w:p>
      <w:pPr>
        <w:ind w:left="1127" w:hanging="571"/>
        <w:spacing w:after="0"/>
        <w:tabs>
          <w:tab w:leader="none" w:pos="1127" w:val="left"/>
        </w:tabs>
        <w:numPr>
          <w:ilvl w:val="1"/>
          <w:numId w:val="487"/>
        </w:numPr>
        <w:rPr>
          <w:rFonts w:ascii="Arial" w:cs="Arial" w:eastAsia="Arial" w:hAnsi="Arial"/>
          <w:sz w:val="14"/>
          <w:szCs w:val="14"/>
          <w:color w:val="auto"/>
        </w:rPr>
      </w:pPr>
      <w:r>
        <w:rPr>
          <w:rFonts w:ascii="Arial" w:cs="Arial" w:eastAsia="Arial" w:hAnsi="Arial"/>
          <w:sz w:val="14"/>
          <w:szCs w:val="14"/>
          <w:u w:val="single" w:color="auto"/>
          <w:color w:val="auto"/>
        </w:rPr>
        <w:t>Life Insurance</w:t>
      </w:r>
      <w:r>
        <w:rPr>
          <w:rFonts w:ascii="Arial" w:cs="Arial" w:eastAsia="Arial" w:hAnsi="Arial"/>
          <w:sz w:val="14"/>
          <w:szCs w:val="14"/>
          <w:color w:val="auto"/>
        </w:rPr>
        <w:t>. Subject to Executive’s satisfaction of eligibility requirements during the Term, the Company will maintain a term life insurance policy for Executive in</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the</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rPr>
          <w:sz w:val="20"/>
          <w:szCs w:val="20"/>
          <w:color w:val="auto"/>
        </w:rPr>
      </w:pPr>
      <w:r>
        <w:rPr>
          <w:rFonts w:ascii="Arial" w:cs="Arial" w:eastAsia="Arial" w:hAnsi="Arial"/>
          <w:sz w:val="15"/>
          <w:szCs w:val="15"/>
          <w:color w:val="auto"/>
        </w:rPr>
        <w:t>coverage amount of $230,000 and pay the premiums on such policy while Executive is an employee of the Company.</w:t>
      </w:r>
    </w:p>
    <w:p>
      <w:pPr>
        <w:spacing w:after="0" w:line="192" w:lineRule="exact"/>
        <w:rPr>
          <w:sz w:val="20"/>
          <w:szCs w:val="20"/>
          <w:color w:val="auto"/>
        </w:rPr>
      </w:pPr>
    </w:p>
    <w:p>
      <w:pPr>
        <w:ind w:left="547" w:hanging="547"/>
        <w:spacing w:after="0"/>
        <w:tabs>
          <w:tab w:leader="none" w:pos="547" w:val="left"/>
        </w:tabs>
        <w:numPr>
          <w:ilvl w:val="0"/>
          <w:numId w:val="48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Executive’s employment hereunder may be terminated by the Company or Executive, as applicable, without any breach of this Agreement under the following circumstances:</w:t>
      </w:r>
    </w:p>
    <w:p>
      <w:pPr>
        <w:spacing w:after="0" w:line="209" w:lineRule="exact"/>
        <w:rPr>
          <w:rFonts w:ascii="Arial" w:cs="Arial" w:eastAsia="Arial" w:hAnsi="Arial"/>
          <w:sz w:val="15"/>
          <w:szCs w:val="15"/>
          <w:b w:val="1"/>
          <w:bCs w:val="1"/>
          <w:color w:val="auto"/>
        </w:rPr>
      </w:pPr>
    </w:p>
    <w:p>
      <w:pPr>
        <w:ind w:left="1107" w:hanging="551"/>
        <w:spacing w:after="0"/>
        <w:tabs>
          <w:tab w:leader="none" w:pos="1107" w:val="left"/>
        </w:tabs>
        <w:numPr>
          <w:ilvl w:val="1"/>
          <w:numId w:val="488"/>
        </w:numPr>
        <w:rPr>
          <w:rFonts w:ascii="Arial" w:cs="Arial" w:eastAsia="Arial" w:hAnsi="Arial"/>
          <w:sz w:val="15"/>
          <w:szCs w:val="15"/>
          <w:color w:val="auto"/>
        </w:rPr>
      </w:pPr>
      <w:r>
        <w:rPr>
          <w:rFonts w:ascii="Arial" w:cs="Arial" w:eastAsia="Arial" w:hAnsi="Arial"/>
          <w:sz w:val="15"/>
          <w:szCs w:val="15"/>
          <w:u w:val="single" w:color="auto"/>
          <w:color w:val="auto"/>
        </w:rPr>
        <w:t>Circumstances</w:t>
      </w:r>
      <w:r>
        <w:rPr>
          <w:rFonts w:ascii="Arial" w:cs="Arial" w:eastAsia="Arial" w:hAnsi="Arial"/>
          <w:sz w:val="15"/>
          <w:szCs w:val="15"/>
          <w:color w:val="auto"/>
        </w:rPr>
        <w:t>.</w:t>
      </w:r>
    </w:p>
    <w:p>
      <w:pPr>
        <w:sectPr>
          <w:pgSz w:w="11900" w:h="16838" w:orient="portrait"/>
          <w:cols w:equalWidth="0" w:num="1">
            <w:col w:w="11447"/>
          </w:cols>
          <w:pgMar w:left="233" w:top="331" w:right="219" w:bottom="0" w:gutter="0" w:footer="0" w:header="0"/>
        </w:sectPr>
      </w:pPr>
    </w:p>
    <w:bookmarkStart w:id="405" w:name="page406"/>
    <w:bookmarkEnd w:id="405"/>
    <w:p>
      <w:pPr>
        <w:ind w:left="1687" w:hanging="576"/>
        <w:spacing w:after="0"/>
        <w:tabs>
          <w:tab w:leader="none" w:pos="1687" w:val="left"/>
        </w:tabs>
        <w:numPr>
          <w:ilvl w:val="2"/>
          <w:numId w:val="489"/>
        </w:numPr>
        <w:rPr>
          <w:rFonts w:ascii="Arial" w:cs="Arial" w:eastAsia="Arial" w:hAnsi="Arial"/>
          <w:sz w:val="15"/>
          <w:szCs w:val="15"/>
          <w:color w:val="auto"/>
        </w:rPr>
      </w:pPr>
      <w:r>
        <w:rPr>
          <w:rFonts w:ascii="Arial" w:cs="Arial" w:eastAsia="Arial" w:hAnsi="Arial"/>
          <w:sz w:val="15"/>
          <w:szCs w:val="15"/>
          <w:i w:val="1"/>
          <w:iCs w:val="1"/>
          <w:color w:val="auto"/>
        </w:rPr>
        <w:t>Death</w:t>
      </w:r>
      <w:r>
        <w:rPr>
          <w:rFonts w:ascii="Arial" w:cs="Arial" w:eastAsia="Arial" w:hAnsi="Arial"/>
          <w:sz w:val="15"/>
          <w:szCs w:val="15"/>
          <w:color w:val="auto"/>
        </w:rPr>
        <w:t>. Executive’s employment hereunder shall terminate upon Executive’s death.</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89"/>
        </w:numPr>
        <w:rPr>
          <w:rFonts w:ascii="Arial" w:cs="Arial" w:eastAsia="Arial" w:hAnsi="Arial"/>
          <w:sz w:val="15"/>
          <w:szCs w:val="15"/>
          <w:color w:val="auto"/>
        </w:rPr>
      </w:pPr>
      <w:r>
        <w:rPr>
          <w:rFonts w:ascii="Arial" w:cs="Arial" w:eastAsia="Arial" w:hAnsi="Arial"/>
          <w:sz w:val="15"/>
          <w:szCs w:val="15"/>
          <w:i w:val="1"/>
          <w:iCs w:val="1"/>
          <w:color w:val="auto"/>
        </w:rPr>
        <w:t>Disability</w:t>
      </w:r>
      <w:r>
        <w:rPr>
          <w:rFonts w:ascii="Arial" w:cs="Arial" w:eastAsia="Arial" w:hAnsi="Arial"/>
          <w:sz w:val="15"/>
          <w:szCs w:val="15"/>
          <w:color w:val="auto"/>
        </w:rPr>
        <w:t>. If Executive has incurred a Disability, as defined below, the Company may terminate Executive’s employment.</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489"/>
        </w:numPr>
        <w:rPr>
          <w:rFonts w:ascii="Arial" w:cs="Arial" w:eastAsia="Arial" w:hAnsi="Arial"/>
          <w:sz w:val="15"/>
          <w:szCs w:val="15"/>
          <w:color w:val="auto"/>
        </w:rPr>
      </w:pPr>
      <w:r>
        <w:rPr>
          <w:rFonts w:ascii="Arial" w:cs="Arial" w:eastAsia="Arial" w:hAnsi="Arial"/>
          <w:sz w:val="15"/>
          <w:szCs w:val="15"/>
          <w:i w:val="1"/>
          <w:iCs w:val="1"/>
          <w:color w:val="auto"/>
        </w:rPr>
        <w:t>Termination for Cause</w:t>
      </w:r>
      <w:r>
        <w:rPr>
          <w:rFonts w:ascii="Arial" w:cs="Arial" w:eastAsia="Arial" w:hAnsi="Arial"/>
          <w:sz w:val="15"/>
          <w:szCs w:val="15"/>
          <w:color w:val="auto"/>
        </w:rPr>
        <w:t>. The Company may terminate Executive’s employment for Cause, as defined below.</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89"/>
        </w:numPr>
        <w:rPr>
          <w:rFonts w:ascii="Arial" w:cs="Arial" w:eastAsia="Arial" w:hAnsi="Arial"/>
          <w:sz w:val="15"/>
          <w:szCs w:val="15"/>
          <w:color w:val="auto"/>
        </w:rPr>
      </w:pPr>
      <w:r>
        <w:rPr>
          <w:rFonts w:ascii="Arial" w:cs="Arial" w:eastAsia="Arial" w:hAnsi="Arial"/>
          <w:sz w:val="15"/>
          <w:szCs w:val="15"/>
          <w:i w:val="1"/>
          <w:iCs w:val="1"/>
          <w:color w:val="auto"/>
        </w:rPr>
        <w:t>Termination without Cause</w:t>
      </w:r>
      <w:r>
        <w:rPr>
          <w:rFonts w:ascii="Arial" w:cs="Arial" w:eastAsia="Arial" w:hAnsi="Arial"/>
          <w:sz w:val="15"/>
          <w:szCs w:val="15"/>
          <w:color w:val="auto"/>
        </w:rPr>
        <w:t>. The Company may terminate Executive’s employment without Cause.</w:t>
      </w:r>
    </w:p>
    <w:p>
      <w:pPr>
        <w:spacing w:after="0" w:line="198" w:lineRule="exact"/>
        <w:rPr>
          <w:rFonts w:ascii="Arial" w:cs="Arial" w:eastAsia="Arial" w:hAnsi="Arial"/>
          <w:sz w:val="15"/>
          <w:szCs w:val="15"/>
          <w:color w:val="auto"/>
        </w:rPr>
      </w:pPr>
    </w:p>
    <w:p>
      <w:pPr>
        <w:ind w:left="1667" w:hanging="556"/>
        <w:spacing w:after="0"/>
        <w:tabs>
          <w:tab w:leader="none" w:pos="1667" w:val="left"/>
        </w:tabs>
        <w:numPr>
          <w:ilvl w:val="2"/>
          <w:numId w:val="489"/>
        </w:numPr>
        <w:rPr>
          <w:rFonts w:ascii="Arial" w:cs="Arial" w:eastAsia="Arial" w:hAnsi="Arial"/>
          <w:sz w:val="14"/>
          <w:szCs w:val="14"/>
          <w:color w:val="auto"/>
        </w:rPr>
      </w:pPr>
      <w:r>
        <w:rPr>
          <w:rFonts w:ascii="Arial" w:cs="Arial" w:eastAsia="Arial" w:hAnsi="Arial"/>
          <w:sz w:val="14"/>
          <w:szCs w:val="14"/>
          <w:i w:val="1"/>
          <w:iCs w:val="1"/>
          <w:color w:val="auto"/>
        </w:rPr>
        <w:t xml:space="preserve">Resignation from the Company with Good Reason. </w:t>
      </w:r>
      <w:r>
        <w:rPr>
          <w:rFonts w:ascii="Arial" w:cs="Arial" w:eastAsia="Arial" w:hAnsi="Arial"/>
          <w:sz w:val="14"/>
          <w:szCs w:val="14"/>
          <w:color w:val="auto"/>
        </w:rPr>
        <w:t>Executive may resign Executive’s employment with the Company with Good Reason, as defined below.</w:t>
      </w:r>
    </w:p>
    <w:p>
      <w:pPr>
        <w:spacing w:after="0" w:line="209" w:lineRule="exact"/>
        <w:rPr>
          <w:rFonts w:ascii="Arial" w:cs="Arial" w:eastAsia="Arial" w:hAnsi="Arial"/>
          <w:sz w:val="14"/>
          <w:szCs w:val="14"/>
          <w:color w:val="auto"/>
        </w:rPr>
      </w:pPr>
    </w:p>
    <w:p>
      <w:pPr>
        <w:ind w:left="547" w:right="260" w:firstLine="564"/>
        <w:spacing w:after="0" w:line="289" w:lineRule="auto"/>
        <w:tabs>
          <w:tab w:leader="none" w:pos="1674" w:val="left"/>
        </w:tabs>
        <w:numPr>
          <w:ilvl w:val="2"/>
          <w:numId w:val="489"/>
        </w:numPr>
        <w:rPr>
          <w:rFonts w:ascii="Arial" w:cs="Arial" w:eastAsia="Arial" w:hAnsi="Arial"/>
          <w:sz w:val="15"/>
          <w:szCs w:val="15"/>
          <w:color w:val="auto"/>
        </w:rPr>
      </w:pPr>
      <w:r>
        <w:rPr>
          <w:rFonts w:ascii="Arial" w:cs="Arial" w:eastAsia="Arial" w:hAnsi="Arial"/>
          <w:sz w:val="15"/>
          <w:szCs w:val="15"/>
          <w:i w:val="1"/>
          <w:iCs w:val="1"/>
          <w:color w:val="auto"/>
        </w:rPr>
        <w:t>Resignation from the Company Without Good Reason</w:t>
      </w:r>
      <w:r>
        <w:rPr>
          <w:rFonts w:ascii="Arial" w:cs="Arial" w:eastAsia="Arial" w:hAnsi="Arial"/>
          <w:sz w:val="15"/>
          <w:szCs w:val="15"/>
          <w:color w:val="auto"/>
        </w:rPr>
        <w:t>. Executive may resign Executive’s employment with the Company for any reason other than Good</w:t>
      </w:r>
      <w:r>
        <w:rPr>
          <w:rFonts w:ascii="Arial" w:cs="Arial" w:eastAsia="Arial" w:hAnsi="Arial"/>
          <w:sz w:val="15"/>
          <w:szCs w:val="15"/>
          <w:i w:val="1"/>
          <w:iCs w:val="1"/>
          <w:color w:val="auto"/>
        </w:rPr>
        <w:t xml:space="preserve"> </w:t>
      </w:r>
      <w:r>
        <w:rPr>
          <w:rFonts w:ascii="Arial" w:cs="Arial" w:eastAsia="Arial" w:hAnsi="Arial"/>
          <w:sz w:val="15"/>
          <w:szCs w:val="15"/>
          <w:color w:val="auto"/>
        </w:rPr>
        <w:t>Reason or for no reason.</w:t>
      </w:r>
    </w:p>
    <w:p>
      <w:pPr>
        <w:spacing w:after="0" w:line="140" w:lineRule="exact"/>
        <w:rPr>
          <w:rFonts w:ascii="Arial" w:cs="Arial" w:eastAsia="Arial" w:hAnsi="Arial"/>
          <w:sz w:val="15"/>
          <w:szCs w:val="15"/>
          <w:color w:val="auto"/>
        </w:rPr>
      </w:pPr>
    </w:p>
    <w:p>
      <w:pPr>
        <w:ind w:left="7" w:right="80" w:firstLine="549"/>
        <w:spacing w:after="0" w:line="280" w:lineRule="auto"/>
        <w:tabs>
          <w:tab w:leader="none" w:pos="1125" w:val="left"/>
        </w:tabs>
        <w:numPr>
          <w:ilvl w:val="1"/>
          <w:numId w:val="490"/>
        </w:numPr>
        <w:rPr>
          <w:rFonts w:ascii="Arial" w:cs="Arial" w:eastAsia="Arial" w:hAnsi="Arial"/>
          <w:sz w:val="14"/>
          <w:szCs w:val="14"/>
          <w:color w:val="auto"/>
        </w:rPr>
      </w:pP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Any termination of Executive’s employment by the Company or by Executive under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(other than termination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shall be at least thirty (30) days following the date of such notice, but no more than forty</w:t>
      </w:r>
    </w:p>
    <w:p>
      <w:pPr>
        <w:ind w:left="7" w:right="60" w:hanging="7"/>
        <w:spacing w:after="0" w:line="280" w:lineRule="auto"/>
        <w:tabs>
          <w:tab w:leader="none" w:pos="303" w:val="left"/>
        </w:tabs>
        <w:numPr>
          <w:ilvl w:val="0"/>
          <w:numId w:val="491"/>
        </w:numPr>
        <w:rPr>
          <w:rFonts w:ascii="Arial" w:cs="Arial" w:eastAsia="Arial" w:hAnsi="Arial"/>
          <w:sz w:val="14"/>
          <w:szCs w:val="14"/>
          <w:color w:val="auto"/>
        </w:rPr>
      </w:pPr>
      <w:r>
        <w:rPr>
          <w:rFonts w:ascii="Arial" w:cs="Arial" w:eastAsia="Arial" w:hAnsi="Arial"/>
          <w:sz w:val="14"/>
          <w:szCs w:val="14"/>
          <w:color w:val="auto"/>
        </w:rPr>
        <w:t>days following the date of such notice (a “</w:t>
      </w: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4"/>
          <w:szCs w:val="14"/>
          <w:i w:val="1"/>
          <w:iCs w:val="1"/>
          <w:color w:val="auto"/>
        </w:rPr>
        <w:t>provided</w:t>
      </w:r>
      <w:r>
        <w:rPr>
          <w:rFonts w:ascii="Arial" w:cs="Arial" w:eastAsia="Arial" w:hAnsi="Arial"/>
          <w:sz w:val="14"/>
          <w:szCs w:val="14"/>
          <w:color w:val="auto"/>
        </w:rPr>
        <w:t>, in either case,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 Any decision to terminate Executive’s employment for Cause shall be made by a majority vote of the Board after Executive has received written notice from the Board setting forth in reasonable detail the facts and circumstances claimed to provide the basis for the Cause</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rPr>
          <w:sz w:val="20"/>
          <w:szCs w:val="20"/>
          <w:color w:val="auto"/>
        </w:rPr>
      </w:pPr>
      <w:r>
        <w:rPr>
          <w:rFonts w:ascii="Arial" w:cs="Arial" w:eastAsia="Arial" w:hAnsi="Arial"/>
          <w:sz w:val="15"/>
          <w:szCs w:val="15"/>
          <w:color w:val="auto"/>
        </w:rPr>
        <w:t>and the Board has provided the Executive reasonable opportunity to be heard by the Board with counsel present if he chooses.</w:t>
      </w:r>
    </w:p>
    <w:p>
      <w:pPr>
        <w:spacing w:after="0" w:line="198" w:lineRule="exact"/>
        <w:rPr>
          <w:sz w:val="20"/>
          <w:szCs w:val="20"/>
          <w:color w:val="auto"/>
        </w:rPr>
      </w:pPr>
    </w:p>
    <w:p>
      <w:pPr>
        <w:ind w:left="7" w:right="240" w:firstLine="549"/>
        <w:spacing w:after="0" w:line="283" w:lineRule="auto"/>
        <w:tabs>
          <w:tab w:leader="none" w:pos="1128" w:val="left"/>
        </w:tabs>
        <w:numPr>
          <w:ilvl w:val="1"/>
          <w:numId w:val="492"/>
        </w:numPr>
        <w:rPr>
          <w:rFonts w:ascii="Arial" w:cs="Arial" w:eastAsia="Arial" w:hAnsi="Arial"/>
          <w:sz w:val="14"/>
          <w:szCs w:val="14"/>
          <w:color w:val="auto"/>
        </w:rPr>
      </w:pPr>
      <w:r>
        <w:rPr>
          <w:rFonts w:ascii="Arial" w:cs="Arial" w:eastAsia="Arial" w:hAnsi="Arial"/>
          <w:sz w:val="14"/>
          <w:szCs w:val="14"/>
          <w:u w:val="single" w:color="auto"/>
          <w:color w:val="auto"/>
        </w:rPr>
        <w:t>Company Obligations upon Termination</w:t>
      </w:r>
      <w:r>
        <w:rPr>
          <w:rFonts w:ascii="Arial" w:cs="Arial" w:eastAsia="Arial" w:hAnsi="Arial"/>
          <w:sz w:val="14"/>
          <w:szCs w:val="14"/>
          <w:color w:val="auto"/>
        </w:rPr>
        <w:t xml:space="preserve">. Upon termination of Executive’s employment pursuant to any of the circumstances listed in this </w:t>
      </w:r>
      <w:r>
        <w:rPr>
          <w:rFonts w:ascii="Arial" w:cs="Arial" w:eastAsia="Arial" w:hAnsi="Arial"/>
          <w:sz w:val="14"/>
          <w:szCs w:val="14"/>
          <w:u w:val="single" w:color="auto"/>
          <w:color w:val="auto"/>
        </w:rPr>
        <w:t>Section 3</w:t>
      </w:r>
      <w:r>
        <w:rPr>
          <w:rFonts w:ascii="Arial" w:cs="Arial" w:eastAsia="Arial" w:hAnsi="Arial"/>
          <w:sz w:val="14"/>
          <w:szCs w:val="14"/>
          <w:color w:val="auto"/>
        </w:rPr>
        <w:t>, Executive (or Executive’s estate) shall be entitled to receive the sum of: (i) the portion of Executive’s Annual Base Salary earned through the Date of Termination, but not yet paid to Executive;</w:t>
      </w:r>
    </w:p>
    <w:p>
      <w:pPr>
        <w:spacing w:after="0" w:line="1" w:lineRule="exact"/>
        <w:rPr>
          <w:rFonts w:ascii="Arial" w:cs="Arial" w:eastAsia="Arial" w:hAnsi="Arial"/>
          <w:sz w:val="14"/>
          <w:szCs w:val="14"/>
          <w:color w:val="auto"/>
        </w:rPr>
      </w:pPr>
    </w:p>
    <w:p>
      <w:pPr>
        <w:ind w:left="7" w:hanging="7"/>
        <w:spacing w:after="0" w:line="260" w:lineRule="auto"/>
        <w:tabs>
          <w:tab w:leader="none" w:pos="235" w:val="left"/>
        </w:tabs>
        <w:numPr>
          <w:ilvl w:val="0"/>
          <w:numId w:val="493"/>
        </w:numPr>
        <w:rPr>
          <w:rFonts w:ascii="Arial" w:cs="Arial" w:eastAsia="Arial" w:hAnsi="Arial"/>
          <w:sz w:val="15"/>
          <w:szCs w:val="15"/>
          <w:color w:val="auto"/>
        </w:rPr>
      </w:pPr>
      <w:r>
        <w:rPr>
          <w:rFonts w:ascii="Arial" w:cs="Arial" w:eastAsia="Arial" w:hAnsi="Arial"/>
          <w:sz w:val="15"/>
          <w:szCs w:val="15"/>
          <w:color w:val="auto"/>
        </w:rPr>
        <w:t xml:space="preserve">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5"/>
          <w:szCs w:val="15"/>
          <w:u w:val="single" w:color="auto"/>
          <w:color w:val="auto"/>
        </w:rPr>
        <w:t>Section 2(e)</w:t>
      </w:r>
      <w:r>
        <w:rPr>
          <w:rFonts w:ascii="Arial" w:cs="Arial" w:eastAsia="Arial" w:hAnsi="Arial"/>
          <w:sz w:val="15"/>
          <w:szCs w:val="15"/>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5"/>
          <w:szCs w:val="15"/>
          <w:u w:val="single" w:color="auto"/>
          <w:color w:val="auto"/>
        </w:rPr>
        <w:t>Company Arrangements</w:t>
      </w:r>
      <w:r>
        <w:rPr>
          <w:rFonts w:ascii="Arial" w:cs="Arial" w:eastAsia="Arial" w:hAnsi="Arial"/>
          <w:sz w:val="15"/>
          <w:szCs w:val="15"/>
          <w:color w:val="auto"/>
        </w:rPr>
        <w:t>”). Except as otherwise expressly required by law (</w:t>
      </w:r>
      <w:r>
        <w:rPr>
          <w:rFonts w:ascii="Arial" w:cs="Arial" w:eastAsia="Arial" w:hAnsi="Arial"/>
          <w:sz w:val="15"/>
          <w:szCs w:val="15"/>
          <w:u w:val="single" w:color="auto"/>
          <w:color w:val="auto"/>
        </w:rPr>
        <w:t>e.g.</w:t>
      </w:r>
      <w:r>
        <w:rPr>
          <w:rFonts w:ascii="Arial" w:cs="Arial" w:eastAsia="Arial" w:hAnsi="Arial"/>
          <w:sz w:val="15"/>
          <w:szCs w:val="15"/>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64" w:lineRule="exact"/>
        <w:rPr>
          <w:rFonts w:ascii="Arial" w:cs="Arial" w:eastAsia="Arial" w:hAnsi="Arial"/>
          <w:sz w:val="15"/>
          <w:szCs w:val="15"/>
          <w:color w:val="auto"/>
        </w:rPr>
      </w:pPr>
    </w:p>
    <w:p>
      <w:pPr>
        <w:ind w:left="7" w:right="120" w:firstLine="549"/>
        <w:spacing w:after="0" w:line="289" w:lineRule="auto"/>
        <w:tabs>
          <w:tab w:leader="none" w:pos="1125" w:val="left"/>
        </w:tabs>
        <w:numPr>
          <w:ilvl w:val="1"/>
          <w:numId w:val="493"/>
        </w:numPr>
        <w:rPr>
          <w:rFonts w:ascii="Arial" w:cs="Arial" w:eastAsia="Arial" w:hAnsi="Arial"/>
          <w:sz w:val="15"/>
          <w:szCs w:val="15"/>
          <w:color w:val="auto"/>
        </w:rPr>
      </w:pPr>
      <w:r>
        <w:rPr>
          <w:rFonts w:ascii="Arial" w:cs="Arial" w:eastAsia="Arial" w:hAnsi="Arial"/>
          <w:sz w:val="15"/>
          <w:szCs w:val="15"/>
          <w:u w:val="single" w:color="auto"/>
          <w:color w:val="auto"/>
        </w:rPr>
        <w:t>Deemed Resignation</w:t>
      </w:r>
      <w:r>
        <w:rPr>
          <w:rFonts w:ascii="Arial" w:cs="Arial" w:eastAsia="Arial" w:hAnsi="Arial"/>
          <w:sz w:val="15"/>
          <w:szCs w:val="15"/>
          <w:color w:val="auto"/>
        </w:rPr>
        <w:t>. Upon termination of Executive’s employment for any reason, Executive shall be deemed to have resigned from all offices and directorships, if any, then held with the Company or any of its subsidiaries.</w:t>
      </w:r>
    </w:p>
    <w:p>
      <w:pPr>
        <w:spacing w:after="0" w:line="135" w:lineRule="exact"/>
        <w:rPr>
          <w:sz w:val="20"/>
          <w:szCs w:val="20"/>
          <w:color w:val="auto"/>
        </w:rPr>
      </w:pPr>
    </w:p>
    <w:p>
      <w:pPr>
        <w:ind w:left="547" w:hanging="547"/>
        <w:spacing w:after="0"/>
        <w:tabs>
          <w:tab w:leader="none" w:pos="547" w:val="left"/>
        </w:tabs>
        <w:numPr>
          <w:ilvl w:val="0"/>
          <w:numId w:val="49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firstLine="549"/>
        <w:spacing w:after="0" w:line="302" w:lineRule="auto"/>
        <w:tabs>
          <w:tab w:leader="none" w:pos="1117" w:val="left"/>
        </w:tabs>
        <w:numPr>
          <w:ilvl w:val="1"/>
          <w:numId w:val="494"/>
        </w:numPr>
        <w:rPr>
          <w:rFonts w:ascii="Arial" w:cs="Arial" w:eastAsia="Arial" w:hAnsi="Arial"/>
          <w:sz w:val="14"/>
          <w:szCs w:val="14"/>
          <w:color w:val="auto"/>
        </w:rPr>
      </w:pPr>
      <w:r>
        <w:rPr>
          <w:rFonts w:ascii="Arial" w:cs="Arial" w:eastAsia="Arial" w:hAnsi="Arial"/>
          <w:sz w:val="14"/>
          <w:szCs w:val="14"/>
          <w:u w:val="single" w:color="auto"/>
          <w:color w:val="auto"/>
        </w:rPr>
        <w:t>Termination for Cause, or Termination Upon Death, Disability or Resignation from the Company Without Good Reason</w:t>
      </w:r>
      <w:r>
        <w:rPr>
          <w:rFonts w:ascii="Arial" w:cs="Arial" w:eastAsia="Arial" w:hAnsi="Arial"/>
          <w:sz w:val="14"/>
          <w:szCs w:val="14"/>
          <w:color w:val="auto"/>
        </w:rPr>
        <w:t xml:space="preserve">. If Executive’s employment shall terminate as a result of Executive’s death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or Disability pursuant to </w:t>
      </w:r>
      <w:r>
        <w:rPr>
          <w:rFonts w:ascii="Arial" w:cs="Arial" w:eastAsia="Arial" w:hAnsi="Arial"/>
          <w:sz w:val="14"/>
          <w:szCs w:val="14"/>
          <w:u w:val="single" w:color="auto"/>
          <w:color w:val="auto"/>
        </w:rPr>
        <w:t>Section 3(a)(ii)</w:t>
      </w:r>
      <w:r>
        <w:rPr>
          <w:rFonts w:ascii="Arial" w:cs="Arial" w:eastAsia="Arial" w:hAnsi="Arial"/>
          <w:sz w:val="14"/>
          <w:szCs w:val="14"/>
          <w:color w:val="auto"/>
        </w:rPr>
        <w:t xml:space="preserve">,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xml:space="preserve"> for Cause, or pursuant to </w:t>
      </w:r>
      <w:r>
        <w:rPr>
          <w:rFonts w:ascii="Arial" w:cs="Arial" w:eastAsia="Arial" w:hAnsi="Arial"/>
          <w:sz w:val="14"/>
          <w:szCs w:val="14"/>
          <w:u w:val="single" w:color="auto"/>
          <w:color w:val="auto"/>
        </w:rPr>
        <w:t>Section 3(a)(vi)</w:t>
      </w:r>
      <w:r>
        <w:rPr>
          <w:rFonts w:ascii="Arial" w:cs="Arial" w:eastAsia="Arial" w:hAnsi="Arial"/>
          <w:sz w:val="14"/>
          <w:szCs w:val="14"/>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4"/>
          <w:szCs w:val="14"/>
          <w:u w:val="single" w:color="auto"/>
          <w:color w:val="auto"/>
        </w:rPr>
        <w:t>Section 3(c)</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ind w:left="7" w:right="20" w:firstLine="549"/>
        <w:spacing w:after="0" w:line="245" w:lineRule="auto"/>
        <w:tabs>
          <w:tab w:leader="none" w:pos="1125" w:val="left"/>
        </w:tabs>
        <w:numPr>
          <w:ilvl w:val="1"/>
          <w:numId w:val="494"/>
        </w:numPr>
        <w:rPr>
          <w:rFonts w:ascii="Arial" w:cs="Arial" w:eastAsia="Arial" w:hAnsi="Arial"/>
          <w:sz w:val="15"/>
          <w:szCs w:val="15"/>
          <w:color w:val="auto"/>
        </w:rPr>
      </w:pPr>
      <w:r>
        <w:rPr>
          <w:rFonts w:ascii="Arial" w:cs="Arial" w:eastAsia="Arial" w:hAnsi="Arial"/>
          <w:sz w:val="15"/>
          <w:szCs w:val="15"/>
          <w:u w:val="single" w:color="auto"/>
          <w:color w:val="auto"/>
        </w:rPr>
        <w:t>Termination without Cause, or Resignation from the Company with Good Reason</w:t>
      </w:r>
      <w:r>
        <w:rPr>
          <w:rFonts w:ascii="Arial" w:cs="Arial" w:eastAsia="Arial" w:hAnsi="Arial"/>
          <w:sz w:val="15"/>
          <w:szCs w:val="15"/>
          <w:color w:val="auto"/>
        </w:rPr>
        <w:t xml:space="preserve">. If Executive’s employment terminates without Cause pursuant to </w:t>
      </w:r>
      <w:r>
        <w:rPr>
          <w:rFonts w:ascii="Arial" w:cs="Arial" w:eastAsia="Arial" w:hAnsi="Arial"/>
          <w:sz w:val="15"/>
          <w:szCs w:val="15"/>
          <w:u w:val="single" w:color="auto"/>
          <w:color w:val="auto"/>
        </w:rPr>
        <w:t>Section 3(a)(iv)</w:t>
      </w:r>
      <w:r>
        <w:rPr>
          <w:rFonts w:ascii="Arial" w:cs="Arial" w:eastAsia="Arial" w:hAnsi="Arial"/>
          <w:sz w:val="15"/>
          <w:szCs w:val="15"/>
          <w:color w:val="auto"/>
        </w:rPr>
        <w:t xml:space="preserve">, or pursuant to </w:t>
      </w:r>
      <w:r>
        <w:rPr>
          <w:rFonts w:ascii="Arial" w:cs="Arial" w:eastAsia="Arial" w:hAnsi="Arial"/>
          <w:sz w:val="15"/>
          <w:szCs w:val="15"/>
          <w:u w:val="single" w:color="auto"/>
          <w:color w:val="auto"/>
        </w:rPr>
        <w:t>Section 3(a)(v)</w:t>
      </w:r>
      <w:r>
        <w:rPr>
          <w:rFonts w:ascii="Arial" w:cs="Arial" w:eastAsia="Arial" w:hAnsi="Arial"/>
          <w:sz w:val="15"/>
          <w:szCs w:val="15"/>
          <w:color w:val="auto"/>
        </w:rPr>
        <w:t xml:space="preserve"> due to Executive’s resignation with Good Reason, then, subject to Executive signing on or before the 60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this Agreement (the “</w:t>
      </w: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and Executive’s continued compliance with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Executive shall receive, in addition to payments and benefits set forth in </w:t>
      </w:r>
      <w:r>
        <w:rPr>
          <w:rFonts w:ascii="Arial" w:cs="Arial" w:eastAsia="Arial" w:hAnsi="Arial"/>
          <w:sz w:val="15"/>
          <w:szCs w:val="15"/>
          <w:u w:val="single" w:color="auto"/>
          <w:color w:val="auto"/>
        </w:rPr>
        <w:t>Section 3(c)</w:t>
      </w:r>
      <w:r>
        <w:rPr>
          <w:rFonts w:ascii="Arial" w:cs="Arial" w:eastAsia="Arial" w:hAnsi="Arial"/>
          <w:sz w:val="15"/>
          <w:szCs w:val="15"/>
          <w:color w:val="auto"/>
        </w:rPr>
        <w:t>, the following:</w:t>
      </w:r>
    </w:p>
    <w:p>
      <w:pPr>
        <w:spacing w:after="0" w:line="172" w:lineRule="exact"/>
        <w:rPr>
          <w:rFonts w:ascii="Arial" w:cs="Arial" w:eastAsia="Arial" w:hAnsi="Arial"/>
          <w:sz w:val="15"/>
          <w:szCs w:val="15"/>
          <w:color w:val="auto"/>
        </w:rPr>
      </w:pPr>
    </w:p>
    <w:p>
      <w:pPr>
        <w:ind w:left="547" w:right="40" w:firstLine="564"/>
        <w:spacing w:after="0" w:line="289" w:lineRule="auto"/>
        <w:tabs>
          <w:tab w:leader="none" w:pos="1677" w:val="left"/>
        </w:tabs>
        <w:numPr>
          <w:ilvl w:val="2"/>
          <w:numId w:val="494"/>
        </w:numPr>
        <w:rPr>
          <w:rFonts w:ascii="Arial" w:cs="Arial" w:eastAsia="Arial" w:hAnsi="Arial"/>
          <w:sz w:val="15"/>
          <w:szCs w:val="15"/>
          <w:color w:val="auto"/>
        </w:rPr>
      </w:pPr>
      <w:r>
        <w:rPr>
          <w:rFonts w:ascii="Arial" w:cs="Arial" w:eastAsia="Arial" w:hAnsi="Arial"/>
          <w:sz w:val="15"/>
          <w:szCs w:val="15"/>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15"/>
          <w:szCs w:val="15"/>
          <w:u w:val="single" w:color="auto"/>
          <w:color w:val="auto"/>
        </w:rPr>
        <w:t>Severance Period</w:t>
      </w:r>
      <w:r>
        <w:rPr>
          <w:rFonts w:ascii="Arial" w:cs="Arial" w:eastAsia="Arial" w:hAnsi="Arial"/>
          <w:sz w:val="15"/>
          <w:szCs w:val="15"/>
          <w:color w:val="auto"/>
        </w:rPr>
        <w:t>”) in accordance with the Company’s normal payroll practices;</w:t>
      </w:r>
    </w:p>
    <w:p>
      <w:pPr>
        <w:spacing w:after="0" w:line="140" w:lineRule="exact"/>
        <w:rPr>
          <w:rFonts w:ascii="Arial" w:cs="Arial" w:eastAsia="Arial" w:hAnsi="Arial"/>
          <w:sz w:val="15"/>
          <w:szCs w:val="15"/>
          <w:color w:val="auto"/>
        </w:rPr>
      </w:pPr>
    </w:p>
    <w:p>
      <w:pPr>
        <w:ind w:left="547" w:right="20" w:firstLine="564"/>
        <w:spacing w:after="0" w:line="273" w:lineRule="auto"/>
        <w:tabs>
          <w:tab w:leader="none" w:pos="1686" w:val="left"/>
        </w:tabs>
        <w:numPr>
          <w:ilvl w:val="2"/>
          <w:numId w:val="494"/>
        </w:numPr>
        <w:rPr>
          <w:rFonts w:ascii="Arial" w:cs="Arial" w:eastAsia="Arial" w:hAnsi="Arial"/>
          <w:sz w:val="15"/>
          <w:szCs w:val="15"/>
          <w:color w:val="auto"/>
        </w:rPr>
      </w:pPr>
      <w:r>
        <w:rPr>
          <w:rFonts w:ascii="Arial" w:cs="Arial" w:eastAsia="Arial" w:hAnsi="Arial"/>
          <w:sz w:val="15"/>
          <w:szCs w:val="15"/>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or an authorized committee thereof, if the Date of Termination occurs after the first quarter of the calendar year, multiplied by (B) a fraction,</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rPr>
          <w:sz w:val="20"/>
          <w:szCs w:val="20"/>
          <w:color w:val="auto"/>
        </w:rPr>
      </w:pPr>
      <w:r>
        <w:rPr>
          <w:rFonts w:ascii="Arial" w:cs="Arial" w:eastAsia="Arial" w:hAnsi="Arial"/>
          <w:sz w:val="15"/>
          <w:szCs w:val="15"/>
          <w:color w:val="auto"/>
        </w:rPr>
        <w:t>using the number of full months of the year elapsed prior to the Date of Termination as the numerator and 12 as the denominator; and</w:t>
      </w:r>
    </w:p>
    <w:p>
      <w:pPr>
        <w:spacing w:after="0" w:line="198" w:lineRule="exact"/>
        <w:rPr>
          <w:sz w:val="20"/>
          <w:szCs w:val="20"/>
          <w:color w:val="auto"/>
        </w:rPr>
      </w:pPr>
    </w:p>
    <w:p>
      <w:pPr>
        <w:ind w:left="547" w:right="40" w:firstLine="564"/>
        <w:spacing w:after="0" w:line="283" w:lineRule="auto"/>
        <w:tabs>
          <w:tab w:leader="none" w:pos="1694" w:val="left"/>
        </w:tabs>
        <w:numPr>
          <w:ilvl w:val="1"/>
          <w:numId w:val="495"/>
        </w:numPr>
        <w:rPr>
          <w:rFonts w:ascii="Arial" w:cs="Arial" w:eastAsia="Arial" w:hAnsi="Arial"/>
          <w:sz w:val="14"/>
          <w:szCs w:val="14"/>
          <w:color w:val="auto"/>
        </w:rPr>
      </w:pPr>
      <w:r>
        <w:rPr>
          <w:rFonts w:ascii="Arial" w:cs="Arial" w:eastAsia="Arial" w:hAnsi="Arial"/>
          <w:sz w:val="14"/>
          <w:szCs w:val="14"/>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4"/>
          <w:szCs w:val="14"/>
          <w:u w:val="single" w:color="auto"/>
          <w:color w:val="auto"/>
        </w:rPr>
        <w:t>COBRA</w:t>
      </w:r>
      <w:r>
        <w:rPr>
          <w:rFonts w:ascii="Arial" w:cs="Arial" w:eastAsia="Arial" w:hAnsi="Arial"/>
          <w:sz w:val="14"/>
          <w:szCs w:val="14"/>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49" w:lineRule="exact"/>
        <w:rPr>
          <w:rFonts w:ascii="Arial" w:cs="Arial" w:eastAsia="Arial" w:hAnsi="Arial"/>
          <w:sz w:val="14"/>
          <w:szCs w:val="14"/>
          <w:color w:val="auto"/>
        </w:rPr>
      </w:pPr>
    </w:p>
    <w:p>
      <w:pPr>
        <w:ind w:left="7" w:right="40" w:firstLine="549"/>
        <w:spacing w:after="0" w:line="271" w:lineRule="auto"/>
        <w:tabs>
          <w:tab w:leader="none" w:pos="1128" w:val="left"/>
        </w:tabs>
        <w:numPr>
          <w:ilvl w:val="0"/>
          <w:numId w:val="496"/>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4"/>
          <w:szCs w:val="14"/>
          <w:u w:val="single" w:color="auto"/>
          <w:color w:val="auto"/>
        </w:rPr>
        <w:t>Section 3(a)(iv)</w:t>
      </w:r>
      <w:r>
        <w:rPr>
          <w:rFonts w:ascii="Arial" w:cs="Arial" w:eastAsia="Arial" w:hAnsi="Arial"/>
          <w:sz w:val="14"/>
          <w:szCs w:val="14"/>
          <w:color w:val="auto"/>
        </w:rPr>
        <w:t xml:space="preserve">, or pursuant to </w:t>
      </w:r>
      <w:r>
        <w:rPr>
          <w:rFonts w:ascii="Arial" w:cs="Arial" w:eastAsia="Arial" w:hAnsi="Arial"/>
          <w:sz w:val="14"/>
          <w:szCs w:val="14"/>
          <w:u w:val="single" w:color="auto"/>
          <w:color w:val="auto"/>
        </w:rPr>
        <w:t>Section 3(a)(v)</w:t>
      </w:r>
      <w:r>
        <w:rPr>
          <w:rFonts w:ascii="Arial" w:cs="Arial" w:eastAsia="Arial" w:hAnsi="Arial"/>
          <w:sz w:val="14"/>
          <w:szCs w:val="14"/>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Executive shall receive, in addition to the payments and benefits set forth in </w:t>
      </w:r>
      <w:r>
        <w:rPr>
          <w:rFonts w:ascii="Arial" w:cs="Arial" w:eastAsia="Arial" w:hAnsi="Arial"/>
          <w:sz w:val="14"/>
          <w:szCs w:val="14"/>
          <w:u w:val="single" w:color="auto"/>
          <w:color w:val="auto"/>
        </w:rPr>
        <w:t>Section 3(c)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4(b)</w:t>
      </w:r>
      <w:r>
        <w:rPr>
          <w:rFonts w:ascii="Arial" w:cs="Arial" w:eastAsia="Arial" w:hAnsi="Arial"/>
          <w:sz w:val="14"/>
          <w:szCs w:val="14"/>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ectPr>
          <w:pgSz w:w="11900" w:h="16838" w:orient="portrait"/>
          <w:cols w:equalWidth="0" w:num="1">
            <w:col w:w="11427"/>
          </w:cols>
          <w:pgMar w:left="233" w:top="129" w:right="239" w:bottom="0" w:gutter="0" w:footer="0" w:header="0"/>
        </w:sectPr>
      </w:pPr>
    </w:p>
    <w:bookmarkStart w:id="406" w:name="page407"/>
    <w:bookmarkEnd w:id="406"/>
    <w:p>
      <w:pPr>
        <w:ind w:left="7" w:right="60" w:firstLine="549"/>
        <w:spacing w:after="0" w:line="289" w:lineRule="auto"/>
        <w:tabs>
          <w:tab w:leader="none" w:pos="1125" w:val="left"/>
        </w:tabs>
        <w:numPr>
          <w:ilvl w:val="1"/>
          <w:numId w:val="497"/>
        </w:numPr>
        <w:rPr>
          <w:rFonts w:ascii="Arial" w:cs="Arial" w:eastAsia="Arial" w:hAnsi="Arial"/>
          <w:sz w:val="15"/>
          <w:szCs w:val="15"/>
          <w:color w:val="auto"/>
        </w:rPr>
      </w:pP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Notwithstanding anything to the contrary in this Agreement, the provisions of </w:t>
      </w:r>
      <w:r>
        <w:rPr>
          <w:rFonts w:ascii="Arial" w:cs="Arial" w:eastAsia="Arial" w:hAnsi="Arial"/>
          <w:sz w:val="15"/>
          <w:szCs w:val="15"/>
          <w:u w:val="single" w:color="auto"/>
          <w:color w:val="auto"/>
        </w:rPr>
        <w:t>Sections 5</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9</w:t>
      </w:r>
      <w:r>
        <w:rPr>
          <w:rFonts w:ascii="Arial" w:cs="Arial" w:eastAsia="Arial" w:hAnsi="Arial"/>
          <w:sz w:val="15"/>
          <w:szCs w:val="15"/>
          <w:color w:val="auto"/>
        </w:rPr>
        <w:t xml:space="preserve"> will survive the termination of Executive’s employment and the termination of the Term.</w:t>
      </w:r>
    </w:p>
    <w:p>
      <w:pPr>
        <w:spacing w:after="0" w:line="134" w:lineRule="exact"/>
        <w:rPr>
          <w:rFonts w:ascii="Arial" w:cs="Arial" w:eastAsia="Arial" w:hAnsi="Arial"/>
          <w:sz w:val="15"/>
          <w:szCs w:val="15"/>
          <w:color w:val="auto"/>
        </w:rPr>
      </w:pPr>
    </w:p>
    <w:p>
      <w:pPr>
        <w:ind w:left="7" w:right="40" w:hanging="7"/>
        <w:spacing w:after="0" w:line="271" w:lineRule="auto"/>
        <w:tabs>
          <w:tab w:leader="none" w:pos="563" w:val="left"/>
        </w:tabs>
        <w:numPr>
          <w:ilvl w:val="0"/>
          <w:numId w:val="49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Restrictive Covenants</w:t>
      </w:r>
      <w:r>
        <w:rPr>
          <w:rFonts w:ascii="Arial" w:cs="Arial" w:eastAsia="Arial" w:hAnsi="Arial"/>
          <w:sz w:val="15"/>
          <w:szCs w:val="15"/>
          <w:b w:val="1"/>
          <w:bCs w:val="1"/>
          <w:color w:val="auto"/>
        </w:rPr>
        <w:t xml:space="preserve">. </w:t>
      </w:r>
      <w:r>
        <w:rPr>
          <w:rFonts w:ascii="Arial" w:cs="Arial" w:eastAsia="Arial" w:hAnsi="Arial"/>
          <w:sz w:val="15"/>
          <w:szCs w:val="15"/>
          <w:color w:val="auto"/>
        </w:rPr>
        <w:t>As a condition to the effectiveness of this Agreement, Executive will execute and deliver to the Company contemporaneously herewith the Restrictive</w:t>
      </w:r>
      <w:r>
        <w:rPr>
          <w:rFonts w:ascii="Arial" w:cs="Arial" w:eastAsia="Arial" w:hAnsi="Arial"/>
          <w:sz w:val="15"/>
          <w:szCs w:val="15"/>
          <w:b w:val="1"/>
          <w:bCs w:val="1"/>
          <w:color w:val="auto"/>
        </w:rPr>
        <w:t xml:space="preserve"> </w:t>
      </w:r>
      <w:r>
        <w:rPr>
          <w:rFonts w:ascii="Arial" w:cs="Arial" w:eastAsia="Arial" w:hAnsi="Arial"/>
          <w:sz w:val="15"/>
          <w:szCs w:val="15"/>
          <w:color w:val="auto"/>
        </w:rPr>
        <w:t>Covenant Agreement.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47" w:lineRule="exact"/>
        <w:rPr>
          <w:rFonts w:ascii="Arial" w:cs="Arial" w:eastAsia="Arial" w:hAnsi="Arial"/>
          <w:sz w:val="15"/>
          <w:szCs w:val="15"/>
          <w:b w:val="1"/>
          <w:bCs w:val="1"/>
          <w:color w:val="auto"/>
        </w:rPr>
      </w:pPr>
    </w:p>
    <w:p>
      <w:pPr>
        <w:ind w:left="547" w:hanging="547"/>
        <w:spacing w:after="0"/>
        <w:tabs>
          <w:tab w:leader="none" w:pos="547" w:val="left"/>
        </w:tabs>
        <w:numPr>
          <w:ilvl w:val="0"/>
          <w:numId w:val="49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Assignment and Successors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The Company must assign its rights and obligations under this Agreement to any of its affiliates or to any successor to all or substantially all of the business or the assets of the</w:t>
      </w:r>
    </w:p>
    <w:p>
      <w:pPr>
        <w:spacing w:after="0" w:line="35" w:lineRule="exact"/>
        <w:rPr>
          <w:sz w:val="20"/>
          <w:szCs w:val="20"/>
          <w:color w:val="auto"/>
        </w:rPr>
      </w:pPr>
    </w:p>
    <w:p>
      <w:pPr>
        <w:ind w:left="7" w:right="180"/>
        <w:spacing w:after="0" w:line="266" w:lineRule="auto"/>
        <w:rPr>
          <w:sz w:val="20"/>
          <w:szCs w:val="20"/>
          <w:color w:val="auto"/>
        </w:rPr>
      </w:pPr>
      <w:r>
        <w:rPr>
          <w:rFonts w:ascii="Arial" w:cs="Arial" w:eastAsia="Arial" w:hAnsi="Arial"/>
          <w:sz w:val="15"/>
          <w:szCs w:val="15"/>
          <w:color w:val="auto"/>
        </w:rPr>
        <w:t>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w:t>
      </w:r>
    </w:p>
    <w:p>
      <w:pPr>
        <w:spacing w:after="0" w:line="157"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380"/>
        <w:spacing w:after="0" w:line="327" w:lineRule="auto"/>
        <w:rPr>
          <w:sz w:val="20"/>
          <w:szCs w:val="20"/>
          <w:color w:val="auto"/>
        </w:rPr>
      </w:pPr>
      <w:r>
        <w:rPr>
          <w:rFonts w:ascii="Arial" w:cs="Arial" w:eastAsia="Arial" w:hAnsi="Arial"/>
          <w:sz w:val="14"/>
          <w:szCs w:val="14"/>
          <w:color w:val="auto"/>
        </w:rPr>
        <w:t>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11" w:lineRule="exact"/>
        <w:rPr>
          <w:sz w:val="20"/>
          <w:szCs w:val="20"/>
          <w:color w:val="auto"/>
        </w:rPr>
      </w:pPr>
    </w:p>
    <w:p>
      <w:pPr>
        <w:ind w:left="547" w:hanging="547"/>
        <w:spacing w:after="0"/>
        <w:tabs>
          <w:tab w:leader="none" w:pos="547" w:val="left"/>
        </w:tabs>
        <w:numPr>
          <w:ilvl w:val="0"/>
          <w:numId w:val="49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Certain Definitions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1107" w:hanging="551"/>
        <w:spacing w:after="0"/>
        <w:tabs>
          <w:tab w:leader="none" w:pos="1107" w:val="left"/>
        </w:tabs>
        <w:numPr>
          <w:ilvl w:val="1"/>
          <w:numId w:val="499"/>
        </w:numPr>
        <w:rPr>
          <w:rFonts w:ascii="Arial" w:cs="Arial" w:eastAsia="Arial" w:hAnsi="Arial"/>
          <w:sz w:val="15"/>
          <w:szCs w:val="15"/>
          <w:color w:val="auto"/>
        </w:rPr>
      </w:pPr>
      <w:r>
        <w:rPr>
          <w:rFonts w:ascii="Arial" w:cs="Arial" w:eastAsia="Arial" w:hAnsi="Arial"/>
          <w:sz w:val="15"/>
          <w:szCs w:val="15"/>
          <w:u w:val="single" w:color="auto"/>
          <w:color w:val="auto"/>
        </w:rPr>
        <w:t>Cause</w:t>
      </w:r>
      <w:r>
        <w:rPr>
          <w:rFonts w:ascii="Arial" w:cs="Arial" w:eastAsia="Arial" w:hAnsi="Arial"/>
          <w:sz w:val="15"/>
          <w:szCs w:val="15"/>
          <w:color w:val="auto"/>
        </w:rPr>
        <w:t>. The Company shall have “Cause” to terminate Executive’s employment hereunder upon:</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99"/>
        </w:numPr>
        <w:rPr>
          <w:rFonts w:ascii="Arial" w:cs="Arial" w:eastAsia="Arial" w:hAnsi="Arial"/>
          <w:sz w:val="15"/>
          <w:szCs w:val="15"/>
          <w:color w:val="auto"/>
        </w:rPr>
      </w:pPr>
      <w:r>
        <w:rPr>
          <w:rFonts w:ascii="Arial" w:cs="Arial" w:eastAsia="Arial" w:hAnsi="Arial"/>
          <w:sz w:val="15"/>
          <w:szCs w:val="15"/>
          <w:color w:val="auto"/>
        </w:rPr>
        <w:t>Executive’s commission of, or indictment or conviction of, any felony or any crime involving dishonesty by Executive;</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499"/>
        </w:numPr>
        <w:rPr>
          <w:rFonts w:ascii="Arial" w:cs="Arial" w:eastAsia="Arial" w:hAnsi="Arial"/>
          <w:sz w:val="15"/>
          <w:szCs w:val="15"/>
          <w:color w:val="auto"/>
        </w:rPr>
      </w:pPr>
      <w:r>
        <w:rPr>
          <w:rFonts w:ascii="Arial" w:cs="Arial" w:eastAsia="Arial" w:hAnsi="Arial"/>
          <w:sz w:val="15"/>
          <w:szCs w:val="15"/>
          <w:color w:val="auto"/>
        </w:rPr>
        <w:t>Executive’s participation in any fraud against the Company;</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499"/>
        </w:numPr>
        <w:rPr>
          <w:rFonts w:ascii="Arial" w:cs="Arial" w:eastAsia="Arial" w:hAnsi="Arial"/>
          <w:sz w:val="15"/>
          <w:szCs w:val="15"/>
          <w:color w:val="auto"/>
        </w:rPr>
      </w:pPr>
      <w:r>
        <w:rPr>
          <w:rFonts w:ascii="Arial" w:cs="Arial" w:eastAsia="Arial" w:hAnsi="Arial"/>
          <w:sz w:val="15"/>
          <w:szCs w:val="15"/>
          <w:color w:val="auto"/>
        </w:rPr>
        <w:t>any intentional damage to any property of the Company by Executive;</w:t>
      </w:r>
    </w:p>
    <w:p>
      <w:pPr>
        <w:spacing w:after="0" w:line="198" w:lineRule="exact"/>
        <w:rPr>
          <w:rFonts w:ascii="Arial" w:cs="Arial" w:eastAsia="Arial" w:hAnsi="Arial"/>
          <w:sz w:val="15"/>
          <w:szCs w:val="15"/>
          <w:color w:val="auto"/>
        </w:rPr>
      </w:pPr>
    </w:p>
    <w:p>
      <w:pPr>
        <w:ind w:left="547" w:right="40" w:firstLine="564"/>
        <w:spacing w:after="0" w:line="289" w:lineRule="auto"/>
        <w:tabs>
          <w:tab w:leader="none" w:pos="1674" w:val="left"/>
        </w:tabs>
        <w:numPr>
          <w:ilvl w:val="2"/>
          <w:numId w:val="499"/>
        </w:numPr>
        <w:rPr>
          <w:rFonts w:ascii="Arial" w:cs="Arial" w:eastAsia="Arial" w:hAnsi="Arial"/>
          <w:sz w:val="15"/>
          <w:szCs w:val="15"/>
          <w:color w:val="auto"/>
        </w:rPr>
      </w:pPr>
      <w:r>
        <w:rPr>
          <w:rFonts w:ascii="Arial" w:cs="Arial" w:eastAsia="Arial" w:hAnsi="Arial"/>
          <w:sz w:val="15"/>
          <w:szCs w:val="15"/>
          <w:color w:val="auto"/>
        </w:rPr>
        <w:t>Executive’s misconduct which materially and adversely reflects upon the business, operations, or reputation of the Company, which misconduct has not been cured (or cannot be cured) within thirty (30) days after the Company gives written notice to Executive regarding such misconduct; or</w:t>
      </w:r>
    </w:p>
    <w:p>
      <w:pPr>
        <w:spacing w:after="0" w:line="140" w:lineRule="exact"/>
        <w:rPr>
          <w:rFonts w:ascii="Arial" w:cs="Arial" w:eastAsia="Arial" w:hAnsi="Arial"/>
          <w:sz w:val="15"/>
          <w:szCs w:val="15"/>
          <w:color w:val="auto"/>
        </w:rPr>
      </w:pPr>
    </w:p>
    <w:p>
      <w:pPr>
        <w:ind w:left="547" w:right="80" w:firstLine="564"/>
        <w:spacing w:after="0" w:line="289" w:lineRule="auto"/>
        <w:tabs>
          <w:tab w:leader="none" w:pos="1665" w:val="left"/>
        </w:tabs>
        <w:numPr>
          <w:ilvl w:val="2"/>
          <w:numId w:val="499"/>
        </w:numPr>
        <w:rPr>
          <w:rFonts w:ascii="Arial" w:cs="Arial" w:eastAsia="Arial" w:hAnsi="Arial"/>
          <w:sz w:val="15"/>
          <w:szCs w:val="15"/>
          <w:color w:val="auto"/>
        </w:rPr>
      </w:pPr>
      <w:r>
        <w:rPr>
          <w:rFonts w:ascii="Arial" w:cs="Arial" w:eastAsia="Arial" w:hAnsi="Arial"/>
          <w:sz w:val="15"/>
          <w:szCs w:val="15"/>
          <w:color w:val="auto"/>
        </w:rPr>
        <w:t>Executive’s breach of any material provision of this Agreement or any other written agreement between Executive and the Company and failure to cure such breach (if capable of cure) within thirty (30) days after the Company gives written notice to Executive regarding such breach.</w:t>
      </w:r>
    </w:p>
    <w:p>
      <w:pPr>
        <w:spacing w:after="0" w:line="140" w:lineRule="exact"/>
        <w:rPr>
          <w:rFonts w:ascii="Arial" w:cs="Arial" w:eastAsia="Arial" w:hAnsi="Arial"/>
          <w:sz w:val="15"/>
          <w:szCs w:val="15"/>
          <w:color w:val="auto"/>
        </w:rPr>
      </w:pPr>
    </w:p>
    <w:p>
      <w:pPr>
        <w:ind w:left="1127" w:hanging="571"/>
        <w:spacing w:after="0"/>
        <w:tabs>
          <w:tab w:leader="none" w:pos="1127" w:val="left"/>
        </w:tabs>
        <w:numPr>
          <w:ilvl w:val="1"/>
          <w:numId w:val="499"/>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“Change in Control” shall have the meaning set forth in the version of the Selecta Biosciences, Inc. 2016 Incentive Award Plan in effect on the</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Effective Date.</w:t>
      </w:r>
    </w:p>
    <w:p>
      <w:pPr>
        <w:spacing w:after="0" w:line="187" w:lineRule="exact"/>
        <w:rPr>
          <w:rFonts w:ascii="Arial" w:cs="Arial" w:eastAsia="Arial" w:hAnsi="Arial"/>
          <w:sz w:val="14"/>
          <w:szCs w:val="14"/>
          <w:color w:val="auto"/>
        </w:rPr>
      </w:pPr>
    </w:p>
    <w:p>
      <w:pPr>
        <w:ind w:left="1127" w:hanging="571"/>
        <w:spacing w:after="0"/>
        <w:tabs>
          <w:tab w:leader="none" w:pos="1127" w:val="left"/>
        </w:tabs>
        <w:numPr>
          <w:ilvl w:val="1"/>
          <w:numId w:val="499"/>
        </w:numPr>
        <w:rPr>
          <w:rFonts w:ascii="Arial" w:cs="Arial" w:eastAsia="Arial" w:hAnsi="Arial"/>
          <w:sz w:val="15"/>
          <w:szCs w:val="15"/>
          <w:color w:val="auto"/>
        </w:rPr>
      </w:pPr>
      <w:r>
        <w:rPr>
          <w:rFonts w:ascii="Arial" w:cs="Arial" w:eastAsia="Arial" w:hAnsi="Arial"/>
          <w:sz w:val="15"/>
          <w:szCs w:val="15"/>
          <w:u w:val="single" w:color="auto"/>
          <w:color w:val="auto"/>
        </w:rPr>
        <w:t>Code</w:t>
      </w:r>
      <w:r>
        <w:rPr>
          <w:rFonts w:ascii="Arial" w:cs="Arial" w:eastAsia="Arial" w:hAnsi="Arial"/>
          <w:sz w:val="15"/>
          <w:szCs w:val="15"/>
          <w:color w:val="auto"/>
        </w:rPr>
        <w:t>. “Code” shall mean the Internal Revenue Code of 1986, as amended, and the regulations and guidance promulgated thereunder.</w:t>
      </w:r>
    </w:p>
    <w:p>
      <w:pPr>
        <w:spacing w:after="0" w:line="198" w:lineRule="exact"/>
        <w:rPr>
          <w:rFonts w:ascii="Arial" w:cs="Arial" w:eastAsia="Arial" w:hAnsi="Arial"/>
          <w:sz w:val="15"/>
          <w:szCs w:val="15"/>
          <w:color w:val="auto"/>
        </w:rPr>
      </w:pPr>
    </w:p>
    <w:p>
      <w:pPr>
        <w:ind w:left="7" w:right="380" w:firstLine="549"/>
        <w:spacing w:after="0" w:line="273" w:lineRule="auto"/>
        <w:tabs>
          <w:tab w:leader="none" w:pos="1125" w:val="left"/>
        </w:tabs>
        <w:numPr>
          <w:ilvl w:val="1"/>
          <w:numId w:val="499"/>
        </w:numPr>
        <w:rPr>
          <w:rFonts w:ascii="Arial" w:cs="Arial" w:eastAsia="Arial" w:hAnsi="Arial"/>
          <w:sz w:val="15"/>
          <w:szCs w:val="15"/>
          <w:color w:val="auto"/>
        </w:rPr>
      </w:pPr>
      <w:r>
        <w:rPr>
          <w:rFonts w:ascii="Arial" w:cs="Arial" w:eastAsia="Arial" w:hAnsi="Arial"/>
          <w:sz w:val="15"/>
          <w:szCs w:val="15"/>
          <w:u w:val="single" w:color="auto"/>
          <w:color w:val="auto"/>
        </w:rPr>
        <w:t>Date of Termination</w:t>
      </w:r>
      <w:r>
        <w:rPr>
          <w:rFonts w:ascii="Arial" w:cs="Arial" w:eastAsia="Arial" w:hAnsi="Arial"/>
          <w:sz w:val="15"/>
          <w:szCs w:val="15"/>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5"/>
          <w:szCs w:val="15"/>
          <w:u w:val="single" w:color="auto"/>
          <w:color w:val="auto"/>
        </w:rPr>
        <w:t>Section 3(a)(ii) — (vi)</w:t>
      </w:r>
      <w:r>
        <w:rPr>
          <w:rFonts w:ascii="Arial" w:cs="Arial" w:eastAsia="Arial" w:hAnsi="Arial"/>
          <w:sz w:val="15"/>
          <w:szCs w:val="15"/>
          <w:color w:val="auto"/>
        </w:rPr>
        <w:t xml:space="preserve"> either the date indicated in the Notice of Termination or the date specified by the Company pursuant to </w:t>
      </w:r>
      <w:r>
        <w:rPr>
          <w:rFonts w:ascii="Arial" w:cs="Arial" w:eastAsia="Arial" w:hAnsi="Arial"/>
          <w:sz w:val="15"/>
          <w:szCs w:val="15"/>
          <w:u w:val="single" w:color="auto"/>
          <w:color w:val="auto"/>
        </w:rPr>
        <w:t>Section 3(b)</w:t>
      </w:r>
      <w:r>
        <w:rPr>
          <w:rFonts w:ascii="Arial" w:cs="Arial" w:eastAsia="Arial" w:hAnsi="Arial"/>
          <w:sz w:val="15"/>
          <w:szCs w:val="15"/>
          <w:color w:val="auto"/>
        </w:rPr>
        <w:t>, whichever is earlier.</w:t>
      </w:r>
    </w:p>
    <w:p>
      <w:pPr>
        <w:spacing w:after="0" w:line="152" w:lineRule="exact"/>
        <w:rPr>
          <w:rFonts w:ascii="Arial" w:cs="Arial" w:eastAsia="Arial" w:hAnsi="Arial"/>
          <w:sz w:val="15"/>
          <w:szCs w:val="15"/>
          <w:color w:val="auto"/>
        </w:rPr>
      </w:pPr>
    </w:p>
    <w:p>
      <w:pPr>
        <w:ind w:left="7" w:firstLine="549"/>
        <w:spacing w:after="0" w:line="262" w:lineRule="auto"/>
        <w:tabs>
          <w:tab w:leader="none" w:pos="1128" w:val="left"/>
        </w:tabs>
        <w:numPr>
          <w:ilvl w:val="1"/>
          <w:numId w:val="499"/>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5"/>
          <w:szCs w:val="15"/>
          <w:i w:val="1"/>
          <w:iCs w:val="1"/>
          <w:color w:val="auto"/>
        </w:rPr>
        <w:t>provided, however</w:t>
      </w:r>
      <w:r>
        <w:rPr>
          <w:rFonts w:ascii="Arial" w:cs="Arial" w:eastAsia="Arial" w:hAnsi="Arial"/>
          <w:sz w:val="15"/>
          <w:szCs w:val="15"/>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w:t>
      </w:r>
    </w:p>
    <w:p>
      <w:pPr>
        <w:spacing w:after="0" w:line="161"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rPr>
          <w:sz w:val="20"/>
          <w:szCs w:val="20"/>
          <w:color w:val="auto"/>
        </w:rPr>
      </w:pPr>
      <w:r>
        <w:rPr>
          <w:rFonts w:ascii="Arial" w:cs="Arial" w:eastAsia="Arial" w:hAnsi="Arial"/>
          <w:sz w:val="15"/>
          <w:szCs w:val="15"/>
          <w:color w:val="auto"/>
        </w:rPr>
        <w:t>Executive to submit to a medical examination for the purpose of determining Disability shall be deemed to constitute conclusive evidence of Executive’s Disability.</w:t>
      </w:r>
    </w:p>
    <w:p>
      <w:pPr>
        <w:spacing w:after="0" w:line="198" w:lineRule="exact"/>
        <w:rPr>
          <w:sz w:val="20"/>
          <w:szCs w:val="20"/>
          <w:color w:val="auto"/>
        </w:rPr>
      </w:pPr>
    </w:p>
    <w:p>
      <w:pPr>
        <w:ind w:left="7" w:right="60" w:firstLine="549"/>
        <w:spacing w:after="0" w:line="262" w:lineRule="auto"/>
        <w:tabs>
          <w:tab w:leader="none" w:pos="1123" w:val="left"/>
        </w:tabs>
        <w:numPr>
          <w:ilvl w:val="1"/>
          <w:numId w:val="500"/>
        </w:numPr>
        <w:rPr>
          <w:rFonts w:ascii="Arial" w:cs="Arial" w:eastAsia="Arial" w:hAnsi="Arial"/>
          <w:sz w:val="15"/>
          <w:szCs w:val="15"/>
          <w:color w:val="auto"/>
        </w:rPr>
      </w:pPr>
      <w:r>
        <w:rPr>
          <w:rFonts w:ascii="Arial" w:cs="Arial" w:eastAsia="Arial" w:hAnsi="Arial"/>
          <w:sz w:val="15"/>
          <w:szCs w:val="15"/>
          <w:u w:val="single" w:color="auto"/>
          <w:color w:val="auto"/>
        </w:rPr>
        <w:t>Good Reason</w:t>
      </w:r>
      <w:r>
        <w:rPr>
          <w:rFonts w:ascii="Arial" w:cs="Arial" w:eastAsia="Arial" w:hAnsi="Arial"/>
          <w:sz w:val="15"/>
          <w:szCs w:val="15"/>
          <w:color w:val="auto"/>
        </w:rPr>
        <w:t>. For the sole purpose of determining Executive’s right to severance payments and benefits as described above, Executive’s resignation will be with “Good Reason” if Executive resigns within one year after any of the following events, unless Executive consents to the applicable event in writing: (i) a material reduction in Executive’s Annual Base Salary or Target Bonus, (ii) a material diminution in Executive’s authority, title, duties or areas of responsibility, (iii) the requirement that Executive report to someone other than the Chief Executive Officer, (iv) the relocation of Executive’s primary office to a location more than 40 miles from the Boston metropolitan area, or (v) a 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thirty (30) days after the receipt of such notice.</w:t>
      </w:r>
    </w:p>
    <w:p>
      <w:pPr>
        <w:spacing w:after="0" w:line="155" w:lineRule="exact"/>
        <w:rPr>
          <w:rFonts w:ascii="Arial" w:cs="Arial" w:eastAsia="Arial" w:hAnsi="Arial"/>
          <w:sz w:val="15"/>
          <w:szCs w:val="15"/>
          <w:color w:val="auto"/>
        </w:rPr>
      </w:pPr>
    </w:p>
    <w:p>
      <w:pPr>
        <w:ind w:left="547" w:hanging="547"/>
        <w:spacing w:after="0"/>
        <w:tabs>
          <w:tab w:leader="none" w:pos="547" w:val="left"/>
        </w:tabs>
        <w:numPr>
          <w:ilvl w:val="0"/>
          <w:numId w:val="50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Parachute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 w:firstLine="549"/>
        <w:spacing w:after="0" w:line="282" w:lineRule="auto"/>
        <w:tabs>
          <w:tab w:leader="none" w:pos="1117" w:val="left"/>
        </w:tabs>
        <w:numPr>
          <w:ilvl w:val="1"/>
          <w:numId w:val="501"/>
        </w:numPr>
        <w:rPr>
          <w:rFonts w:ascii="Arial" w:cs="Arial" w:eastAsia="Arial" w:hAnsi="Arial"/>
          <w:sz w:val="14"/>
          <w:szCs w:val="14"/>
          <w:color w:val="auto"/>
        </w:rPr>
      </w:pPr>
      <w:r>
        <w:rPr>
          <w:rFonts w:ascii="Arial" w:cs="Arial" w:eastAsia="Arial" w:hAnsi="Arial"/>
          <w:sz w:val="14"/>
          <w:szCs w:val="14"/>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4"/>
          <w:szCs w:val="14"/>
          <w:u w:val="single" w:color="auto"/>
          <w:color w:val="auto"/>
        </w:rPr>
        <w:t>Section 4(b)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4(c)</w:t>
      </w:r>
      <w:r>
        <w:rPr>
          <w:rFonts w:ascii="Arial" w:cs="Arial" w:eastAsia="Arial" w:hAnsi="Arial"/>
          <w:sz w:val="14"/>
          <w:szCs w:val="14"/>
          <w:color w:val="auto"/>
        </w:rPr>
        <w:t xml:space="preserve"> hereof, being hereinafter referred to as the “</w:t>
      </w:r>
      <w:r>
        <w:rPr>
          <w:rFonts w:ascii="Arial" w:cs="Arial" w:eastAsia="Arial" w:hAnsi="Arial"/>
          <w:sz w:val="14"/>
          <w:szCs w:val="14"/>
          <w:u w:val="single" w:color="auto"/>
          <w:color w:val="auto"/>
        </w:rPr>
        <w:t>Total Payments</w:t>
      </w:r>
      <w:r>
        <w:rPr>
          <w:rFonts w:ascii="Arial" w:cs="Arial" w:eastAsia="Arial" w:hAnsi="Arial"/>
          <w:sz w:val="14"/>
          <w:szCs w:val="14"/>
          <w:color w:val="auto"/>
        </w:rPr>
        <w:t>”), would be subject (in whole or in part) to the excise tax imposed by Section 4999 of the Code (the “</w:t>
      </w:r>
      <w:r>
        <w:rPr>
          <w:rFonts w:ascii="Arial" w:cs="Arial" w:eastAsia="Arial" w:hAnsi="Arial"/>
          <w:sz w:val="14"/>
          <w:szCs w:val="14"/>
          <w:u w:val="single" w:color="auto"/>
          <w:color w:val="auto"/>
        </w:rPr>
        <w:t>Excise Tax</w:t>
      </w:r>
      <w:r>
        <w:rPr>
          <w:rFonts w:ascii="Arial" w:cs="Arial" w:eastAsia="Arial" w:hAnsi="Arial"/>
          <w:sz w:val="14"/>
          <w:szCs w:val="14"/>
          <w:color w:val="auto"/>
        </w:rPr>
        <w:t xml:space="preserve">”), then the Total Payments shall be reduced (in the order provided in </w:t>
      </w:r>
      <w:r>
        <w:rPr>
          <w:rFonts w:ascii="Arial" w:cs="Arial" w:eastAsia="Arial" w:hAnsi="Arial"/>
          <w:sz w:val="14"/>
          <w:szCs w:val="14"/>
          <w:u w:val="single" w:color="auto"/>
          <w:color w:val="auto"/>
        </w:rPr>
        <w:t>Section 8(b)</w:t>
      </w:r>
      <w:r>
        <w:rPr>
          <w:rFonts w:ascii="Arial" w:cs="Arial" w:eastAsia="Arial" w:hAnsi="Arial"/>
          <w:sz w:val="14"/>
          <w:szCs w:val="14"/>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0" w:lineRule="exact"/>
        <w:rPr>
          <w:rFonts w:ascii="Arial" w:cs="Arial" w:eastAsia="Arial" w:hAnsi="Arial"/>
          <w:sz w:val="14"/>
          <w:szCs w:val="14"/>
          <w:color w:val="auto"/>
        </w:rPr>
      </w:pPr>
    </w:p>
    <w:p>
      <w:pPr>
        <w:ind w:left="7" w:right="180" w:firstLine="549"/>
        <w:spacing w:after="0" w:line="265" w:lineRule="auto"/>
        <w:tabs>
          <w:tab w:leader="none" w:pos="1125" w:val="left"/>
        </w:tabs>
        <w:numPr>
          <w:ilvl w:val="1"/>
          <w:numId w:val="501"/>
        </w:numPr>
        <w:rPr>
          <w:rFonts w:ascii="Arial" w:cs="Arial" w:eastAsia="Arial" w:hAnsi="Arial"/>
          <w:sz w:val="15"/>
          <w:szCs w:val="15"/>
          <w:color w:val="auto"/>
        </w:rPr>
      </w:pPr>
      <w:r>
        <w:rPr>
          <w:rFonts w:ascii="Arial" w:cs="Arial" w:eastAsia="Arial" w:hAnsi="Arial"/>
          <w:sz w:val="15"/>
          <w:szCs w:val="15"/>
          <w:color w:val="auto"/>
        </w:rPr>
        <w:t>The Total Payments shall be reduced in the following order: (i) reduction on a pro-rata basis of any cash severance payments that are exempt from Section 409A of the Code (“</w:t>
      </w:r>
      <w:r>
        <w:rPr>
          <w:rFonts w:ascii="Arial" w:cs="Arial" w:eastAsia="Arial" w:hAnsi="Arial"/>
          <w:sz w:val="15"/>
          <w:szCs w:val="15"/>
          <w:u w:val="single" w:color="auto"/>
          <w:color w:val="auto"/>
        </w:rPr>
        <w:t>Section 409A</w:t>
      </w:r>
      <w:r>
        <w:rPr>
          <w:rFonts w:ascii="Arial" w:cs="Arial" w:eastAsia="Arial" w:hAnsi="Arial"/>
          <w:sz w:val="15"/>
          <w:szCs w:val="15"/>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ectPr>
          <w:pgSz w:w="11900" w:h="16838" w:orient="portrait"/>
          <w:cols w:equalWidth="0" w:num="1">
            <w:col w:w="11427"/>
          </w:cols>
          <w:pgMar w:left="233" w:top="129" w:right="239" w:bottom="0" w:gutter="0" w:footer="0" w:header="0"/>
        </w:sectPr>
      </w:pPr>
    </w:p>
    <w:bookmarkStart w:id="407" w:name="page408"/>
    <w:bookmarkEnd w:id="407"/>
    <w:p>
      <w:pPr>
        <w:ind w:left="7" w:right="100" w:firstLine="549"/>
        <w:spacing w:after="0" w:line="268" w:lineRule="auto"/>
        <w:tabs>
          <w:tab w:leader="none" w:pos="1128" w:val="left"/>
        </w:tabs>
        <w:numPr>
          <w:ilvl w:val="0"/>
          <w:numId w:val="502"/>
        </w:numPr>
        <w:rPr>
          <w:rFonts w:ascii="Arial" w:cs="Arial" w:eastAsia="Arial" w:hAnsi="Arial"/>
          <w:sz w:val="15"/>
          <w:szCs w:val="15"/>
          <w:color w:val="auto"/>
        </w:rPr>
      </w:pPr>
      <w:r>
        <w:rPr>
          <w:rFonts w:ascii="Arial" w:cs="Arial" w:eastAsia="Arial" w:hAnsi="Arial"/>
          <w:sz w:val="15"/>
          <w:szCs w:val="15"/>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5"/>
          <w:szCs w:val="15"/>
          <w:u w:val="single" w:color="auto"/>
          <w:color w:val="auto"/>
        </w:rPr>
        <w:t>Independent Advisors</w:t>
      </w:r>
      <w:r>
        <w:rPr>
          <w:rFonts w:ascii="Arial" w:cs="Arial" w:eastAsia="Arial" w:hAnsi="Arial"/>
          <w:sz w:val="15"/>
          <w:szCs w:val="15"/>
          <w:color w:val="auto"/>
        </w:rPr>
        <w:t xml:space="preserve">”) to make determinations regarding the application of this </w:t>
      </w:r>
      <w:r>
        <w:rPr>
          <w:rFonts w:ascii="Arial" w:cs="Arial" w:eastAsia="Arial" w:hAnsi="Arial"/>
          <w:sz w:val="15"/>
          <w:szCs w:val="15"/>
          <w:u w:val="single" w:color="auto"/>
          <w:color w:val="auto"/>
        </w:rPr>
        <w:t>Section 8</w:t>
      </w:r>
      <w:r>
        <w:rPr>
          <w:rFonts w:ascii="Arial" w:cs="Arial" w:eastAsia="Arial" w:hAnsi="Arial"/>
          <w:sz w:val="15"/>
          <w:szCs w:val="15"/>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w:t>
      </w:r>
    </w:p>
    <w:p>
      <w:pPr>
        <w:spacing w:after="0" w:line="15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300"/>
        <w:spacing w:after="0" w:line="273" w:lineRule="auto"/>
        <w:rPr>
          <w:sz w:val="20"/>
          <w:szCs w:val="20"/>
          <w:color w:val="auto"/>
        </w:rPr>
      </w:pPr>
      <w:r>
        <w:rPr>
          <w:rFonts w:ascii="Arial" w:cs="Arial" w:eastAsia="Arial" w:hAnsi="Arial"/>
          <w:sz w:val="15"/>
          <w:szCs w:val="15"/>
          <w:color w:val="auto"/>
        </w:rPr>
        <w:t>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53" w:lineRule="exact"/>
        <w:rPr>
          <w:sz w:val="20"/>
          <w:szCs w:val="20"/>
          <w:color w:val="auto"/>
        </w:rPr>
      </w:pPr>
    </w:p>
    <w:p>
      <w:pPr>
        <w:ind w:left="7" w:firstLine="549"/>
        <w:spacing w:after="0" w:line="284" w:lineRule="auto"/>
        <w:tabs>
          <w:tab w:leader="none" w:pos="1125" w:val="left"/>
        </w:tabs>
        <w:numPr>
          <w:ilvl w:val="1"/>
          <w:numId w:val="503"/>
        </w:numPr>
        <w:rPr>
          <w:rFonts w:ascii="Arial" w:cs="Arial" w:eastAsia="Arial" w:hAnsi="Arial"/>
          <w:sz w:val="14"/>
          <w:szCs w:val="14"/>
          <w:color w:val="auto"/>
        </w:rPr>
      </w:pPr>
      <w:r>
        <w:rPr>
          <w:rFonts w:ascii="Arial" w:cs="Arial" w:eastAsia="Arial" w:hAnsi="Arial"/>
          <w:sz w:val="14"/>
          <w:szCs w:val="14"/>
          <w:color w:val="auto"/>
        </w:rPr>
        <w:t xml:space="preserve">If Executive incurs legal fees or other expenses (including expert witness and accounting fees) in an effort to determine the applicability of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or establish entitlement to or obtain any portion of the Total Payments that have been reduced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(collectively, “</w:t>
      </w:r>
      <w:r>
        <w:rPr>
          <w:rFonts w:ascii="Arial" w:cs="Arial" w:eastAsia="Arial" w:hAnsi="Arial"/>
          <w:sz w:val="14"/>
          <w:szCs w:val="14"/>
          <w:u w:val="single" w:color="auto"/>
          <w:color w:val="auto"/>
        </w:rPr>
        <w:t>Legal and Other Expenses</w:t>
      </w:r>
      <w:r>
        <w:rPr>
          <w:rFonts w:ascii="Arial" w:cs="Arial" w:eastAsia="Arial" w:hAnsi="Arial"/>
          <w:sz w:val="14"/>
          <w:szCs w:val="14"/>
          <w:color w:val="auto"/>
        </w:rPr>
        <w:t xml:space="preserve">”), Executive shall be entitled to payment of or reimbursement for such Legal and Other Expenses in accordance with this </w:t>
      </w:r>
      <w:r>
        <w:rPr>
          <w:rFonts w:ascii="Arial" w:cs="Arial" w:eastAsia="Arial" w:hAnsi="Arial"/>
          <w:sz w:val="14"/>
          <w:szCs w:val="14"/>
          <w:u w:val="single" w:color="auto"/>
          <w:color w:val="auto"/>
        </w:rPr>
        <w:t>Section 8(d)</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Sections 9(l)(iv)</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9(m)</w:t>
      </w:r>
      <w:r>
        <w:rPr>
          <w:rFonts w:ascii="Arial" w:cs="Arial" w:eastAsia="Arial" w:hAnsi="Arial"/>
          <w:sz w:val="14"/>
          <w:szCs w:val="14"/>
          <w:color w:val="auto"/>
        </w:rPr>
        <w:t xml:space="preserve"> and the other provisions of this </w:t>
      </w:r>
      <w:r>
        <w:rPr>
          <w:rFonts w:ascii="Arial" w:cs="Arial" w:eastAsia="Arial" w:hAnsi="Arial"/>
          <w:sz w:val="14"/>
          <w:szCs w:val="14"/>
          <w:u w:val="single" w:color="auto"/>
          <w:color w:val="auto"/>
        </w:rPr>
        <w:t>Section 8</w:t>
      </w:r>
      <w:r>
        <w:rPr>
          <w:rFonts w:ascii="Arial" w:cs="Arial" w:eastAsia="Arial" w:hAnsi="Arial"/>
          <w:sz w:val="14"/>
          <w:szCs w:val="14"/>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48" w:lineRule="exact"/>
        <w:rPr>
          <w:rFonts w:ascii="Arial" w:cs="Arial" w:eastAsia="Arial" w:hAnsi="Arial"/>
          <w:sz w:val="14"/>
          <w:szCs w:val="14"/>
          <w:color w:val="auto"/>
        </w:rPr>
      </w:pPr>
    </w:p>
    <w:p>
      <w:pPr>
        <w:ind w:left="7" w:right="60" w:firstLine="549"/>
        <w:spacing w:after="0" w:line="302" w:lineRule="auto"/>
        <w:tabs>
          <w:tab w:leader="none" w:pos="1128" w:val="left"/>
        </w:tabs>
        <w:numPr>
          <w:ilvl w:val="1"/>
          <w:numId w:val="503"/>
        </w:numPr>
        <w:rPr>
          <w:rFonts w:ascii="Arial" w:cs="Arial" w:eastAsia="Arial" w:hAnsi="Arial"/>
          <w:sz w:val="14"/>
          <w:szCs w:val="14"/>
          <w:color w:val="auto"/>
        </w:rPr>
      </w:pPr>
      <w:r>
        <w:rPr>
          <w:rFonts w:ascii="Arial" w:cs="Arial" w:eastAsia="Arial" w:hAnsi="Arial"/>
          <w:sz w:val="14"/>
          <w:szCs w:val="14"/>
          <w:color w:val="auto"/>
        </w:rPr>
        <w:t xml:space="preserve">In the event it is later determined that to implement the objective and intent of this </w:t>
      </w:r>
      <w:r>
        <w:rPr>
          <w:rFonts w:ascii="Arial" w:cs="Arial" w:eastAsia="Arial" w:hAnsi="Arial"/>
          <w:sz w:val="14"/>
          <w:szCs w:val="14"/>
          <w:u w:val="single" w:color="auto"/>
          <w:color w:val="auto"/>
        </w:rPr>
        <w:t>Section 8</w:t>
      </w:r>
      <w:r>
        <w:rPr>
          <w:rFonts w:ascii="Arial" w:cs="Arial" w:eastAsia="Arial" w:hAnsi="Arial"/>
          <w:sz w:val="14"/>
          <w:szCs w:val="14"/>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27" w:lineRule="exact"/>
        <w:rPr>
          <w:rFonts w:ascii="Arial" w:cs="Arial" w:eastAsia="Arial" w:hAnsi="Arial"/>
          <w:sz w:val="14"/>
          <w:szCs w:val="14"/>
          <w:color w:val="auto"/>
        </w:rPr>
      </w:pPr>
    </w:p>
    <w:p>
      <w:pPr>
        <w:ind w:left="547" w:hanging="547"/>
        <w:spacing w:after="0"/>
        <w:tabs>
          <w:tab w:leader="none" w:pos="547" w:val="left"/>
        </w:tabs>
        <w:numPr>
          <w:ilvl w:val="0"/>
          <w:numId w:val="50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 Provisions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0" w:firstLine="549"/>
        <w:spacing w:after="0" w:line="302" w:lineRule="auto"/>
        <w:tabs>
          <w:tab w:leader="none" w:pos="1117" w:val="left"/>
        </w:tabs>
        <w:numPr>
          <w:ilvl w:val="1"/>
          <w:numId w:val="504"/>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33" w:lineRule="exact"/>
        <w:rPr>
          <w:rFonts w:ascii="Arial" w:cs="Arial" w:eastAsia="Arial" w:hAnsi="Arial"/>
          <w:sz w:val="14"/>
          <w:szCs w:val="14"/>
          <w:color w:val="auto"/>
        </w:rPr>
      </w:pPr>
    </w:p>
    <w:p>
      <w:pPr>
        <w:ind w:left="7" w:right="240" w:firstLine="549"/>
        <w:spacing w:after="0" w:line="289" w:lineRule="auto"/>
        <w:tabs>
          <w:tab w:leader="none" w:pos="1125" w:val="left"/>
        </w:tabs>
        <w:numPr>
          <w:ilvl w:val="1"/>
          <w:numId w:val="504"/>
        </w:numPr>
        <w:rPr>
          <w:rFonts w:ascii="Arial" w:cs="Arial" w:eastAsia="Arial" w:hAnsi="Arial"/>
          <w:sz w:val="15"/>
          <w:szCs w:val="15"/>
          <w:color w:val="auto"/>
        </w:rPr>
      </w:pPr>
      <w:r>
        <w:rPr>
          <w:rFonts w:ascii="Arial" w:cs="Arial" w:eastAsia="Arial" w:hAnsi="Arial"/>
          <w:sz w:val="15"/>
          <w:szCs w:val="15"/>
          <w:u w:val="single" w:color="auto"/>
          <w:color w:val="auto"/>
        </w:rPr>
        <w:t>Validity</w:t>
      </w:r>
      <w:r>
        <w:rPr>
          <w:rFonts w:ascii="Arial" w:cs="Arial" w:eastAsia="Arial" w:hAnsi="Arial"/>
          <w:sz w:val="15"/>
          <w:szCs w:val="15"/>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40" w:lineRule="exact"/>
        <w:rPr>
          <w:rFonts w:ascii="Arial" w:cs="Arial" w:eastAsia="Arial" w:hAnsi="Arial"/>
          <w:sz w:val="15"/>
          <w:szCs w:val="15"/>
          <w:color w:val="auto"/>
        </w:rPr>
      </w:pPr>
    </w:p>
    <w:p>
      <w:pPr>
        <w:ind w:left="7" w:right="280" w:firstLine="549"/>
        <w:spacing w:after="0" w:line="289" w:lineRule="auto"/>
        <w:tabs>
          <w:tab w:leader="none" w:pos="1128" w:val="left"/>
        </w:tabs>
        <w:numPr>
          <w:ilvl w:val="1"/>
          <w:numId w:val="504"/>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40" w:lineRule="exact"/>
        <w:rPr>
          <w:rFonts w:ascii="Arial" w:cs="Arial" w:eastAsia="Arial" w:hAnsi="Arial"/>
          <w:sz w:val="15"/>
          <w:szCs w:val="15"/>
          <w:color w:val="auto"/>
        </w:rPr>
      </w:pPr>
    </w:p>
    <w:p>
      <w:pPr>
        <w:ind w:left="1687" w:hanging="576"/>
        <w:spacing w:after="0"/>
        <w:tabs>
          <w:tab w:leader="none" w:pos="1687" w:val="left"/>
        </w:tabs>
        <w:numPr>
          <w:ilvl w:val="2"/>
          <w:numId w:val="504"/>
        </w:numPr>
        <w:rPr>
          <w:rFonts w:ascii="Arial" w:cs="Arial" w:eastAsia="Arial" w:hAnsi="Arial"/>
          <w:sz w:val="15"/>
          <w:szCs w:val="15"/>
          <w:color w:val="auto"/>
        </w:rPr>
      </w:pPr>
      <w:r>
        <w:rPr>
          <w:rFonts w:ascii="Arial" w:cs="Arial" w:eastAsia="Arial" w:hAnsi="Arial"/>
          <w:sz w:val="15"/>
          <w:szCs w:val="15"/>
          <w:color w:val="auto"/>
        </w:rPr>
        <w:t>If to the Company, to the General Counsel of the Company at the Company’s headquarters,</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504"/>
        </w:numPr>
        <w:rPr>
          <w:rFonts w:ascii="Arial" w:cs="Arial" w:eastAsia="Arial" w:hAnsi="Arial"/>
          <w:sz w:val="15"/>
          <w:szCs w:val="15"/>
          <w:color w:val="auto"/>
        </w:rPr>
      </w:pPr>
      <w:r>
        <w:rPr>
          <w:rFonts w:ascii="Arial" w:cs="Arial" w:eastAsia="Arial" w:hAnsi="Arial"/>
          <w:sz w:val="15"/>
          <w:szCs w:val="15"/>
          <w:color w:val="auto"/>
        </w:rPr>
        <w:t>If to Executive, to the last address that the Company has in its personnel records for Executive, or</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504"/>
        </w:numPr>
        <w:rPr>
          <w:rFonts w:ascii="Arial" w:cs="Arial" w:eastAsia="Arial" w:hAnsi="Arial"/>
          <w:sz w:val="15"/>
          <w:szCs w:val="15"/>
          <w:color w:val="auto"/>
        </w:rPr>
      </w:pPr>
      <w:r>
        <w:rPr>
          <w:rFonts w:ascii="Arial" w:cs="Arial" w:eastAsia="Arial" w:hAnsi="Arial"/>
          <w:sz w:val="15"/>
          <w:szCs w:val="15"/>
          <w:color w:val="auto"/>
        </w:rPr>
        <w:t>at any other address as any Party shall have specified by notice in writing to the other Party.</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00" w:firstLine="549"/>
        <w:spacing w:after="0" w:line="289" w:lineRule="auto"/>
        <w:tabs>
          <w:tab w:leader="none" w:pos="1125" w:val="left"/>
        </w:tabs>
        <w:numPr>
          <w:ilvl w:val="1"/>
          <w:numId w:val="505"/>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40" w:lineRule="exact"/>
        <w:rPr>
          <w:rFonts w:ascii="Arial" w:cs="Arial" w:eastAsia="Arial" w:hAnsi="Arial"/>
          <w:sz w:val="15"/>
          <w:szCs w:val="15"/>
          <w:color w:val="auto"/>
        </w:rPr>
      </w:pPr>
    </w:p>
    <w:p>
      <w:pPr>
        <w:ind w:left="7" w:right="20" w:firstLine="549"/>
        <w:spacing w:after="0" w:line="289" w:lineRule="auto"/>
        <w:tabs>
          <w:tab w:leader="none" w:pos="1128" w:val="left"/>
        </w:tabs>
        <w:numPr>
          <w:ilvl w:val="1"/>
          <w:numId w:val="505"/>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xml:space="preserve">. The terms of this Agreement, the Restrictive Covenant Agreement incorporated herein by reference as set forth in </w:t>
      </w:r>
      <w:r>
        <w:rPr>
          <w:rFonts w:ascii="Arial" w:cs="Arial" w:eastAsia="Arial" w:hAnsi="Arial"/>
          <w:sz w:val="14"/>
          <w:szCs w:val="14"/>
          <w:u w:val="single" w:color="auto"/>
          <w:color w:val="auto"/>
        </w:rPr>
        <w:t>Section 5</w:t>
      </w:r>
      <w:r>
        <w:rPr>
          <w:rFonts w:ascii="Arial" w:cs="Arial" w:eastAsia="Arial" w:hAnsi="Arial"/>
          <w:sz w:val="14"/>
          <w:szCs w:val="14"/>
          <w:color w:val="auto"/>
        </w:rPr>
        <w:t>, the Indemnification Agreement (defined below) and any stock option agreement between the Company and Executive entered into prior to the date hereof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42" w:lineRule="exact"/>
        <w:rPr>
          <w:rFonts w:ascii="Arial" w:cs="Arial" w:eastAsia="Arial" w:hAnsi="Arial"/>
          <w:sz w:val="14"/>
          <w:szCs w:val="14"/>
          <w:color w:val="auto"/>
        </w:rPr>
      </w:pPr>
    </w:p>
    <w:p>
      <w:pPr>
        <w:ind w:left="1107" w:hanging="551"/>
        <w:spacing w:after="0"/>
        <w:tabs>
          <w:tab w:leader="none" w:pos="1107" w:val="left"/>
        </w:tabs>
        <w:numPr>
          <w:ilvl w:val="1"/>
          <w:numId w:val="505"/>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xml:space="preserve">. The Parties acknowledge that they have or will enter into an Indemnification Agreement in substantially the form attached as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hereto.</w:t>
      </w:r>
    </w:p>
    <w:p>
      <w:pPr>
        <w:spacing w:after="0" w:line="209" w:lineRule="exact"/>
        <w:rPr>
          <w:rFonts w:ascii="Arial" w:cs="Arial" w:eastAsia="Arial" w:hAnsi="Arial"/>
          <w:sz w:val="14"/>
          <w:szCs w:val="14"/>
          <w:color w:val="auto"/>
        </w:rPr>
      </w:pPr>
    </w:p>
    <w:p>
      <w:pPr>
        <w:ind w:left="7" w:right="20" w:firstLine="549"/>
        <w:spacing w:after="0" w:line="265" w:lineRule="auto"/>
        <w:tabs>
          <w:tab w:leader="none" w:pos="1137" w:val="left"/>
        </w:tabs>
        <w:numPr>
          <w:ilvl w:val="1"/>
          <w:numId w:val="505"/>
        </w:numPr>
        <w:rPr>
          <w:rFonts w:ascii="Arial" w:cs="Arial" w:eastAsia="Arial" w:hAnsi="Arial"/>
          <w:sz w:val="15"/>
          <w:szCs w:val="15"/>
          <w:color w:val="auto"/>
        </w:rPr>
      </w:pPr>
      <w:r>
        <w:rPr>
          <w:rFonts w:ascii="Arial" w:cs="Arial" w:eastAsia="Arial" w:hAnsi="Arial"/>
          <w:sz w:val="15"/>
          <w:szCs w:val="15"/>
          <w:u w:val="single" w:color="auto"/>
          <w:color w:val="auto"/>
        </w:rPr>
        <w:t>Amendments; Waivers</w:t>
      </w:r>
      <w:r>
        <w:rPr>
          <w:rFonts w:ascii="Arial" w:cs="Arial" w:eastAsia="Arial" w:hAnsi="Arial"/>
          <w:sz w:val="15"/>
          <w:szCs w:val="15"/>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59" w:lineRule="exact"/>
        <w:rPr>
          <w:rFonts w:ascii="Arial" w:cs="Arial" w:eastAsia="Arial" w:hAnsi="Arial"/>
          <w:sz w:val="15"/>
          <w:szCs w:val="15"/>
          <w:color w:val="auto"/>
        </w:rPr>
      </w:pPr>
    </w:p>
    <w:p>
      <w:pPr>
        <w:ind w:left="7" w:right="400" w:firstLine="549"/>
        <w:spacing w:after="0" w:line="273" w:lineRule="auto"/>
        <w:tabs>
          <w:tab w:leader="none" w:pos="1125" w:val="left"/>
        </w:tabs>
        <w:numPr>
          <w:ilvl w:val="1"/>
          <w:numId w:val="505"/>
        </w:numPr>
        <w:rPr>
          <w:rFonts w:ascii="Arial" w:cs="Arial" w:eastAsia="Arial" w:hAnsi="Arial"/>
          <w:sz w:val="15"/>
          <w:szCs w:val="15"/>
          <w:color w:val="auto"/>
        </w:rPr>
      </w:pPr>
      <w:r>
        <w:rPr>
          <w:rFonts w:ascii="Arial" w:cs="Arial" w:eastAsia="Arial" w:hAnsi="Arial"/>
          <w:sz w:val="15"/>
          <w:szCs w:val="15"/>
          <w:u w:val="single" w:color="auto"/>
          <w:color w:val="auto"/>
        </w:rPr>
        <w:t>No Inconsistent Actions</w:t>
      </w:r>
      <w:r>
        <w:rPr>
          <w:rFonts w:ascii="Arial" w:cs="Arial" w:eastAsia="Arial" w:hAnsi="Arial"/>
          <w:sz w:val="15"/>
          <w:szCs w:val="15"/>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52" w:lineRule="exact"/>
        <w:rPr>
          <w:rFonts w:ascii="Arial" w:cs="Arial" w:eastAsia="Arial" w:hAnsi="Arial"/>
          <w:sz w:val="15"/>
          <w:szCs w:val="15"/>
          <w:color w:val="auto"/>
        </w:rPr>
      </w:pPr>
    </w:p>
    <w:p>
      <w:pPr>
        <w:ind w:left="7" w:right="60" w:firstLine="549"/>
        <w:spacing w:after="0" w:line="279" w:lineRule="auto"/>
        <w:tabs>
          <w:tab w:leader="none" w:pos="1138" w:val="left"/>
        </w:tabs>
        <w:numPr>
          <w:ilvl w:val="1"/>
          <w:numId w:val="505"/>
        </w:numPr>
        <w:rPr>
          <w:rFonts w:ascii="Arial" w:cs="Arial" w:eastAsia="Arial" w:hAnsi="Arial"/>
          <w:sz w:val="14"/>
          <w:szCs w:val="14"/>
          <w:color w:val="auto"/>
        </w:rPr>
      </w:pPr>
      <w:r>
        <w:rPr>
          <w:rFonts w:ascii="Arial" w:cs="Arial" w:eastAsia="Arial" w:hAnsi="Arial"/>
          <w:sz w:val="14"/>
          <w:szCs w:val="14"/>
          <w:u w:val="single" w:color="auto"/>
          <w:color w:val="auto"/>
        </w:rPr>
        <w:t>Construction</w:t>
      </w:r>
      <w:r>
        <w:rPr>
          <w:rFonts w:ascii="Arial" w:cs="Arial" w:eastAsia="Arial" w:hAnsi="Arial"/>
          <w:sz w:val="14"/>
          <w:szCs w:val="14"/>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w:t>
      </w:r>
    </w:p>
    <w:p>
      <w:pPr>
        <w:spacing w:after="0" w:line="1" w:lineRule="exact"/>
        <w:rPr>
          <w:rFonts w:ascii="Arial" w:cs="Arial" w:eastAsia="Arial" w:hAnsi="Arial"/>
          <w:sz w:val="14"/>
          <w:szCs w:val="14"/>
          <w:color w:val="auto"/>
        </w:rPr>
      </w:pPr>
    </w:p>
    <w:p>
      <w:pPr>
        <w:ind w:left="7" w:right="500" w:hanging="7"/>
        <w:spacing w:after="0" w:line="266" w:lineRule="auto"/>
        <w:tabs>
          <w:tab w:leader="none" w:pos="226" w:val="left"/>
        </w:tabs>
        <w:numPr>
          <w:ilvl w:val="0"/>
          <w:numId w:val="506"/>
        </w:numPr>
        <w:rPr>
          <w:rFonts w:ascii="Arial" w:cs="Arial" w:eastAsia="Arial" w:hAnsi="Arial"/>
          <w:sz w:val="15"/>
          <w:szCs w:val="15"/>
          <w:color w:val="auto"/>
        </w:rPr>
      </w:pPr>
      <w:r>
        <w:rPr>
          <w:rFonts w:ascii="Arial" w:cs="Arial" w:eastAsia="Arial" w:hAnsi="Arial"/>
          <w:sz w:val="15"/>
          <w:szCs w:val="15"/>
          <w:color w:val="auto"/>
        </w:rPr>
        <w:t>“herein,”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57" w:lineRule="exact"/>
        <w:rPr>
          <w:rFonts w:ascii="Arial" w:cs="Arial" w:eastAsia="Arial" w:hAnsi="Arial"/>
          <w:sz w:val="15"/>
          <w:szCs w:val="15"/>
          <w:color w:val="auto"/>
        </w:rPr>
      </w:pPr>
    </w:p>
    <w:p>
      <w:pPr>
        <w:jc w:val="both"/>
        <w:ind w:left="7" w:right="100" w:firstLine="549"/>
        <w:spacing w:after="0" w:line="268" w:lineRule="auto"/>
        <w:tabs>
          <w:tab w:leader="none" w:pos="1126" w:val="left"/>
        </w:tabs>
        <w:numPr>
          <w:ilvl w:val="1"/>
          <w:numId w:val="506"/>
        </w:numPr>
        <w:rPr>
          <w:rFonts w:ascii="Arial" w:cs="Arial" w:eastAsia="Arial" w:hAnsi="Arial"/>
          <w:sz w:val="15"/>
          <w:szCs w:val="15"/>
          <w:color w:val="auto"/>
        </w:rPr>
      </w:pPr>
      <w:r>
        <w:rPr>
          <w:rFonts w:ascii="Arial" w:cs="Arial" w:eastAsia="Arial" w:hAnsi="Arial"/>
          <w:sz w:val="15"/>
          <w:szCs w:val="15"/>
          <w:u w:val="single" w:color="auto"/>
          <w:color w:val="auto"/>
        </w:rPr>
        <w:t>Enforcement</w:t>
      </w:r>
      <w:r>
        <w:rPr>
          <w:rFonts w:ascii="Arial" w:cs="Arial" w:eastAsia="Arial" w:hAnsi="Arial"/>
          <w:sz w:val="15"/>
          <w:szCs w:val="15"/>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w:t>
      </w:r>
    </w:p>
    <w:p>
      <w:pPr>
        <w:spacing w:after="0" w:line="15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7" w:right="60"/>
        <w:spacing w:after="0" w:line="289" w:lineRule="auto"/>
        <w:rPr>
          <w:sz w:val="20"/>
          <w:szCs w:val="20"/>
          <w:color w:val="auto"/>
        </w:rPr>
      </w:pPr>
      <w:r>
        <w:rPr>
          <w:rFonts w:ascii="Arial" w:cs="Arial" w:eastAsia="Arial" w:hAnsi="Arial"/>
          <w:sz w:val="15"/>
          <w:szCs w:val="15"/>
          <w:color w:val="auto"/>
        </w:rPr>
        <w:t>invalid or unenforceable provision there shall be added automatically as part of this Agreement a provision as similar in terms to such illegal, invalid or unenforceable provision as may be possible and be legal, valid and enforceable.</w:t>
      </w:r>
    </w:p>
    <w:p>
      <w:pPr>
        <w:sectPr>
          <w:pgSz w:w="11900" w:h="16838" w:orient="portrait"/>
          <w:cols w:equalWidth="0" w:num="1">
            <w:col w:w="11427"/>
          </w:cols>
          <w:pgMar w:left="233" w:top="315" w:right="239" w:bottom="0" w:gutter="0" w:footer="0" w:header="0"/>
        </w:sectPr>
      </w:pPr>
    </w:p>
    <w:bookmarkStart w:id="408" w:name="page409"/>
    <w:bookmarkEnd w:id="408"/>
    <w:p>
      <w:pPr>
        <w:spacing w:after="0" w:line="31" w:lineRule="exact"/>
        <w:rPr>
          <w:sz w:val="20"/>
          <w:szCs w:val="20"/>
          <w:color w:val="auto"/>
        </w:rPr>
      </w:pPr>
    </w:p>
    <w:p>
      <w:pPr>
        <w:ind w:left="7" w:right="300" w:firstLine="549"/>
        <w:spacing w:after="0" w:line="273" w:lineRule="auto"/>
        <w:tabs>
          <w:tab w:leader="none" w:pos="1125" w:val="left"/>
        </w:tabs>
        <w:numPr>
          <w:ilvl w:val="0"/>
          <w:numId w:val="507"/>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52" w:lineRule="exact"/>
        <w:rPr>
          <w:rFonts w:ascii="Arial" w:cs="Arial" w:eastAsia="Arial" w:hAnsi="Arial"/>
          <w:sz w:val="15"/>
          <w:szCs w:val="15"/>
          <w:color w:val="auto"/>
        </w:rPr>
      </w:pPr>
    </w:p>
    <w:p>
      <w:pPr>
        <w:ind w:left="1127" w:hanging="571"/>
        <w:spacing w:after="0"/>
        <w:tabs>
          <w:tab w:leader="none" w:pos="1127" w:val="left"/>
        </w:tabs>
        <w:numPr>
          <w:ilvl w:val="0"/>
          <w:numId w:val="507"/>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47" w:right="60" w:firstLine="564"/>
        <w:spacing w:after="0" w:line="289" w:lineRule="auto"/>
        <w:tabs>
          <w:tab w:leader="none" w:pos="1677" w:val="left"/>
        </w:tabs>
        <w:numPr>
          <w:ilvl w:val="1"/>
          <w:numId w:val="507"/>
        </w:numPr>
        <w:rPr>
          <w:rFonts w:ascii="Arial" w:cs="Arial" w:eastAsia="Arial" w:hAnsi="Arial"/>
          <w:sz w:val="15"/>
          <w:szCs w:val="15"/>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 intent of the Parties is that the payments and benefits under this Agreement comply with or be exempt from Section 409A and, accordingly, to</w:t>
      </w:r>
      <w:r>
        <w:rPr>
          <w:rFonts w:ascii="Arial" w:cs="Arial" w:eastAsia="Arial" w:hAnsi="Arial"/>
          <w:sz w:val="15"/>
          <w:szCs w:val="15"/>
          <w:i w:val="1"/>
          <w:iCs w:val="1"/>
          <w:color w:val="auto"/>
        </w:rPr>
        <w:t xml:space="preserve"> </w:t>
      </w:r>
      <w:r>
        <w:rPr>
          <w:rFonts w:ascii="Arial" w:cs="Arial" w:eastAsia="Arial" w:hAnsi="Arial"/>
          <w:sz w:val="15"/>
          <w:szCs w:val="15"/>
          <w:color w:val="auto"/>
        </w:rPr>
        <w:t>the maximum extent permitted, this Agreement shall be interpreted to be in compliance therewith.</w:t>
      </w:r>
    </w:p>
    <w:p>
      <w:pPr>
        <w:spacing w:after="0" w:line="140" w:lineRule="exact"/>
        <w:rPr>
          <w:rFonts w:ascii="Arial" w:cs="Arial" w:eastAsia="Arial" w:hAnsi="Arial"/>
          <w:sz w:val="15"/>
          <w:szCs w:val="15"/>
          <w:color w:val="auto"/>
        </w:rPr>
      </w:pPr>
    </w:p>
    <w:p>
      <w:pPr>
        <w:ind w:left="547" w:right="60" w:firstLine="564"/>
        <w:spacing w:after="0" w:line="263" w:lineRule="auto"/>
        <w:tabs>
          <w:tab w:leader="none" w:pos="1686" w:val="left"/>
        </w:tabs>
        <w:numPr>
          <w:ilvl w:val="1"/>
          <w:numId w:val="507"/>
        </w:numPr>
        <w:rPr>
          <w:rFonts w:ascii="Arial" w:cs="Arial" w:eastAsia="Arial" w:hAnsi="Arial"/>
          <w:sz w:val="15"/>
          <w:szCs w:val="15"/>
          <w:color w:val="auto"/>
        </w:rPr>
      </w:pPr>
      <w:r>
        <w:rPr>
          <w:rFonts w:ascii="Arial" w:cs="Arial" w:eastAsia="Arial" w:hAnsi="Arial"/>
          <w:sz w:val="15"/>
          <w:szCs w:val="15"/>
          <w:i w:val="1"/>
          <w:iCs w:val="1"/>
          <w:color w:val="auto"/>
        </w:rPr>
        <w:t xml:space="preserve">Separation from Service. </w:t>
      </w:r>
      <w:r>
        <w:rPr>
          <w:rFonts w:ascii="Arial" w:cs="Arial" w:eastAsia="Arial" w:hAnsi="Arial"/>
          <w:sz w:val="15"/>
          <w:szCs w:val="15"/>
          <w:color w:val="auto"/>
        </w:rPr>
        <w:t>Notwithstanding anything in this Agreement to the contrary, any compensation or benefits payable under this Agreement that is</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xml:space="preserve">”) and, except as provided below, any such compensation or benefits described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not be paid, or, in the case of installments, shall not commence payment, until the sixtieth (60th) day following Executive’s Separation from Service (the “</w:t>
      </w:r>
      <w:r>
        <w:rPr>
          <w:rFonts w:ascii="Arial" w:cs="Arial" w:eastAsia="Arial" w:hAnsi="Arial"/>
          <w:sz w:val="15"/>
          <w:szCs w:val="15"/>
          <w:u w:val="single" w:color="auto"/>
          <w:color w:val="auto"/>
        </w:rPr>
        <w:t>First Payment Date</w:t>
      </w:r>
      <w:r>
        <w:rPr>
          <w:rFonts w:ascii="Arial" w:cs="Arial" w:eastAsia="Arial" w:hAnsi="Arial"/>
          <w:sz w:val="15"/>
          <w:szCs w:val="15"/>
          <w:color w:val="auto"/>
        </w:rPr>
        <w:t>”). Any installment payments that would have been made to Executive during the sixty (60) day period immediately following Executive’s Separation from Service but for the preceding sentence shall be paid to Executive on the First Payment Date and the remaining payments shall be made as provided in this Agreement.</w:t>
      </w:r>
    </w:p>
    <w:p>
      <w:pPr>
        <w:spacing w:after="0" w:line="159" w:lineRule="exact"/>
        <w:rPr>
          <w:rFonts w:ascii="Arial" w:cs="Arial" w:eastAsia="Arial" w:hAnsi="Arial"/>
          <w:sz w:val="15"/>
          <w:szCs w:val="15"/>
          <w:color w:val="auto"/>
        </w:rPr>
      </w:pPr>
    </w:p>
    <w:p>
      <w:pPr>
        <w:ind w:left="547" w:right="20" w:firstLine="564"/>
        <w:spacing w:after="0" w:line="286" w:lineRule="auto"/>
        <w:tabs>
          <w:tab w:leader="none" w:pos="1694" w:val="left"/>
        </w:tabs>
        <w:numPr>
          <w:ilvl w:val="1"/>
          <w:numId w:val="507"/>
        </w:numPr>
        <w:rPr>
          <w:rFonts w:ascii="Arial" w:cs="Arial" w:eastAsia="Arial" w:hAnsi="Arial"/>
          <w:sz w:val="14"/>
          <w:szCs w:val="14"/>
          <w:color w:val="auto"/>
        </w:rPr>
      </w:pPr>
      <w:r>
        <w:rPr>
          <w:rFonts w:ascii="Arial" w:cs="Arial" w:eastAsia="Arial" w:hAnsi="Arial"/>
          <w:sz w:val="14"/>
          <w:szCs w:val="14"/>
          <w:i w:val="1"/>
          <w:iCs w:val="1"/>
          <w:color w:val="auto"/>
        </w:rPr>
        <w:t xml:space="preserve">Specified Employee. </w:t>
      </w:r>
      <w:r>
        <w:rPr>
          <w:rFonts w:ascii="Arial" w:cs="Arial" w:eastAsia="Arial" w:hAnsi="Arial"/>
          <w:sz w:val="14"/>
          <w:szCs w:val="14"/>
          <w:color w:val="auto"/>
        </w:rPr>
        <w:t>Notwithstanding anything in this Agreement to the contrary, if Executive is deemed by the Company at the time of Executive’s</w:t>
      </w:r>
      <w:r>
        <w:rPr>
          <w:rFonts w:ascii="Arial" w:cs="Arial" w:eastAsia="Arial" w:hAnsi="Arial"/>
          <w:sz w:val="14"/>
          <w:szCs w:val="14"/>
          <w:i w:val="1"/>
          <w:iCs w:val="1"/>
          <w:color w:val="auto"/>
        </w:rPr>
        <w:t xml:space="preserve"> </w:t>
      </w:r>
      <w:r>
        <w:rPr>
          <w:rFonts w:ascii="Arial" w:cs="Arial" w:eastAsia="Arial" w:hAnsi="Arial"/>
          <w:sz w:val="14"/>
          <w:szCs w:val="14"/>
          <w:color w:val="auto"/>
        </w:rPr>
        <w:t>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46" w:lineRule="exact"/>
        <w:rPr>
          <w:rFonts w:ascii="Arial" w:cs="Arial" w:eastAsia="Arial" w:hAnsi="Arial"/>
          <w:sz w:val="14"/>
          <w:szCs w:val="14"/>
          <w:color w:val="auto"/>
        </w:rPr>
      </w:pPr>
    </w:p>
    <w:p>
      <w:pPr>
        <w:ind w:left="547" w:right="40" w:firstLine="564"/>
        <w:spacing w:after="0" w:line="265" w:lineRule="auto"/>
        <w:tabs>
          <w:tab w:leader="none" w:pos="1674" w:val="left"/>
        </w:tabs>
        <w:numPr>
          <w:ilvl w:val="1"/>
          <w:numId w:val="507"/>
        </w:numPr>
        <w:rPr>
          <w:rFonts w:ascii="Arial" w:cs="Arial" w:eastAsia="Arial" w:hAnsi="Arial"/>
          <w:sz w:val="15"/>
          <w:szCs w:val="15"/>
          <w:color w:val="auto"/>
        </w:rPr>
      </w:pPr>
      <w:r>
        <w:rPr>
          <w:rFonts w:ascii="Arial" w:cs="Arial" w:eastAsia="Arial" w:hAnsi="Arial"/>
          <w:sz w:val="15"/>
          <w:szCs w:val="15"/>
          <w:i w:val="1"/>
          <w:iCs w:val="1"/>
          <w:color w:val="auto"/>
        </w:rPr>
        <w:t xml:space="preserve">Expense Reimbursements. </w:t>
      </w:r>
      <w:r>
        <w:rPr>
          <w:rFonts w:ascii="Arial" w:cs="Arial" w:eastAsia="Arial" w:hAnsi="Arial"/>
          <w:sz w:val="15"/>
          <w:szCs w:val="15"/>
          <w:color w:val="auto"/>
        </w:rPr>
        <w:t>To the extent that any reimbursements under this Agreement are subject to Section 409A, any such reimbursements payable to</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shall be paid to Executive no later than December 31 of the year following the year in which the expense was incurred; provided, that Executive submits Executive’s reimbursement request promptly following the date the expense is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6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firstLine="564"/>
        <w:spacing w:after="0" w:line="268" w:lineRule="auto"/>
        <w:tabs>
          <w:tab w:leader="none" w:pos="1665" w:val="left"/>
        </w:tabs>
        <w:numPr>
          <w:ilvl w:val="2"/>
          <w:numId w:val="508"/>
        </w:numPr>
        <w:rPr>
          <w:rFonts w:ascii="Arial" w:cs="Arial" w:eastAsia="Arial" w:hAnsi="Arial"/>
          <w:sz w:val="15"/>
          <w:szCs w:val="15"/>
          <w:color w:val="auto"/>
        </w:rPr>
      </w:pPr>
      <w:r>
        <w:rPr>
          <w:rFonts w:ascii="Arial" w:cs="Arial" w:eastAsia="Arial" w:hAnsi="Arial"/>
          <w:sz w:val="15"/>
          <w:szCs w:val="15"/>
          <w:i w:val="1"/>
          <w:iCs w:val="1"/>
          <w:color w:val="auto"/>
        </w:rPr>
        <w:t xml:space="preserve">Installments. </w:t>
      </w:r>
      <w:r>
        <w:rPr>
          <w:rFonts w:ascii="Arial" w:cs="Arial" w:eastAsia="Arial" w:hAnsi="Arial"/>
          <w:sz w:val="15"/>
          <w:szCs w:val="15"/>
          <w:color w:val="auto"/>
        </w:rPr>
        <w:t>Executive’s right to receive any installment payments under this Agreement, including without limitation any continuation salary payments that</w:t>
      </w:r>
      <w:r>
        <w:rPr>
          <w:rFonts w:ascii="Arial" w:cs="Arial" w:eastAsia="Arial" w:hAnsi="Arial"/>
          <w:sz w:val="15"/>
          <w:szCs w:val="15"/>
          <w:i w:val="1"/>
          <w:iCs w:val="1"/>
          <w:color w:val="auto"/>
        </w:rPr>
        <w:t xml:space="preserve"> </w:t>
      </w:r>
      <w:r>
        <w:rPr>
          <w:rFonts w:ascii="Arial" w:cs="Arial" w:eastAsia="Arial" w:hAnsi="Arial"/>
          <w:sz w:val="15"/>
          <w:szCs w:val="15"/>
          <w:color w:val="auto"/>
        </w:rPr>
        <w:t>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56" w:lineRule="exact"/>
        <w:rPr>
          <w:rFonts w:ascii="Arial" w:cs="Arial" w:eastAsia="Arial" w:hAnsi="Arial"/>
          <w:sz w:val="15"/>
          <w:szCs w:val="15"/>
          <w:color w:val="auto"/>
        </w:rPr>
      </w:pPr>
    </w:p>
    <w:p>
      <w:pPr>
        <w:ind w:left="7" w:right="40" w:firstLine="549"/>
        <w:spacing w:after="0" w:line="289" w:lineRule="auto"/>
        <w:tabs>
          <w:tab w:leader="none" w:pos="1122" w:val="left"/>
        </w:tabs>
        <w:numPr>
          <w:ilvl w:val="1"/>
          <w:numId w:val="509"/>
        </w:numPr>
        <w:rPr>
          <w:rFonts w:ascii="Arial" w:cs="Arial" w:eastAsia="Arial" w:hAnsi="Arial"/>
          <w:sz w:val="15"/>
          <w:szCs w:val="15"/>
          <w:color w:val="auto"/>
        </w:rPr>
      </w:pPr>
      <w:r>
        <w:rPr>
          <w:rFonts w:ascii="Arial" w:cs="Arial" w:eastAsia="Arial" w:hAnsi="Arial"/>
          <w:sz w:val="15"/>
          <w:szCs w:val="15"/>
          <w:u w:val="single" w:color="auto"/>
          <w:color w:val="auto"/>
        </w:rPr>
        <w:t>Attorneys’ Fees</w:t>
      </w:r>
      <w:r>
        <w:rPr>
          <w:rFonts w:ascii="Arial" w:cs="Arial" w:eastAsia="Arial" w:hAnsi="Arial"/>
          <w:sz w:val="15"/>
          <w:szCs w:val="15"/>
          <w:color w:val="auto"/>
        </w:rPr>
        <w:t>. In the event that either Party prevails in a dispute with the other Party concerning the rights and obligations hereunder, the non-prevailing Party shall pay the prevailing Party’s reasonable attorneys’ fees and costs.</w:t>
      </w:r>
    </w:p>
    <w:p>
      <w:pPr>
        <w:spacing w:after="0" w:line="134" w:lineRule="exact"/>
        <w:rPr>
          <w:rFonts w:ascii="Arial" w:cs="Arial" w:eastAsia="Arial" w:hAnsi="Arial"/>
          <w:sz w:val="15"/>
          <w:szCs w:val="15"/>
          <w:color w:val="auto"/>
        </w:rPr>
      </w:pPr>
    </w:p>
    <w:p>
      <w:pPr>
        <w:ind w:left="547" w:hanging="547"/>
        <w:spacing w:after="0"/>
        <w:tabs>
          <w:tab w:leader="none" w:pos="547" w:val="left"/>
        </w:tabs>
        <w:numPr>
          <w:ilvl w:val="0"/>
          <w:numId w:val="51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Executive Acknowledgement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Executive acknowledges that Executive has read and understands this Agreement, is fully aware of its legal effect, has not acted in reliance upon any representations or</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color w:val="auto"/>
        </w:rPr>
        <w:t>promises made by the Company other than those contained in writing herein, and has entered into this Agreement freely based on Executive’s own judgment.</w:t>
      </w:r>
    </w:p>
    <w:p>
      <w:pPr>
        <w:spacing w:after="0" w:line="188"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rPr>
          <w:sz w:val="20"/>
          <w:szCs w:val="20"/>
          <w:color w:val="auto"/>
        </w:rPr>
      </w:pPr>
      <w:r>
        <w:rPr>
          <w:rFonts w:ascii="Arial" w:cs="Arial" w:eastAsia="Arial" w:hAnsi="Arial"/>
          <w:sz w:val="15"/>
          <w:szCs w:val="15"/>
          <w:color w:val="auto"/>
        </w:rPr>
        <w:t>IN WITNESS WHEREOF, the Parties have executed this Agreement on the date and year first above written.</w:t>
      </w:r>
    </w:p>
    <w:p>
      <w:pPr>
        <w:spacing w:after="0" w:line="192" w:lineRule="exact"/>
        <w:rPr>
          <w:sz w:val="20"/>
          <w:szCs w:val="20"/>
          <w:color w:val="auto"/>
        </w:rPr>
      </w:pPr>
    </w:p>
    <w:p>
      <w:pPr>
        <w:ind w:left="5727"/>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p>
      <w:pPr>
        <w:ind w:left="5727"/>
        <w:spacing w:after="0"/>
        <w:tabs>
          <w:tab w:leader="none" w:pos="6187"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14605</wp:posOffset>
            </wp:positionV>
            <wp:extent cx="3324225" cy="762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spacing w:after="0" w:line="4"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Name: Werner Cautreels, Ph.D.</w:t>
      </w:r>
    </w:p>
    <w:p>
      <w:pPr>
        <w:spacing w:after="0" w:line="23"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Title: President and Chief Executive Officer</w:t>
      </w:r>
    </w:p>
    <w:p>
      <w:pPr>
        <w:spacing w:after="0" w:line="373"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/s/ Lloyd Johnston,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625850" cy="762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Lloyd Johnston, Ph.D.</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285990" cy="2730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u w:val="single" w:color="auto"/>
          <w:color w:val="auto"/>
        </w:rPr>
        <w:t>EXHIBIT A</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Separation Agreement and Release</w:t>
      </w:r>
    </w:p>
    <w:p>
      <w:pPr>
        <w:spacing w:after="0" w:line="204" w:lineRule="exact"/>
        <w:rPr>
          <w:sz w:val="20"/>
          <w:szCs w:val="20"/>
          <w:color w:val="auto"/>
        </w:rPr>
      </w:pPr>
    </w:p>
    <w:p>
      <w:pPr>
        <w:ind w:left="7" w:right="420" w:firstLine="562"/>
        <w:spacing w:after="0" w:line="273" w:lineRule="auto"/>
        <w:rPr>
          <w:sz w:val="20"/>
          <w:szCs w:val="20"/>
          <w:color w:val="auto"/>
        </w:rPr>
      </w:pPr>
      <w:r>
        <w:rPr>
          <w:rFonts w:ascii="Arial" w:cs="Arial" w:eastAsia="Arial" w:hAnsi="Arial"/>
          <w:sz w:val="15"/>
          <w:szCs w:val="15"/>
          <w:color w:val="auto"/>
        </w:rPr>
        <w:t>This Separation Agreement and Release (“Agreement”) is made by and between Lloyd Johnston, Ph.D.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153" w:lineRule="exact"/>
        <w:rPr>
          <w:sz w:val="20"/>
          <w:szCs w:val="20"/>
          <w:color w:val="auto"/>
        </w:rPr>
      </w:pPr>
    </w:p>
    <w:p>
      <w:pPr>
        <w:ind w:left="567"/>
        <w:spacing w:after="0"/>
        <w:rPr>
          <w:sz w:val="20"/>
          <w:szCs w:val="20"/>
          <w:color w:val="auto"/>
        </w:rPr>
      </w:pPr>
      <w:r>
        <w:rPr>
          <w:rFonts w:ascii="Arial" w:cs="Arial" w:eastAsia="Arial" w:hAnsi="Arial"/>
          <w:sz w:val="15"/>
          <w:szCs w:val="15"/>
          <w:color w:val="auto"/>
        </w:rPr>
        <w:t>WHEREAS, the Parties have previously entered into that certain Employment Agreement, dated as of June 6, 2016 (the “Employment Agreement”); and</w:t>
      </w:r>
    </w:p>
    <w:p>
      <w:pPr>
        <w:spacing w:after="0" w:line="198" w:lineRule="exact"/>
        <w:rPr>
          <w:sz w:val="20"/>
          <w:szCs w:val="20"/>
          <w:color w:val="auto"/>
        </w:rPr>
      </w:pPr>
    </w:p>
    <w:p>
      <w:pPr>
        <w:ind w:left="7" w:right="60" w:firstLine="562"/>
        <w:spacing w:after="0" w:line="284" w:lineRule="auto"/>
        <w:rPr>
          <w:sz w:val="20"/>
          <w:szCs w:val="20"/>
          <w:color w:val="auto"/>
        </w:rPr>
      </w:pPr>
      <w:r>
        <w:rPr>
          <w:rFonts w:ascii="Arial" w:cs="Arial" w:eastAsia="Arial" w:hAnsi="Arial"/>
          <w:sz w:val="14"/>
          <w:szCs w:val="14"/>
          <w:color w:val="auto"/>
        </w:rPr>
        <w:t>WHEREAS, in connection with Executive’s termination of employment with the Company or a subsidiary or affiliate of the Company effective , 20 ,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ectPr>
          <w:pgSz w:w="11900" w:h="16870" w:orient="portrait"/>
          <w:cols w:equalWidth="0" w:num="1">
            <w:col w:w="11427"/>
          </w:cols>
          <w:pgMar w:left="233" w:top="314" w:right="239" w:bottom="0" w:gutter="0" w:footer="0" w:header="0"/>
        </w:sectPr>
      </w:pPr>
    </w:p>
    <w:bookmarkStart w:id="409" w:name="page410"/>
    <w:bookmarkEnd w:id="409"/>
    <w:p>
      <w:pPr>
        <w:jc w:val="both"/>
        <w:ind w:right="340" w:firstLine="562"/>
        <w:spacing w:after="0" w:line="273" w:lineRule="auto"/>
        <w:rPr>
          <w:sz w:val="20"/>
          <w:szCs w:val="20"/>
          <w:color w:val="auto"/>
        </w:rPr>
      </w:pPr>
      <w:r>
        <w:rPr>
          <w:rFonts w:ascii="Arial" w:cs="Arial" w:eastAsia="Arial" w:hAnsi="Arial"/>
          <w:sz w:val="15"/>
          <w:szCs w:val="15"/>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53" w:lineRule="exact"/>
        <w:rPr>
          <w:sz w:val="20"/>
          <w:szCs w:val="20"/>
          <w:color w:val="auto"/>
        </w:rPr>
      </w:pPr>
    </w:p>
    <w:p>
      <w:pPr>
        <w:ind w:right="420" w:firstLine="555"/>
        <w:spacing w:after="0" w:line="268" w:lineRule="auto"/>
        <w:tabs>
          <w:tab w:leader="none" w:pos="1106" w:val="left"/>
        </w:tabs>
        <w:numPr>
          <w:ilvl w:val="0"/>
          <w:numId w:val="511"/>
        </w:numPr>
        <w:rPr>
          <w:rFonts w:ascii="Arial" w:cs="Arial" w:eastAsia="Arial" w:hAnsi="Arial"/>
          <w:sz w:val="15"/>
          <w:szCs w:val="15"/>
          <w:color w:val="auto"/>
        </w:rPr>
      </w:pPr>
      <w:r>
        <w:rPr>
          <w:rFonts w:ascii="Arial" w:cs="Arial" w:eastAsia="Arial" w:hAnsi="Arial"/>
          <w:sz w:val="15"/>
          <w:szCs w:val="15"/>
          <w:u w:val="single" w:color="auto"/>
          <w:color w:val="auto"/>
        </w:rPr>
        <w:t>Severance Payments; Salary and Benefits</w:t>
      </w:r>
      <w:r>
        <w:rPr>
          <w:rFonts w:ascii="Arial" w:cs="Arial" w:eastAsia="Arial" w:hAnsi="Arial"/>
          <w:sz w:val="15"/>
          <w:szCs w:val="15"/>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56" w:lineRule="exact"/>
        <w:rPr>
          <w:rFonts w:ascii="Arial" w:cs="Arial" w:eastAsia="Arial" w:hAnsi="Arial"/>
          <w:sz w:val="15"/>
          <w:szCs w:val="15"/>
          <w:color w:val="auto"/>
        </w:rPr>
      </w:pPr>
    </w:p>
    <w:p>
      <w:pPr>
        <w:ind w:right="80" w:firstLine="555"/>
        <w:spacing w:after="0" w:line="283" w:lineRule="auto"/>
        <w:tabs>
          <w:tab w:leader="none" w:pos="1106" w:val="left"/>
        </w:tabs>
        <w:numPr>
          <w:ilvl w:val="0"/>
          <w:numId w:val="511"/>
        </w:numPr>
        <w:rPr>
          <w:rFonts w:ascii="Arial" w:cs="Arial" w:eastAsia="Arial" w:hAnsi="Arial"/>
          <w:sz w:val="14"/>
          <w:szCs w:val="14"/>
          <w:color w:val="auto"/>
        </w:rPr>
      </w:pPr>
      <w:r>
        <w:rPr>
          <w:rFonts w:ascii="Arial" w:cs="Arial" w:eastAsia="Arial" w:hAnsi="Arial"/>
          <w:sz w:val="14"/>
          <w:szCs w:val="14"/>
          <w:u w:val="single" w:color="auto"/>
          <w:color w:val="auto"/>
        </w:rPr>
        <w:t>Release of Claims</w:t>
      </w:r>
      <w:r>
        <w:rPr>
          <w:rFonts w:ascii="Arial" w:cs="Arial" w:eastAsia="Arial" w:hAnsi="Arial"/>
          <w:sz w:val="14"/>
          <w:szCs w:val="14"/>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(as defined in Section 7 below), including, without limitation: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ind w:right="80" w:firstLine="1104"/>
        <w:spacing w:after="0" w:line="289" w:lineRule="auto"/>
        <w:tabs>
          <w:tab w:leader="none" w:pos="1665" w:val="left"/>
        </w:tabs>
        <w:numPr>
          <w:ilvl w:val="1"/>
          <w:numId w:val="511"/>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employment or service relationship with the Company or any of its direct or indirect subsidiaries or affiliates and the termination of that relationship;</w:t>
      </w:r>
    </w:p>
    <w:p>
      <w:pPr>
        <w:spacing w:after="0" w:line="140" w:lineRule="exact"/>
        <w:rPr>
          <w:rFonts w:ascii="Arial" w:cs="Arial" w:eastAsia="Arial" w:hAnsi="Arial"/>
          <w:sz w:val="15"/>
          <w:szCs w:val="15"/>
          <w:color w:val="auto"/>
        </w:rPr>
      </w:pPr>
    </w:p>
    <w:p>
      <w:pPr>
        <w:ind w:right="60" w:firstLine="1104"/>
        <w:spacing w:after="0" w:line="273" w:lineRule="auto"/>
        <w:tabs>
          <w:tab w:leader="none" w:pos="1674" w:val="left"/>
        </w:tabs>
        <w:numPr>
          <w:ilvl w:val="1"/>
          <w:numId w:val="511"/>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2" w:lineRule="exact"/>
        <w:rPr>
          <w:rFonts w:ascii="Arial" w:cs="Arial" w:eastAsia="Arial" w:hAnsi="Arial"/>
          <w:sz w:val="15"/>
          <w:szCs w:val="15"/>
          <w:color w:val="auto"/>
        </w:rPr>
      </w:pPr>
    </w:p>
    <w:p>
      <w:pPr>
        <w:ind w:right="140" w:firstLine="1104"/>
        <w:spacing w:after="0" w:line="268" w:lineRule="auto"/>
        <w:tabs>
          <w:tab w:leader="none" w:pos="1677" w:val="left"/>
        </w:tabs>
        <w:numPr>
          <w:ilvl w:val="1"/>
          <w:numId w:val="511"/>
        </w:numPr>
        <w:rPr>
          <w:rFonts w:ascii="Arial" w:cs="Arial" w:eastAsia="Arial" w:hAnsi="Arial"/>
          <w:sz w:val="15"/>
          <w:szCs w:val="15"/>
          <w:color w:val="auto"/>
        </w:rPr>
      </w:pPr>
      <w:r>
        <w:rPr>
          <w:rFonts w:ascii="Arial" w:cs="Arial" w:eastAsia="Arial" w:hAnsi="Arial"/>
          <w:sz w:val="15"/>
          <w:szCs w:val="15"/>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56" w:lineRule="exact"/>
        <w:rPr>
          <w:rFonts w:ascii="Arial" w:cs="Arial" w:eastAsia="Arial" w:hAnsi="Arial"/>
          <w:sz w:val="15"/>
          <w:szCs w:val="15"/>
          <w:color w:val="auto"/>
        </w:rPr>
      </w:pPr>
    </w:p>
    <w:p>
      <w:pPr>
        <w:ind w:right="180" w:firstLine="1104"/>
        <w:spacing w:after="0" w:line="268" w:lineRule="auto"/>
        <w:tabs>
          <w:tab w:leader="none" w:pos="1674" w:val="left"/>
        </w:tabs>
        <w:numPr>
          <w:ilvl w:val="1"/>
          <w:numId w:val="511"/>
        </w:numPr>
        <w:rPr>
          <w:rFonts w:ascii="Arial" w:cs="Arial" w:eastAsia="Arial" w:hAnsi="Arial"/>
          <w:sz w:val="15"/>
          <w:szCs w:val="15"/>
          <w:color w:val="auto"/>
        </w:rPr>
      </w:pPr>
      <w:r>
        <w:rPr>
          <w:rFonts w:ascii="Arial" w:cs="Arial" w:eastAsia="Arial" w:hAnsi="Arial"/>
          <w:sz w:val="15"/>
          <w:szCs w:val="15"/>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56" w:lineRule="exact"/>
        <w:rPr>
          <w:rFonts w:ascii="Arial" w:cs="Arial" w:eastAsia="Arial" w:hAnsi="Arial"/>
          <w:sz w:val="15"/>
          <w:szCs w:val="15"/>
          <w:color w:val="auto"/>
        </w:rPr>
      </w:pPr>
    </w:p>
    <w:p>
      <w:pPr>
        <w:ind w:left="1660" w:hanging="556"/>
        <w:spacing w:after="0"/>
        <w:tabs>
          <w:tab w:leader="none" w:pos="1660" w:val="left"/>
        </w:tabs>
        <w:numPr>
          <w:ilvl w:val="1"/>
          <w:numId w:val="511"/>
        </w:numPr>
        <w:rPr>
          <w:rFonts w:ascii="Arial" w:cs="Arial" w:eastAsia="Arial" w:hAnsi="Arial"/>
          <w:sz w:val="15"/>
          <w:szCs w:val="15"/>
          <w:color w:val="auto"/>
        </w:rPr>
      </w:pPr>
      <w:r>
        <w:rPr>
          <w:rFonts w:ascii="Arial" w:cs="Arial" w:eastAsia="Arial" w:hAnsi="Arial"/>
          <w:sz w:val="15"/>
          <w:szCs w:val="15"/>
          <w:color w:val="auto"/>
        </w:rPr>
        <w:t>any and all claims for violation of the federal or any state constitution;</w:t>
      </w:r>
    </w:p>
    <w:p>
      <w:pPr>
        <w:spacing w:after="0" w:line="198" w:lineRule="exact"/>
        <w:rPr>
          <w:rFonts w:ascii="Arial" w:cs="Arial" w:eastAsia="Arial" w:hAnsi="Arial"/>
          <w:sz w:val="15"/>
          <w:szCs w:val="15"/>
          <w:color w:val="auto"/>
        </w:rPr>
      </w:pPr>
    </w:p>
    <w:p>
      <w:pPr>
        <w:ind w:left="1660" w:hanging="556"/>
        <w:spacing w:after="0"/>
        <w:tabs>
          <w:tab w:leader="none" w:pos="1660" w:val="left"/>
        </w:tabs>
        <w:numPr>
          <w:ilvl w:val="1"/>
          <w:numId w:val="511"/>
        </w:numPr>
        <w:rPr>
          <w:rFonts w:ascii="Arial" w:cs="Arial" w:eastAsia="Arial" w:hAnsi="Arial"/>
          <w:sz w:val="15"/>
          <w:szCs w:val="15"/>
          <w:color w:val="auto"/>
        </w:rPr>
      </w:pPr>
      <w:r>
        <w:rPr>
          <w:rFonts w:ascii="Arial" w:cs="Arial" w:eastAsia="Arial" w:hAnsi="Arial"/>
          <w:sz w:val="15"/>
          <w:szCs w:val="15"/>
          <w:color w:val="auto"/>
        </w:rPr>
        <w:t>any and all claims arising out of any other laws and regulations relating to employment or employment discrimination;</w:t>
      </w:r>
    </w:p>
    <w:p>
      <w:pPr>
        <w:spacing w:after="0" w:line="198" w:lineRule="exact"/>
        <w:rPr>
          <w:rFonts w:ascii="Arial" w:cs="Arial" w:eastAsia="Arial" w:hAnsi="Arial"/>
          <w:sz w:val="15"/>
          <w:szCs w:val="15"/>
          <w:color w:val="auto"/>
        </w:rPr>
      </w:pPr>
    </w:p>
    <w:p>
      <w:pPr>
        <w:ind w:right="20" w:firstLine="1104"/>
        <w:spacing w:after="0" w:line="289" w:lineRule="auto"/>
        <w:tabs>
          <w:tab w:leader="none" w:pos="1686" w:val="left"/>
        </w:tabs>
        <w:numPr>
          <w:ilvl w:val="1"/>
          <w:numId w:val="511"/>
        </w:numPr>
        <w:rPr>
          <w:rFonts w:ascii="Arial" w:cs="Arial" w:eastAsia="Arial" w:hAnsi="Arial"/>
          <w:sz w:val="15"/>
          <w:szCs w:val="15"/>
          <w:color w:val="auto"/>
        </w:rPr>
      </w:pPr>
      <w:r>
        <w:rPr>
          <w:rFonts w:ascii="Arial" w:cs="Arial" w:eastAsia="Arial" w:hAnsi="Arial"/>
          <w:sz w:val="15"/>
          <w:szCs w:val="15"/>
          <w:color w:val="auto"/>
        </w:rPr>
        <w:t>any claim for any loss, cost, damage, or expense arising out of any dispute over the non-withholding or other tax treatment of any of the proceeds received by Executive as a result of this Agreement; and</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1"/>
          <w:numId w:val="511"/>
        </w:numPr>
        <w:rPr>
          <w:rFonts w:ascii="Arial" w:cs="Arial" w:eastAsia="Arial" w:hAnsi="Arial"/>
          <w:sz w:val="15"/>
          <w:szCs w:val="15"/>
          <w:color w:val="auto"/>
        </w:rPr>
      </w:pPr>
      <w:r>
        <w:rPr>
          <w:rFonts w:ascii="Arial" w:cs="Arial" w:eastAsia="Arial" w:hAnsi="Arial"/>
          <w:sz w:val="15"/>
          <w:szCs w:val="15"/>
          <w:color w:val="auto"/>
        </w:rPr>
        <w:t>any and all claims for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-3260090</wp:posOffset>
            </wp:positionV>
            <wp:extent cx="7285990" cy="2730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such monetary relief from the Company or any Releasee),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law and any Retained Claims. This release further does not release claims for breach of Section 3(c), Section 4(b) or Section 4(c) of the Employment Agreement.</w:t>
      </w:r>
    </w:p>
    <w:p>
      <w:pPr>
        <w:spacing w:after="0" w:line="198" w:lineRule="exact"/>
        <w:rPr>
          <w:sz w:val="20"/>
          <w:szCs w:val="20"/>
          <w:color w:val="auto"/>
        </w:rPr>
      </w:pPr>
    </w:p>
    <w:p>
      <w:pPr>
        <w:ind w:right="20" w:firstLine="555"/>
        <w:spacing w:after="0" w:line="281" w:lineRule="auto"/>
        <w:tabs>
          <w:tab w:leader="none" w:pos="1106" w:val="left"/>
        </w:tabs>
        <w:numPr>
          <w:ilvl w:val="0"/>
          <w:numId w:val="512"/>
        </w:numPr>
        <w:rPr>
          <w:rFonts w:ascii="Arial" w:cs="Arial" w:eastAsia="Arial" w:hAnsi="Arial"/>
          <w:sz w:val="14"/>
          <w:szCs w:val="14"/>
          <w:color w:val="auto"/>
        </w:rPr>
      </w:pPr>
      <w:r>
        <w:rPr>
          <w:rFonts w:ascii="Arial" w:cs="Arial" w:eastAsia="Arial" w:hAnsi="Arial"/>
          <w:sz w:val="14"/>
          <w:szCs w:val="14"/>
          <w:u w:val="single" w:color="auto"/>
          <w:color w:val="auto"/>
        </w:rPr>
        <w:t>Acknowledgment of Waiver of Claims under ADEA</w:t>
      </w:r>
      <w:r>
        <w:rPr>
          <w:rFonts w:ascii="Arial" w:cs="Arial" w:eastAsia="Arial" w:hAnsi="Arial"/>
          <w:sz w:val="14"/>
          <w:szCs w:val="14"/>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Effective Date of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53" w:lineRule="exact"/>
        <w:rPr>
          <w:rFonts w:ascii="Arial" w:cs="Arial" w:eastAsia="Arial" w:hAnsi="Arial"/>
          <w:sz w:val="14"/>
          <w:szCs w:val="14"/>
          <w:color w:val="auto"/>
        </w:rPr>
      </w:pPr>
    </w:p>
    <w:p>
      <w:pPr>
        <w:ind w:firstLine="555"/>
        <w:spacing w:after="0" w:line="327" w:lineRule="auto"/>
        <w:tabs>
          <w:tab w:leader="none" w:pos="1106" w:val="left"/>
        </w:tabs>
        <w:numPr>
          <w:ilvl w:val="0"/>
          <w:numId w:val="512"/>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17" w:lineRule="exact"/>
        <w:rPr>
          <w:rFonts w:ascii="Arial" w:cs="Arial" w:eastAsia="Arial" w:hAnsi="Arial"/>
          <w:sz w:val="14"/>
          <w:szCs w:val="14"/>
          <w:color w:val="auto"/>
        </w:rPr>
      </w:pPr>
    </w:p>
    <w:p>
      <w:pPr>
        <w:ind w:left="1100" w:hanging="545"/>
        <w:spacing w:after="0"/>
        <w:tabs>
          <w:tab w:leader="none" w:pos="1100" w:val="left"/>
        </w:tabs>
        <w:numPr>
          <w:ilvl w:val="0"/>
          <w:numId w:val="512"/>
        </w:numPr>
        <w:rPr>
          <w:rFonts w:ascii="Arial" w:cs="Arial" w:eastAsia="Arial" w:hAnsi="Arial"/>
          <w:sz w:val="15"/>
          <w:szCs w:val="15"/>
          <w:color w:val="auto"/>
        </w:rPr>
      </w:pPr>
      <w:r>
        <w:rPr>
          <w:rFonts w:ascii="Arial" w:cs="Arial" w:eastAsia="Arial" w:hAnsi="Arial"/>
          <w:sz w:val="15"/>
          <w:szCs w:val="15"/>
          <w:u w:val="single" w:color="auto"/>
          <w:color w:val="auto"/>
        </w:rPr>
        <w:t>No Oral Modification</w:t>
      </w:r>
      <w:r>
        <w:rPr>
          <w:rFonts w:ascii="Arial" w:cs="Arial" w:eastAsia="Arial" w:hAnsi="Arial"/>
          <w:sz w:val="15"/>
          <w:szCs w:val="15"/>
          <w:color w:val="auto"/>
        </w:rPr>
        <w:t>. This Agreement may only be amended in a writing signed by Executive and a duly authorized officer of the Company.</w:t>
      </w:r>
    </w:p>
    <w:p>
      <w:pPr>
        <w:spacing w:after="0" w:line="198" w:lineRule="exact"/>
        <w:rPr>
          <w:rFonts w:ascii="Arial" w:cs="Arial" w:eastAsia="Arial" w:hAnsi="Arial"/>
          <w:sz w:val="15"/>
          <w:szCs w:val="15"/>
          <w:color w:val="auto"/>
        </w:rPr>
      </w:pPr>
    </w:p>
    <w:p>
      <w:pPr>
        <w:ind w:left="1100" w:hanging="545"/>
        <w:spacing w:after="0"/>
        <w:tabs>
          <w:tab w:leader="none" w:pos="1100" w:val="left"/>
        </w:tabs>
        <w:numPr>
          <w:ilvl w:val="0"/>
          <w:numId w:val="512"/>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subject to the provisions of Sections 9(a) and 9(c) of the Employment Agreement.</w:t>
      </w:r>
    </w:p>
    <w:p>
      <w:pPr>
        <w:spacing w:after="0" w:line="198" w:lineRule="exact"/>
        <w:rPr>
          <w:rFonts w:ascii="Arial" w:cs="Arial" w:eastAsia="Arial" w:hAnsi="Arial"/>
          <w:sz w:val="15"/>
          <w:szCs w:val="15"/>
          <w:color w:val="auto"/>
        </w:rPr>
      </w:pPr>
    </w:p>
    <w:p>
      <w:pPr>
        <w:ind w:right="200" w:firstLine="555"/>
        <w:spacing w:after="0" w:line="268" w:lineRule="auto"/>
        <w:tabs>
          <w:tab w:leader="none" w:pos="1106" w:val="left"/>
        </w:tabs>
        <w:numPr>
          <w:ilvl w:val="0"/>
          <w:numId w:val="512"/>
        </w:numPr>
        <w:rPr>
          <w:rFonts w:ascii="Arial" w:cs="Arial" w:eastAsia="Arial" w:hAnsi="Arial"/>
          <w:sz w:val="15"/>
          <w:szCs w:val="15"/>
          <w:color w:val="auto"/>
        </w:rPr>
      </w:pPr>
      <w:r>
        <w:rPr>
          <w:rFonts w:ascii="Arial" w:cs="Arial" w:eastAsia="Arial" w:hAnsi="Arial"/>
          <w:sz w:val="15"/>
          <w:szCs w:val="15"/>
          <w:u w:val="single" w:color="auto"/>
          <w:color w:val="auto"/>
        </w:rPr>
        <w:t>Effective Date</w:t>
      </w:r>
      <w:r>
        <w:rPr>
          <w:rFonts w:ascii="Arial" w:cs="Arial" w:eastAsia="Arial" w:hAnsi="Arial"/>
          <w:sz w:val="15"/>
          <w:szCs w:val="15"/>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ectPr>
          <w:pgSz w:w="11900" w:h="16838" w:orient="portrait"/>
          <w:cols w:equalWidth="0" w:num="1">
            <w:col w:w="11440"/>
          </w:cols>
          <w:pgMar w:left="240" w:top="314" w:right="219" w:bottom="63" w:gutter="0" w:footer="0" w:header="0"/>
        </w:sectPr>
      </w:pPr>
    </w:p>
    <w:bookmarkStart w:id="410" w:name="page411"/>
    <w:bookmarkEnd w:id="410"/>
    <w:p>
      <w:pPr>
        <w:ind w:right="100" w:firstLine="555"/>
        <w:spacing w:after="0" w:line="264" w:lineRule="auto"/>
        <w:tabs>
          <w:tab w:leader="none" w:pos="1106" w:val="left"/>
        </w:tabs>
        <w:numPr>
          <w:ilvl w:val="0"/>
          <w:numId w:val="513"/>
        </w:numPr>
        <w:rPr>
          <w:rFonts w:ascii="Arial" w:cs="Arial" w:eastAsia="Arial" w:hAnsi="Arial"/>
          <w:sz w:val="15"/>
          <w:szCs w:val="15"/>
          <w:color w:val="auto"/>
        </w:rPr>
      </w:pPr>
      <w:r>
        <w:rPr>
          <w:rFonts w:ascii="Arial" w:cs="Arial" w:eastAsia="Arial" w:hAnsi="Arial"/>
          <w:sz w:val="15"/>
          <w:szCs w:val="15"/>
          <w:u w:val="single" w:color="auto"/>
          <w:color w:val="auto"/>
        </w:rPr>
        <w:t>Voluntary Execution of Agreement</w:t>
      </w:r>
      <w:r>
        <w:rPr>
          <w:rFonts w:ascii="Arial" w:cs="Arial" w:eastAsia="Arial" w:hAnsi="Arial"/>
          <w:sz w:val="15"/>
          <w:szCs w:val="15"/>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IN WITNESS WHEREOF, the Parties have executed this Agreement on the respective dates set forth below.</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6780530" cy="762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6780530"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Lloyd Johnston, Ph.D.</w:t>
      </w:r>
    </w:p>
    <w:p>
      <w:pPr>
        <w:spacing w:after="0" w:line="377"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6780530" cy="762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6780530" cy="762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B</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Employee Nondisclosure, Noncompetition and Assignment of Intellectual Property Agreement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EMPLOYEE NONDISCLOSURE, NONCOMPETITION AND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ASSIGNMENT OF INTELLECTUAL PROPERTY AGREEMENT</w:t>
      </w:r>
    </w:p>
    <w:p>
      <w:pPr>
        <w:spacing w:after="0" w:line="188"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In consideration and as a condition of my employment by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of the compensation to be paid to me, and in recognition of the fact that as an employee of the Company I will or may have access to confidential information, I agree with the Company as follows:</w:t>
      </w:r>
    </w:p>
    <w:p>
      <w:pPr>
        <w:spacing w:after="0" w:line="141" w:lineRule="exact"/>
        <w:rPr>
          <w:sz w:val="20"/>
          <w:szCs w:val="20"/>
          <w:color w:val="auto"/>
        </w:rPr>
      </w:pPr>
    </w:p>
    <w:p>
      <w:pPr>
        <w:ind w:left="1100" w:hanging="551"/>
        <w:spacing w:after="0"/>
        <w:tabs>
          <w:tab w:leader="none" w:pos="1100" w:val="left"/>
        </w:tabs>
        <w:numPr>
          <w:ilvl w:val="0"/>
          <w:numId w:val="514"/>
        </w:numPr>
        <w:rPr>
          <w:rFonts w:ascii="Arial" w:cs="Arial" w:eastAsia="Arial" w:hAnsi="Arial"/>
          <w:sz w:val="15"/>
          <w:szCs w:val="15"/>
          <w:color w:val="auto"/>
        </w:rPr>
      </w:pPr>
      <w:r>
        <w:rPr>
          <w:rFonts w:ascii="Arial" w:cs="Arial" w:eastAsia="Arial" w:hAnsi="Arial"/>
          <w:sz w:val="15"/>
          <w:szCs w:val="15"/>
          <w:u w:val="single" w:color="auto"/>
          <w:color w:val="auto"/>
        </w:rPr>
        <w:t>Performance: Prior Obligations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firstLine="1104"/>
        <w:spacing w:after="0" w:line="264" w:lineRule="auto"/>
        <w:tabs>
          <w:tab w:leader="none" w:pos="1665" w:val="left"/>
        </w:tabs>
        <w:numPr>
          <w:ilvl w:val="1"/>
          <w:numId w:val="514"/>
        </w:numPr>
        <w:rPr>
          <w:rFonts w:ascii="Arial" w:cs="Arial" w:eastAsia="Arial" w:hAnsi="Arial"/>
          <w:sz w:val="15"/>
          <w:szCs w:val="15"/>
          <w:color w:val="auto"/>
        </w:rPr>
      </w:pPr>
      <w:r>
        <w:rPr>
          <w:rFonts w:ascii="Arial" w:cs="Arial" w:eastAsia="Arial" w:hAnsi="Arial"/>
          <w:sz w:val="15"/>
          <w:szCs w:val="15"/>
          <w:color w:val="auto"/>
        </w:rPr>
        <w:t>I agree to use best efforts to perform my assigned duties diligently, conscientiously, and with reasonable skill, and shall comply with all rules, procedures and standards promulgated from time to time by the Company with regard to my conduct and my access to and use of the Company’s property, equipment and facilities. Among such rules, procedures and standards are those governing ethical and other professional standards for dealing with customers, government agencies, vendors, competitors, consultants, fellow employees, and the public-at-large, security provisions designed to protect Company property and the personal security of Company employees, rules respecting attendance, punctuality, and hours of work, and rules and procedures designed to protect the confidentiality of proprietary information. The Company agrees to make reasonable efforts to inform me of such rules, standards and procedures as are in effect from time to time.</w:t>
      </w:r>
    </w:p>
    <w:p>
      <w:pPr>
        <w:spacing w:after="0" w:line="158" w:lineRule="exact"/>
        <w:rPr>
          <w:rFonts w:ascii="Arial" w:cs="Arial" w:eastAsia="Arial" w:hAnsi="Arial"/>
          <w:sz w:val="15"/>
          <w:szCs w:val="15"/>
          <w:color w:val="auto"/>
        </w:rPr>
      </w:pPr>
    </w:p>
    <w:p>
      <w:pPr>
        <w:ind w:right="40" w:firstLine="1104"/>
        <w:spacing w:after="0" w:line="264" w:lineRule="auto"/>
        <w:tabs>
          <w:tab w:leader="none" w:pos="1674" w:val="left"/>
        </w:tabs>
        <w:numPr>
          <w:ilvl w:val="1"/>
          <w:numId w:val="514"/>
        </w:numPr>
        <w:rPr>
          <w:rFonts w:ascii="Arial" w:cs="Arial" w:eastAsia="Arial" w:hAnsi="Arial"/>
          <w:sz w:val="15"/>
          <w:szCs w:val="15"/>
          <w:color w:val="auto"/>
        </w:rPr>
      </w:pPr>
      <w:r>
        <w:rPr>
          <w:rFonts w:ascii="Arial" w:cs="Arial" w:eastAsia="Arial" w:hAnsi="Arial"/>
          <w:sz w:val="15"/>
          <w:szCs w:val="15"/>
          <w:color w:val="auto"/>
        </w:rPr>
        <w:t>I hereby represent, warrant and agree (i) that I have the full right to enter into this Agreement and perform the services required of me hereunder, without any restriction whatsoever; (ii) that in the course of performing services hereunder, I will not violate the terms or conditions of any agreement between me and any third party or infringe or wrongfully appropriate any patents, copyrights, trade secrets or other intellectual property rights of any person or entity anywhere in the world; (iii) that I have not and will not disclose or use during my employment by the Company any confidential information that I acquired as a result of any previous employment or consulting arrangement or under a previous obligation of confidentiality; and (iv) that I have disclosed to the Company in writing any and all continuing obligations to previous employers or others that require me not to disclose any information to the Company.</w:t>
      </w:r>
    </w:p>
    <w:p>
      <w:pPr>
        <w:spacing w:after="0" w:line="158" w:lineRule="exact"/>
        <w:rPr>
          <w:rFonts w:ascii="Arial" w:cs="Arial" w:eastAsia="Arial" w:hAnsi="Arial"/>
          <w:sz w:val="15"/>
          <w:szCs w:val="15"/>
          <w:color w:val="auto"/>
        </w:rPr>
      </w:pPr>
    </w:p>
    <w:p>
      <w:pPr>
        <w:ind w:right="80" w:firstLine="549"/>
        <w:spacing w:after="0" w:line="264" w:lineRule="auto"/>
        <w:tabs>
          <w:tab w:leader="none" w:pos="1112" w:val="left"/>
        </w:tabs>
        <w:numPr>
          <w:ilvl w:val="0"/>
          <w:numId w:val="514"/>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While employed by the Company and thereafter, I shall not, directly or indirectly, use any Confidential Information (as hereinafter defined) other than pursuant to my employment by and for the benefit of the Company, or disclose any Confidential Information to anyone outside of the Company, whether by private communication, public address, publication or otherwise, or disclose any Confidential Information to anyone within the Company who has not been authorized to receive such information, except as directed in writing by an authorized representative of the Company. The term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as used throughout this Agreement shall mean all trade secrets, proprietary information, know-how, data, designs, specifications, processes, customer lists and other technical or business information (and any tangible evidence, record or representation thereof), whether prepared,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85990" cy="2730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conceived or developed by a consultant or employee of the Company (including myself) or received by the Company from an outside source, which is in the possession of the Company (whether or not the property of the Company), which in any way relates to the present or future business of the Company, which is maintained in confidence by the Company, or which might permit the Company or its customers to obtain a competitive advantage over competitors who do not have access to such trade secrets, proprietary information, or other data or information. Without limiting the generality of the foregoing. Confidential Information shall include, without limitation:</w:t>
      </w:r>
    </w:p>
    <w:p>
      <w:pPr>
        <w:spacing w:after="0" w:line="156" w:lineRule="exact"/>
        <w:rPr>
          <w:sz w:val="20"/>
          <w:szCs w:val="20"/>
          <w:color w:val="auto"/>
        </w:rPr>
      </w:pPr>
    </w:p>
    <w:p>
      <w:pPr>
        <w:ind w:right="140" w:firstLine="1104"/>
        <w:spacing w:after="0" w:line="268" w:lineRule="auto"/>
        <w:tabs>
          <w:tab w:leader="none" w:pos="1665" w:val="left"/>
        </w:tabs>
        <w:numPr>
          <w:ilvl w:val="0"/>
          <w:numId w:val="515"/>
        </w:numPr>
        <w:rPr>
          <w:rFonts w:ascii="Arial" w:cs="Arial" w:eastAsia="Arial" w:hAnsi="Arial"/>
          <w:sz w:val="15"/>
          <w:szCs w:val="15"/>
          <w:color w:val="auto"/>
        </w:rPr>
      </w:pPr>
      <w:r>
        <w:rPr>
          <w:rFonts w:ascii="Arial" w:cs="Arial" w:eastAsia="Arial" w:hAnsi="Arial"/>
          <w:sz w:val="15"/>
          <w:szCs w:val="15"/>
          <w:color w:val="auto"/>
        </w:rPr>
        <w:t>any idea, improvement, invention, innovation, development, concept, technical or clinical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56" w:lineRule="exact"/>
        <w:rPr>
          <w:rFonts w:ascii="Arial" w:cs="Arial" w:eastAsia="Arial" w:hAnsi="Arial"/>
          <w:sz w:val="15"/>
          <w:szCs w:val="15"/>
          <w:color w:val="auto"/>
        </w:rPr>
      </w:pPr>
    </w:p>
    <w:p>
      <w:pPr>
        <w:jc w:val="both"/>
        <w:ind w:right="140" w:firstLine="1104"/>
        <w:spacing w:after="0" w:line="273" w:lineRule="auto"/>
        <w:tabs>
          <w:tab w:leader="none" w:pos="1674" w:val="left"/>
        </w:tabs>
        <w:numPr>
          <w:ilvl w:val="0"/>
          <w:numId w:val="515"/>
        </w:numPr>
        <w:rPr>
          <w:rFonts w:ascii="Arial" w:cs="Arial" w:eastAsia="Arial" w:hAnsi="Arial"/>
          <w:sz w:val="15"/>
          <w:szCs w:val="15"/>
          <w:color w:val="auto"/>
        </w:rPr>
      </w:pPr>
      <w:r>
        <w:rPr>
          <w:rFonts w:ascii="Arial" w:cs="Arial" w:eastAsia="Arial" w:hAnsi="Arial"/>
          <w:sz w:val="15"/>
          <w:szCs w:val="15"/>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53" w:lineRule="exact"/>
        <w:rPr>
          <w:sz w:val="20"/>
          <w:szCs w:val="20"/>
          <w:color w:val="auto"/>
        </w:rPr>
      </w:pPr>
    </w:p>
    <w:p>
      <w:pPr>
        <w:ind w:right="60" w:firstLine="556"/>
        <w:spacing w:after="0" w:line="289" w:lineRule="auto"/>
        <w:rPr>
          <w:sz w:val="20"/>
          <w:szCs w:val="20"/>
          <w:color w:val="auto"/>
        </w:rPr>
      </w:pPr>
      <w:r>
        <w:rPr>
          <w:rFonts w:ascii="Arial" w:cs="Arial" w:eastAsia="Arial" w:hAnsi="Arial"/>
          <w:sz w:val="15"/>
          <w:szCs w:val="15"/>
          <w:color w:val="auto"/>
        </w:rPr>
        <w:t>Notwithstanding the foregoing, the term Confidential Information shall not apply to information which the Company has voluntarily disclosed to the public without restriction, or which has otherwise lawfully entered the public domain.</w:t>
      </w:r>
    </w:p>
    <w:p>
      <w:pPr>
        <w:sectPr>
          <w:pgSz w:w="11900" w:h="16838" w:orient="portrait"/>
          <w:cols w:equalWidth="0" w:num="1">
            <w:col w:w="11420"/>
          </w:cols>
          <w:pgMar w:left="240" w:top="129" w:right="239" w:bottom="0" w:gutter="0" w:footer="0" w:header="0"/>
        </w:sectPr>
      </w:pPr>
    </w:p>
    <w:bookmarkStart w:id="411" w:name="page412"/>
    <w:bookmarkEnd w:id="411"/>
    <w:p>
      <w:pPr>
        <w:ind w:right="220" w:firstLine="556"/>
        <w:spacing w:after="0" w:line="289" w:lineRule="auto"/>
        <w:rPr>
          <w:sz w:val="20"/>
          <w:szCs w:val="20"/>
          <w:color w:val="auto"/>
        </w:rPr>
      </w:pPr>
      <w:r>
        <w:rPr>
          <w:rFonts w:ascii="Arial" w:cs="Arial" w:eastAsia="Arial" w:hAnsi="Arial"/>
          <w:sz w:val="15"/>
          <w:szCs w:val="15"/>
          <w:color w:val="auto"/>
        </w:rPr>
        <w:t>I shall promptly notify my supervisor or any officer of the Company if I learn of any possible unauthorized use or disclosure of Confidential Information and shall cooperate fully with the Company to enforce its rights in such information.</w:t>
      </w:r>
    </w:p>
    <w:p>
      <w:pPr>
        <w:spacing w:after="0" w:line="141" w:lineRule="exact"/>
        <w:rPr>
          <w:sz w:val="20"/>
          <w:szCs w:val="20"/>
          <w:color w:val="auto"/>
        </w:rPr>
      </w:pPr>
    </w:p>
    <w:p>
      <w:pPr>
        <w:ind w:right="20" w:firstLine="556"/>
        <w:spacing w:after="0" w:line="327" w:lineRule="auto"/>
        <w:rPr>
          <w:sz w:val="20"/>
          <w:szCs w:val="20"/>
          <w:color w:val="auto"/>
        </w:rPr>
      </w:pPr>
      <w:r>
        <w:rPr>
          <w:rFonts w:ascii="Arial" w:cs="Arial" w:eastAsia="Arial" w:hAnsi="Arial"/>
          <w:sz w:val="14"/>
          <w:szCs w:val="14"/>
          <w:color w:val="auto"/>
        </w:rPr>
        <w:t>I understand that the Company from time to time has in its possession information (including product and development plans and specifications) which is claimed by customers and others to be proprietary and which the Company has agreed to keep confidential. I agree that all such information shall be Confidential Information for purposes of this Agreement.</w:t>
      </w:r>
    </w:p>
    <w:p>
      <w:pPr>
        <w:spacing w:after="0" w:line="117" w:lineRule="exact"/>
        <w:rPr>
          <w:sz w:val="20"/>
          <w:szCs w:val="20"/>
          <w:color w:val="auto"/>
        </w:rPr>
      </w:pPr>
    </w:p>
    <w:p>
      <w:pPr>
        <w:ind w:left="1100" w:hanging="551"/>
        <w:spacing w:after="0"/>
        <w:tabs>
          <w:tab w:leader="none" w:pos="1100" w:val="left"/>
        </w:tabs>
        <w:numPr>
          <w:ilvl w:val="0"/>
          <w:numId w:val="516"/>
        </w:numPr>
        <w:rPr>
          <w:rFonts w:ascii="Arial" w:cs="Arial" w:eastAsia="Arial" w:hAnsi="Arial"/>
          <w:sz w:val="15"/>
          <w:szCs w:val="15"/>
          <w:color w:val="auto"/>
        </w:rPr>
      </w:pPr>
      <w:r>
        <w:rPr>
          <w:rFonts w:ascii="Arial" w:cs="Arial" w:eastAsia="Arial" w:hAnsi="Arial"/>
          <w:sz w:val="15"/>
          <w:szCs w:val="15"/>
          <w:u w:val="single" w:color="auto"/>
          <w:color w:val="auto"/>
        </w:rPr>
        <w:t>Ownership and Assignment of Intellectual Property</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60" w:firstLine="1104"/>
        <w:spacing w:after="0" w:line="302" w:lineRule="auto"/>
        <w:tabs>
          <w:tab w:leader="none" w:pos="1665" w:val="left"/>
        </w:tabs>
        <w:numPr>
          <w:ilvl w:val="1"/>
          <w:numId w:val="516"/>
        </w:numPr>
        <w:rPr>
          <w:rFonts w:ascii="Arial" w:cs="Arial" w:eastAsia="Arial" w:hAnsi="Arial"/>
          <w:sz w:val="14"/>
          <w:szCs w:val="14"/>
          <w:color w:val="auto"/>
        </w:rPr>
      </w:pPr>
      <w:r>
        <w:rPr>
          <w:rFonts w:ascii="Arial" w:cs="Arial" w:eastAsia="Arial" w:hAnsi="Arial"/>
          <w:sz w:val="14"/>
          <w:szCs w:val="14"/>
          <w:color w:val="auto"/>
        </w:rPr>
        <w:t>I agree that all originals and all copies of all manuscripts, drawings, prints, manuals, diagrams, letters, notes, notebooks, reports, models, records, files, memoranda, plans, sketches and all other documents and materials containing, representing, evidencing, recording, or constituting any Confidential Information (as defined in Section 2 above), however and whenever produced (whether by myself or others) during the course of my employment, shall be the sole property of the Company.</w:t>
      </w:r>
    </w:p>
    <w:p>
      <w:pPr>
        <w:spacing w:after="0" w:line="133" w:lineRule="exact"/>
        <w:rPr>
          <w:rFonts w:ascii="Arial" w:cs="Arial" w:eastAsia="Arial" w:hAnsi="Arial"/>
          <w:sz w:val="14"/>
          <w:szCs w:val="14"/>
          <w:color w:val="auto"/>
        </w:rPr>
      </w:pPr>
    </w:p>
    <w:p>
      <w:pPr>
        <w:ind w:right="600" w:firstLine="1104"/>
        <w:spacing w:after="0" w:line="289" w:lineRule="auto"/>
        <w:tabs>
          <w:tab w:leader="none" w:pos="1674" w:val="left"/>
        </w:tabs>
        <w:numPr>
          <w:ilvl w:val="1"/>
          <w:numId w:val="516"/>
        </w:numPr>
        <w:rPr>
          <w:rFonts w:ascii="Arial" w:cs="Arial" w:eastAsia="Arial" w:hAnsi="Arial"/>
          <w:sz w:val="15"/>
          <w:szCs w:val="15"/>
          <w:color w:val="auto"/>
        </w:rPr>
      </w:pPr>
      <w:r>
        <w:rPr>
          <w:rFonts w:ascii="Arial" w:cs="Arial" w:eastAsia="Arial" w:hAnsi="Arial"/>
          <w:sz w:val="15"/>
          <w:szCs w:val="15"/>
          <w:color w:val="auto"/>
        </w:rPr>
        <w:t>I agree that all Confidential Information and all other discoveries, inventions, ideas, concepts, trademarks, service marks, logos, processes, products, formulas, computer programs or software, source codes, object codes, algorithms, machines, apparatuses,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me, either alone or with others, and related to the business of the Company or to tasks assigned to me during the course of my employment, whether or not made during my regular working hours, whether or not conceived, developed, reduced to practice or made on the Company’s premises and whether or not disclosed by me to the Company (collectively “</w:t>
      </w:r>
      <w:r>
        <w:rPr>
          <w:rFonts w:ascii="Arial" w:cs="Arial" w:eastAsia="Arial" w:hAnsi="Arial"/>
          <w:sz w:val="15"/>
          <w:szCs w:val="15"/>
          <w:u w:val="single" w:color="auto"/>
          <w:color w:val="auto"/>
        </w:rPr>
        <w:t>Company Inventions</w:t>
      </w:r>
      <w:r>
        <w:rPr>
          <w:rFonts w:ascii="Arial" w:cs="Arial" w:eastAsia="Arial" w:hAnsi="Arial"/>
          <w:sz w:val="15"/>
          <w:szCs w:val="15"/>
          <w:color w:val="auto"/>
        </w:rPr>
        <w:t>”), and any and all services and products which embody, emulate or employ any such Company Invention or Confidential Information shall be the sole property of the Company and all copyrights, patents, patent rights, trademarks and reproduction rights to, and other proprietary rights in, each such Company Invention or Confidential Information, whether or not patentable or copyrightable, shall belong exclusively to the Company. For the avoidance of doubt, Confidential Information shall only include information that relates to the present or future business of the Company, and Company Inventions shall only include inventions that relate to the business of the Company or to tasks assigned to me during the course of my employment.</w:t>
      </w:r>
    </w:p>
    <w:p>
      <w:pPr>
        <w:spacing w:after="0" w:line="165" w:lineRule="exact"/>
        <w:rPr>
          <w:sz w:val="20"/>
          <w:szCs w:val="20"/>
          <w:color w:val="auto"/>
        </w:rPr>
      </w:pPr>
    </w:p>
    <w:p>
      <w:pPr>
        <w:ind w:right="100" w:firstLine="1104"/>
        <w:spacing w:after="0" w:line="264" w:lineRule="auto"/>
        <w:tabs>
          <w:tab w:leader="none" w:pos="1677" w:val="left"/>
        </w:tabs>
        <w:numPr>
          <w:ilvl w:val="1"/>
          <w:numId w:val="517"/>
        </w:numPr>
        <w:rPr>
          <w:rFonts w:ascii="Arial" w:cs="Arial" w:eastAsia="Arial" w:hAnsi="Arial"/>
          <w:sz w:val="15"/>
          <w:szCs w:val="15"/>
          <w:color w:val="auto"/>
        </w:rPr>
      </w:pPr>
      <w:r>
        <w:rPr>
          <w:rFonts w:ascii="Arial" w:cs="Arial" w:eastAsia="Arial" w:hAnsi="Arial"/>
          <w:sz w:val="15"/>
          <w:szCs w:val="15"/>
          <w:color w:val="auto"/>
        </w:rPr>
        <w:t>I agree to, and hereby do, assign to the Company all my right, title and interest throughout the world in and to all Company Inventions and to anything tangible which evidences, incorporates, constitutes, represents or records any Company Invention. I agree that all Company Inventions shall constitute works made for hire under the copyright laws of the United States and hereby assign and, to the extent any such assignment cannot be made at present, I hereby agree to assign to the Company all copyrights, patents and other proprietary rights I may have in any Company Inventions, together with the right to file for and/or own wholly without restriction United States and foreign patents, trademarks, and copyrights. I agree to waive, and hereby waive, all moral rights or proprietary rights in or to any Company Inventions and, to the extent that such rights may not be waived, agree not to assert such rights against the Company or its licensees, successors or assigns.</w:t>
      </w:r>
    </w:p>
    <w:p>
      <w:pPr>
        <w:spacing w:after="0" w:line="158" w:lineRule="exact"/>
        <w:rPr>
          <w:rFonts w:ascii="Arial" w:cs="Arial" w:eastAsia="Arial" w:hAnsi="Arial"/>
          <w:sz w:val="15"/>
          <w:szCs w:val="15"/>
          <w:color w:val="auto"/>
        </w:rPr>
      </w:pPr>
    </w:p>
    <w:p>
      <w:pPr>
        <w:ind w:right="80" w:firstLine="1104"/>
        <w:spacing w:after="0" w:line="273" w:lineRule="auto"/>
        <w:tabs>
          <w:tab w:leader="none" w:pos="1674" w:val="left"/>
        </w:tabs>
        <w:numPr>
          <w:ilvl w:val="1"/>
          <w:numId w:val="517"/>
        </w:numPr>
        <w:rPr>
          <w:rFonts w:ascii="Arial" w:cs="Arial" w:eastAsia="Arial" w:hAnsi="Arial"/>
          <w:sz w:val="15"/>
          <w:szCs w:val="15"/>
          <w:color w:val="auto"/>
        </w:rPr>
      </w:pPr>
      <w:r>
        <w:rPr>
          <w:rFonts w:ascii="Arial" w:cs="Arial" w:eastAsia="Arial" w:hAnsi="Arial"/>
          <w:sz w:val="15"/>
          <w:szCs w:val="15"/>
          <w:color w:val="auto"/>
        </w:rPr>
        <w:t xml:space="preserve">I hereby certify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sets forth any and all confidential information and intellectual property that I claim as my own or otherwise intend to exclude from this Agreement because it was developed by me prior to the date of this Agreement. I understand that after execution of this Agreement I shall have no right to exclude Confidential Information or Company Inventions from this Agreement.</w:t>
      </w:r>
    </w:p>
    <w:p>
      <w:pPr>
        <w:spacing w:after="0" w:line="152" w:lineRule="exact"/>
        <w:rPr>
          <w:rFonts w:ascii="Arial" w:cs="Arial" w:eastAsia="Arial" w:hAnsi="Arial"/>
          <w:sz w:val="15"/>
          <w:szCs w:val="15"/>
          <w:color w:val="auto"/>
        </w:rPr>
      </w:pPr>
    </w:p>
    <w:p>
      <w:pPr>
        <w:ind w:right="120" w:firstLine="549"/>
        <w:spacing w:after="0" w:line="273" w:lineRule="auto"/>
        <w:tabs>
          <w:tab w:leader="none" w:pos="1112" w:val="left"/>
        </w:tabs>
        <w:numPr>
          <w:ilvl w:val="0"/>
          <w:numId w:val="518"/>
        </w:numPr>
        <w:rPr>
          <w:rFonts w:ascii="Arial" w:cs="Arial" w:eastAsia="Arial" w:hAnsi="Arial"/>
          <w:sz w:val="15"/>
          <w:szCs w:val="15"/>
          <w:color w:val="auto"/>
        </w:rPr>
      </w:pPr>
      <w:r>
        <w:rPr>
          <w:rFonts w:ascii="Arial" w:cs="Arial" w:eastAsia="Arial" w:hAnsi="Arial"/>
          <w:sz w:val="15"/>
          <w:szCs w:val="15"/>
          <w:u w:val="single" w:color="auto"/>
          <w:color w:val="auto"/>
        </w:rPr>
        <w:t>Employee’s Obligation to Keep Records</w:t>
      </w:r>
      <w:r>
        <w:rPr>
          <w:rFonts w:ascii="Arial" w:cs="Arial" w:eastAsia="Arial" w:hAnsi="Arial"/>
          <w:sz w:val="15"/>
          <w:szCs w:val="15"/>
          <w:color w:val="auto"/>
        </w:rPr>
        <w:t>. I shall make and maintain adequate and current written records of all Company Inventions, including notebooks and invention disclosures, which records shall be available to and remain the property of the Company at all times. I shall disclose all Company Inventions promptly, fully and in writing to the Company immediately upon production or development of the same and at any time upon request.</w:t>
      </w:r>
    </w:p>
    <w:p>
      <w:pPr>
        <w:spacing w:after="0" w:line="152" w:lineRule="exact"/>
        <w:rPr>
          <w:rFonts w:ascii="Arial" w:cs="Arial" w:eastAsia="Arial" w:hAnsi="Arial"/>
          <w:sz w:val="15"/>
          <w:szCs w:val="15"/>
          <w:color w:val="auto"/>
        </w:rPr>
      </w:pPr>
    </w:p>
    <w:p>
      <w:pPr>
        <w:ind w:right="120" w:firstLine="549"/>
        <w:spacing w:after="0" w:line="273" w:lineRule="auto"/>
        <w:tabs>
          <w:tab w:leader="none" w:pos="1112" w:val="left"/>
        </w:tabs>
        <w:numPr>
          <w:ilvl w:val="0"/>
          <w:numId w:val="518"/>
        </w:numPr>
        <w:rPr>
          <w:rFonts w:ascii="Arial" w:cs="Arial" w:eastAsia="Arial" w:hAnsi="Arial"/>
          <w:sz w:val="15"/>
          <w:szCs w:val="15"/>
          <w:color w:val="auto"/>
        </w:rPr>
      </w:pPr>
      <w:r>
        <w:rPr>
          <w:rFonts w:ascii="Arial" w:cs="Arial" w:eastAsia="Arial" w:hAnsi="Arial"/>
          <w:sz w:val="15"/>
          <w:szCs w:val="15"/>
          <w:u w:val="single" w:color="auto"/>
          <w:color w:val="auto"/>
        </w:rPr>
        <w:t>Employee’s Obligation to Cooperate</w:t>
      </w:r>
      <w:r>
        <w:rPr>
          <w:rFonts w:ascii="Arial" w:cs="Arial" w:eastAsia="Arial" w:hAnsi="Arial"/>
          <w:sz w:val="15"/>
          <w:szCs w:val="15"/>
          <w:color w:val="auto"/>
        </w:rPr>
        <w:t>. I will, at any time during my employment, or after it terminates, upon request of the Company, execute all documents and perform all lawful acts which the Company considers necessary or advisable to secure its rights hereunder and to carry out the intent of this Agreement. Without limiting the generality of the foregoing, I will assist the Company in any reasonable manner to obtain for its own benefit patents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spacing w:after="0" w:line="289" w:lineRule="auto"/>
        <w:rPr>
          <w:sz w:val="20"/>
          <w:szCs w:val="20"/>
          <w:color w:val="auto"/>
        </w:rPr>
      </w:pPr>
      <w:r>
        <w:rPr>
          <w:rFonts w:ascii="Arial" w:cs="Arial" w:eastAsia="Arial" w:hAnsi="Arial"/>
          <w:sz w:val="14"/>
          <w:szCs w:val="14"/>
          <w:color w:val="auto"/>
        </w:rPr>
        <w:t>copyrights in any and all countries with respect to all Company Inventions assigned pursuant to Section 3, and I will execute, when requested, patent and other applications and assignments thereof to the Company, or persons designated by it, and any other lawful documents deemed necessary by the Company to carry out the purposes of this Agreement, and I will further assist the Company in every way to enforce any patents and copyrights obtained, including, without limitation, testifying in any suit or proceeding involving any of said patents or copyrights or executing any documents deemed necessary by the Company, all without further consideration than provided for herein. It is understood that reasonable out-of-pocket expenses of my assistance incurred at the request of the Company under this Section will be reimbursed by the Company.</w:t>
      </w:r>
    </w:p>
    <w:p>
      <w:pPr>
        <w:spacing w:after="0" w:line="143" w:lineRule="exact"/>
        <w:rPr>
          <w:sz w:val="20"/>
          <w:szCs w:val="20"/>
          <w:color w:val="auto"/>
        </w:rPr>
      </w:pPr>
    </w:p>
    <w:p>
      <w:pPr>
        <w:ind w:right="20" w:firstLine="549"/>
        <w:spacing w:after="0" w:line="265" w:lineRule="auto"/>
        <w:tabs>
          <w:tab w:leader="none" w:pos="1112" w:val="left"/>
        </w:tabs>
        <w:numPr>
          <w:ilvl w:val="0"/>
          <w:numId w:val="519"/>
        </w:numPr>
        <w:rPr>
          <w:rFonts w:ascii="Arial" w:cs="Arial" w:eastAsia="Arial" w:hAnsi="Arial"/>
          <w:sz w:val="15"/>
          <w:szCs w:val="15"/>
          <w:color w:val="auto"/>
        </w:rPr>
      </w:pPr>
      <w:r>
        <w:rPr>
          <w:rFonts w:ascii="Arial" w:cs="Arial" w:eastAsia="Arial" w:hAnsi="Arial"/>
          <w:sz w:val="15"/>
          <w:szCs w:val="15"/>
          <w:u w:val="single" w:color="auto"/>
          <w:color w:val="auto"/>
        </w:rPr>
        <w:t>Noncompetition and Non-solicitation</w:t>
      </w:r>
      <w:r>
        <w:rPr>
          <w:rFonts w:ascii="Arial" w:cs="Arial" w:eastAsia="Arial" w:hAnsi="Arial"/>
          <w:sz w:val="15"/>
          <w:szCs w:val="15"/>
          <w:color w:val="auto"/>
        </w:rPr>
        <w:t>. During my employment with the Company and for a period of 12 months after the termination of my employment with the Company for any reason, I shall not, without the Company’s prior written consent, on my own behalf, or as owner, manager, stockholder, consultant, director, officer, or employee of any business entity (except as a holder of not more than three (3%) percent of the stock of a publicly held company) participate in any capacity in any business activity that is in direct competition with any of the products or services being developed, marketed, distributed, planned, sold or otherwise provided by the Company or its affiliates at the time of, or during the 12 months preceding, my termination.</w:t>
      </w:r>
    </w:p>
    <w:p>
      <w:pPr>
        <w:spacing w:after="0" w:line="160" w:lineRule="exact"/>
        <w:rPr>
          <w:sz w:val="20"/>
          <w:szCs w:val="20"/>
          <w:color w:val="auto"/>
        </w:rPr>
      </w:pPr>
    </w:p>
    <w:p>
      <w:pPr>
        <w:ind w:right="140" w:firstLine="556"/>
        <w:spacing w:after="0" w:line="289" w:lineRule="auto"/>
        <w:rPr>
          <w:sz w:val="20"/>
          <w:szCs w:val="20"/>
          <w:color w:val="auto"/>
        </w:rPr>
      </w:pPr>
      <w:r>
        <w:rPr>
          <w:rFonts w:ascii="Arial" w:cs="Arial" w:eastAsia="Arial" w:hAnsi="Arial"/>
          <w:sz w:val="15"/>
          <w:szCs w:val="15"/>
          <w:color w:val="auto"/>
        </w:rPr>
        <w:t>During my employment with the Company and for a period of 12 months after the termination of my employment with the Company for any reason, I shall not solicit, induce or encourage any employee of the Company to terminate his or her employment with the Company.</w:t>
      </w:r>
    </w:p>
    <w:p>
      <w:pPr>
        <w:spacing w:after="0" w:line="141" w:lineRule="exact"/>
        <w:rPr>
          <w:sz w:val="20"/>
          <w:szCs w:val="20"/>
          <w:color w:val="auto"/>
        </w:rPr>
      </w:pPr>
    </w:p>
    <w:p>
      <w:pPr>
        <w:ind w:firstLine="549"/>
        <w:spacing w:after="0" w:line="261" w:lineRule="auto"/>
        <w:tabs>
          <w:tab w:leader="none" w:pos="1112" w:val="left"/>
        </w:tabs>
        <w:numPr>
          <w:ilvl w:val="0"/>
          <w:numId w:val="520"/>
        </w:numPr>
        <w:rPr>
          <w:rFonts w:ascii="Arial" w:cs="Arial" w:eastAsia="Arial" w:hAnsi="Arial"/>
          <w:sz w:val="15"/>
          <w:szCs w:val="15"/>
          <w:color w:val="auto"/>
        </w:rPr>
      </w:pPr>
      <w:r>
        <w:rPr>
          <w:rFonts w:ascii="Arial" w:cs="Arial" w:eastAsia="Arial" w:hAnsi="Arial"/>
          <w:sz w:val="15"/>
          <w:szCs w:val="15"/>
          <w:u w:val="single" w:color="auto"/>
          <w:color w:val="auto"/>
        </w:rPr>
        <w:t>Return of Property</w:t>
      </w:r>
      <w:r>
        <w:rPr>
          <w:rFonts w:ascii="Arial" w:cs="Arial" w:eastAsia="Arial" w:hAnsi="Arial"/>
          <w:sz w:val="15"/>
          <w:szCs w:val="15"/>
          <w:color w:val="auto"/>
        </w:rPr>
        <w:t>. Upon termination of my employment with the Company, or at any other time upon request of the Company, I shall cease using and return promptly any and all customer or prospective customer lists, other customer or prospective customer information or related materials, computer programs, software, electronic data, specifications, drawings, blueprints, data storage devices, reproductions, sketches, notes, notebooks, memoranda, reports, records, proposals, business plans, or copies of them, other documents or materials, tools, equipment, or other property belonging to the Company or its customers which I may then possess or have under my direct or indirect control. I further agree that upon termination of employment, I shall not take with me any documents or data in any form or of any description containing or pertaining to Confidential Information or Company Inventions, other than documents I have a right to retain under applicable law (with the understanding that my obligations under this Agreement continue to apply to any such retained documents). For purposes of clarity, using best efforts to completely remove (with the Company’s prior written permission) from any personal computer, laptop, smart phone, IPad, or any other electronic device, any Company Property that I have previously returned to the Company in accordance with this Section 7 satisfies my obligations under this section.</w:t>
      </w:r>
    </w:p>
    <w:p>
      <w:pPr>
        <w:spacing w:after="0" w:line="164" w:lineRule="exact"/>
        <w:rPr>
          <w:rFonts w:ascii="Arial" w:cs="Arial" w:eastAsia="Arial" w:hAnsi="Arial"/>
          <w:sz w:val="15"/>
          <w:szCs w:val="15"/>
          <w:color w:val="auto"/>
        </w:rPr>
      </w:pPr>
    </w:p>
    <w:p>
      <w:pPr>
        <w:ind w:right="300" w:firstLine="549"/>
        <w:spacing w:after="0" w:line="334" w:lineRule="auto"/>
        <w:tabs>
          <w:tab w:leader="none" w:pos="1112" w:val="left"/>
        </w:tabs>
        <w:numPr>
          <w:ilvl w:val="0"/>
          <w:numId w:val="520"/>
        </w:numPr>
        <w:rPr>
          <w:rFonts w:ascii="Arial" w:cs="Arial" w:eastAsia="Arial" w:hAnsi="Arial"/>
          <w:sz w:val="13"/>
          <w:szCs w:val="13"/>
          <w:color w:val="auto"/>
        </w:rPr>
      </w:pPr>
      <w:r>
        <w:rPr>
          <w:rFonts w:ascii="Arial" w:cs="Arial" w:eastAsia="Arial" w:hAnsi="Arial"/>
          <w:sz w:val="13"/>
          <w:szCs w:val="13"/>
          <w:u w:val="single" w:color="auto"/>
          <w:color w:val="auto"/>
        </w:rPr>
        <w:t>Other Obligations</w:t>
      </w:r>
      <w:r>
        <w:rPr>
          <w:rFonts w:ascii="Arial" w:cs="Arial" w:eastAsia="Arial" w:hAnsi="Arial"/>
          <w:sz w:val="13"/>
          <w:szCs w:val="13"/>
          <w:color w:val="auto"/>
        </w:rPr>
        <w:t>. I acknowledge that the Company from time to time may have agreements with other persons, including the government of the United States or other countries and agencies thereof, which impose obligations or restrictions on the Company regarding inventions made during the course of work thereunder or regarding the confidential nature of such work. I agree to be bound by all such obligations and restrictions and to take all action necessary to discharge the obligations of the Company thereunder.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hanging="551"/>
        <w:spacing w:after="0"/>
        <w:tabs>
          <w:tab w:leader="none" w:pos="1100" w:val="left"/>
        </w:tabs>
        <w:numPr>
          <w:ilvl w:val="0"/>
          <w:numId w:val="521"/>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ectPr>
          <w:pgSz w:w="11900" w:h="16838" w:orient="portrait"/>
          <w:cols w:equalWidth="0" w:num="1">
            <w:col w:w="11440"/>
          </w:cols>
          <w:pgMar w:left="240" w:top="129" w:right="219" w:bottom="47" w:gutter="0" w:footer="0" w:header="0"/>
        </w:sectPr>
      </w:pPr>
    </w:p>
    <w:bookmarkStart w:id="412" w:name="page413"/>
    <w:bookmarkEnd w:id="412"/>
    <w:p>
      <w:pPr>
        <w:ind w:firstLine="1104"/>
        <w:spacing w:after="0" w:line="273" w:lineRule="auto"/>
        <w:tabs>
          <w:tab w:leader="none" w:pos="1665" w:val="left"/>
        </w:tabs>
        <w:numPr>
          <w:ilvl w:val="0"/>
          <w:numId w:val="522"/>
        </w:numPr>
        <w:rPr>
          <w:rFonts w:ascii="Arial" w:cs="Arial" w:eastAsia="Arial" w:hAnsi="Arial"/>
          <w:sz w:val="15"/>
          <w:szCs w:val="15"/>
          <w:color w:val="auto"/>
        </w:rPr>
      </w:pPr>
      <w:r>
        <w:rPr>
          <w:rFonts w:ascii="Arial" w:cs="Arial" w:eastAsia="Arial" w:hAnsi="Arial"/>
          <w:sz w:val="15"/>
          <w:szCs w:val="15"/>
          <w:color w:val="auto"/>
        </w:rPr>
        <w:t>This Agreement contains the entire and only agreement between me and the Company with respect to the subject matter hereof, superseding any previous oral or written communications, representations, understandings, or agreements with the Company or any officer or representative hereof. In the event of any inconsistency between this Agreement and any other contract between me and the Company, the provisions of this Agreement shall prevail.</w:t>
      </w:r>
    </w:p>
    <w:p>
      <w:pPr>
        <w:spacing w:after="0" w:line="152" w:lineRule="exact"/>
        <w:rPr>
          <w:rFonts w:ascii="Arial" w:cs="Arial" w:eastAsia="Arial" w:hAnsi="Arial"/>
          <w:sz w:val="15"/>
          <w:szCs w:val="15"/>
          <w:color w:val="auto"/>
        </w:rPr>
      </w:pPr>
    </w:p>
    <w:p>
      <w:pPr>
        <w:ind w:right="80" w:firstLine="1104"/>
        <w:spacing w:after="0" w:line="268" w:lineRule="auto"/>
        <w:tabs>
          <w:tab w:leader="none" w:pos="1674" w:val="left"/>
        </w:tabs>
        <w:numPr>
          <w:ilvl w:val="0"/>
          <w:numId w:val="522"/>
        </w:numPr>
        <w:rPr>
          <w:rFonts w:ascii="Arial" w:cs="Arial" w:eastAsia="Arial" w:hAnsi="Arial"/>
          <w:sz w:val="15"/>
          <w:szCs w:val="15"/>
          <w:color w:val="auto"/>
        </w:rPr>
      </w:pPr>
      <w:r>
        <w:rPr>
          <w:rFonts w:ascii="Arial" w:cs="Arial" w:eastAsia="Arial" w:hAnsi="Arial"/>
          <w:sz w:val="15"/>
          <w:szCs w:val="15"/>
          <w:color w:val="auto"/>
        </w:rPr>
        <w:t>My obligations under Sections 2, 3, 5, 6 (for the periods set forth therein), 7, 8 and 9 of this Agreement shall survive the termination of my employment with the Company regardless of the manner of or reasons for such termination, and regardless of whether such termination constitutes a breach of any other agreement I may have with the Company. My obligations under this Agreement shall be binding upon my heirs, assigns, executors, administrators and representatives, and the provisions of this Agreement shall inure to the benefit of and be binding on the successors and assigns of the Company.</w:t>
      </w:r>
    </w:p>
    <w:p>
      <w:pPr>
        <w:spacing w:after="0" w:line="156" w:lineRule="exact"/>
        <w:rPr>
          <w:rFonts w:ascii="Arial" w:cs="Arial" w:eastAsia="Arial" w:hAnsi="Arial"/>
          <w:sz w:val="15"/>
          <w:szCs w:val="15"/>
          <w:color w:val="auto"/>
        </w:rPr>
      </w:pPr>
    </w:p>
    <w:p>
      <w:pPr>
        <w:ind w:right="40" w:firstLine="1104"/>
        <w:spacing w:after="0" w:line="264" w:lineRule="auto"/>
        <w:tabs>
          <w:tab w:leader="none" w:pos="1677" w:val="left"/>
        </w:tabs>
        <w:numPr>
          <w:ilvl w:val="0"/>
          <w:numId w:val="522"/>
        </w:numPr>
        <w:rPr>
          <w:rFonts w:ascii="Arial" w:cs="Arial" w:eastAsia="Arial" w:hAnsi="Arial"/>
          <w:sz w:val="15"/>
          <w:szCs w:val="15"/>
          <w:color w:val="auto"/>
        </w:rPr>
      </w:pPr>
      <w:r>
        <w:rPr>
          <w:rFonts w:ascii="Arial" w:cs="Arial" w:eastAsia="Arial" w:hAnsi="Arial"/>
          <w:sz w:val="15"/>
          <w:szCs w:val="15"/>
          <w:color w:val="auto"/>
        </w:rPr>
        <w:t>If any provision of this Agreement shall be determined to be unenforceable by any court of competent jurisdiction by reason of its extending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immediately preceding sentence, any provision of this Agreement shall be determined to be invalid, illegal or otherwise unenforceable by any court of competent jurisdiction, the validity, legality and enforceability of the other provisions of this Agreement shall not be affected thereby. Except as otherwise provided in this paragraph, any invalid, illegal or unenforceable provision of this Agreement shall be severable, and after any such severance, all other provisions hereof shall remain in full force and effect.</w:t>
      </w:r>
    </w:p>
    <w:p>
      <w:pPr>
        <w:spacing w:after="0" w:line="158" w:lineRule="exact"/>
        <w:rPr>
          <w:rFonts w:ascii="Arial" w:cs="Arial" w:eastAsia="Arial" w:hAnsi="Arial"/>
          <w:sz w:val="15"/>
          <w:szCs w:val="15"/>
          <w:color w:val="auto"/>
        </w:rPr>
      </w:pPr>
    </w:p>
    <w:p>
      <w:pPr>
        <w:ind w:right="100" w:firstLine="1104"/>
        <w:spacing w:after="0" w:line="268" w:lineRule="auto"/>
        <w:tabs>
          <w:tab w:leader="none" w:pos="1674" w:val="left"/>
        </w:tabs>
        <w:numPr>
          <w:ilvl w:val="0"/>
          <w:numId w:val="522"/>
        </w:numPr>
        <w:rPr>
          <w:rFonts w:ascii="Arial" w:cs="Arial" w:eastAsia="Arial" w:hAnsi="Arial"/>
          <w:sz w:val="15"/>
          <w:szCs w:val="15"/>
          <w:color w:val="auto"/>
        </w:rPr>
      </w:pPr>
      <w:r>
        <w:rPr>
          <w:rFonts w:ascii="Arial" w:cs="Arial" w:eastAsia="Arial" w:hAnsi="Arial"/>
          <w:sz w:val="15"/>
          <w:szCs w:val="15"/>
          <w:color w:val="auto"/>
        </w:rPr>
        <w:t>I acknowledge and agree that violation of this Agreement by me would cause irreparable harm to the Company not adequately compensable by money damages alone, and I therefore agree that, in addition to all other remedies available to the Company at law, in equity or otherwise, the Company shall be entitled to injunctive relief to prevent an actual or threatened violation of this Agreement and to enforce the provisions hereof, without showing or proving any actual damage to the Company or posting any bond in connection therewith.</w:t>
      </w:r>
    </w:p>
    <w:p>
      <w:pPr>
        <w:spacing w:after="0" w:line="156" w:lineRule="exact"/>
        <w:rPr>
          <w:rFonts w:ascii="Arial" w:cs="Arial" w:eastAsia="Arial" w:hAnsi="Arial"/>
          <w:sz w:val="15"/>
          <w:szCs w:val="15"/>
          <w:color w:val="auto"/>
        </w:rPr>
      </w:pPr>
    </w:p>
    <w:p>
      <w:pPr>
        <w:jc w:val="both"/>
        <w:ind w:right="60" w:firstLine="1104"/>
        <w:spacing w:after="0" w:line="273" w:lineRule="auto"/>
        <w:tabs>
          <w:tab w:leader="none" w:pos="1677" w:val="left"/>
        </w:tabs>
        <w:numPr>
          <w:ilvl w:val="0"/>
          <w:numId w:val="522"/>
        </w:numPr>
        <w:rPr>
          <w:rFonts w:ascii="Arial" w:cs="Arial" w:eastAsia="Arial" w:hAnsi="Arial"/>
          <w:sz w:val="15"/>
          <w:szCs w:val="15"/>
          <w:color w:val="auto"/>
        </w:rPr>
      </w:pPr>
      <w:r>
        <w:rPr>
          <w:rFonts w:ascii="Arial" w:cs="Arial" w:eastAsia="Arial" w:hAnsi="Arial"/>
          <w:sz w:val="15"/>
          <w:szCs w:val="15"/>
          <w:color w:val="auto"/>
        </w:rPr>
        <w:t>No failure by the Company to insist upon strict compliance with any of the terms, covenants, or conditions hereof, and no delay or omission by the Company in exercising any right under this Agreement, will operate as a waiver of such terms, covenants, conditions or rights. A waiver or consent given by the Company on any one occasion is effective only in that instance and will not be construed as a bar to or waiver of any right on any other occasion.</w:t>
      </w:r>
    </w:p>
    <w:p>
      <w:pPr>
        <w:spacing w:after="0" w:line="152" w:lineRule="exact"/>
        <w:rPr>
          <w:rFonts w:ascii="Arial" w:cs="Arial" w:eastAsia="Arial" w:hAnsi="Arial"/>
          <w:sz w:val="15"/>
          <w:szCs w:val="15"/>
          <w:color w:val="auto"/>
        </w:rPr>
      </w:pPr>
    </w:p>
    <w:p>
      <w:pPr>
        <w:ind w:right="420" w:firstLine="1104"/>
        <w:spacing w:after="0" w:line="289" w:lineRule="auto"/>
        <w:tabs>
          <w:tab w:leader="none" w:pos="1671" w:val="left"/>
        </w:tabs>
        <w:numPr>
          <w:ilvl w:val="0"/>
          <w:numId w:val="522"/>
        </w:numPr>
        <w:rPr>
          <w:rFonts w:ascii="Arial" w:cs="Arial" w:eastAsia="Arial" w:hAnsi="Arial"/>
          <w:sz w:val="15"/>
          <w:szCs w:val="15"/>
          <w:color w:val="auto"/>
        </w:rPr>
      </w:pPr>
      <w:r>
        <w:rPr>
          <w:rFonts w:ascii="Arial" w:cs="Arial" w:eastAsia="Arial" w:hAnsi="Arial"/>
          <w:sz w:val="15"/>
          <w:szCs w:val="15"/>
          <w:color w:val="auto"/>
        </w:rPr>
        <w:t>This Agreement may not be changed, modified, released, discharged, abandoned, or otherwise amended, in whole or in part, except by an instrument in writing signed by me and the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0" w:firstLine="1104"/>
        <w:spacing w:after="0" w:line="289" w:lineRule="auto"/>
        <w:tabs>
          <w:tab w:leader="none" w:pos="1686" w:val="left"/>
        </w:tabs>
        <w:numPr>
          <w:ilvl w:val="0"/>
          <w:numId w:val="523"/>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and enforced in accordance with, the laws of The Commonwealth of Massachusetts, without regard to its principles of conflicts of laws. This Agreement is executed under seal.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640"/>
        <w:spacing w:after="0" w:line="273" w:lineRule="auto"/>
        <w:rPr>
          <w:sz w:val="20"/>
          <w:szCs w:val="20"/>
          <w:color w:val="auto"/>
        </w:rPr>
      </w:pPr>
      <w:r>
        <w:rPr>
          <w:rFonts w:ascii="Arial" w:cs="Arial" w:eastAsia="Arial" w:hAnsi="Arial"/>
          <w:sz w:val="15"/>
          <w:szCs w:val="15"/>
          <w:color w:val="auto"/>
        </w:rPr>
        <w:t>BY PLACING MY SIGNATURE HEREUNDER, I ACKNOWLEDGE THAT I HAVE HAD THE OPPORTUNITY TO SEEK THE ADVICE OF INDEPENDENT LEGAL COUNSEL AND I HAVE READ ALL THE PROVISIONS OF THIS EMPLOYEE NONDISCLOSURE, NONCOMPETITION AND ASSIGNMENT OF INTELLECTUAL PROPERTY AGREEMENT AND THAT I AGREE TO ALL OF ITS TERMS.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Effective Date: June 6, 2016</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EMPLOYEE:</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Lloyd Johnston</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167"/>
        </w:trPr>
        <w:tc>
          <w:tcPr>
            <w:tcW w:w="76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Signature</w:t>
            </w:r>
          </w:p>
        </w:tc>
        <w:tc>
          <w:tcPr>
            <w:tcW w:w="4960" w:type="dxa"/>
            <w:vAlign w:val="bottom"/>
            <w:tcBorders>
              <w:top w:val="single" w:sz="8" w:color="auto"/>
            </w:tcBorders>
          </w:tcPr>
          <w:p>
            <w:pPr>
              <w:spacing w:after="0"/>
              <w:rPr>
                <w:sz w:val="14"/>
                <w:szCs w:val="14"/>
                <w:color w:val="auto"/>
              </w:rPr>
            </w:pP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Name:</w:t>
            </w:r>
          </w:p>
        </w:tc>
        <w:tc>
          <w:tcPr>
            <w:tcW w:w="4960" w:type="dxa"/>
            <w:vAlign w:val="bottom"/>
          </w:tcPr>
          <w:p>
            <w:pPr>
              <w:ind w:left="160"/>
              <w:spacing w:after="0"/>
              <w:rPr>
                <w:sz w:val="20"/>
                <w:szCs w:val="20"/>
                <w:color w:val="auto"/>
              </w:rPr>
            </w:pPr>
            <w:r>
              <w:rPr>
                <w:rFonts w:ascii="Arial" w:cs="Arial" w:eastAsia="Arial" w:hAnsi="Arial"/>
                <w:sz w:val="15"/>
                <w:szCs w:val="15"/>
                <w:color w:val="auto"/>
              </w:rPr>
              <w:t>Lloyd Johnston</w:t>
            </w:r>
          </w:p>
        </w:tc>
      </w:tr>
      <w:tr>
        <w:trPr>
          <w:trHeight w:val="371"/>
        </w:trPr>
        <w:tc>
          <w:tcPr>
            <w:tcW w:w="760" w:type="dxa"/>
            <w:vAlign w:val="bottom"/>
          </w:tcPr>
          <w:p>
            <w:pPr>
              <w:spacing w:after="0"/>
              <w:rPr>
                <w:sz w:val="20"/>
                <w:szCs w:val="20"/>
                <w:color w:val="auto"/>
              </w:rPr>
            </w:pPr>
            <w:r>
              <w:rPr>
                <w:rFonts w:ascii="Arial" w:cs="Arial" w:eastAsia="Arial" w:hAnsi="Arial"/>
                <w:sz w:val="15"/>
                <w:szCs w:val="15"/>
                <w:color w:val="auto"/>
              </w:rPr>
              <w:t>Address:</w:t>
            </w:r>
          </w:p>
        </w:tc>
        <w:tc>
          <w:tcPr>
            <w:tcW w:w="4960" w:type="dxa"/>
            <w:vAlign w:val="bottom"/>
          </w:tcPr>
          <w:p>
            <w:pPr>
              <w:ind w:left="160"/>
              <w:spacing w:after="0"/>
              <w:rPr>
                <w:sz w:val="20"/>
                <w:szCs w:val="20"/>
                <w:color w:val="auto"/>
              </w:rPr>
            </w:pPr>
            <w:r>
              <w:rPr>
                <w:rFonts w:ascii="Arial" w:cs="Arial" w:eastAsia="Arial" w:hAnsi="Arial"/>
                <w:sz w:val="15"/>
                <w:szCs w:val="15"/>
                <w:color w:val="auto"/>
              </w:rPr>
              <w:t>[***]</w:t>
            </w:r>
          </w:p>
        </w:tc>
      </w:tr>
    </w:tbl>
    <w:p>
      <w:pPr>
        <w:spacing w:after="0" w:line="36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Accepted and Agreed:</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-108585</wp:posOffset>
            </wp:positionV>
            <wp:extent cx="3279775" cy="762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327977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Excluded Confidential Information and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Indemnification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129" w:right="219" w:bottom="904" w:gutter="0" w:footer="0" w:header="0"/>
        </w:sectPr>
      </w:pPr>
    </w:p>
    <w:bookmarkStart w:id="413" w:name="page414"/>
    <w:bookmarkEnd w:id="413"/>
    <w:p>
      <w:pPr>
        <w:jc w:val="right"/>
        <w:spacing w:after="0"/>
        <w:rPr>
          <w:sz w:val="20"/>
          <w:szCs w:val="20"/>
          <w:color w:val="auto"/>
        </w:rPr>
      </w:pPr>
      <w:r>
        <w:rPr>
          <w:rFonts w:ascii="Arial" w:cs="Arial" w:eastAsia="Arial" w:hAnsi="Arial"/>
          <w:sz w:val="15"/>
          <w:szCs w:val="15"/>
          <w:b w:val="1"/>
          <w:bCs w:val="1"/>
          <w:color w:val="auto"/>
        </w:rPr>
        <w:t>Exhibit 10.22</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Employment Agreement</w:t>
      </w:r>
    </w:p>
    <w:p>
      <w:pPr>
        <w:spacing w:after="0" w:line="204" w:lineRule="exact"/>
        <w:rPr>
          <w:sz w:val="20"/>
          <w:szCs w:val="20"/>
          <w:color w:val="auto"/>
        </w:rPr>
      </w:pPr>
    </w:p>
    <w:p>
      <w:pPr>
        <w:ind w:left="7" w:right="440" w:firstLine="556"/>
        <w:spacing w:after="0" w:line="327" w:lineRule="auto"/>
        <w:rPr>
          <w:sz w:val="20"/>
          <w:szCs w:val="20"/>
          <w:color w:val="auto"/>
        </w:rPr>
      </w:pPr>
      <w:r>
        <w:rPr>
          <w:rFonts w:ascii="Arial" w:cs="Arial" w:eastAsia="Arial" w:hAnsi="Arial"/>
          <w:sz w:val="14"/>
          <w:szCs w:val="14"/>
          <w:color w:val="auto"/>
        </w:rPr>
        <w:t>This Employment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June 6, 2016, is made by and between Selecta Biosciences, Inc., a Delaware corporation (together with any successor thereto, the “</w:t>
      </w:r>
      <w:r>
        <w:rPr>
          <w:rFonts w:ascii="Arial" w:cs="Arial" w:eastAsia="Arial" w:hAnsi="Arial"/>
          <w:sz w:val="14"/>
          <w:szCs w:val="14"/>
          <w:u w:val="single" w:color="auto"/>
          <w:color w:val="auto"/>
        </w:rPr>
        <w:t>Company</w:t>
      </w:r>
      <w:r>
        <w:rPr>
          <w:rFonts w:ascii="Arial" w:cs="Arial" w:eastAsia="Arial" w:hAnsi="Arial"/>
          <w:sz w:val="14"/>
          <w:szCs w:val="14"/>
          <w:color w:val="auto"/>
        </w:rPr>
        <w:t>”), and David Abraham, J.D. (“</w:t>
      </w:r>
      <w:r>
        <w:rPr>
          <w:rFonts w:ascii="Arial" w:cs="Arial" w:eastAsia="Arial" w:hAnsi="Arial"/>
          <w:sz w:val="14"/>
          <w:szCs w:val="14"/>
          <w:u w:val="single" w:color="auto"/>
          <w:color w:val="auto"/>
        </w:rPr>
        <w:t>Executive</w:t>
      </w:r>
      <w:r>
        <w:rPr>
          <w:rFonts w:ascii="Arial" w:cs="Arial" w:eastAsia="Arial" w:hAnsi="Arial"/>
          <w:sz w:val="14"/>
          <w:szCs w:val="14"/>
          <w:color w:val="auto"/>
        </w:rPr>
        <w:t>”) (collectively referred to as the “</w:t>
      </w:r>
      <w:r>
        <w:rPr>
          <w:rFonts w:ascii="Arial" w:cs="Arial" w:eastAsia="Arial" w:hAnsi="Arial"/>
          <w:sz w:val="14"/>
          <w:szCs w:val="14"/>
          <w:u w:val="single" w:color="auto"/>
          <w:color w:val="auto"/>
        </w:rPr>
        <w:t>Parties</w:t>
      </w:r>
      <w:r>
        <w:rPr>
          <w:rFonts w:ascii="Arial" w:cs="Arial" w:eastAsia="Arial" w:hAnsi="Arial"/>
          <w:sz w:val="14"/>
          <w:szCs w:val="14"/>
          <w:color w:val="auto"/>
        </w:rPr>
        <w:t>” or individually referred to as a “</w:t>
      </w:r>
      <w:r>
        <w:rPr>
          <w:rFonts w:ascii="Arial" w:cs="Arial" w:eastAsia="Arial" w:hAnsi="Arial"/>
          <w:sz w:val="14"/>
          <w:szCs w:val="14"/>
          <w:u w:val="single" w:color="auto"/>
          <w:color w:val="auto"/>
        </w:rPr>
        <w:t>Party</w:t>
      </w:r>
      <w:r>
        <w:rPr>
          <w:rFonts w:ascii="Arial" w:cs="Arial" w:eastAsia="Arial" w:hAnsi="Arial"/>
          <w:sz w:val="14"/>
          <w:szCs w:val="14"/>
          <w:color w:val="auto"/>
        </w:rPr>
        <w:t>”).</w:t>
      </w:r>
    </w:p>
    <w:p>
      <w:pPr>
        <w:spacing w:after="0" w:line="11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RECITALS</w:t>
      </w:r>
    </w:p>
    <w:p>
      <w:pPr>
        <w:spacing w:after="0" w:line="204" w:lineRule="exact"/>
        <w:rPr>
          <w:sz w:val="20"/>
          <w:szCs w:val="20"/>
          <w:color w:val="auto"/>
        </w:rPr>
      </w:pPr>
    </w:p>
    <w:p>
      <w:pPr>
        <w:ind w:left="567" w:hanging="567"/>
        <w:spacing w:after="0"/>
        <w:tabs>
          <w:tab w:leader="none" w:pos="567" w:val="left"/>
        </w:tabs>
        <w:numPr>
          <w:ilvl w:val="0"/>
          <w:numId w:val="524"/>
        </w:numPr>
        <w:rPr>
          <w:rFonts w:ascii="Arial" w:cs="Arial" w:eastAsia="Arial" w:hAnsi="Arial"/>
          <w:sz w:val="14"/>
          <w:szCs w:val="14"/>
          <w:color w:val="auto"/>
        </w:rPr>
      </w:pPr>
      <w:r>
        <w:rPr>
          <w:rFonts w:ascii="Arial" w:cs="Arial" w:eastAsia="Arial" w:hAnsi="Arial"/>
          <w:sz w:val="14"/>
          <w:szCs w:val="14"/>
          <w:color w:val="auto"/>
        </w:rPr>
        <w:t>It is the desire of the Company to assure itself of the services of Executive following the Effective Date (as defined below) and thereafter by entering into this Agreement.</w:t>
      </w:r>
    </w:p>
    <w:p>
      <w:pPr>
        <w:spacing w:after="0" w:line="209" w:lineRule="exact"/>
        <w:rPr>
          <w:rFonts w:ascii="Arial" w:cs="Arial" w:eastAsia="Arial" w:hAnsi="Arial"/>
          <w:sz w:val="14"/>
          <w:szCs w:val="14"/>
          <w:color w:val="auto"/>
        </w:rPr>
      </w:pPr>
    </w:p>
    <w:p>
      <w:pPr>
        <w:ind w:left="567" w:hanging="567"/>
        <w:spacing w:after="0"/>
        <w:tabs>
          <w:tab w:leader="none" w:pos="567" w:val="left"/>
        </w:tabs>
        <w:numPr>
          <w:ilvl w:val="0"/>
          <w:numId w:val="524"/>
        </w:numPr>
        <w:rPr>
          <w:rFonts w:ascii="Arial" w:cs="Arial" w:eastAsia="Arial" w:hAnsi="Arial"/>
          <w:sz w:val="15"/>
          <w:szCs w:val="15"/>
          <w:color w:val="auto"/>
        </w:rPr>
      </w:pPr>
      <w:r>
        <w:rPr>
          <w:rFonts w:ascii="Arial" w:cs="Arial" w:eastAsia="Arial" w:hAnsi="Arial"/>
          <w:sz w:val="15"/>
          <w:szCs w:val="15"/>
          <w:color w:val="auto"/>
        </w:rPr>
        <w:t>Executive and the Company mutually desire that Executive provide services to the Company on the terms herein provided.</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AGREEMENT</w:t>
      </w:r>
    </w:p>
    <w:p>
      <w:pPr>
        <w:spacing w:after="0" w:line="204" w:lineRule="exact"/>
        <w:rPr>
          <w:sz w:val="20"/>
          <w:szCs w:val="20"/>
          <w:color w:val="auto"/>
        </w:rPr>
      </w:pPr>
    </w:p>
    <w:p>
      <w:pPr>
        <w:ind w:left="547"/>
        <w:spacing w:after="0"/>
        <w:rPr>
          <w:sz w:val="20"/>
          <w:szCs w:val="20"/>
          <w:color w:val="auto"/>
        </w:rPr>
      </w:pPr>
      <w:r>
        <w:rPr>
          <w:rFonts w:ascii="Arial" w:cs="Arial" w:eastAsia="Arial" w:hAnsi="Arial"/>
          <w:sz w:val="15"/>
          <w:szCs w:val="15"/>
          <w:color w:val="auto"/>
        </w:rPr>
        <w:t>NOW, THEREFORE, in consideration of the foregoing and of the respective covenants and agreements set forth below, the Parties hereto agree as follows:</w:t>
      </w:r>
    </w:p>
    <w:p>
      <w:pPr>
        <w:spacing w:after="0" w:line="192" w:lineRule="exact"/>
        <w:rPr>
          <w:sz w:val="20"/>
          <w:szCs w:val="20"/>
          <w:color w:val="auto"/>
        </w:rPr>
      </w:pPr>
    </w:p>
    <w:p>
      <w:pPr>
        <w:ind w:left="547" w:hanging="547"/>
        <w:spacing w:after="0"/>
        <w:tabs>
          <w:tab w:leader="none" w:pos="547" w:val="left"/>
        </w:tabs>
        <w:numPr>
          <w:ilvl w:val="0"/>
          <w:numId w:val="52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Employment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60" w:firstLine="549"/>
        <w:spacing w:after="0" w:line="273" w:lineRule="auto"/>
        <w:tabs>
          <w:tab w:leader="none" w:pos="1117" w:val="left"/>
        </w:tabs>
        <w:numPr>
          <w:ilvl w:val="1"/>
          <w:numId w:val="525"/>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Effective on the closing of the Company’s initial public offering of stock pursuant to an effective registration statement filed under the Securities Act of 1933, as amended (the “</w:t>
      </w:r>
      <w:r>
        <w:rPr>
          <w:rFonts w:ascii="Arial" w:cs="Arial" w:eastAsia="Arial" w:hAnsi="Arial"/>
          <w:sz w:val="15"/>
          <w:szCs w:val="15"/>
          <w:u w:val="single" w:color="auto"/>
          <w:color w:val="auto"/>
        </w:rPr>
        <w:t>Effective Date</w:t>
      </w:r>
      <w:r>
        <w:rPr>
          <w:rFonts w:ascii="Arial" w:cs="Arial" w:eastAsia="Arial" w:hAnsi="Arial"/>
          <w:sz w:val="15"/>
          <w:szCs w:val="15"/>
          <w:color w:val="auto"/>
        </w:rPr>
        <w:t xml:space="preserve">”), the Company shall employ Executive and Executive shall remain in the employ of the Company, for the period and in the positions set forth in this </w:t>
      </w:r>
      <w:r>
        <w:rPr>
          <w:rFonts w:ascii="Arial" w:cs="Arial" w:eastAsia="Arial" w:hAnsi="Arial"/>
          <w:sz w:val="15"/>
          <w:szCs w:val="15"/>
          <w:u w:val="single" w:color="auto"/>
          <w:color w:val="auto"/>
        </w:rPr>
        <w:t>Section 1</w:t>
      </w:r>
      <w:r>
        <w:rPr>
          <w:rFonts w:ascii="Arial" w:cs="Arial" w:eastAsia="Arial" w:hAnsi="Arial"/>
          <w:sz w:val="15"/>
          <w:szCs w:val="15"/>
          <w:color w:val="auto"/>
        </w:rPr>
        <w:t>, and subject to the other terms and conditions herein provided.</w:t>
      </w:r>
    </w:p>
    <w:p>
      <w:pPr>
        <w:spacing w:after="0" w:line="152" w:lineRule="exact"/>
        <w:rPr>
          <w:rFonts w:ascii="Arial" w:cs="Arial" w:eastAsia="Arial" w:hAnsi="Arial"/>
          <w:sz w:val="15"/>
          <w:szCs w:val="15"/>
          <w:color w:val="auto"/>
        </w:rPr>
      </w:pPr>
    </w:p>
    <w:p>
      <w:pPr>
        <w:ind w:left="7" w:firstLine="549"/>
        <w:spacing w:after="0" w:line="264" w:lineRule="auto"/>
        <w:tabs>
          <w:tab w:leader="none" w:pos="1125" w:val="left"/>
        </w:tabs>
        <w:numPr>
          <w:ilvl w:val="1"/>
          <w:numId w:val="525"/>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5"/>
          <w:szCs w:val="15"/>
          <w:u w:val="single" w:color="auto"/>
          <w:color w:val="auto"/>
        </w:rPr>
        <w:t>Section 3(b)</w:t>
      </w:r>
      <w:r>
        <w:rPr>
          <w:rFonts w:ascii="Arial" w:cs="Arial" w:eastAsia="Arial" w:hAnsi="Arial"/>
          <w:sz w:val="15"/>
          <w:szCs w:val="15"/>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5"/>
          <w:szCs w:val="15"/>
          <w:u w:val="single" w:color="auto"/>
          <w:color w:val="auto"/>
        </w:rPr>
        <w:t>Term</w:t>
      </w:r>
      <w:r>
        <w:rPr>
          <w:rFonts w:ascii="Arial" w:cs="Arial" w:eastAsia="Arial" w:hAnsi="Arial"/>
          <w:sz w:val="15"/>
          <w:szCs w:val="15"/>
          <w:color w:val="auto"/>
        </w:rPr>
        <w:t xml:space="preserve">”) shall commence on the Effective Date and end on the date this Agreement is terminated under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left="7" w:right="140" w:firstLine="549"/>
        <w:spacing w:after="0" w:line="263" w:lineRule="auto"/>
        <w:tabs>
          <w:tab w:leader="none" w:pos="1128" w:val="left"/>
        </w:tabs>
        <w:numPr>
          <w:ilvl w:val="1"/>
          <w:numId w:val="525"/>
        </w:numPr>
        <w:rPr>
          <w:rFonts w:ascii="Arial" w:cs="Arial" w:eastAsia="Arial" w:hAnsi="Arial"/>
          <w:sz w:val="15"/>
          <w:szCs w:val="15"/>
          <w:color w:val="auto"/>
        </w:rPr>
      </w:pPr>
      <w:r>
        <w:rPr>
          <w:rFonts w:ascii="Arial" w:cs="Arial" w:eastAsia="Arial" w:hAnsi="Arial"/>
          <w:sz w:val="15"/>
          <w:szCs w:val="15"/>
          <w:u w:val="single" w:color="auto"/>
          <w:color w:val="auto"/>
        </w:rPr>
        <w:t>Positions and Duties</w:t>
      </w:r>
      <w:r>
        <w:rPr>
          <w:rFonts w:ascii="Arial" w:cs="Arial" w:eastAsia="Arial" w:hAnsi="Arial"/>
          <w:sz w:val="15"/>
          <w:szCs w:val="15"/>
          <w:color w:val="auto"/>
        </w:rPr>
        <w:t>. Executive shall serve as General Counsel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Arial" w:cs="Arial" w:eastAsia="Arial" w:hAnsi="Arial"/>
          <w:sz w:val="15"/>
          <w:szCs w:val="15"/>
          <w:u w:val="single" w:color="auto"/>
          <w:color w:val="auto"/>
        </w:rPr>
        <w:t>Restrictive</w:t>
      </w:r>
      <w:r>
        <w:rPr>
          <w:rFonts w:ascii="Arial" w:cs="Arial" w:eastAsia="Arial" w:hAnsi="Arial"/>
          <w:sz w:val="15"/>
          <w:szCs w:val="15"/>
          <w:color w:val="auto"/>
        </w:rPr>
        <w:t xml:space="preserve"> </w:t>
      </w:r>
      <w:r>
        <w:rPr>
          <w:rFonts w:ascii="Arial" w:cs="Arial" w:eastAsia="Arial" w:hAnsi="Arial"/>
          <w:sz w:val="15"/>
          <w:szCs w:val="15"/>
          <w:u w:val="single" w:color="auto"/>
          <w:color w:val="auto"/>
        </w:rPr>
        <w:t>Covenant Agreement</w:t>
      </w:r>
      <w:r>
        <w:rPr>
          <w:rFonts w:ascii="Arial" w:cs="Arial" w:eastAsia="Arial" w:hAnsi="Arial"/>
          <w:sz w:val="15"/>
          <w:szCs w:val="15"/>
          <w:color w:val="auto"/>
        </w:rPr>
        <w:t>”).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15"/>
          <w:szCs w:val="15"/>
          <w:u w:val="single" w:color="auto"/>
          <w:color w:val="auto"/>
        </w:rPr>
        <w:t>Policy</w:t>
      </w:r>
      <w:r>
        <w:rPr>
          <w:rFonts w:ascii="Arial" w:cs="Arial" w:eastAsia="Arial" w:hAnsi="Arial"/>
          <w:sz w:val="15"/>
          <w:szCs w:val="15"/>
          <w:color w:val="auto"/>
        </w:rPr>
        <w: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67" w:lineRule="exact"/>
        <w:rPr>
          <w:rFonts w:ascii="Arial" w:cs="Arial" w:eastAsia="Arial" w:hAnsi="Arial"/>
          <w:sz w:val="15"/>
          <w:szCs w:val="15"/>
          <w:color w:val="auto"/>
        </w:rPr>
      </w:pPr>
    </w:p>
    <w:p>
      <w:pPr>
        <w:ind w:left="547" w:hanging="547"/>
        <w:spacing w:after="0"/>
        <w:tabs>
          <w:tab w:leader="none" w:pos="547" w:val="left"/>
        </w:tabs>
        <w:numPr>
          <w:ilvl w:val="0"/>
          <w:numId w:val="52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Compensation and Related Matters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jc w:val="both"/>
        <w:ind w:left="7" w:right="20" w:firstLine="549"/>
        <w:spacing w:after="0" w:line="268" w:lineRule="auto"/>
        <w:tabs>
          <w:tab w:leader="none" w:pos="1117" w:val="left"/>
        </w:tabs>
        <w:numPr>
          <w:ilvl w:val="1"/>
          <w:numId w:val="525"/>
        </w:numPr>
        <w:rPr>
          <w:rFonts w:ascii="Arial" w:cs="Arial" w:eastAsia="Arial" w:hAnsi="Arial"/>
          <w:sz w:val="15"/>
          <w:szCs w:val="15"/>
          <w:color w:val="auto"/>
        </w:rPr>
      </w:pPr>
      <w:r>
        <w:rPr>
          <w:rFonts w:ascii="Arial" w:cs="Arial" w:eastAsia="Arial" w:hAnsi="Arial"/>
          <w:sz w:val="15"/>
          <w:szCs w:val="15"/>
          <w:u w:val="single" w:color="auto"/>
          <w:color w:val="auto"/>
        </w:rPr>
        <w:t>Annual Base Salary</w:t>
      </w:r>
      <w:r>
        <w:rPr>
          <w:rFonts w:ascii="Arial" w:cs="Arial" w:eastAsia="Arial" w:hAnsi="Arial"/>
          <w:sz w:val="15"/>
          <w:szCs w:val="15"/>
          <w:color w:val="auto"/>
        </w:rPr>
        <w:t>. During the Term, Executive shall receive a base salary at a rate of $260,000 per annum, which shall be paid in accordance with the customary payroll practices of the Company and shall be pro-rated for partial years of employment. Such annual base salary shall be reviewed (and may be increased) from time to time by the Board of Directors of the Company or an authorized committee of the Board (in either case, the “</w:t>
      </w:r>
      <w:r>
        <w:rPr>
          <w:rFonts w:ascii="Arial" w:cs="Arial" w:eastAsia="Arial" w:hAnsi="Arial"/>
          <w:sz w:val="15"/>
          <w:szCs w:val="15"/>
          <w:u w:val="single" w:color="auto"/>
          <w:color w:val="auto"/>
        </w:rPr>
        <w:t>Board</w:t>
      </w:r>
      <w:r>
        <w:rPr>
          <w:rFonts w:ascii="Arial" w:cs="Arial" w:eastAsia="Arial" w:hAnsi="Arial"/>
          <w:sz w:val="15"/>
          <w:szCs w:val="15"/>
          <w:color w:val="auto"/>
        </w:rPr>
        <w:t>”) (such annual base salary, as it may be increased from time to time, the “</w:t>
      </w:r>
      <w:r>
        <w:rPr>
          <w:rFonts w:ascii="Arial" w:cs="Arial" w:eastAsia="Arial" w:hAnsi="Arial"/>
          <w:sz w:val="15"/>
          <w:szCs w:val="15"/>
          <w:u w:val="single" w:color="auto"/>
          <w:color w:val="auto"/>
        </w:rPr>
        <w:t>Annual</w:t>
      </w:r>
      <w:r>
        <w:rPr>
          <w:rFonts w:ascii="Arial" w:cs="Arial" w:eastAsia="Arial" w:hAnsi="Arial"/>
          <w:sz w:val="15"/>
          <w:szCs w:val="15"/>
          <w:color w:val="auto"/>
        </w:rPr>
        <w:t xml:space="preserve"> </w:t>
      </w:r>
      <w:r>
        <w:rPr>
          <w:rFonts w:ascii="Arial" w:cs="Arial" w:eastAsia="Arial" w:hAnsi="Arial"/>
          <w:sz w:val="15"/>
          <w:szCs w:val="15"/>
          <w:u w:val="single" w:color="auto"/>
          <w:color w:val="auto"/>
        </w:rPr>
        <w:t>Base Salary</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ind w:left="7" w:firstLine="549"/>
        <w:spacing w:after="0" w:line="268" w:lineRule="auto"/>
        <w:tabs>
          <w:tab w:leader="none" w:pos="1125" w:val="left"/>
        </w:tabs>
        <w:numPr>
          <w:ilvl w:val="1"/>
          <w:numId w:val="525"/>
        </w:numPr>
        <w:rPr>
          <w:rFonts w:ascii="Arial" w:cs="Arial" w:eastAsia="Arial" w:hAnsi="Arial"/>
          <w:sz w:val="15"/>
          <w:szCs w:val="15"/>
          <w:color w:val="auto"/>
        </w:rPr>
      </w:pPr>
      <w:r>
        <w:rPr>
          <w:rFonts w:ascii="Arial" w:cs="Arial" w:eastAsia="Arial" w:hAnsi="Arial"/>
          <w:sz w:val="15"/>
          <w:szCs w:val="15"/>
          <w:u w:val="single" w:color="auto"/>
          <w:color w:val="auto"/>
        </w:rPr>
        <w:t>Bonus</w:t>
      </w:r>
      <w:r>
        <w:rPr>
          <w:rFonts w:ascii="Arial" w:cs="Arial" w:eastAsia="Arial" w:hAnsi="Arial"/>
          <w:sz w:val="15"/>
          <w:szCs w:val="15"/>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5"/>
          <w:szCs w:val="15"/>
          <w:u w:val="single" w:color="auto"/>
          <w:color w:val="auto"/>
        </w:rPr>
        <w:t>Annual Bonus</w:t>
      </w:r>
      <w:r>
        <w:rPr>
          <w:rFonts w:ascii="Arial" w:cs="Arial" w:eastAsia="Arial" w:hAnsi="Arial"/>
          <w:sz w:val="15"/>
          <w:szCs w:val="15"/>
          <w:color w:val="auto"/>
        </w:rPr>
        <w:t>”) shall be targeted at 35% of Executive’s Annual Base Salary (the “</w:t>
      </w:r>
      <w:r>
        <w:rPr>
          <w:rFonts w:ascii="Arial" w:cs="Arial" w:eastAsia="Arial" w:hAnsi="Arial"/>
          <w:sz w:val="15"/>
          <w:szCs w:val="15"/>
          <w:u w:val="single" w:color="auto"/>
          <w:color w:val="auto"/>
        </w:rPr>
        <w:t>Target Bonus</w:t>
      </w:r>
      <w:r>
        <w:rPr>
          <w:rFonts w:ascii="Arial" w:cs="Arial" w:eastAsia="Arial" w:hAnsi="Arial"/>
          <w:sz w:val="15"/>
          <w:szCs w:val="15"/>
          <w:color w:val="auto"/>
        </w:rPr>
        <w:t>”). The Annual Bonus payable under the incentive program shall be based on the achievement of performance goals to be determined by the Board. The payment of any Annual Bonus pursuant to the incentive program will be made on or before March 15 of the year following the year in which such Annual Bonus is earned.</w:t>
      </w:r>
    </w:p>
    <w:p>
      <w:pPr>
        <w:spacing w:after="0" w:line="156" w:lineRule="exact"/>
        <w:rPr>
          <w:rFonts w:ascii="Arial" w:cs="Arial" w:eastAsia="Arial" w:hAnsi="Arial"/>
          <w:sz w:val="15"/>
          <w:szCs w:val="15"/>
          <w:color w:val="auto"/>
        </w:rPr>
      </w:pPr>
    </w:p>
    <w:p>
      <w:pPr>
        <w:ind w:left="7" w:right="100" w:firstLine="549"/>
        <w:spacing w:after="0" w:line="273" w:lineRule="auto"/>
        <w:tabs>
          <w:tab w:leader="none" w:pos="1128" w:val="left"/>
        </w:tabs>
        <w:numPr>
          <w:ilvl w:val="1"/>
          <w:numId w:val="525"/>
        </w:numPr>
        <w:rPr>
          <w:rFonts w:ascii="Arial" w:cs="Arial" w:eastAsia="Arial" w:hAnsi="Arial"/>
          <w:sz w:val="15"/>
          <w:szCs w:val="15"/>
          <w:color w:val="auto"/>
        </w:rPr>
      </w:pPr>
      <w:r>
        <w:rPr>
          <w:rFonts w:ascii="Arial" w:cs="Arial" w:eastAsia="Arial" w:hAnsi="Arial"/>
          <w:sz w:val="15"/>
          <w:szCs w:val="15"/>
          <w:u w:val="single" w:color="auto"/>
          <w:color w:val="auto"/>
        </w:rPr>
        <w:t>Benefits</w:t>
      </w:r>
      <w:r>
        <w:rPr>
          <w:rFonts w:ascii="Arial" w:cs="Arial" w:eastAsia="Arial" w:hAnsi="Arial"/>
          <w:sz w:val="15"/>
          <w:szCs w:val="15"/>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this Agreement.</w:t>
      </w:r>
    </w:p>
    <w:p>
      <w:pPr>
        <w:spacing w:after="0" w:line="152" w:lineRule="exact"/>
        <w:rPr>
          <w:rFonts w:ascii="Arial" w:cs="Arial" w:eastAsia="Arial" w:hAnsi="Arial"/>
          <w:sz w:val="15"/>
          <w:szCs w:val="15"/>
          <w:color w:val="auto"/>
        </w:rPr>
      </w:pPr>
    </w:p>
    <w:p>
      <w:pPr>
        <w:ind w:left="7" w:right="60" w:firstLine="549"/>
        <w:spacing w:after="0" w:line="302" w:lineRule="auto"/>
        <w:tabs>
          <w:tab w:leader="none" w:pos="1125" w:val="left"/>
        </w:tabs>
        <w:numPr>
          <w:ilvl w:val="1"/>
          <w:numId w:val="525"/>
        </w:numPr>
        <w:rPr>
          <w:rFonts w:ascii="Arial" w:cs="Arial" w:eastAsia="Arial" w:hAnsi="Arial"/>
          <w:sz w:val="14"/>
          <w:szCs w:val="14"/>
          <w:color w:val="auto"/>
        </w:rPr>
      </w:pPr>
      <w:r>
        <w:rPr>
          <w:rFonts w:ascii="Arial" w:cs="Arial" w:eastAsia="Arial" w:hAnsi="Arial"/>
          <w:sz w:val="14"/>
          <w:szCs w:val="14"/>
          <w:u w:val="single" w:color="auto"/>
          <w:color w:val="auto"/>
        </w:rPr>
        <w:t>Vacation</w:t>
      </w:r>
      <w:r>
        <w:rPr>
          <w:rFonts w:ascii="Arial" w:cs="Arial" w:eastAsia="Arial" w:hAnsi="Arial"/>
          <w:sz w:val="14"/>
          <w:szCs w:val="14"/>
          <w:color w:val="auto"/>
        </w:rPr>
        <w:t>. During the Term, Executive shall be entitled to four weeks of paid personal leave, or paid personal leave per calendar year in accordance with the Company’s Policies, whichever is greater. Vacation days accrued, but not used by the end of any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33" w:lineRule="exact"/>
        <w:rPr>
          <w:rFonts w:ascii="Arial" w:cs="Arial" w:eastAsia="Arial" w:hAnsi="Arial"/>
          <w:sz w:val="14"/>
          <w:szCs w:val="14"/>
          <w:color w:val="auto"/>
        </w:rPr>
      </w:pPr>
    </w:p>
    <w:p>
      <w:pPr>
        <w:ind w:left="7" w:right="400" w:firstLine="549"/>
        <w:spacing w:after="0" w:line="289" w:lineRule="auto"/>
        <w:tabs>
          <w:tab w:leader="none" w:pos="1128" w:val="left"/>
        </w:tabs>
        <w:numPr>
          <w:ilvl w:val="1"/>
          <w:numId w:val="525"/>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40" w:lineRule="exact"/>
        <w:rPr>
          <w:rFonts w:ascii="Arial" w:cs="Arial" w:eastAsia="Arial" w:hAnsi="Arial"/>
          <w:sz w:val="15"/>
          <w:szCs w:val="15"/>
          <w:color w:val="auto"/>
        </w:rPr>
      </w:pPr>
    </w:p>
    <w:p>
      <w:pPr>
        <w:ind w:left="7" w:right="20" w:firstLine="549"/>
        <w:spacing w:after="0" w:line="265" w:lineRule="auto"/>
        <w:tabs>
          <w:tab w:leader="none" w:pos="1123" w:val="left"/>
        </w:tabs>
        <w:numPr>
          <w:ilvl w:val="1"/>
          <w:numId w:val="525"/>
        </w:numPr>
        <w:rPr>
          <w:rFonts w:ascii="Arial" w:cs="Arial" w:eastAsia="Arial" w:hAnsi="Arial"/>
          <w:sz w:val="15"/>
          <w:szCs w:val="15"/>
          <w:color w:val="auto"/>
        </w:rPr>
      </w:pPr>
      <w:r>
        <w:rPr>
          <w:rFonts w:ascii="Arial" w:cs="Arial" w:eastAsia="Arial" w:hAnsi="Arial"/>
          <w:sz w:val="15"/>
          <w:szCs w:val="15"/>
          <w:u w:val="single" w:color="auto"/>
          <w:color w:val="auto"/>
        </w:rPr>
        <w:t>Key Person Insurance</w:t>
      </w:r>
      <w:r>
        <w:rPr>
          <w:rFonts w:ascii="Arial" w:cs="Arial" w:eastAsia="Arial" w:hAnsi="Arial"/>
          <w:sz w:val="15"/>
          <w:szCs w:val="15"/>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53" w:lineRule="exact"/>
        <w:rPr>
          <w:rFonts w:ascii="Arial" w:cs="Arial" w:eastAsia="Arial" w:hAnsi="Arial"/>
          <w:sz w:val="15"/>
          <w:szCs w:val="15"/>
          <w:color w:val="auto"/>
        </w:rPr>
      </w:pPr>
    </w:p>
    <w:p>
      <w:pPr>
        <w:ind w:left="547" w:hanging="547"/>
        <w:spacing w:after="0"/>
        <w:tabs>
          <w:tab w:leader="none" w:pos="547" w:val="left"/>
        </w:tabs>
        <w:numPr>
          <w:ilvl w:val="0"/>
          <w:numId w:val="52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-3844290</wp:posOffset>
            </wp:positionV>
            <wp:extent cx="7285990" cy="2730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84" w:lineRule="exact"/>
        <w:rPr>
          <w:sz w:val="20"/>
          <w:szCs w:val="20"/>
          <w:color w:val="auto"/>
        </w:rPr>
      </w:pPr>
    </w:p>
    <w:p>
      <w:pPr>
        <w:jc w:val="center"/>
        <w:ind w:left="440"/>
        <w:spacing w:after="0"/>
        <w:rPr>
          <w:sz w:val="20"/>
          <w:szCs w:val="20"/>
          <w:color w:val="auto"/>
        </w:rPr>
      </w:pPr>
      <w:r>
        <w:rPr>
          <w:rFonts w:ascii="Arial" w:cs="Arial" w:eastAsia="Arial" w:hAnsi="Arial"/>
          <w:sz w:val="14"/>
          <w:szCs w:val="14"/>
          <w:color w:val="auto"/>
        </w:rPr>
        <w:t>Executive’s employment hereunder may be terminated by the Company or Executive, as applicable, without any breach of this Agreement under the following circumstances:</w:t>
      </w: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7" w:hanging="551"/>
        <w:spacing w:after="0"/>
        <w:tabs>
          <w:tab w:leader="none" w:pos="1107" w:val="left"/>
        </w:tabs>
        <w:numPr>
          <w:ilvl w:val="0"/>
          <w:numId w:val="526"/>
        </w:numPr>
        <w:rPr>
          <w:rFonts w:ascii="Arial" w:cs="Arial" w:eastAsia="Arial" w:hAnsi="Arial"/>
          <w:sz w:val="15"/>
          <w:szCs w:val="15"/>
          <w:color w:val="auto"/>
        </w:rPr>
      </w:pPr>
      <w:r>
        <w:rPr>
          <w:rFonts w:ascii="Arial" w:cs="Arial" w:eastAsia="Arial" w:hAnsi="Arial"/>
          <w:sz w:val="15"/>
          <w:szCs w:val="15"/>
          <w:u w:val="single" w:color="auto"/>
          <w:color w:val="auto"/>
        </w:rPr>
        <w:t>Circumstances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526"/>
        </w:numPr>
        <w:rPr>
          <w:rFonts w:ascii="Arial" w:cs="Arial" w:eastAsia="Arial" w:hAnsi="Arial"/>
          <w:sz w:val="15"/>
          <w:szCs w:val="15"/>
          <w:color w:val="auto"/>
        </w:rPr>
      </w:pPr>
      <w:r>
        <w:rPr>
          <w:rFonts w:ascii="Arial" w:cs="Arial" w:eastAsia="Arial" w:hAnsi="Arial"/>
          <w:sz w:val="15"/>
          <w:szCs w:val="15"/>
          <w:i w:val="1"/>
          <w:iCs w:val="1"/>
          <w:color w:val="auto"/>
        </w:rPr>
        <w:t>Death</w:t>
      </w:r>
      <w:r>
        <w:rPr>
          <w:rFonts w:ascii="Arial" w:cs="Arial" w:eastAsia="Arial" w:hAnsi="Arial"/>
          <w:sz w:val="15"/>
          <w:szCs w:val="15"/>
          <w:color w:val="auto"/>
        </w:rPr>
        <w:t>. Executive’s employment hereunder shall terminate upon Executive’s death.</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526"/>
        </w:numPr>
        <w:rPr>
          <w:rFonts w:ascii="Arial" w:cs="Arial" w:eastAsia="Arial" w:hAnsi="Arial"/>
          <w:sz w:val="15"/>
          <w:szCs w:val="15"/>
          <w:color w:val="auto"/>
        </w:rPr>
      </w:pPr>
      <w:r>
        <w:rPr>
          <w:rFonts w:ascii="Arial" w:cs="Arial" w:eastAsia="Arial" w:hAnsi="Arial"/>
          <w:sz w:val="15"/>
          <w:szCs w:val="15"/>
          <w:i w:val="1"/>
          <w:iCs w:val="1"/>
          <w:color w:val="auto"/>
        </w:rPr>
        <w:t>Disability</w:t>
      </w:r>
      <w:r>
        <w:rPr>
          <w:rFonts w:ascii="Arial" w:cs="Arial" w:eastAsia="Arial" w:hAnsi="Arial"/>
          <w:sz w:val="15"/>
          <w:szCs w:val="15"/>
          <w:color w:val="auto"/>
        </w:rPr>
        <w:t>. If Executive has incurred a Disability, as defined below, the Company may terminate Executive’s employment.</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1"/>
          <w:numId w:val="526"/>
        </w:numPr>
        <w:rPr>
          <w:rFonts w:ascii="Arial" w:cs="Arial" w:eastAsia="Arial" w:hAnsi="Arial"/>
          <w:sz w:val="15"/>
          <w:szCs w:val="15"/>
          <w:color w:val="auto"/>
        </w:rPr>
      </w:pPr>
      <w:r>
        <w:rPr>
          <w:rFonts w:ascii="Arial" w:cs="Arial" w:eastAsia="Arial" w:hAnsi="Arial"/>
          <w:sz w:val="15"/>
          <w:szCs w:val="15"/>
          <w:i w:val="1"/>
          <w:iCs w:val="1"/>
          <w:color w:val="auto"/>
        </w:rPr>
        <w:t>Termination for Cause</w:t>
      </w:r>
      <w:r>
        <w:rPr>
          <w:rFonts w:ascii="Arial" w:cs="Arial" w:eastAsia="Arial" w:hAnsi="Arial"/>
          <w:sz w:val="15"/>
          <w:szCs w:val="15"/>
          <w:color w:val="auto"/>
        </w:rPr>
        <w:t>. The Company may terminate Executive’s employment for Cause, as defined below.</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526"/>
        </w:numPr>
        <w:rPr>
          <w:rFonts w:ascii="Arial" w:cs="Arial" w:eastAsia="Arial" w:hAnsi="Arial"/>
          <w:sz w:val="15"/>
          <w:szCs w:val="15"/>
          <w:color w:val="auto"/>
        </w:rPr>
      </w:pPr>
      <w:r>
        <w:rPr>
          <w:rFonts w:ascii="Arial" w:cs="Arial" w:eastAsia="Arial" w:hAnsi="Arial"/>
          <w:sz w:val="15"/>
          <w:szCs w:val="15"/>
          <w:i w:val="1"/>
          <w:iCs w:val="1"/>
          <w:color w:val="auto"/>
        </w:rPr>
        <w:t>Termination without Cause</w:t>
      </w:r>
      <w:r>
        <w:rPr>
          <w:rFonts w:ascii="Arial" w:cs="Arial" w:eastAsia="Arial" w:hAnsi="Arial"/>
          <w:sz w:val="15"/>
          <w:szCs w:val="15"/>
          <w:color w:val="auto"/>
        </w:rPr>
        <w:t>. The Company may terminate Executive’s employment without Cause.</w:t>
      </w:r>
    </w:p>
    <w:p>
      <w:pPr>
        <w:sectPr>
          <w:pgSz w:w="11900" w:h="16838" w:orient="portrait"/>
          <w:cols w:equalWidth="0" w:num="1">
            <w:col w:w="11447"/>
          </w:cols>
          <w:pgMar w:left="233" w:top="331" w:right="219" w:bottom="0" w:gutter="0" w:footer="0" w:header="0"/>
        </w:sectPr>
      </w:pPr>
    </w:p>
    <w:bookmarkStart w:id="414" w:name="page415"/>
    <w:bookmarkEnd w:id="414"/>
    <w:p>
      <w:pPr>
        <w:ind w:left="1667" w:hanging="556"/>
        <w:spacing w:after="0"/>
        <w:tabs>
          <w:tab w:leader="none" w:pos="1667" w:val="left"/>
        </w:tabs>
        <w:numPr>
          <w:ilvl w:val="2"/>
          <w:numId w:val="527"/>
        </w:numPr>
        <w:rPr>
          <w:rFonts w:ascii="Arial" w:cs="Arial" w:eastAsia="Arial" w:hAnsi="Arial"/>
          <w:sz w:val="14"/>
          <w:szCs w:val="14"/>
          <w:color w:val="auto"/>
        </w:rPr>
      </w:pPr>
      <w:r>
        <w:rPr>
          <w:rFonts w:ascii="Arial" w:cs="Arial" w:eastAsia="Arial" w:hAnsi="Arial"/>
          <w:sz w:val="14"/>
          <w:szCs w:val="14"/>
          <w:i w:val="1"/>
          <w:iCs w:val="1"/>
          <w:color w:val="auto"/>
        </w:rPr>
        <w:t xml:space="preserve">Resignation from the Company with Good Reason. </w:t>
      </w:r>
      <w:r>
        <w:rPr>
          <w:rFonts w:ascii="Arial" w:cs="Arial" w:eastAsia="Arial" w:hAnsi="Arial"/>
          <w:sz w:val="14"/>
          <w:szCs w:val="14"/>
          <w:color w:val="auto"/>
        </w:rPr>
        <w:t>Executive may resign Executive’s employment with the Company with Good Reason, as defined below.</w:t>
      </w:r>
    </w:p>
    <w:p>
      <w:pPr>
        <w:spacing w:after="0" w:line="209" w:lineRule="exact"/>
        <w:rPr>
          <w:rFonts w:ascii="Arial" w:cs="Arial" w:eastAsia="Arial" w:hAnsi="Arial"/>
          <w:sz w:val="14"/>
          <w:szCs w:val="14"/>
          <w:color w:val="auto"/>
        </w:rPr>
      </w:pPr>
    </w:p>
    <w:p>
      <w:pPr>
        <w:ind w:left="547" w:right="260" w:firstLine="564"/>
        <w:spacing w:after="0" w:line="289" w:lineRule="auto"/>
        <w:tabs>
          <w:tab w:leader="none" w:pos="1674" w:val="left"/>
        </w:tabs>
        <w:numPr>
          <w:ilvl w:val="2"/>
          <w:numId w:val="527"/>
        </w:numPr>
        <w:rPr>
          <w:rFonts w:ascii="Arial" w:cs="Arial" w:eastAsia="Arial" w:hAnsi="Arial"/>
          <w:sz w:val="15"/>
          <w:szCs w:val="15"/>
          <w:color w:val="auto"/>
        </w:rPr>
      </w:pPr>
      <w:r>
        <w:rPr>
          <w:rFonts w:ascii="Arial" w:cs="Arial" w:eastAsia="Arial" w:hAnsi="Arial"/>
          <w:sz w:val="15"/>
          <w:szCs w:val="15"/>
          <w:i w:val="1"/>
          <w:iCs w:val="1"/>
          <w:color w:val="auto"/>
        </w:rPr>
        <w:t>Resignation from the Company Without Good Reason</w:t>
      </w:r>
      <w:r>
        <w:rPr>
          <w:rFonts w:ascii="Arial" w:cs="Arial" w:eastAsia="Arial" w:hAnsi="Arial"/>
          <w:sz w:val="15"/>
          <w:szCs w:val="15"/>
          <w:color w:val="auto"/>
        </w:rPr>
        <w:t>. Executive may resign Executive’s employment with the Company for any reason other than Good</w:t>
      </w:r>
      <w:r>
        <w:rPr>
          <w:rFonts w:ascii="Arial" w:cs="Arial" w:eastAsia="Arial" w:hAnsi="Arial"/>
          <w:sz w:val="15"/>
          <w:szCs w:val="15"/>
          <w:i w:val="1"/>
          <w:iCs w:val="1"/>
          <w:color w:val="auto"/>
        </w:rPr>
        <w:t xml:space="preserve"> </w:t>
      </w:r>
      <w:r>
        <w:rPr>
          <w:rFonts w:ascii="Arial" w:cs="Arial" w:eastAsia="Arial" w:hAnsi="Arial"/>
          <w:sz w:val="15"/>
          <w:szCs w:val="15"/>
          <w:color w:val="auto"/>
        </w:rPr>
        <w:t>Reason or for no reason.</w:t>
      </w:r>
    </w:p>
    <w:p>
      <w:pPr>
        <w:spacing w:after="0" w:line="140" w:lineRule="exact"/>
        <w:rPr>
          <w:rFonts w:ascii="Arial" w:cs="Arial" w:eastAsia="Arial" w:hAnsi="Arial"/>
          <w:sz w:val="15"/>
          <w:szCs w:val="15"/>
          <w:color w:val="auto"/>
        </w:rPr>
      </w:pPr>
    </w:p>
    <w:p>
      <w:pPr>
        <w:ind w:left="7" w:right="80" w:firstLine="549"/>
        <w:spacing w:after="0" w:line="280" w:lineRule="auto"/>
        <w:tabs>
          <w:tab w:leader="none" w:pos="1125" w:val="left"/>
        </w:tabs>
        <w:numPr>
          <w:ilvl w:val="1"/>
          <w:numId w:val="528"/>
        </w:numPr>
        <w:rPr>
          <w:rFonts w:ascii="Arial" w:cs="Arial" w:eastAsia="Arial" w:hAnsi="Arial"/>
          <w:sz w:val="14"/>
          <w:szCs w:val="14"/>
          <w:color w:val="auto"/>
        </w:rPr>
      </w:pP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Any termination of Executive’s employment by the Company or by Executive under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(other than termination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shall be at least thirty (30) days following the date of such notice, but no more than forty</w:t>
      </w:r>
    </w:p>
    <w:p>
      <w:pPr>
        <w:ind w:left="7" w:right="60" w:hanging="7"/>
        <w:spacing w:after="0" w:line="259" w:lineRule="auto"/>
        <w:tabs>
          <w:tab w:leader="none" w:pos="303" w:val="left"/>
        </w:tabs>
        <w:numPr>
          <w:ilvl w:val="0"/>
          <w:numId w:val="529"/>
        </w:numPr>
        <w:rPr>
          <w:rFonts w:ascii="Arial" w:cs="Arial" w:eastAsia="Arial" w:hAnsi="Arial"/>
          <w:sz w:val="15"/>
          <w:szCs w:val="15"/>
          <w:color w:val="auto"/>
        </w:rPr>
      </w:pPr>
      <w:r>
        <w:rPr>
          <w:rFonts w:ascii="Arial" w:cs="Arial" w:eastAsia="Arial" w:hAnsi="Arial"/>
          <w:sz w:val="15"/>
          <w:szCs w:val="15"/>
          <w:color w:val="auto"/>
        </w:rPr>
        <w:t>days following the date of such notice (a “</w:t>
      </w:r>
      <w:r>
        <w:rPr>
          <w:rFonts w:ascii="Arial" w:cs="Arial" w:eastAsia="Arial" w:hAnsi="Arial"/>
          <w:sz w:val="15"/>
          <w:szCs w:val="15"/>
          <w:u w:val="single" w:color="auto"/>
          <w:color w:val="auto"/>
        </w:rPr>
        <w:t>Notice of Termination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5"/>
          <w:szCs w:val="15"/>
          <w:i w:val="1"/>
          <w:iCs w:val="1"/>
          <w:color w:val="auto"/>
        </w:rPr>
        <w:t>provided</w:t>
      </w:r>
      <w:r>
        <w:rPr>
          <w:rFonts w:ascii="Arial" w:cs="Arial" w:eastAsia="Arial" w:hAnsi="Arial"/>
          <w:sz w:val="15"/>
          <w:szCs w:val="15"/>
          <w:color w:val="auto"/>
        </w:rPr>
        <w:t>, in either case,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 Any decision to terminate Executive’s employment for Cause shall be made by a majority vote of the Board after Executive has received written notice from the Board setting forth in reasonable detail the facts and circumstances claimed to provide the basis for the Cause and the Board has provided the Executive reasonable opportunity to be heard by the Board with counsel present if he chooses.</w:t>
      </w:r>
    </w:p>
    <w:p>
      <w:pPr>
        <w:spacing w:after="0" w:line="166" w:lineRule="exact"/>
        <w:rPr>
          <w:rFonts w:ascii="Arial" w:cs="Arial" w:eastAsia="Arial" w:hAnsi="Arial"/>
          <w:sz w:val="15"/>
          <w:szCs w:val="15"/>
          <w:color w:val="auto"/>
        </w:rPr>
      </w:pPr>
    </w:p>
    <w:p>
      <w:pPr>
        <w:ind w:left="7" w:right="80" w:firstLine="549"/>
        <w:spacing w:after="0" w:line="322" w:lineRule="auto"/>
        <w:tabs>
          <w:tab w:leader="none" w:pos="1128" w:val="left"/>
        </w:tabs>
        <w:numPr>
          <w:ilvl w:val="1"/>
          <w:numId w:val="529"/>
        </w:numPr>
        <w:rPr>
          <w:rFonts w:ascii="Arial" w:cs="Arial" w:eastAsia="Arial" w:hAnsi="Arial"/>
          <w:sz w:val="13"/>
          <w:szCs w:val="13"/>
          <w:color w:val="auto"/>
        </w:rPr>
      </w:pPr>
      <w:r>
        <w:rPr>
          <w:rFonts w:ascii="Arial" w:cs="Arial" w:eastAsia="Arial" w:hAnsi="Arial"/>
          <w:sz w:val="13"/>
          <w:szCs w:val="13"/>
          <w:u w:val="single" w:color="auto"/>
          <w:color w:val="auto"/>
        </w:rPr>
        <w:t>Company Obligations upon Termination</w:t>
      </w:r>
      <w:r>
        <w:rPr>
          <w:rFonts w:ascii="Arial" w:cs="Arial" w:eastAsia="Arial" w:hAnsi="Arial"/>
          <w:sz w:val="13"/>
          <w:szCs w:val="13"/>
          <w:color w:val="auto"/>
        </w:rPr>
        <w:t xml:space="preserve">. Upon termination of Executive’s employment pursuant to any of the circumstances listed in this </w:t>
      </w:r>
      <w:r>
        <w:rPr>
          <w:rFonts w:ascii="Arial" w:cs="Arial" w:eastAsia="Arial" w:hAnsi="Arial"/>
          <w:sz w:val="13"/>
          <w:szCs w:val="13"/>
          <w:u w:val="single" w:color="auto"/>
          <w:color w:val="auto"/>
        </w:rPr>
        <w:t>Section 3</w:t>
      </w:r>
      <w:r>
        <w:rPr>
          <w:rFonts w:ascii="Arial" w:cs="Arial" w:eastAsia="Arial" w:hAnsi="Arial"/>
          <w:sz w:val="13"/>
          <w:szCs w:val="13"/>
          <w:color w:val="auto"/>
        </w:rPr>
        <w:t>,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w:t>
      </w:r>
    </w:p>
    <w:p>
      <w:pPr>
        <w:spacing w:after="0" w:line="12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line="265" w:lineRule="auto"/>
        <w:rPr>
          <w:sz w:val="20"/>
          <w:szCs w:val="20"/>
          <w:color w:val="auto"/>
        </w:rPr>
      </w:pPr>
      <w:r>
        <w:rPr>
          <w:rFonts w:ascii="Arial" w:cs="Arial" w:eastAsia="Arial" w:hAnsi="Arial"/>
          <w:sz w:val="15"/>
          <w:szCs w:val="15"/>
          <w:color w:val="auto"/>
        </w:rPr>
        <w:t xml:space="preserve">but in no event later than March 15 of the year in which the Date of Termination occurs; (iii) any expenses owed to Executive pursuant to </w:t>
      </w:r>
      <w:r>
        <w:rPr>
          <w:rFonts w:ascii="Arial" w:cs="Arial" w:eastAsia="Arial" w:hAnsi="Arial"/>
          <w:sz w:val="15"/>
          <w:szCs w:val="15"/>
          <w:u w:val="single" w:color="auto"/>
          <w:color w:val="auto"/>
        </w:rPr>
        <w:t>Section 2(e)</w:t>
      </w:r>
      <w:r>
        <w:rPr>
          <w:rFonts w:ascii="Arial" w:cs="Arial" w:eastAsia="Arial" w:hAnsi="Arial"/>
          <w:sz w:val="15"/>
          <w:szCs w:val="15"/>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5"/>
          <w:szCs w:val="15"/>
          <w:u w:val="single" w:color="auto"/>
          <w:color w:val="auto"/>
        </w:rPr>
        <w:t>Company Arrangements</w:t>
      </w:r>
      <w:r>
        <w:rPr>
          <w:rFonts w:ascii="Arial" w:cs="Arial" w:eastAsia="Arial" w:hAnsi="Arial"/>
          <w:sz w:val="15"/>
          <w:szCs w:val="15"/>
          <w:color w:val="auto"/>
        </w:rPr>
        <w:t>”). Except as otherwise expressly required by law (</w:t>
      </w:r>
      <w:r>
        <w:rPr>
          <w:rFonts w:ascii="Arial" w:cs="Arial" w:eastAsia="Arial" w:hAnsi="Arial"/>
          <w:sz w:val="15"/>
          <w:szCs w:val="15"/>
          <w:u w:val="single" w:color="auto"/>
          <w:color w:val="auto"/>
        </w:rPr>
        <w:t>e.g.</w:t>
      </w:r>
      <w:r>
        <w:rPr>
          <w:rFonts w:ascii="Arial" w:cs="Arial" w:eastAsia="Arial" w:hAnsi="Arial"/>
          <w:sz w:val="15"/>
          <w:szCs w:val="15"/>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60" w:lineRule="exact"/>
        <w:rPr>
          <w:sz w:val="20"/>
          <w:szCs w:val="20"/>
          <w:color w:val="auto"/>
        </w:rPr>
      </w:pPr>
    </w:p>
    <w:p>
      <w:pPr>
        <w:ind w:left="7" w:right="120" w:firstLine="549"/>
        <w:spacing w:after="0" w:line="289" w:lineRule="auto"/>
        <w:tabs>
          <w:tab w:leader="none" w:pos="1125" w:val="left"/>
        </w:tabs>
        <w:numPr>
          <w:ilvl w:val="1"/>
          <w:numId w:val="530"/>
        </w:numPr>
        <w:rPr>
          <w:rFonts w:ascii="Arial" w:cs="Arial" w:eastAsia="Arial" w:hAnsi="Arial"/>
          <w:sz w:val="15"/>
          <w:szCs w:val="15"/>
          <w:color w:val="auto"/>
        </w:rPr>
      </w:pPr>
      <w:r>
        <w:rPr>
          <w:rFonts w:ascii="Arial" w:cs="Arial" w:eastAsia="Arial" w:hAnsi="Arial"/>
          <w:sz w:val="15"/>
          <w:szCs w:val="15"/>
          <w:u w:val="single" w:color="auto"/>
          <w:color w:val="auto"/>
        </w:rPr>
        <w:t>Deemed Resignation</w:t>
      </w:r>
      <w:r>
        <w:rPr>
          <w:rFonts w:ascii="Arial" w:cs="Arial" w:eastAsia="Arial" w:hAnsi="Arial"/>
          <w:sz w:val="15"/>
          <w:szCs w:val="15"/>
          <w:color w:val="auto"/>
        </w:rPr>
        <w:t>. Upon termination of Executive’s employment for any reason, Executive shall be deemed to have resigned from all offices and directorships, if any, then held with the Company or any of its subsidiaries.</w:t>
      </w:r>
    </w:p>
    <w:p>
      <w:pPr>
        <w:spacing w:after="0" w:line="134" w:lineRule="exact"/>
        <w:rPr>
          <w:rFonts w:ascii="Arial" w:cs="Arial" w:eastAsia="Arial" w:hAnsi="Arial"/>
          <w:sz w:val="15"/>
          <w:szCs w:val="15"/>
          <w:color w:val="auto"/>
        </w:rPr>
      </w:pPr>
    </w:p>
    <w:p>
      <w:pPr>
        <w:ind w:left="547" w:hanging="547"/>
        <w:spacing w:after="0"/>
        <w:tabs>
          <w:tab w:leader="none" w:pos="547" w:val="left"/>
        </w:tabs>
        <w:numPr>
          <w:ilvl w:val="0"/>
          <w:numId w:val="53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firstLine="549"/>
        <w:spacing w:after="0" w:line="302" w:lineRule="auto"/>
        <w:tabs>
          <w:tab w:leader="none" w:pos="1117" w:val="left"/>
        </w:tabs>
        <w:numPr>
          <w:ilvl w:val="1"/>
          <w:numId w:val="531"/>
        </w:numPr>
        <w:rPr>
          <w:rFonts w:ascii="Arial" w:cs="Arial" w:eastAsia="Arial" w:hAnsi="Arial"/>
          <w:sz w:val="14"/>
          <w:szCs w:val="14"/>
          <w:color w:val="auto"/>
        </w:rPr>
      </w:pPr>
      <w:r>
        <w:rPr>
          <w:rFonts w:ascii="Arial" w:cs="Arial" w:eastAsia="Arial" w:hAnsi="Arial"/>
          <w:sz w:val="14"/>
          <w:szCs w:val="14"/>
          <w:u w:val="single" w:color="auto"/>
          <w:color w:val="auto"/>
        </w:rPr>
        <w:t>Termination for Cause, or Termination Upon Death, Disability or Resignation from the Company Without Good Reason</w:t>
      </w:r>
      <w:r>
        <w:rPr>
          <w:rFonts w:ascii="Arial" w:cs="Arial" w:eastAsia="Arial" w:hAnsi="Arial"/>
          <w:sz w:val="14"/>
          <w:szCs w:val="14"/>
          <w:color w:val="auto"/>
        </w:rPr>
        <w:t xml:space="preserve">. If Executive’s employment shall terminate as a result of Executive’s death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or Disability pursuant to </w:t>
      </w:r>
      <w:r>
        <w:rPr>
          <w:rFonts w:ascii="Arial" w:cs="Arial" w:eastAsia="Arial" w:hAnsi="Arial"/>
          <w:sz w:val="14"/>
          <w:szCs w:val="14"/>
          <w:u w:val="single" w:color="auto"/>
          <w:color w:val="auto"/>
        </w:rPr>
        <w:t>Section 3(a)(ii)</w:t>
      </w:r>
      <w:r>
        <w:rPr>
          <w:rFonts w:ascii="Arial" w:cs="Arial" w:eastAsia="Arial" w:hAnsi="Arial"/>
          <w:sz w:val="14"/>
          <w:szCs w:val="14"/>
          <w:color w:val="auto"/>
        </w:rPr>
        <w:t xml:space="preserve">,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xml:space="preserve"> for Cause, or pursuant to </w:t>
      </w:r>
      <w:r>
        <w:rPr>
          <w:rFonts w:ascii="Arial" w:cs="Arial" w:eastAsia="Arial" w:hAnsi="Arial"/>
          <w:sz w:val="14"/>
          <w:szCs w:val="14"/>
          <w:u w:val="single" w:color="auto"/>
          <w:color w:val="auto"/>
        </w:rPr>
        <w:t>Section 3(a)(vi)</w:t>
      </w:r>
      <w:r>
        <w:rPr>
          <w:rFonts w:ascii="Arial" w:cs="Arial" w:eastAsia="Arial" w:hAnsi="Arial"/>
          <w:sz w:val="14"/>
          <w:szCs w:val="14"/>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4"/>
          <w:szCs w:val="14"/>
          <w:u w:val="single" w:color="auto"/>
          <w:color w:val="auto"/>
        </w:rPr>
        <w:t>Section 3(c)</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ind w:left="7" w:right="20" w:firstLine="549"/>
        <w:spacing w:after="0" w:line="245" w:lineRule="auto"/>
        <w:tabs>
          <w:tab w:leader="none" w:pos="1125" w:val="left"/>
        </w:tabs>
        <w:numPr>
          <w:ilvl w:val="1"/>
          <w:numId w:val="531"/>
        </w:numPr>
        <w:rPr>
          <w:rFonts w:ascii="Arial" w:cs="Arial" w:eastAsia="Arial" w:hAnsi="Arial"/>
          <w:sz w:val="15"/>
          <w:szCs w:val="15"/>
          <w:color w:val="auto"/>
        </w:rPr>
      </w:pPr>
      <w:r>
        <w:rPr>
          <w:rFonts w:ascii="Arial" w:cs="Arial" w:eastAsia="Arial" w:hAnsi="Arial"/>
          <w:sz w:val="15"/>
          <w:szCs w:val="15"/>
          <w:u w:val="single" w:color="auto"/>
          <w:color w:val="auto"/>
        </w:rPr>
        <w:t>Termination without Cause, or Resignation from the Company with Good Reason</w:t>
      </w:r>
      <w:r>
        <w:rPr>
          <w:rFonts w:ascii="Arial" w:cs="Arial" w:eastAsia="Arial" w:hAnsi="Arial"/>
          <w:sz w:val="15"/>
          <w:szCs w:val="15"/>
          <w:color w:val="auto"/>
        </w:rPr>
        <w:t xml:space="preserve">. If Executive’s employment terminates without Cause pursuant to </w:t>
      </w:r>
      <w:r>
        <w:rPr>
          <w:rFonts w:ascii="Arial" w:cs="Arial" w:eastAsia="Arial" w:hAnsi="Arial"/>
          <w:sz w:val="15"/>
          <w:szCs w:val="15"/>
          <w:u w:val="single" w:color="auto"/>
          <w:color w:val="auto"/>
        </w:rPr>
        <w:t>Section 3(a)(iv)</w:t>
      </w:r>
      <w:r>
        <w:rPr>
          <w:rFonts w:ascii="Arial" w:cs="Arial" w:eastAsia="Arial" w:hAnsi="Arial"/>
          <w:sz w:val="15"/>
          <w:szCs w:val="15"/>
          <w:color w:val="auto"/>
        </w:rPr>
        <w:t xml:space="preserve">, or pursuant to </w:t>
      </w:r>
      <w:r>
        <w:rPr>
          <w:rFonts w:ascii="Arial" w:cs="Arial" w:eastAsia="Arial" w:hAnsi="Arial"/>
          <w:sz w:val="15"/>
          <w:szCs w:val="15"/>
          <w:u w:val="single" w:color="auto"/>
          <w:color w:val="auto"/>
        </w:rPr>
        <w:t>Section 3(a)(v)</w:t>
      </w:r>
      <w:r>
        <w:rPr>
          <w:rFonts w:ascii="Arial" w:cs="Arial" w:eastAsia="Arial" w:hAnsi="Arial"/>
          <w:sz w:val="15"/>
          <w:szCs w:val="15"/>
          <w:color w:val="auto"/>
        </w:rPr>
        <w:t xml:space="preserve"> due to Executive’s resignation with Good Reason, then, subject to Executive signing on or before the 60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this Agreement (the “</w:t>
      </w: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and Executive’s continued compliance with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Executive shall receive, in addition to payments and benefits set forth in </w:t>
      </w:r>
      <w:r>
        <w:rPr>
          <w:rFonts w:ascii="Arial" w:cs="Arial" w:eastAsia="Arial" w:hAnsi="Arial"/>
          <w:sz w:val="15"/>
          <w:szCs w:val="15"/>
          <w:u w:val="single" w:color="auto"/>
          <w:color w:val="auto"/>
        </w:rPr>
        <w:t>Section 3(c)</w:t>
      </w:r>
      <w:r>
        <w:rPr>
          <w:rFonts w:ascii="Arial" w:cs="Arial" w:eastAsia="Arial" w:hAnsi="Arial"/>
          <w:sz w:val="15"/>
          <w:szCs w:val="15"/>
          <w:color w:val="auto"/>
        </w:rPr>
        <w:t>, the following:</w:t>
      </w:r>
    </w:p>
    <w:p>
      <w:pPr>
        <w:spacing w:after="0" w:line="172" w:lineRule="exact"/>
        <w:rPr>
          <w:rFonts w:ascii="Arial" w:cs="Arial" w:eastAsia="Arial" w:hAnsi="Arial"/>
          <w:sz w:val="15"/>
          <w:szCs w:val="15"/>
          <w:color w:val="auto"/>
        </w:rPr>
      </w:pPr>
    </w:p>
    <w:p>
      <w:pPr>
        <w:ind w:left="547" w:right="40" w:firstLine="564"/>
        <w:spacing w:after="0" w:line="289" w:lineRule="auto"/>
        <w:tabs>
          <w:tab w:leader="none" w:pos="1677" w:val="left"/>
        </w:tabs>
        <w:numPr>
          <w:ilvl w:val="2"/>
          <w:numId w:val="531"/>
        </w:numPr>
        <w:rPr>
          <w:rFonts w:ascii="Arial" w:cs="Arial" w:eastAsia="Arial" w:hAnsi="Arial"/>
          <w:sz w:val="15"/>
          <w:szCs w:val="15"/>
          <w:color w:val="auto"/>
        </w:rPr>
      </w:pPr>
      <w:r>
        <w:rPr>
          <w:rFonts w:ascii="Arial" w:cs="Arial" w:eastAsia="Arial" w:hAnsi="Arial"/>
          <w:sz w:val="15"/>
          <w:szCs w:val="15"/>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15"/>
          <w:szCs w:val="15"/>
          <w:u w:val="single" w:color="auto"/>
          <w:color w:val="auto"/>
        </w:rPr>
        <w:t>Severance Period</w:t>
      </w:r>
      <w:r>
        <w:rPr>
          <w:rFonts w:ascii="Arial" w:cs="Arial" w:eastAsia="Arial" w:hAnsi="Arial"/>
          <w:sz w:val="15"/>
          <w:szCs w:val="15"/>
          <w:color w:val="auto"/>
        </w:rPr>
        <w:t>”) in accordance with the Company’s normal payroll practices;</w:t>
      </w:r>
    </w:p>
    <w:p>
      <w:pPr>
        <w:spacing w:after="0" w:line="140" w:lineRule="exact"/>
        <w:rPr>
          <w:rFonts w:ascii="Arial" w:cs="Arial" w:eastAsia="Arial" w:hAnsi="Arial"/>
          <w:sz w:val="15"/>
          <w:szCs w:val="15"/>
          <w:color w:val="auto"/>
        </w:rPr>
      </w:pPr>
    </w:p>
    <w:p>
      <w:pPr>
        <w:ind w:left="547" w:right="20" w:firstLine="564"/>
        <w:spacing w:after="0" w:line="268" w:lineRule="auto"/>
        <w:tabs>
          <w:tab w:leader="none" w:pos="1686" w:val="left"/>
        </w:tabs>
        <w:numPr>
          <w:ilvl w:val="2"/>
          <w:numId w:val="531"/>
        </w:numPr>
        <w:rPr>
          <w:rFonts w:ascii="Arial" w:cs="Arial" w:eastAsia="Arial" w:hAnsi="Arial"/>
          <w:sz w:val="15"/>
          <w:szCs w:val="15"/>
          <w:color w:val="auto"/>
        </w:rPr>
      </w:pPr>
      <w:r>
        <w:rPr>
          <w:rFonts w:ascii="Arial" w:cs="Arial" w:eastAsia="Arial" w:hAnsi="Arial"/>
          <w:sz w:val="15"/>
          <w:szCs w:val="15"/>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or an authorized committee thereof, if the Date of Termination occurs after the first quarter of the calendar year, multiplied by (B) a fraction, using the number of full months of the year elapsed prior to the Date of Termination as the numerator and 12 as the denominator; and</w:t>
      </w:r>
    </w:p>
    <w:p>
      <w:pPr>
        <w:spacing w:after="0" w:line="156" w:lineRule="exact"/>
        <w:rPr>
          <w:rFonts w:ascii="Arial" w:cs="Arial" w:eastAsia="Arial" w:hAnsi="Arial"/>
          <w:sz w:val="15"/>
          <w:szCs w:val="15"/>
          <w:color w:val="auto"/>
        </w:rPr>
      </w:pPr>
    </w:p>
    <w:p>
      <w:pPr>
        <w:jc w:val="both"/>
        <w:ind w:left="547" w:right="40" w:firstLine="564"/>
        <w:spacing w:after="0" w:line="293" w:lineRule="auto"/>
        <w:tabs>
          <w:tab w:leader="none" w:pos="1694" w:val="left"/>
        </w:tabs>
        <w:numPr>
          <w:ilvl w:val="2"/>
          <w:numId w:val="531"/>
        </w:numPr>
        <w:rPr>
          <w:rFonts w:ascii="Arial" w:cs="Arial" w:eastAsia="Arial" w:hAnsi="Arial"/>
          <w:sz w:val="14"/>
          <w:szCs w:val="14"/>
          <w:color w:val="auto"/>
        </w:rPr>
      </w:pPr>
      <w:r>
        <w:rPr>
          <w:rFonts w:ascii="Arial" w:cs="Arial" w:eastAsia="Arial" w:hAnsi="Arial"/>
          <w:sz w:val="14"/>
          <w:szCs w:val="14"/>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4"/>
          <w:szCs w:val="14"/>
          <w:u w:val="single" w:color="auto"/>
          <w:color w:val="auto"/>
        </w:rPr>
        <w:t>COBRA</w:t>
      </w:r>
      <w:r>
        <w:rPr>
          <w:rFonts w:ascii="Arial" w:cs="Arial" w:eastAsia="Arial" w:hAnsi="Arial"/>
          <w:sz w:val="14"/>
          <w:szCs w:val="14"/>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w:t>
      </w:r>
    </w:p>
    <w:p>
      <w:pPr>
        <w:spacing w:after="0" w:line="14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line="265" w:lineRule="auto"/>
        <w:rPr>
          <w:sz w:val="20"/>
          <w:szCs w:val="20"/>
          <w:color w:val="auto"/>
        </w:rPr>
      </w:pPr>
      <w:r>
        <w:rPr>
          <w:rFonts w:ascii="Arial" w:cs="Arial" w:eastAsia="Arial" w:hAnsi="Arial"/>
          <w:sz w:val="15"/>
          <w:szCs w:val="15"/>
          <w:color w:val="auto"/>
        </w:rPr>
        <w:t>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60" w:lineRule="exact"/>
        <w:rPr>
          <w:sz w:val="20"/>
          <w:szCs w:val="20"/>
          <w:color w:val="auto"/>
        </w:rPr>
      </w:pPr>
    </w:p>
    <w:p>
      <w:pPr>
        <w:ind w:left="7" w:right="40" w:firstLine="549"/>
        <w:spacing w:after="0" w:line="271" w:lineRule="auto"/>
        <w:tabs>
          <w:tab w:leader="none" w:pos="1128" w:val="left"/>
        </w:tabs>
        <w:numPr>
          <w:ilvl w:val="1"/>
          <w:numId w:val="532"/>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4"/>
          <w:szCs w:val="14"/>
          <w:u w:val="single" w:color="auto"/>
          <w:color w:val="auto"/>
        </w:rPr>
        <w:t>Section 3(a)(iv)</w:t>
      </w:r>
      <w:r>
        <w:rPr>
          <w:rFonts w:ascii="Arial" w:cs="Arial" w:eastAsia="Arial" w:hAnsi="Arial"/>
          <w:sz w:val="14"/>
          <w:szCs w:val="14"/>
          <w:color w:val="auto"/>
        </w:rPr>
        <w:t xml:space="preserve">, or pursuant to </w:t>
      </w:r>
      <w:r>
        <w:rPr>
          <w:rFonts w:ascii="Arial" w:cs="Arial" w:eastAsia="Arial" w:hAnsi="Arial"/>
          <w:sz w:val="14"/>
          <w:szCs w:val="14"/>
          <w:u w:val="single" w:color="auto"/>
          <w:color w:val="auto"/>
        </w:rPr>
        <w:t>Section 3(a)(v)</w:t>
      </w:r>
      <w:r>
        <w:rPr>
          <w:rFonts w:ascii="Arial" w:cs="Arial" w:eastAsia="Arial" w:hAnsi="Arial"/>
          <w:sz w:val="14"/>
          <w:szCs w:val="14"/>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Executive shall receive, in addition to the payments and benefits set forth in </w:t>
      </w:r>
      <w:r>
        <w:rPr>
          <w:rFonts w:ascii="Arial" w:cs="Arial" w:eastAsia="Arial" w:hAnsi="Arial"/>
          <w:sz w:val="14"/>
          <w:szCs w:val="14"/>
          <w:u w:val="single" w:color="auto"/>
          <w:color w:val="auto"/>
        </w:rPr>
        <w:t>Section 3(c)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4(b)</w:t>
      </w:r>
      <w:r>
        <w:rPr>
          <w:rFonts w:ascii="Arial" w:cs="Arial" w:eastAsia="Arial" w:hAnsi="Arial"/>
          <w:sz w:val="14"/>
          <w:szCs w:val="14"/>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58" w:lineRule="exact"/>
        <w:rPr>
          <w:rFonts w:ascii="Arial" w:cs="Arial" w:eastAsia="Arial" w:hAnsi="Arial"/>
          <w:sz w:val="14"/>
          <w:szCs w:val="14"/>
          <w:color w:val="auto"/>
        </w:rPr>
      </w:pPr>
    </w:p>
    <w:p>
      <w:pPr>
        <w:ind w:left="7" w:right="60" w:firstLine="549"/>
        <w:spacing w:after="0" w:line="289" w:lineRule="auto"/>
        <w:tabs>
          <w:tab w:leader="none" w:pos="1125" w:val="left"/>
        </w:tabs>
        <w:numPr>
          <w:ilvl w:val="1"/>
          <w:numId w:val="532"/>
        </w:numPr>
        <w:rPr>
          <w:rFonts w:ascii="Arial" w:cs="Arial" w:eastAsia="Arial" w:hAnsi="Arial"/>
          <w:sz w:val="15"/>
          <w:szCs w:val="15"/>
          <w:color w:val="auto"/>
        </w:rPr>
      </w:pP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Notwithstanding anything to the contrary in this Agreement, the provisions of </w:t>
      </w:r>
      <w:r>
        <w:rPr>
          <w:rFonts w:ascii="Arial" w:cs="Arial" w:eastAsia="Arial" w:hAnsi="Arial"/>
          <w:sz w:val="15"/>
          <w:szCs w:val="15"/>
          <w:u w:val="single" w:color="auto"/>
          <w:color w:val="auto"/>
        </w:rPr>
        <w:t>Sections 5</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9</w:t>
      </w:r>
      <w:r>
        <w:rPr>
          <w:rFonts w:ascii="Arial" w:cs="Arial" w:eastAsia="Arial" w:hAnsi="Arial"/>
          <w:sz w:val="15"/>
          <w:szCs w:val="15"/>
          <w:color w:val="auto"/>
        </w:rPr>
        <w:t xml:space="preserve"> will survive the termination of Executive’s employment and the termination of the Term.</w:t>
      </w:r>
    </w:p>
    <w:p>
      <w:pPr>
        <w:spacing w:after="0" w:line="134" w:lineRule="exact"/>
        <w:rPr>
          <w:rFonts w:ascii="Arial" w:cs="Arial" w:eastAsia="Arial" w:hAnsi="Arial"/>
          <w:sz w:val="15"/>
          <w:szCs w:val="15"/>
          <w:color w:val="auto"/>
        </w:rPr>
      </w:pPr>
    </w:p>
    <w:p>
      <w:pPr>
        <w:ind w:left="7" w:right="40" w:hanging="7"/>
        <w:spacing w:after="0" w:line="336" w:lineRule="auto"/>
        <w:tabs>
          <w:tab w:leader="none" w:pos="563" w:val="left"/>
        </w:tabs>
        <w:numPr>
          <w:ilvl w:val="0"/>
          <w:numId w:val="53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Restrictive Covenants</w:t>
      </w:r>
      <w:r>
        <w:rPr>
          <w:rFonts w:ascii="Arial" w:cs="Arial" w:eastAsia="Arial" w:hAnsi="Arial"/>
          <w:sz w:val="14"/>
          <w:szCs w:val="14"/>
          <w:b w:val="1"/>
          <w:bCs w:val="1"/>
          <w:color w:val="auto"/>
        </w:rPr>
        <w:t xml:space="preserve">. </w:t>
      </w:r>
      <w:r>
        <w:rPr>
          <w:rFonts w:ascii="Arial" w:cs="Arial" w:eastAsia="Arial" w:hAnsi="Arial"/>
          <w:sz w:val="14"/>
          <w:szCs w:val="14"/>
          <w:color w:val="auto"/>
        </w:rPr>
        <w:t>As a condition to the effectiveness of this Agreement, Executive will execute and deliver to the Company contemporaneously herewith the Restrictive</w:t>
      </w:r>
      <w:r>
        <w:rPr>
          <w:rFonts w:ascii="Arial" w:cs="Arial" w:eastAsia="Arial" w:hAnsi="Arial"/>
          <w:sz w:val="14"/>
          <w:szCs w:val="14"/>
          <w:b w:val="1"/>
          <w:bCs w:val="1"/>
          <w:color w:val="auto"/>
        </w:rPr>
        <w:t xml:space="preserve"> </w:t>
      </w:r>
      <w:r>
        <w:rPr>
          <w:rFonts w:ascii="Arial" w:cs="Arial" w:eastAsia="Arial" w:hAnsi="Arial"/>
          <w:sz w:val="14"/>
          <w:szCs w:val="14"/>
          <w:color w:val="auto"/>
        </w:rPr>
        <w:t>Covenant Agreement. Executive agrees to abide by the terms of the Restrictive Covenant Agreement, which are hereby incorporated by reference into this Agreement. Executive</w:t>
      </w:r>
    </w:p>
    <w:p>
      <w:pPr>
        <w:sectPr>
          <w:pgSz w:w="11900" w:h="16838" w:orient="portrait"/>
          <w:cols w:equalWidth="0" w:num="1">
            <w:col w:w="11427"/>
          </w:cols>
          <w:pgMar w:left="233" w:top="314" w:right="239" w:bottom="0" w:gutter="0" w:footer="0" w:header="0"/>
        </w:sectPr>
      </w:pPr>
    </w:p>
    <w:bookmarkStart w:id="415" w:name="page416"/>
    <w:bookmarkEnd w:id="415"/>
    <w:p>
      <w:pPr>
        <w:ind w:left="7" w:right="280"/>
        <w:spacing w:after="0" w:line="289" w:lineRule="auto"/>
        <w:rPr>
          <w:sz w:val="20"/>
          <w:szCs w:val="20"/>
          <w:color w:val="auto"/>
        </w:rPr>
      </w:pPr>
      <w:r>
        <w:rPr>
          <w:rFonts w:ascii="Arial" w:cs="Arial" w:eastAsia="Arial" w:hAnsi="Arial"/>
          <w:sz w:val="15"/>
          <w:szCs w:val="15"/>
          <w:color w:val="auto"/>
        </w:rPr>
        <w:t>acknowledges that the provisions of the Restrictive Covenant Agreement will survive the termination of Executive’s employment and the termination of the Term for the periods set forth in the Restrictive Covenant Agreement.</w:t>
      </w:r>
    </w:p>
    <w:p>
      <w:pPr>
        <w:spacing w:after="0" w:line="135" w:lineRule="exact"/>
        <w:rPr>
          <w:sz w:val="20"/>
          <w:szCs w:val="20"/>
          <w:color w:val="auto"/>
        </w:rPr>
      </w:pPr>
    </w:p>
    <w:p>
      <w:pPr>
        <w:ind w:left="547" w:hanging="547"/>
        <w:spacing w:after="0"/>
        <w:tabs>
          <w:tab w:leader="none" w:pos="547" w:val="left"/>
        </w:tabs>
        <w:numPr>
          <w:ilvl w:val="0"/>
          <w:numId w:val="53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Assignment and Successors</w:t>
      </w:r>
      <w:r>
        <w:rPr>
          <w:rFonts w:ascii="Arial" w:cs="Arial" w:eastAsia="Arial" w:hAnsi="Arial"/>
          <w:sz w:val="15"/>
          <w:szCs w:val="15"/>
          <w:b w:val="1"/>
          <w:bCs w:val="1"/>
          <w:color w:val="auto"/>
        </w:rPr>
        <w:t>.</w:t>
      </w:r>
    </w:p>
    <w:p>
      <w:pPr>
        <w:spacing w:after="0" w:line="204" w:lineRule="exact"/>
        <w:rPr>
          <w:sz w:val="20"/>
          <w:szCs w:val="20"/>
          <w:color w:val="auto"/>
        </w:rPr>
      </w:pPr>
    </w:p>
    <w:p>
      <w:pPr>
        <w:ind w:left="7" w:right="60" w:firstLine="556"/>
        <w:spacing w:after="0" w:line="264" w:lineRule="auto"/>
        <w:rPr>
          <w:sz w:val="20"/>
          <w:szCs w:val="20"/>
          <w:color w:val="auto"/>
        </w:rPr>
      </w:pPr>
      <w:r>
        <w:rPr>
          <w:rFonts w:ascii="Arial" w:cs="Arial" w:eastAsia="Arial" w:hAnsi="Arial"/>
          <w:sz w:val="15"/>
          <w:szCs w:val="15"/>
          <w:color w:val="auto"/>
        </w:rPr>
        <w:t>The Company must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53" w:lineRule="exact"/>
        <w:rPr>
          <w:sz w:val="20"/>
          <w:szCs w:val="20"/>
          <w:color w:val="auto"/>
        </w:rPr>
      </w:pPr>
    </w:p>
    <w:p>
      <w:pPr>
        <w:ind w:left="547" w:hanging="547"/>
        <w:spacing w:after="0"/>
        <w:tabs>
          <w:tab w:leader="none" w:pos="547" w:val="left"/>
        </w:tabs>
        <w:numPr>
          <w:ilvl w:val="0"/>
          <w:numId w:val="53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Certain Definitions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687" w:right="4340" w:hanging="5131"/>
        <w:spacing w:after="0" w:line="547" w:lineRule="auto"/>
        <w:tabs>
          <w:tab w:leader="none" w:pos="1114" w:val="left"/>
        </w:tabs>
        <w:numPr>
          <w:ilvl w:val="1"/>
          <w:numId w:val="535"/>
        </w:numPr>
        <w:rPr>
          <w:rFonts w:ascii="Arial" w:cs="Arial" w:eastAsia="Arial" w:hAnsi="Arial"/>
          <w:sz w:val="15"/>
          <w:szCs w:val="15"/>
          <w:color w:val="auto"/>
        </w:rPr>
      </w:pPr>
      <w:r>
        <w:rPr>
          <w:rFonts w:ascii="Arial" w:cs="Arial" w:eastAsia="Arial" w:hAnsi="Arial"/>
          <w:sz w:val="15"/>
          <w:szCs w:val="15"/>
          <w:u w:val="single" w:color="auto"/>
          <w:color w:val="auto"/>
        </w:rPr>
        <w:t>Cause</w:t>
      </w:r>
      <w:r>
        <w:rPr>
          <w:rFonts w:ascii="Arial" w:cs="Arial" w:eastAsia="Arial" w:hAnsi="Arial"/>
          <w:sz w:val="15"/>
          <w:szCs w:val="15"/>
          <w:color w:val="auto"/>
        </w:rPr>
        <w:t>. The Company shall have “Cause” to terminate Executive’s employment hereunder upon: 5</w:t>
      </w:r>
    </w:p>
    <w:p>
      <w:pPr>
        <w:spacing w:after="0" w:line="383" w:lineRule="exact"/>
        <w:rPr>
          <w:rFonts w:ascii="Arial" w:cs="Arial" w:eastAsia="Arial" w:hAnsi="Arial"/>
          <w:sz w:val="15"/>
          <w:szCs w:val="15"/>
          <w:color w:val="auto"/>
        </w:rPr>
      </w:pPr>
    </w:p>
    <w:p>
      <w:pPr>
        <w:ind w:left="1687" w:hanging="576"/>
        <w:spacing w:after="0"/>
        <w:tabs>
          <w:tab w:leader="none" w:pos="1687" w:val="left"/>
        </w:tabs>
        <w:numPr>
          <w:ilvl w:val="2"/>
          <w:numId w:val="535"/>
        </w:numPr>
        <w:rPr>
          <w:rFonts w:ascii="Arial" w:cs="Arial" w:eastAsia="Arial" w:hAnsi="Arial"/>
          <w:sz w:val="15"/>
          <w:szCs w:val="15"/>
          <w:color w:val="auto"/>
        </w:rPr>
      </w:pPr>
      <w:r>
        <w:rPr>
          <w:rFonts w:ascii="Arial" w:cs="Arial" w:eastAsia="Arial" w:hAnsi="Arial"/>
          <w:sz w:val="15"/>
          <w:szCs w:val="15"/>
          <w:color w:val="auto"/>
        </w:rPr>
        <w:t>Executive’s commission of, or indictment or conviction of, any felony or any crime involving dishonesty by Executive;</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535"/>
        </w:numPr>
        <w:rPr>
          <w:rFonts w:ascii="Arial" w:cs="Arial" w:eastAsia="Arial" w:hAnsi="Arial"/>
          <w:sz w:val="15"/>
          <w:szCs w:val="15"/>
          <w:color w:val="auto"/>
        </w:rPr>
      </w:pPr>
      <w:r>
        <w:rPr>
          <w:rFonts w:ascii="Arial" w:cs="Arial" w:eastAsia="Arial" w:hAnsi="Arial"/>
          <w:sz w:val="15"/>
          <w:szCs w:val="15"/>
          <w:color w:val="auto"/>
        </w:rPr>
        <w:t>Executive’s participation in any fraud against the Company;</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535"/>
        </w:numPr>
        <w:rPr>
          <w:rFonts w:ascii="Arial" w:cs="Arial" w:eastAsia="Arial" w:hAnsi="Arial"/>
          <w:sz w:val="15"/>
          <w:szCs w:val="15"/>
          <w:color w:val="auto"/>
        </w:rPr>
      </w:pPr>
      <w:r>
        <w:rPr>
          <w:rFonts w:ascii="Arial" w:cs="Arial" w:eastAsia="Arial" w:hAnsi="Arial"/>
          <w:sz w:val="15"/>
          <w:szCs w:val="15"/>
          <w:color w:val="auto"/>
        </w:rPr>
        <w:t>any intentional damage to any property of the Company by Executive;</w:t>
      </w:r>
    </w:p>
    <w:p>
      <w:pPr>
        <w:spacing w:after="0" w:line="198" w:lineRule="exact"/>
        <w:rPr>
          <w:rFonts w:ascii="Arial" w:cs="Arial" w:eastAsia="Arial" w:hAnsi="Arial"/>
          <w:sz w:val="15"/>
          <w:szCs w:val="15"/>
          <w:color w:val="auto"/>
        </w:rPr>
      </w:pPr>
    </w:p>
    <w:p>
      <w:pPr>
        <w:ind w:left="547" w:right="40" w:firstLine="564"/>
        <w:spacing w:after="0" w:line="289" w:lineRule="auto"/>
        <w:tabs>
          <w:tab w:leader="none" w:pos="1674" w:val="left"/>
        </w:tabs>
        <w:numPr>
          <w:ilvl w:val="2"/>
          <w:numId w:val="535"/>
        </w:numPr>
        <w:rPr>
          <w:rFonts w:ascii="Arial" w:cs="Arial" w:eastAsia="Arial" w:hAnsi="Arial"/>
          <w:sz w:val="15"/>
          <w:szCs w:val="15"/>
          <w:color w:val="auto"/>
        </w:rPr>
      </w:pPr>
      <w:r>
        <w:rPr>
          <w:rFonts w:ascii="Arial" w:cs="Arial" w:eastAsia="Arial" w:hAnsi="Arial"/>
          <w:sz w:val="15"/>
          <w:szCs w:val="15"/>
          <w:color w:val="auto"/>
        </w:rPr>
        <w:t>Executive’s misconduct which materially and adversely reflects upon the business, operations, or reputation of the Company, which misconduct has not been cured (or cannot be cured) within thirty (30) days after the Company gives written notice to Executive regarding such misconduct; or</w:t>
      </w:r>
    </w:p>
    <w:p>
      <w:pPr>
        <w:spacing w:after="0" w:line="140" w:lineRule="exact"/>
        <w:rPr>
          <w:rFonts w:ascii="Arial" w:cs="Arial" w:eastAsia="Arial" w:hAnsi="Arial"/>
          <w:sz w:val="15"/>
          <w:szCs w:val="15"/>
          <w:color w:val="auto"/>
        </w:rPr>
      </w:pPr>
    </w:p>
    <w:p>
      <w:pPr>
        <w:ind w:left="547" w:right="80" w:firstLine="564"/>
        <w:spacing w:after="0" w:line="289" w:lineRule="auto"/>
        <w:tabs>
          <w:tab w:leader="none" w:pos="1665" w:val="left"/>
        </w:tabs>
        <w:numPr>
          <w:ilvl w:val="2"/>
          <w:numId w:val="535"/>
        </w:numPr>
        <w:rPr>
          <w:rFonts w:ascii="Arial" w:cs="Arial" w:eastAsia="Arial" w:hAnsi="Arial"/>
          <w:sz w:val="15"/>
          <w:szCs w:val="15"/>
          <w:color w:val="auto"/>
        </w:rPr>
      </w:pPr>
      <w:r>
        <w:rPr>
          <w:rFonts w:ascii="Arial" w:cs="Arial" w:eastAsia="Arial" w:hAnsi="Arial"/>
          <w:sz w:val="15"/>
          <w:szCs w:val="15"/>
          <w:color w:val="auto"/>
        </w:rPr>
        <w:t>Executive’s breach of any material provision of this Agreement or any other written agreement between Executive and the Company and failure to cure such breach (if capable of cure) within thirty (30) days after the Company gives written notice to Executive regarding such breach.</w:t>
      </w:r>
    </w:p>
    <w:p>
      <w:pPr>
        <w:spacing w:after="0" w:line="140" w:lineRule="exact"/>
        <w:rPr>
          <w:rFonts w:ascii="Arial" w:cs="Arial" w:eastAsia="Arial" w:hAnsi="Arial"/>
          <w:sz w:val="15"/>
          <w:szCs w:val="15"/>
          <w:color w:val="auto"/>
        </w:rPr>
      </w:pPr>
    </w:p>
    <w:p>
      <w:pPr>
        <w:ind w:left="1127" w:hanging="571"/>
        <w:spacing w:after="0"/>
        <w:tabs>
          <w:tab w:leader="none" w:pos="1127" w:val="left"/>
        </w:tabs>
        <w:numPr>
          <w:ilvl w:val="1"/>
          <w:numId w:val="535"/>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“Change in Control” shall have the meaning set forth in the version of the Selecta Biosciences, Inc. 2016 Incentive Award Plan in effect on the</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Effective Date.</w:t>
      </w:r>
    </w:p>
    <w:p>
      <w:pPr>
        <w:spacing w:after="0" w:line="187" w:lineRule="exact"/>
        <w:rPr>
          <w:rFonts w:ascii="Arial" w:cs="Arial" w:eastAsia="Arial" w:hAnsi="Arial"/>
          <w:sz w:val="14"/>
          <w:szCs w:val="14"/>
          <w:color w:val="auto"/>
        </w:rPr>
      </w:pPr>
    </w:p>
    <w:p>
      <w:pPr>
        <w:ind w:left="1127" w:hanging="571"/>
        <w:spacing w:after="0"/>
        <w:tabs>
          <w:tab w:leader="none" w:pos="1127" w:val="left"/>
        </w:tabs>
        <w:numPr>
          <w:ilvl w:val="1"/>
          <w:numId w:val="535"/>
        </w:numPr>
        <w:rPr>
          <w:rFonts w:ascii="Arial" w:cs="Arial" w:eastAsia="Arial" w:hAnsi="Arial"/>
          <w:sz w:val="15"/>
          <w:szCs w:val="15"/>
          <w:color w:val="auto"/>
        </w:rPr>
      </w:pPr>
      <w:r>
        <w:rPr>
          <w:rFonts w:ascii="Arial" w:cs="Arial" w:eastAsia="Arial" w:hAnsi="Arial"/>
          <w:sz w:val="15"/>
          <w:szCs w:val="15"/>
          <w:u w:val="single" w:color="auto"/>
          <w:color w:val="auto"/>
        </w:rPr>
        <w:t>Code</w:t>
      </w:r>
      <w:r>
        <w:rPr>
          <w:rFonts w:ascii="Arial" w:cs="Arial" w:eastAsia="Arial" w:hAnsi="Arial"/>
          <w:sz w:val="15"/>
          <w:szCs w:val="15"/>
          <w:color w:val="auto"/>
        </w:rPr>
        <w:t>. “Code” shall mean the Internal Revenue Code of 1986, as amended, and the regulations and guidance promulgated thereunder.</w:t>
      </w:r>
    </w:p>
    <w:p>
      <w:pPr>
        <w:spacing w:after="0" w:line="198" w:lineRule="exact"/>
        <w:rPr>
          <w:rFonts w:ascii="Arial" w:cs="Arial" w:eastAsia="Arial" w:hAnsi="Arial"/>
          <w:sz w:val="15"/>
          <w:szCs w:val="15"/>
          <w:color w:val="auto"/>
        </w:rPr>
      </w:pPr>
    </w:p>
    <w:p>
      <w:pPr>
        <w:ind w:left="7" w:right="380" w:firstLine="549"/>
        <w:spacing w:after="0" w:line="273" w:lineRule="auto"/>
        <w:tabs>
          <w:tab w:leader="none" w:pos="1125" w:val="left"/>
        </w:tabs>
        <w:numPr>
          <w:ilvl w:val="1"/>
          <w:numId w:val="535"/>
        </w:numPr>
        <w:rPr>
          <w:rFonts w:ascii="Arial" w:cs="Arial" w:eastAsia="Arial" w:hAnsi="Arial"/>
          <w:sz w:val="15"/>
          <w:szCs w:val="15"/>
          <w:color w:val="auto"/>
        </w:rPr>
      </w:pPr>
      <w:r>
        <w:rPr>
          <w:rFonts w:ascii="Arial" w:cs="Arial" w:eastAsia="Arial" w:hAnsi="Arial"/>
          <w:sz w:val="15"/>
          <w:szCs w:val="15"/>
          <w:u w:val="single" w:color="auto"/>
          <w:color w:val="auto"/>
        </w:rPr>
        <w:t>Date of Termination</w:t>
      </w:r>
      <w:r>
        <w:rPr>
          <w:rFonts w:ascii="Arial" w:cs="Arial" w:eastAsia="Arial" w:hAnsi="Arial"/>
          <w:sz w:val="15"/>
          <w:szCs w:val="15"/>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5"/>
          <w:szCs w:val="15"/>
          <w:u w:val="single" w:color="auto"/>
          <w:color w:val="auto"/>
        </w:rPr>
        <w:t>Section 3(a)(ii) — (vi)</w:t>
      </w:r>
      <w:r>
        <w:rPr>
          <w:rFonts w:ascii="Arial" w:cs="Arial" w:eastAsia="Arial" w:hAnsi="Arial"/>
          <w:sz w:val="15"/>
          <w:szCs w:val="15"/>
          <w:color w:val="auto"/>
        </w:rPr>
        <w:t xml:space="preserve"> either the date indicated in the Notice of Termination or the date specified by the Company pursuant to </w:t>
      </w:r>
      <w:r>
        <w:rPr>
          <w:rFonts w:ascii="Arial" w:cs="Arial" w:eastAsia="Arial" w:hAnsi="Arial"/>
          <w:sz w:val="15"/>
          <w:szCs w:val="15"/>
          <w:u w:val="single" w:color="auto"/>
          <w:color w:val="auto"/>
        </w:rPr>
        <w:t>Section 3(b)</w:t>
      </w:r>
      <w:r>
        <w:rPr>
          <w:rFonts w:ascii="Arial" w:cs="Arial" w:eastAsia="Arial" w:hAnsi="Arial"/>
          <w:sz w:val="15"/>
          <w:szCs w:val="15"/>
          <w:color w:val="auto"/>
        </w:rPr>
        <w:t>, whichever is earlier.</w:t>
      </w:r>
    </w:p>
    <w:p>
      <w:pPr>
        <w:spacing w:after="0" w:line="152" w:lineRule="exact"/>
        <w:rPr>
          <w:rFonts w:ascii="Arial" w:cs="Arial" w:eastAsia="Arial" w:hAnsi="Arial"/>
          <w:sz w:val="15"/>
          <w:szCs w:val="15"/>
          <w:color w:val="auto"/>
        </w:rPr>
      </w:pPr>
    </w:p>
    <w:p>
      <w:pPr>
        <w:ind w:left="7" w:firstLine="549"/>
        <w:spacing w:after="0" w:line="261" w:lineRule="auto"/>
        <w:tabs>
          <w:tab w:leader="none" w:pos="1128" w:val="left"/>
        </w:tabs>
        <w:numPr>
          <w:ilvl w:val="1"/>
          <w:numId w:val="535"/>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5"/>
          <w:szCs w:val="15"/>
          <w:i w:val="1"/>
          <w:iCs w:val="1"/>
          <w:color w:val="auto"/>
        </w:rPr>
        <w:t>provided, however</w:t>
      </w:r>
      <w:r>
        <w:rPr>
          <w:rFonts w:ascii="Arial" w:cs="Arial" w:eastAsia="Arial" w:hAnsi="Arial"/>
          <w:sz w:val="15"/>
          <w:szCs w:val="15"/>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64" w:lineRule="exact"/>
        <w:rPr>
          <w:rFonts w:ascii="Arial" w:cs="Arial" w:eastAsia="Arial" w:hAnsi="Arial"/>
          <w:sz w:val="15"/>
          <w:szCs w:val="15"/>
          <w:color w:val="auto"/>
        </w:rPr>
      </w:pPr>
    </w:p>
    <w:p>
      <w:pPr>
        <w:ind w:left="7" w:right="140" w:firstLine="549"/>
        <w:spacing w:after="0" w:line="293" w:lineRule="auto"/>
        <w:tabs>
          <w:tab w:leader="none" w:pos="1123" w:val="left"/>
        </w:tabs>
        <w:numPr>
          <w:ilvl w:val="1"/>
          <w:numId w:val="535"/>
        </w:numPr>
        <w:rPr>
          <w:rFonts w:ascii="Arial" w:cs="Arial" w:eastAsia="Arial" w:hAnsi="Arial"/>
          <w:sz w:val="14"/>
          <w:szCs w:val="14"/>
          <w:color w:val="auto"/>
        </w:rPr>
      </w:pPr>
      <w:r>
        <w:rPr>
          <w:rFonts w:ascii="Arial" w:cs="Arial" w:eastAsia="Arial" w:hAnsi="Arial"/>
          <w:sz w:val="14"/>
          <w:szCs w:val="14"/>
          <w:u w:val="single" w:color="auto"/>
          <w:color w:val="auto"/>
        </w:rPr>
        <w:t>Good Reason</w:t>
      </w:r>
      <w:r>
        <w:rPr>
          <w:rFonts w:ascii="Arial" w:cs="Arial" w:eastAsia="Arial" w:hAnsi="Arial"/>
          <w:sz w:val="14"/>
          <w:szCs w:val="14"/>
          <w:color w:val="auto"/>
        </w:rPr>
        <w:t>. For the sole purpose of determining Executive’s right to severance payments and benefits as described above, Executive’s resignation will be with “Good Reason” if Executive resigns within one year after any of the following events, unless Executive consents to the applicable event in writing: (i) a material reduction in Executive’s Annual Base Salary or Target Bonus, (ii) a material diminution in Executive’s authority, title, duties or areas of responsibility, (iii) the requirement that Executive report to someone other than the Chief Executive Officer, (iv) the relocation of Executive’s primary office to a location more than 40 miles from the Boston metropolitan area, or (v)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-4473575</wp:posOffset>
            </wp:positionV>
            <wp:extent cx="7285990" cy="2730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2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40"/>
        <w:spacing w:after="0" w:line="268" w:lineRule="auto"/>
        <w:rPr>
          <w:sz w:val="20"/>
          <w:szCs w:val="20"/>
          <w:color w:val="auto"/>
        </w:rPr>
      </w:pPr>
      <w:r>
        <w:rPr>
          <w:rFonts w:ascii="Arial" w:cs="Arial" w:eastAsia="Arial" w:hAnsi="Arial"/>
          <w:sz w:val="15"/>
          <w:szCs w:val="15"/>
          <w:color w:val="auto"/>
        </w:rPr>
        <w:t>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thirty (30) days after the receipt of such notice.</w:t>
      </w:r>
    </w:p>
    <w:p>
      <w:pPr>
        <w:spacing w:after="0" w:line="150" w:lineRule="exact"/>
        <w:rPr>
          <w:sz w:val="20"/>
          <w:szCs w:val="20"/>
          <w:color w:val="auto"/>
        </w:rPr>
      </w:pPr>
    </w:p>
    <w:p>
      <w:pPr>
        <w:ind w:left="547" w:hanging="547"/>
        <w:spacing w:after="0"/>
        <w:tabs>
          <w:tab w:leader="none" w:pos="547" w:val="left"/>
        </w:tabs>
        <w:numPr>
          <w:ilvl w:val="0"/>
          <w:numId w:val="53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Parachute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 w:firstLine="549"/>
        <w:spacing w:after="0" w:line="282" w:lineRule="auto"/>
        <w:tabs>
          <w:tab w:leader="none" w:pos="1117" w:val="left"/>
        </w:tabs>
        <w:numPr>
          <w:ilvl w:val="1"/>
          <w:numId w:val="536"/>
        </w:numPr>
        <w:rPr>
          <w:rFonts w:ascii="Arial" w:cs="Arial" w:eastAsia="Arial" w:hAnsi="Arial"/>
          <w:sz w:val="14"/>
          <w:szCs w:val="14"/>
          <w:color w:val="auto"/>
        </w:rPr>
      </w:pPr>
      <w:r>
        <w:rPr>
          <w:rFonts w:ascii="Arial" w:cs="Arial" w:eastAsia="Arial" w:hAnsi="Arial"/>
          <w:sz w:val="14"/>
          <w:szCs w:val="14"/>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4"/>
          <w:szCs w:val="14"/>
          <w:u w:val="single" w:color="auto"/>
          <w:color w:val="auto"/>
        </w:rPr>
        <w:t>Section 4(b)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4(c)</w:t>
      </w:r>
      <w:r>
        <w:rPr>
          <w:rFonts w:ascii="Arial" w:cs="Arial" w:eastAsia="Arial" w:hAnsi="Arial"/>
          <w:sz w:val="14"/>
          <w:szCs w:val="14"/>
          <w:color w:val="auto"/>
        </w:rPr>
        <w:t xml:space="preserve"> hereof, being hereinafter referred to as the “</w:t>
      </w:r>
      <w:r>
        <w:rPr>
          <w:rFonts w:ascii="Arial" w:cs="Arial" w:eastAsia="Arial" w:hAnsi="Arial"/>
          <w:sz w:val="14"/>
          <w:szCs w:val="14"/>
          <w:u w:val="single" w:color="auto"/>
          <w:color w:val="auto"/>
        </w:rPr>
        <w:t>Total Payments</w:t>
      </w:r>
      <w:r>
        <w:rPr>
          <w:rFonts w:ascii="Arial" w:cs="Arial" w:eastAsia="Arial" w:hAnsi="Arial"/>
          <w:sz w:val="14"/>
          <w:szCs w:val="14"/>
          <w:color w:val="auto"/>
        </w:rPr>
        <w:t>”), would be subject (in whole or in part) to the excise tax imposed by Section 4999 of the Code (the “</w:t>
      </w:r>
      <w:r>
        <w:rPr>
          <w:rFonts w:ascii="Arial" w:cs="Arial" w:eastAsia="Arial" w:hAnsi="Arial"/>
          <w:sz w:val="14"/>
          <w:szCs w:val="14"/>
          <w:u w:val="single" w:color="auto"/>
          <w:color w:val="auto"/>
        </w:rPr>
        <w:t>Excise Tax</w:t>
      </w:r>
      <w:r>
        <w:rPr>
          <w:rFonts w:ascii="Arial" w:cs="Arial" w:eastAsia="Arial" w:hAnsi="Arial"/>
          <w:sz w:val="14"/>
          <w:szCs w:val="14"/>
          <w:color w:val="auto"/>
        </w:rPr>
        <w:t xml:space="preserve">”), then the Total Payments shall be reduced (in the order provided in </w:t>
      </w:r>
      <w:r>
        <w:rPr>
          <w:rFonts w:ascii="Arial" w:cs="Arial" w:eastAsia="Arial" w:hAnsi="Arial"/>
          <w:sz w:val="14"/>
          <w:szCs w:val="14"/>
          <w:u w:val="single" w:color="auto"/>
          <w:color w:val="auto"/>
        </w:rPr>
        <w:t>Section 8(b)</w:t>
      </w:r>
      <w:r>
        <w:rPr>
          <w:rFonts w:ascii="Arial" w:cs="Arial" w:eastAsia="Arial" w:hAnsi="Arial"/>
          <w:sz w:val="14"/>
          <w:szCs w:val="14"/>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0" w:lineRule="exact"/>
        <w:rPr>
          <w:rFonts w:ascii="Arial" w:cs="Arial" w:eastAsia="Arial" w:hAnsi="Arial"/>
          <w:sz w:val="14"/>
          <w:szCs w:val="14"/>
          <w:color w:val="auto"/>
        </w:rPr>
      </w:pPr>
    </w:p>
    <w:p>
      <w:pPr>
        <w:ind w:left="7" w:right="180" w:firstLine="549"/>
        <w:spacing w:after="0" w:line="265" w:lineRule="auto"/>
        <w:tabs>
          <w:tab w:leader="none" w:pos="1125" w:val="left"/>
        </w:tabs>
        <w:numPr>
          <w:ilvl w:val="1"/>
          <w:numId w:val="536"/>
        </w:numPr>
        <w:rPr>
          <w:rFonts w:ascii="Arial" w:cs="Arial" w:eastAsia="Arial" w:hAnsi="Arial"/>
          <w:sz w:val="15"/>
          <w:szCs w:val="15"/>
          <w:color w:val="auto"/>
        </w:rPr>
      </w:pPr>
      <w:r>
        <w:rPr>
          <w:rFonts w:ascii="Arial" w:cs="Arial" w:eastAsia="Arial" w:hAnsi="Arial"/>
          <w:sz w:val="15"/>
          <w:szCs w:val="15"/>
          <w:color w:val="auto"/>
        </w:rPr>
        <w:t>The Total Payments shall be reduced in the following order: (i) reduction on a pro-rata basis of any cash severance payments that are exempt from Section 409A of the Code (“</w:t>
      </w:r>
      <w:r>
        <w:rPr>
          <w:rFonts w:ascii="Arial" w:cs="Arial" w:eastAsia="Arial" w:hAnsi="Arial"/>
          <w:sz w:val="15"/>
          <w:szCs w:val="15"/>
          <w:u w:val="single" w:color="auto"/>
          <w:color w:val="auto"/>
        </w:rPr>
        <w:t>Section 409A</w:t>
      </w:r>
      <w:r>
        <w:rPr>
          <w:rFonts w:ascii="Arial" w:cs="Arial" w:eastAsia="Arial" w:hAnsi="Arial"/>
          <w:sz w:val="15"/>
          <w:szCs w:val="15"/>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59" w:lineRule="exact"/>
        <w:rPr>
          <w:rFonts w:ascii="Arial" w:cs="Arial" w:eastAsia="Arial" w:hAnsi="Arial"/>
          <w:sz w:val="15"/>
          <w:szCs w:val="15"/>
          <w:color w:val="auto"/>
        </w:rPr>
      </w:pPr>
    </w:p>
    <w:p>
      <w:pPr>
        <w:ind w:left="7" w:right="100" w:firstLine="549"/>
        <w:spacing w:after="0" w:line="293" w:lineRule="auto"/>
        <w:tabs>
          <w:tab w:leader="none" w:pos="1128" w:val="left"/>
        </w:tabs>
        <w:numPr>
          <w:ilvl w:val="1"/>
          <w:numId w:val="536"/>
        </w:numPr>
        <w:rPr>
          <w:rFonts w:ascii="Arial" w:cs="Arial" w:eastAsia="Arial" w:hAnsi="Arial"/>
          <w:sz w:val="14"/>
          <w:szCs w:val="14"/>
          <w:color w:val="auto"/>
        </w:rPr>
      </w:pPr>
      <w:r>
        <w:rPr>
          <w:rFonts w:ascii="Arial" w:cs="Arial" w:eastAsia="Arial" w:hAnsi="Arial"/>
          <w:sz w:val="14"/>
          <w:szCs w:val="14"/>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4"/>
          <w:szCs w:val="14"/>
          <w:u w:val="single" w:color="auto"/>
          <w:color w:val="auto"/>
        </w:rPr>
        <w:t>Independent Advisors</w:t>
      </w:r>
      <w:r>
        <w:rPr>
          <w:rFonts w:ascii="Arial" w:cs="Arial" w:eastAsia="Arial" w:hAnsi="Arial"/>
          <w:sz w:val="14"/>
          <w:szCs w:val="14"/>
          <w:color w:val="auto"/>
        </w:rPr>
        <w:t xml:space="preserve">”) to make determinations regarding the application of this </w:t>
      </w:r>
      <w:r>
        <w:rPr>
          <w:rFonts w:ascii="Arial" w:cs="Arial" w:eastAsia="Arial" w:hAnsi="Arial"/>
          <w:sz w:val="14"/>
          <w:szCs w:val="14"/>
          <w:u w:val="single" w:color="auto"/>
          <w:color w:val="auto"/>
        </w:rPr>
        <w:t>Section 8</w:t>
      </w:r>
      <w:r>
        <w:rPr>
          <w:rFonts w:ascii="Arial" w:cs="Arial" w:eastAsia="Arial" w:hAnsi="Arial"/>
          <w:sz w:val="14"/>
          <w:szCs w:val="14"/>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w:t>
      </w:r>
    </w:p>
    <w:p>
      <w:pPr>
        <w:sectPr>
          <w:pgSz w:w="11900" w:h="16838" w:orient="portrait"/>
          <w:cols w:equalWidth="0" w:num="1">
            <w:col w:w="11427"/>
          </w:cols>
          <w:pgMar w:left="233" w:top="129" w:right="239" w:bottom="0" w:gutter="0" w:footer="0" w:header="0"/>
        </w:sectPr>
      </w:pPr>
    </w:p>
    <w:bookmarkStart w:id="416" w:name="page417"/>
    <w:bookmarkEnd w:id="416"/>
    <w:p>
      <w:pPr>
        <w:ind w:left="7" w:right="160" w:hanging="7"/>
        <w:spacing w:after="0" w:line="289" w:lineRule="auto"/>
        <w:tabs>
          <w:tab w:leader="none" w:pos="252" w:val="left"/>
        </w:tabs>
        <w:numPr>
          <w:ilvl w:val="0"/>
          <w:numId w:val="537"/>
        </w:numPr>
        <w:rPr>
          <w:rFonts w:ascii="Arial" w:cs="Arial" w:eastAsia="Arial" w:hAnsi="Arial"/>
          <w:sz w:val="15"/>
          <w:szCs w:val="15"/>
          <w:color w:val="auto"/>
        </w:rPr>
      </w:pPr>
      <w:r>
        <w:rPr>
          <w:rFonts w:ascii="Arial" w:cs="Arial" w:eastAsia="Arial" w:hAnsi="Arial"/>
          <w:sz w:val="15"/>
          <w:szCs w:val="15"/>
          <w:color w:val="auto"/>
        </w:rPr>
        <w:t>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40" w:lineRule="exact"/>
        <w:rPr>
          <w:rFonts w:ascii="Arial" w:cs="Arial" w:eastAsia="Arial" w:hAnsi="Arial"/>
          <w:sz w:val="15"/>
          <w:szCs w:val="15"/>
          <w:color w:val="auto"/>
        </w:rPr>
      </w:pPr>
    </w:p>
    <w:p>
      <w:pPr>
        <w:ind w:left="7" w:firstLine="549"/>
        <w:spacing w:after="0" w:line="273" w:lineRule="auto"/>
        <w:tabs>
          <w:tab w:leader="none" w:pos="1125" w:val="left"/>
        </w:tabs>
        <w:numPr>
          <w:ilvl w:val="1"/>
          <w:numId w:val="537"/>
        </w:numPr>
        <w:rPr>
          <w:rFonts w:ascii="Arial" w:cs="Arial" w:eastAsia="Arial" w:hAnsi="Arial"/>
          <w:sz w:val="15"/>
          <w:szCs w:val="15"/>
          <w:color w:val="auto"/>
        </w:rPr>
      </w:pPr>
      <w:r>
        <w:rPr>
          <w:rFonts w:ascii="Arial" w:cs="Arial" w:eastAsia="Arial" w:hAnsi="Arial"/>
          <w:sz w:val="15"/>
          <w:szCs w:val="15"/>
          <w:color w:val="auto"/>
        </w:rPr>
        <w:t xml:space="preserve">If Executive incurs legal fees or other expenses (including expert witness and accounting fees) in an effort to determine the applicability of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or establish entitlement to or obtain any portion of the Total Payments that have been reduced under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(collectively, “</w:t>
      </w:r>
      <w:r>
        <w:rPr>
          <w:rFonts w:ascii="Arial" w:cs="Arial" w:eastAsia="Arial" w:hAnsi="Arial"/>
          <w:sz w:val="15"/>
          <w:szCs w:val="15"/>
          <w:u w:val="single" w:color="auto"/>
          <w:color w:val="auto"/>
        </w:rPr>
        <w:t>Legal and Other Expenses</w:t>
      </w:r>
      <w:r>
        <w:rPr>
          <w:rFonts w:ascii="Arial" w:cs="Arial" w:eastAsia="Arial" w:hAnsi="Arial"/>
          <w:sz w:val="15"/>
          <w:szCs w:val="15"/>
          <w:color w:val="auto"/>
        </w:rPr>
        <w:t>”), Executive shall be entitled to payment of or reimbursement for such Legal and Other</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0"/>
        <w:spacing w:after="0" w:line="265" w:lineRule="auto"/>
        <w:rPr>
          <w:sz w:val="20"/>
          <w:szCs w:val="20"/>
          <w:color w:val="auto"/>
        </w:rPr>
      </w:pPr>
      <w:r>
        <w:rPr>
          <w:rFonts w:ascii="Arial" w:cs="Arial" w:eastAsia="Arial" w:hAnsi="Arial"/>
          <w:sz w:val="15"/>
          <w:szCs w:val="15"/>
          <w:color w:val="auto"/>
        </w:rPr>
        <w:t xml:space="preserve">Expenses in accordance with this </w:t>
      </w:r>
      <w:r>
        <w:rPr>
          <w:rFonts w:ascii="Arial" w:cs="Arial" w:eastAsia="Arial" w:hAnsi="Arial"/>
          <w:sz w:val="15"/>
          <w:szCs w:val="15"/>
          <w:u w:val="single" w:color="auto"/>
          <w:color w:val="auto"/>
        </w:rPr>
        <w:t>Section 8(d)</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Sections 9(l)(iv)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9(m)</w:t>
      </w:r>
      <w:r>
        <w:rPr>
          <w:rFonts w:ascii="Arial" w:cs="Arial" w:eastAsia="Arial" w:hAnsi="Arial"/>
          <w:sz w:val="15"/>
          <w:szCs w:val="15"/>
          <w:color w:val="auto"/>
        </w:rPr>
        <w:t xml:space="preserve"> and the other provisions of this </w:t>
      </w:r>
      <w:r>
        <w:rPr>
          <w:rFonts w:ascii="Arial" w:cs="Arial" w:eastAsia="Arial" w:hAnsi="Arial"/>
          <w:sz w:val="15"/>
          <w:szCs w:val="15"/>
          <w:u w:val="single" w:color="auto"/>
          <w:color w:val="auto"/>
        </w:rPr>
        <w:t>Section 8</w:t>
      </w:r>
      <w:r>
        <w:rPr>
          <w:rFonts w:ascii="Arial" w:cs="Arial" w:eastAsia="Arial" w:hAnsi="Arial"/>
          <w:sz w:val="15"/>
          <w:szCs w:val="15"/>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60" w:lineRule="exact"/>
        <w:rPr>
          <w:sz w:val="20"/>
          <w:szCs w:val="20"/>
          <w:color w:val="auto"/>
        </w:rPr>
      </w:pPr>
    </w:p>
    <w:p>
      <w:pPr>
        <w:ind w:left="7" w:right="60" w:firstLine="549"/>
        <w:spacing w:after="0" w:line="302" w:lineRule="auto"/>
        <w:tabs>
          <w:tab w:leader="none" w:pos="1128" w:val="left"/>
        </w:tabs>
        <w:numPr>
          <w:ilvl w:val="1"/>
          <w:numId w:val="538"/>
        </w:numPr>
        <w:rPr>
          <w:rFonts w:ascii="Arial" w:cs="Arial" w:eastAsia="Arial" w:hAnsi="Arial"/>
          <w:sz w:val="14"/>
          <w:szCs w:val="14"/>
          <w:color w:val="auto"/>
        </w:rPr>
      </w:pPr>
      <w:r>
        <w:rPr>
          <w:rFonts w:ascii="Arial" w:cs="Arial" w:eastAsia="Arial" w:hAnsi="Arial"/>
          <w:sz w:val="14"/>
          <w:szCs w:val="14"/>
          <w:color w:val="auto"/>
        </w:rPr>
        <w:t xml:space="preserve">In the event it is later determined that to implement the objective and intent of this </w:t>
      </w:r>
      <w:r>
        <w:rPr>
          <w:rFonts w:ascii="Arial" w:cs="Arial" w:eastAsia="Arial" w:hAnsi="Arial"/>
          <w:sz w:val="14"/>
          <w:szCs w:val="14"/>
          <w:u w:val="single" w:color="auto"/>
          <w:color w:val="auto"/>
        </w:rPr>
        <w:t>Section 8</w:t>
      </w:r>
      <w:r>
        <w:rPr>
          <w:rFonts w:ascii="Arial" w:cs="Arial" w:eastAsia="Arial" w:hAnsi="Arial"/>
          <w:sz w:val="14"/>
          <w:szCs w:val="14"/>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27" w:lineRule="exact"/>
        <w:rPr>
          <w:rFonts w:ascii="Arial" w:cs="Arial" w:eastAsia="Arial" w:hAnsi="Arial"/>
          <w:sz w:val="14"/>
          <w:szCs w:val="14"/>
          <w:color w:val="auto"/>
        </w:rPr>
      </w:pPr>
    </w:p>
    <w:p>
      <w:pPr>
        <w:ind w:left="547" w:hanging="547"/>
        <w:spacing w:after="0"/>
        <w:tabs>
          <w:tab w:leader="none" w:pos="547" w:val="left"/>
        </w:tabs>
        <w:numPr>
          <w:ilvl w:val="0"/>
          <w:numId w:val="53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 Provisions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0" w:firstLine="549"/>
        <w:spacing w:after="0" w:line="302" w:lineRule="auto"/>
        <w:tabs>
          <w:tab w:leader="none" w:pos="1117" w:val="left"/>
        </w:tabs>
        <w:numPr>
          <w:ilvl w:val="1"/>
          <w:numId w:val="539"/>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33" w:lineRule="exact"/>
        <w:rPr>
          <w:rFonts w:ascii="Arial" w:cs="Arial" w:eastAsia="Arial" w:hAnsi="Arial"/>
          <w:sz w:val="14"/>
          <w:szCs w:val="14"/>
          <w:color w:val="auto"/>
        </w:rPr>
      </w:pPr>
    </w:p>
    <w:p>
      <w:pPr>
        <w:ind w:left="7" w:right="240" w:firstLine="549"/>
        <w:spacing w:after="0" w:line="289" w:lineRule="auto"/>
        <w:tabs>
          <w:tab w:leader="none" w:pos="1125" w:val="left"/>
        </w:tabs>
        <w:numPr>
          <w:ilvl w:val="1"/>
          <w:numId w:val="539"/>
        </w:numPr>
        <w:rPr>
          <w:rFonts w:ascii="Arial" w:cs="Arial" w:eastAsia="Arial" w:hAnsi="Arial"/>
          <w:sz w:val="15"/>
          <w:szCs w:val="15"/>
          <w:color w:val="auto"/>
        </w:rPr>
      </w:pPr>
      <w:r>
        <w:rPr>
          <w:rFonts w:ascii="Arial" w:cs="Arial" w:eastAsia="Arial" w:hAnsi="Arial"/>
          <w:sz w:val="15"/>
          <w:szCs w:val="15"/>
          <w:u w:val="single" w:color="auto"/>
          <w:color w:val="auto"/>
        </w:rPr>
        <w:t>Validity</w:t>
      </w:r>
      <w:r>
        <w:rPr>
          <w:rFonts w:ascii="Arial" w:cs="Arial" w:eastAsia="Arial" w:hAnsi="Arial"/>
          <w:sz w:val="15"/>
          <w:szCs w:val="15"/>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40" w:lineRule="exact"/>
        <w:rPr>
          <w:rFonts w:ascii="Arial" w:cs="Arial" w:eastAsia="Arial" w:hAnsi="Arial"/>
          <w:sz w:val="15"/>
          <w:szCs w:val="15"/>
          <w:color w:val="auto"/>
        </w:rPr>
      </w:pPr>
    </w:p>
    <w:p>
      <w:pPr>
        <w:ind w:left="7" w:right="280" w:firstLine="549"/>
        <w:spacing w:after="0" w:line="289" w:lineRule="auto"/>
        <w:tabs>
          <w:tab w:leader="none" w:pos="1128" w:val="left"/>
        </w:tabs>
        <w:numPr>
          <w:ilvl w:val="1"/>
          <w:numId w:val="539"/>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40" w:lineRule="exact"/>
        <w:rPr>
          <w:rFonts w:ascii="Arial" w:cs="Arial" w:eastAsia="Arial" w:hAnsi="Arial"/>
          <w:sz w:val="15"/>
          <w:szCs w:val="15"/>
          <w:color w:val="auto"/>
        </w:rPr>
      </w:pPr>
    </w:p>
    <w:p>
      <w:pPr>
        <w:ind w:left="1687" w:hanging="576"/>
        <w:spacing w:after="0"/>
        <w:tabs>
          <w:tab w:leader="none" w:pos="1687" w:val="left"/>
        </w:tabs>
        <w:numPr>
          <w:ilvl w:val="2"/>
          <w:numId w:val="539"/>
        </w:numPr>
        <w:rPr>
          <w:rFonts w:ascii="Arial" w:cs="Arial" w:eastAsia="Arial" w:hAnsi="Arial"/>
          <w:sz w:val="15"/>
          <w:szCs w:val="15"/>
          <w:color w:val="auto"/>
        </w:rPr>
      </w:pPr>
      <w:r>
        <w:rPr>
          <w:rFonts w:ascii="Arial" w:cs="Arial" w:eastAsia="Arial" w:hAnsi="Arial"/>
          <w:sz w:val="15"/>
          <w:szCs w:val="15"/>
          <w:color w:val="auto"/>
        </w:rPr>
        <w:t>If to the Company, to the General Counsel of the Company at the Company’s headquarters,</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539"/>
        </w:numPr>
        <w:rPr>
          <w:rFonts w:ascii="Arial" w:cs="Arial" w:eastAsia="Arial" w:hAnsi="Arial"/>
          <w:sz w:val="15"/>
          <w:szCs w:val="15"/>
          <w:color w:val="auto"/>
        </w:rPr>
      </w:pPr>
      <w:r>
        <w:rPr>
          <w:rFonts w:ascii="Arial" w:cs="Arial" w:eastAsia="Arial" w:hAnsi="Arial"/>
          <w:sz w:val="15"/>
          <w:szCs w:val="15"/>
          <w:color w:val="auto"/>
        </w:rPr>
        <w:t>If to Executive, to the last address that the Company has in its personnel records for Executive, or</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539"/>
        </w:numPr>
        <w:rPr>
          <w:rFonts w:ascii="Arial" w:cs="Arial" w:eastAsia="Arial" w:hAnsi="Arial"/>
          <w:sz w:val="15"/>
          <w:szCs w:val="15"/>
          <w:color w:val="auto"/>
        </w:rPr>
      </w:pPr>
      <w:r>
        <w:rPr>
          <w:rFonts w:ascii="Arial" w:cs="Arial" w:eastAsia="Arial" w:hAnsi="Arial"/>
          <w:sz w:val="15"/>
          <w:szCs w:val="15"/>
          <w:color w:val="auto"/>
        </w:rPr>
        <w:t>at any other address as any Party shall have specified by notice in writing to the other Party.</w:t>
      </w:r>
    </w:p>
    <w:p>
      <w:pPr>
        <w:spacing w:after="0" w:line="198" w:lineRule="exact"/>
        <w:rPr>
          <w:rFonts w:ascii="Arial" w:cs="Arial" w:eastAsia="Arial" w:hAnsi="Arial"/>
          <w:sz w:val="15"/>
          <w:szCs w:val="15"/>
          <w:color w:val="auto"/>
        </w:rPr>
      </w:pPr>
    </w:p>
    <w:p>
      <w:pPr>
        <w:ind w:left="7" w:right="100" w:firstLine="549"/>
        <w:spacing w:after="0" w:line="289" w:lineRule="auto"/>
        <w:tabs>
          <w:tab w:leader="none" w:pos="1125" w:val="left"/>
        </w:tabs>
        <w:numPr>
          <w:ilvl w:val="1"/>
          <w:numId w:val="539"/>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40" w:lineRule="exact"/>
        <w:rPr>
          <w:rFonts w:ascii="Arial" w:cs="Arial" w:eastAsia="Arial" w:hAnsi="Arial"/>
          <w:sz w:val="15"/>
          <w:szCs w:val="15"/>
          <w:color w:val="auto"/>
        </w:rPr>
      </w:pPr>
    </w:p>
    <w:p>
      <w:pPr>
        <w:ind w:left="7" w:right="160" w:firstLine="549"/>
        <w:spacing w:after="0" w:line="302" w:lineRule="auto"/>
        <w:tabs>
          <w:tab w:leader="none" w:pos="1128" w:val="left"/>
        </w:tabs>
        <w:numPr>
          <w:ilvl w:val="1"/>
          <w:numId w:val="539"/>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xml:space="preserve">. The terms of this Agreement, the Restrictive Covenant Agreement incorporated herein by reference as set forth in </w:t>
      </w:r>
      <w:r>
        <w:rPr>
          <w:rFonts w:ascii="Arial" w:cs="Arial" w:eastAsia="Arial" w:hAnsi="Arial"/>
          <w:sz w:val="14"/>
          <w:szCs w:val="14"/>
          <w:u w:val="single" w:color="auto"/>
          <w:color w:val="auto"/>
        </w:rPr>
        <w:t>Section 5</w:t>
      </w:r>
      <w:r>
        <w:rPr>
          <w:rFonts w:ascii="Arial" w:cs="Arial" w:eastAsia="Arial" w:hAnsi="Arial"/>
          <w:sz w:val="14"/>
          <w:szCs w:val="14"/>
          <w:color w:val="auto"/>
        </w:rPr>
        <w:t>, the Indemnification Agreement (defined below) and any stock option agreement between the Company and Executive entered into prior to the date hereof are intended by the Parties to be the final expression of their agreement with respect to the subject matter hereof and supersede all prior understandings and agreements, whether written or oral, including without</w:t>
      </w:r>
    </w:p>
    <w:p>
      <w:pPr>
        <w:spacing w:after="0" w:line="13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 w:right="520"/>
        <w:spacing w:after="0" w:line="273" w:lineRule="auto"/>
        <w:rPr>
          <w:sz w:val="20"/>
          <w:szCs w:val="20"/>
          <w:color w:val="auto"/>
        </w:rPr>
      </w:pPr>
      <w:r>
        <w:rPr>
          <w:rFonts w:ascii="Arial" w:cs="Arial" w:eastAsia="Arial" w:hAnsi="Arial"/>
          <w:sz w:val="15"/>
          <w:szCs w:val="15"/>
          <w:color w:val="auto"/>
        </w:rPr>
        <w:t>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53" w:lineRule="exact"/>
        <w:rPr>
          <w:sz w:val="20"/>
          <w:szCs w:val="20"/>
          <w:color w:val="auto"/>
        </w:rPr>
      </w:pPr>
    </w:p>
    <w:p>
      <w:pPr>
        <w:ind w:left="1107" w:hanging="551"/>
        <w:spacing w:after="0"/>
        <w:tabs>
          <w:tab w:leader="none" w:pos="1107" w:val="left"/>
        </w:tabs>
        <w:numPr>
          <w:ilvl w:val="1"/>
          <w:numId w:val="540"/>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xml:space="preserve">. The Parties acknowledge that they have or will enter into an Indemnification Agreement in substantially the form attached as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hereto.</w:t>
      </w:r>
    </w:p>
    <w:p>
      <w:pPr>
        <w:spacing w:after="0" w:line="209" w:lineRule="exact"/>
        <w:rPr>
          <w:rFonts w:ascii="Arial" w:cs="Arial" w:eastAsia="Arial" w:hAnsi="Arial"/>
          <w:sz w:val="14"/>
          <w:szCs w:val="14"/>
          <w:color w:val="auto"/>
        </w:rPr>
      </w:pPr>
    </w:p>
    <w:p>
      <w:pPr>
        <w:ind w:left="7" w:right="20" w:firstLine="549"/>
        <w:spacing w:after="0" w:line="265" w:lineRule="auto"/>
        <w:tabs>
          <w:tab w:leader="none" w:pos="1137" w:val="left"/>
        </w:tabs>
        <w:numPr>
          <w:ilvl w:val="1"/>
          <w:numId w:val="540"/>
        </w:numPr>
        <w:rPr>
          <w:rFonts w:ascii="Arial" w:cs="Arial" w:eastAsia="Arial" w:hAnsi="Arial"/>
          <w:sz w:val="15"/>
          <w:szCs w:val="15"/>
          <w:color w:val="auto"/>
        </w:rPr>
      </w:pPr>
      <w:r>
        <w:rPr>
          <w:rFonts w:ascii="Arial" w:cs="Arial" w:eastAsia="Arial" w:hAnsi="Arial"/>
          <w:sz w:val="15"/>
          <w:szCs w:val="15"/>
          <w:u w:val="single" w:color="auto"/>
          <w:color w:val="auto"/>
        </w:rPr>
        <w:t>Amendments; Waivers</w:t>
      </w:r>
      <w:r>
        <w:rPr>
          <w:rFonts w:ascii="Arial" w:cs="Arial" w:eastAsia="Arial" w:hAnsi="Arial"/>
          <w:sz w:val="15"/>
          <w:szCs w:val="15"/>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59" w:lineRule="exact"/>
        <w:rPr>
          <w:rFonts w:ascii="Arial" w:cs="Arial" w:eastAsia="Arial" w:hAnsi="Arial"/>
          <w:sz w:val="15"/>
          <w:szCs w:val="15"/>
          <w:color w:val="auto"/>
        </w:rPr>
      </w:pPr>
    </w:p>
    <w:p>
      <w:pPr>
        <w:ind w:left="7" w:right="400" w:firstLine="549"/>
        <w:spacing w:after="0" w:line="273" w:lineRule="auto"/>
        <w:tabs>
          <w:tab w:leader="none" w:pos="1125" w:val="left"/>
        </w:tabs>
        <w:numPr>
          <w:ilvl w:val="1"/>
          <w:numId w:val="540"/>
        </w:numPr>
        <w:rPr>
          <w:rFonts w:ascii="Arial" w:cs="Arial" w:eastAsia="Arial" w:hAnsi="Arial"/>
          <w:sz w:val="15"/>
          <w:szCs w:val="15"/>
          <w:color w:val="auto"/>
        </w:rPr>
      </w:pPr>
      <w:r>
        <w:rPr>
          <w:rFonts w:ascii="Arial" w:cs="Arial" w:eastAsia="Arial" w:hAnsi="Arial"/>
          <w:sz w:val="15"/>
          <w:szCs w:val="15"/>
          <w:u w:val="single" w:color="auto"/>
          <w:color w:val="auto"/>
        </w:rPr>
        <w:t>No Inconsistent Actions</w:t>
      </w:r>
      <w:r>
        <w:rPr>
          <w:rFonts w:ascii="Arial" w:cs="Arial" w:eastAsia="Arial" w:hAnsi="Arial"/>
          <w:sz w:val="15"/>
          <w:szCs w:val="15"/>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52" w:lineRule="exact"/>
        <w:rPr>
          <w:rFonts w:ascii="Arial" w:cs="Arial" w:eastAsia="Arial" w:hAnsi="Arial"/>
          <w:sz w:val="15"/>
          <w:szCs w:val="15"/>
          <w:color w:val="auto"/>
        </w:rPr>
      </w:pPr>
    </w:p>
    <w:p>
      <w:pPr>
        <w:ind w:left="7" w:right="60" w:firstLine="549"/>
        <w:spacing w:after="0" w:line="279" w:lineRule="auto"/>
        <w:tabs>
          <w:tab w:leader="none" w:pos="1138" w:val="left"/>
        </w:tabs>
        <w:numPr>
          <w:ilvl w:val="1"/>
          <w:numId w:val="540"/>
        </w:numPr>
        <w:rPr>
          <w:rFonts w:ascii="Arial" w:cs="Arial" w:eastAsia="Arial" w:hAnsi="Arial"/>
          <w:sz w:val="14"/>
          <w:szCs w:val="14"/>
          <w:color w:val="auto"/>
        </w:rPr>
      </w:pPr>
      <w:r>
        <w:rPr>
          <w:rFonts w:ascii="Arial" w:cs="Arial" w:eastAsia="Arial" w:hAnsi="Arial"/>
          <w:sz w:val="14"/>
          <w:szCs w:val="14"/>
          <w:u w:val="single" w:color="auto"/>
          <w:color w:val="auto"/>
        </w:rPr>
        <w:t>Construction</w:t>
      </w:r>
      <w:r>
        <w:rPr>
          <w:rFonts w:ascii="Arial" w:cs="Arial" w:eastAsia="Arial" w:hAnsi="Arial"/>
          <w:sz w:val="14"/>
          <w:szCs w:val="14"/>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w:t>
      </w:r>
    </w:p>
    <w:p>
      <w:pPr>
        <w:spacing w:after="0" w:line="1" w:lineRule="exact"/>
        <w:rPr>
          <w:rFonts w:ascii="Arial" w:cs="Arial" w:eastAsia="Arial" w:hAnsi="Arial"/>
          <w:sz w:val="14"/>
          <w:szCs w:val="14"/>
          <w:color w:val="auto"/>
        </w:rPr>
      </w:pPr>
    </w:p>
    <w:p>
      <w:pPr>
        <w:ind w:left="7" w:right="500" w:hanging="7"/>
        <w:spacing w:after="0" w:line="266" w:lineRule="auto"/>
        <w:tabs>
          <w:tab w:leader="none" w:pos="226" w:val="left"/>
        </w:tabs>
        <w:numPr>
          <w:ilvl w:val="0"/>
          <w:numId w:val="541"/>
        </w:numPr>
        <w:rPr>
          <w:rFonts w:ascii="Arial" w:cs="Arial" w:eastAsia="Arial" w:hAnsi="Arial"/>
          <w:sz w:val="15"/>
          <w:szCs w:val="15"/>
          <w:color w:val="auto"/>
        </w:rPr>
      </w:pPr>
      <w:r>
        <w:rPr>
          <w:rFonts w:ascii="Arial" w:cs="Arial" w:eastAsia="Arial" w:hAnsi="Arial"/>
          <w:sz w:val="15"/>
          <w:szCs w:val="15"/>
          <w:color w:val="auto"/>
        </w:rPr>
        <w:t>“herein,”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57" w:lineRule="exact"/>
        <w:rPr>
          <w:rFonts w:ascii="Arial" w:cs="Arial" w:eastAsia="Arial" w:hAnsi="Arial"/>
          <w:sz w:val="15"/>
          <w:szCs w:val="15"/>
          <w:color w:val="auto"/>
        </w:rPr>
      </w:pPr>
    </w:p>
    <w:p>
      <w:pPr>
        <w:ind w:left="7" w:right="100" w:firstLine="549"/>
        <w:spacing w:after="0" w:line="265" w:lineRule="auto"/>
        <w:tabs>
          <w:tab w:leader="none" w:pos="1126" w:val="left"/>
        </w:tabs>
        <w:numPr>
          <w:ilvl w:val="1"/>
          <w:numId w:val="541"/>
        </w:numPr>
        <w:rPr>
          <w:rFonts w:ascii="Arial" w:cs="Arial" w:eastAsia="Arial" w:hAnsi="Arial"/>
          <w:sz w:val="15"/>
          <w:szCs w:val="15"/>
          <w:color w:val="auto"/>
        </w:rPr>
      </w:pPr>
      <w:r>
        <w:rPr>
          <w:rFonts w:ascii="Arial" w:cs="Arial" w:eastAsia="Arial" w:hAnsi="Arial"/>
          <w:sz w:val="15"/>
          <w:szCs w:val="15"/>
          <w:u w:val="single" w:color="auto"/>
          <w:color w:val="auto"/>
        </w:rPr>
        <w:t>Enforcement</w:t>
      </w:r>
      <w:r>
        <w:rPr>
          <w:rFonts w:ascii="Arial" w:cs="Arial" w:eastAsia="Arial" w:hAnsi="Arial"/>
          <w:sz w:val="15"/>
          <w:szCs w:val="15"/>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59" w:lineRule="exact"/>
        <w:rPr>
          <w:rFonts w:ascii="Arial" w:cs="Arial" w:eastAsia="Arial" w:hAnsi="Arial"/>
          <w:sz w:val="15"/>
          <w:szCs w:val="15"/>
          <w:color w:val="auto"/>
        </w:rPr>
      </w:pPr>
    </w:p>
    <w:p>
      <w:pPr>
        <w:ind w:left="7" w:right="300" w:firstLine="549"/>
        <w:spacing w:after="0" w:line="273" w:lineRule="auto"/>
        <w:tabs>
          <w:tab w:leader="none" w:pos="1125" w:val="left"/>
        </w:tabs>
        <w:numPr>
          <w:ilvl w:val="1"/>
          <w:numId w:val="541"/>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27"/>
          </w:cols>
          <w:pgMar w:left="233" w:top="129" w:right="239" w:bottom="105" w:gutter="0" w:footer="0" w:header="0"/>
        </w:sectPr>
      </w:pPr>
    </w:p>
    <w:bookmarkStart w:id="417" w:name="page418"/>
    <w:bookmarkEnd w:id="417"/>
    <w:p>
      <w:pPr>
        <w:ind w:left="1127" w:hanging="571"/>
        <w:spacing w:after="0"/>
        <w:tabs>
          <w:tab w:leader="none" w:pos="1127" w:val="left"/>
        </w:tabs>
        <w:numPr>
          <w:ilvl w:val="0"/>
          <w:numId w:val="542"/>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47" w:right="60" w:firstLine="564"/>
        <w:spacing w:after="0" w:line="289" w:lineRule="auto"/>
        <w:tabs>
          <w:tab w:leader="none" w:pos="1677" w:val="left"/>
        </w:tabs>
        <w:numPr>
          <w:ilvl w:val="1"/>
          <w:numId w:val="542"/>
        </w:numPr>
        <w:rPr>
          <w:rFonts w:ascii="Arial" w:cs="Arial" w:eastAsia="Arial" w:hAnsi="Arial"/>
          <w:sz w:val="15"/>
          <w:szCs w:val="15"/>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 intent of the Parties is that the payments and benefits under this Agreement comply with or be exempt from Section 409A and, accordingly, to</w:t>
      </w:r>
      <w:r>
        <w:rPr>
          <w:rFonts w:ascii="Arial" w:cs="Arial" w:eastAsia="Arial" w:hAnsi="Arial"/>
          <w:sz w:val="15"/>
          <w:szCs w:val="15"/>
          <w:i w:val="1"/>
          <w:iCs w:val="1"/>
          <w:color w:val="auto"/>
        </w:rPr>
        <w:t xml:space="preserve"> </w:t>
      </w:r>
      <w:r>
        <w:rPr>
          <w:rFonts w:ascii="Arial" w:cs="Arial" w:eastAsia="Arial" w:hAnsi="Arial"/>
          <w:sz w:val="15"/>
          <w:szCs w:val="15"/>
          <w:color w:val="auto"/>
        </w:rPr>
        <w:t>the maximum extent permitted, this Agreement shall be interpreted to be in compliance therewith.</w:t>
      </w:r>
    </w:p>
    <w:p>
      <w:pPr>
        <w:spacing w:after="0" w:line="140" w:lineRule="exact"/>
        <w:rPr>
          <w:rFonts w:ascii="Arial" w:cs="Arial" w:eastAsia="Arial" w:hAnsi="Arial"/>
          <w:sz w:val="15"/>
          <w:szCs w:val="15"/>
          <w:color w:val="auto"/>
        </w:rPr>
      </w:pPr>
    </w:p>
    <w:p>
      <w:pPr>
        <w:ind w:left="547" w:right="60" w:firstLine="564"/>
        <w:spacing w:after="0" w:line="263" w:lineRule="auto"/>
        <w:tabs>
          <w:tab w:leader="none" w:pos="1686" w:val="left"/>
        </w:tabs>
        <w:numPr>
          <w:ilvl w:val="1"/>
          <w:numId w:val="542"/>
        </w:numPr>
        <w:rPr>
          <w:rFonts w:ascii="Arial" w:cs="Arial" w:eastAsia="Arial" w:hAnsi="Arial"/>
          <w:sz w:val="15"/>
          <w:szCs w:val="15"/>
          <w:color w:val="auto"/>
        </w:rPr>
      </w:pPr>
      <w:r>
        <w:rPr>
          <w:rFonts w:ascii="Arial" w:cs="Arial" w:eastAsia="Arial" w:hAnsi="Arial"/>
          <w:sz w:val="15"/>
          <w:szCs w:val="15"/>
          <w:i w:val="1"/>
          <w:iCs w:val="1"/>
          <w:color w:val="auto"/>
        </w:rPr>
        <w:t xml:space="preserve">Separation from Service. </w:t>
      </w:r>
      <w:r>
        <w:rPr>
          <w:rFonts w:ascii="Arial" w:cs="Arial" w:eastAsia="Arial" w:hAnsi="Arial"/>
          <w:sz w:val="15"/>
          <w:szCs w:val="15"/>
          <w:color w:val="auto"/>
        </w:rPr>
        <w:t>Notwithstanding anything in this Agreement to the contrary, any compensation or benefits payable under this Agreement that is</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xml:space="preserve">”) and, except as provided below, any such compensation or benefits described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not be paid, or, in the case of installments, shall not commence payment, until the sixtieth (60th) day following Executive’s Separation from Service (the “</w:t>
      </w:r>
      <w:r>
        <w:rPr>
          <w:rFonts w:ascii="Arial" w:cs="Arial" w:eastAsia="Arial" w:hAnsi="Arial"/>
          <w:sz w:val="15"/>
          <w:szCs w:val="15"/>
          <w:u w:val="single" w:color="auto"/>
          <w:color w:val="auto"/>
        </w:rPr>
        <w:t>First Payment Date</w:t>
      </w:r>
      <w:r>
        <w:rPr>
          <w:rFonts w:ascii="Arial" w:cs="Arial" w:eastAsia="Arial" w:hAnsi="Arial"/>
          <w:sz w:val="15"/>
          <w:szCs w:val="15"/>
          <w:color w:val="auto"/>
        </w:rPr>
        <w:t>”). Any installment payments that would have been made to Executive during the sixty (60) day period immediately following Executive’s Separation from Service but for the preceding sentence shall be paid to Executive on the First Payment Date and the remaining payments shall be made as provided in this Agreement.</w:t>
      </w:r>
    </w:p>
    <w:p>
      <w:pPr>
        <w:spacing w:after="0" w:line="159" w:lineRule="exact"/>
        <w:rPr>
          <w:rFonts w:ascii="Arial" w:cs="Arial" w:eastAsia="Arial" w:hAnsi="Arial"/>
          <w:sz w:val="15"/>
          <w:szCs w:val="15"/>
          <w:color w:val="auto"/>
        </w:rPr>
      </w:pPr>
    </w:p>
    <w:p>
      <w:pPr>
        <w:ind w:left="547" w:right="20" w:firstLine="564"/>
        <w:spacing w:after="0" w:line="286" w:lineRule="auto"/>
        <w:tabs>
          <w:tab w:leader="none" w:pos="1694" w:val="left"/>
        </w:tabs>
        <w:numPr>
          <w:ilvl w:val="1"/>
          <w:numId w:val="542"/>
        </w:numPr>
        <w:rPr>
          <w:rFonts w:ascii="Arial" w:cs="Arial" w:eastAsia="Arial" w:hAnsi="Arial"/>
          <w:sz w:val="14"/>
          <w:szCs w:val="14"/>
          <w:color w:val="auto"/>
        </w:rPr>
      </w:pPr>
      <w:r>
        <w:rPr>
          <w:rFonts w:ascii="Arial" w:cs="Arial" w:eastAsia="Arial" w:hAnsi="Arial"/>
          <w:sz w:val="14"/>
          <w:szCs w:val="14"/>
          <w:i w:val="1"/>
          <w:iCs w:val="1"/>
          <w:color w:val="auto"/>
        </w:rPr>
        <w:t xml:space="preserve">Specified Employee. </w:t>
      </w:r>
      <w:r>
        <w:rPr>
          <w:rFonts w:ascii="Arial" w:cs="Arial" w:eastAsia="Arial" w:hAnsi="Arial"/>
          <w:sz w:val="14"/>
          <w:szCs w:val="14"/>
          <w:color w:val="auto"/>
        </w:rPr>
        <w:t>Notwithstanding anything in this Agreement to the contrary, if Executive is deemed by the Company at the time of Executive’s</w:t>
      </w:r>
      <w:r>
        <w:rPr>
          <w:rFonts w:ascii="Arial" w:cs="Arial" w:eastAsia="Arial" w:hAnsi="Arial"/>
          <w:sz w:val="14"/>
          <w:szCs w:val="14"/>
          <w:i w:val="1"/>
          <w:iCs w:val="1"/>
          <w:color w:val="auto"/>
        </w:rPr>
        <w:t xml:space="preserve"> </w:t>
      </w:r>
      <w:r>
        <w:rPr>
          <w:rFonts w:ascii="Arial" w:cs="Arial" w:eastAsia="Arial" w:hAnsi="Arial"/>
          <w:sz w:val="14"/>
          <w:szCs w:val="14"/>
          <w:color w:val="auto"/>
        </w:rPr>
        <w:t>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46" w:lineRule="exact"/>
        <w:rPr>
          <w:rFonts w:ascii="Arial" w:cs="Arial" w:eastAsia="Arial" w:hAnsi="Arial"/>
          <w:sz w:val="14"/>
          <w:szCs w:val="14"/>
          <w:color w:val="auto"/>
        </w:rPr>
      </w:pPr>
    </w:p>
    <w:p>
      <w:pPr>
        <w:ind w:left="547" w:right="40" w:firstLine="564"/>
        <w:spacing w:after="0" w:line="265" w:lineRule="auto"/>
        <w:tabs>
          <w:tab w:leader="none" w:pos="1674" w:val="left"/>
        </w:tabs>
        <w:numPr>
          <w:ilvl w:val="1"/>
          <w:numId w:val="542"/>
        </w:numPr>
        <w:rPr>
          <w:rFonts w:ascii="Arial" w:cs="Arial" w:eastAsia="Arial" w:hAnsi="Arial"/>
          <w:sz w:val="15"/>
          <w:szCs w:val="15"/>
          <w:color w:val="auto"/>
        </w:rPr>
      </w:pPr>
      <w:r>
        <w:rPr>
          <w:rFonts w:ascii="Arial" w:cs="Arial" w:eastAsia="Arial" w:hAnsi="Arial"/>
          <w:sz w:val="15"/>
          <w:szCs w:val="15"/>
          <w:i w:val="1"/>
          <w:iCs w:val="1"/>
          <w:color w:val="auto"/>
        </w:rPr>
        <w:t xml:space="preserve">Expense Reimbursements. </w:t>
      </w:r>
      <w:r>
        <w:rPr>
          <w:rFonts w:ascii="Arial" w:cs="Arial" w:eastAsia="Arial" w:hAnsi="Arial"/>
          <w:sz w:val="15"/>
          <w:szCs w:val="15"/>
          <w:color w:val="auto"/>
        </w:rPr>
        <w:t>To the extent that any reimbursements under this Agreement are subject to Section 409A, any such reimbursements payable to</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shall be paid to Executive no later than December 31 of the year following the year in which the expense was incurred; provided, that Executive submits Executive’s reimbursement request promptly following the date the expense is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59" w:lineRule="exact"/>
        <w:rPr>
          <w:rFonts w:ascii="Arial" w:cs="Arial" w:eastAsia="Arial" w:hAnsi="Arial"/>
          <w:sz w:val="15"/>
          <w:szCs w:val="15"/>
          <w:color w:val="auto"/>
        </w:rPr>
      </w:pPr>
    </w:p>
    <w:p>
      <w:pPr>
        <w:ind w:left="547" w:firstLine="564"/>
        <w:spacing w:after="0" w:line="268" w:lineRule="auto"/>
        <w:tabs>
          <w:tab w:leader="none" w:pos="1665" w:val="left"/>
        </w:tabs>
        <w:numPr>
          <w:ilvl w:val="1"/>
          <w:numId w:val="542"/>
        </w:numPr>
        <w:rPr>
          <w:rFonts w:ascii="Arial" w:cs="Arial" w:eastAsia="Arial" w:hAnsi="Arial"/>
          <w:sz w:val="15"/>
          <w:szCs w:val="15"/>
          <w:color w:val="auto"/>
        </w:rPr>
      </w:pPr>
      <w:r>
        <w:rPr>
          <w:rFonts w:ascii="Arial" w:cs="Arial" w:eastAsia="Arial" w:hAnsi="Arial"/>
          <w:sz w:val="15"/>
          <w:szCs w:val="15"/>
          <w:i w:val="1"/>
          <w:iCs w:val="1"/>
          <w:color w:val="auto"/>
        </w:rPr>
        <w:t xml:space="preserve">Installments. </w:t>
      </w:r>
      <w:r>
        <w:rPr>
          <w:rFonts w:ascii="Arial" w:cs="Arial" w:eastAsia="Arial" w:hAnsi="Arial"/>
          <w:sz w:val="15"/>
          <w:szCs w:val="15"/>
          <w:color w:val="auto"/>
        </w:rPr>
        <w:t>Executive’s right to receive any installment payments under this Agreement, including without limitation any continuation salary payments that</w:t>
      </w:r>
      <w:r>
        <w:rPr>
          <w:rFonts w:ascii="Arial" w:cs="Arial" w:eastAsia="Arial" w:hAnsi="Arial"/>
          <w:sz w:val="15"/>
          <w:szCs w:val="15"/>
          <w:i w:val="1"/>
          <w:iCs w:val="1"/>
          <w:color w:val="auto"/>
        </w:rPr>
        <w:t xml:space="preserve"> </w:t>
      </w:r>
      <w:r>
        <w:rPr>
          <w:rFonts w:ascii="Arial" w:cs="Arial" w:eastAsia="Arial" w:hAnsi="Arial"/>
          <w:sz w:val="15"/>
          <w:szCs w:val="15"/>
          <w:color w:val="auto"/>
        </w:rPr>
        <w:t>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56"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40" w:firstLine="549"/>
        <w:spacing w:after="0" w:line="289" w:lineRule="auto"/>
        <w:tabs>
          <w:tab w:leader="none" w:pos="1122" w:val="left"/>
        </w:tabs>
        <w:numPr>
          <w:ilvl w:val="1"/>
          <w:numId w:val="543"/>
        </w:numPr>
        <w:rPr>
          <w:rFonts w:ascii="Arial" w:cs="Arial" w:eastAsia="Arial" w:hAnsi="Arial"/>
          <w:sz w:val="15"/>
          <w:szCs w:val="15"/>
          <w:color w:val="auto"/>
        </w:rPr>
      </w:pPr>
      <w:r>
        <w:rPr>
          <w:rFonts w:ascii="Arial" w:cs="Arial" w:eastAsia="Arial" w:hAnsi="Arial"/>
          <w:sz w:val="15"/>
          <w:szCs w:val="15"/>
          <w:u w:val="single" w:color="auto"/>
          <w:color w:val="auto"/>
        </w:rPr>
        <w:t>Attorneys’ Fees</w:t>
      </w:r>
      <w:r>
        <w:rPr>
          <w:rFonts w:ascii="Arial" w:cs="Arial" w:eastAsia="Arial" w:hAnsi="Arial"/>
          <w:sz w:val="15"/>
          <w:szCs w:val="15"/>
          <w:color w:val="auto"/>
        </w:rPr>
        <w:t>. In the event that either Party prevails in a dispute with the other Party concerning the rights and obligations hereunder, the non-prevailing Party shall pay the prevailing Party’s reasonable attorneys’ fees and costs.</w:t>
      </w:r>
    </w:p>
    <w:p>
      <w:pPr>
        <w:spacing w:after="0" w:line="134" w:lineRule="exact"/>
        <w:rPr>
          <w:rFonts w:ascii="Arial" w:cs="Arial" w:eastAsia="Arial" w:hAnsi="Arial"/>
          <w:sz w:val="15"/>
          <w:szCs w:val="15"/>
          <w:color w:val="auto"/>
        </w:rPr>
      </w:pPr>
    </w:p>
    <w:p>
      <w:pPr>
        <w:ind w:left="547" w:hanging="547"/>
        <w:spacing w:after="0"/>
        <w:tabs>
          <w:tab w:leader="none" w:pos="547" w:val="left"/>
        </w:tabs>
        <w:numPr>
          <w:ilvl w:val="0"/>
          <w:numId w:val="54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Executive Acknowledgement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Executive acknowledges that Executive has read and understands this Agreement, is fully aware of its legal effect, has not acted in reliance upon any representations or</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color w:val="auto"/>
        </w:rPr>
        <w:t>promises made by the Company other than those contained in writing herein, and has entered into this Agreement freely based on Executive’s own judgment.</w:t>
      </w:r>
    </w:p>
    <w:p>
      <w:pPr>
        <w:spacing w:after="0" w:line="188"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rPr>
          <w:sz w:val="20"/>
          <w:szCs w:val="20"/>
          <w:color w:val="auto"/>
        </w:rPr>
      </w:pPr>
      <w:r>
        <w:rPr>
          <w:rFonts w:ascii="Arial" w:cs="Arial" w:eastAsia="Arial" w:hAnsi="Arial"/>
          <w:sz w:val="15"/>
          <w:szCs w:val="15"/>
          <w:color w:val="auto"/>
        </w:rPr>
        <w:t>IN WITNESS WHEREOF, the Parties have executed this Agreement on the date and year first above written.</w:t>
      </w:r>
    </w:p>
    <w:p>
      <w:pPr>
        <w:spacing w:after="0" w:line="192" w:lineRule="exact"/>
        <w:rPr>
          <w:sz w:val="20"/>
          <w:szCs w:val="20"/>
          <w:color w:val="auto"/>
        </w:rPr>
      </w:pPr>
    </w:p>
    <w:p>
      <w:pPr>
        <w:ind w:left="5727"/>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p>
      <w:pPr>
        <w:ind w:left="5727"/>
        <w:spacing w:after="0"/>
        <w:tabs>
          <w:tab w:leader="none" w:pos="6187"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14605</wp:posOffset>
            </wp:positionV>
            <wp:extent cx="3324225" cy="762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spacing w:after="0" w:line="4"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Name: Werner Cautreels, Ph.D.</w:t>
      </w:r>
    </w:p>
    <w:p>
      <w:pPr>
        <w:spacing w:after="0" w:line="23"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Title: President and Chief Executive Officer</w:t>
      </w:r>
    </w:p>
    <w:p>
      <w:pPr>
        <w:spacing w:after="0" w:line="373"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/s/ David Abraham,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625850" cy="762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David Abraham, J.D.</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285990" cy="2730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u w:val="single" w:color="auto"/>
          <w:color w:val="auto"/>
        </w:rPr>
        <w:t>EXHIBIT A</w:t>
      </w:r>
    </w:p>
    <w:p>
      <w:pPr>
        <w:spacing w:after="0" w:line="198"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Separation Agreement and Release</w:t>
      </w:r>
    </w:p>
    <w:p>
      <w:pPr>
        <w:spacing w:after="0" w:line="204" w:lineRule="exact"/>
        <w:rPr>
          <w:sz w:val="20"/>
          <w:szCs w:val="20"/>
          <w:color w:val="auto"/>
        </w:rPr>
      </w:pPr>
    </w:p>
    <w:p>
      <w:pPr>
        <w:ind w:left="7" w:right="420" w:firstLine="556"/>
        <w:spacing w:after="0" w:line="273" w:lineRule="auto"/>
        <w:rPr>
          <w:sz w:val="20"/>
          <w:szCs w:val="20"/>
          <w:color w:val="auto"/>
        </w:rPr>
      </w:pPr>
      <w:r>
        <w:rPr>
          <w:rFonts w:ascii="Arial" w:cs="Arial" w:eastAsia="Arial" w:hAnsi="Arial"/>
          <w:sz w:val="15"/>
          <w:szCs w:val="15"/>
          <w:color w:val="auto"/>
        </w:rPr>
        <w:t>This Separation Agreement and Release (“Agreement”) is made by and between David Abraham, J.D.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153" w:lineRule="exact"/>
        <w:rPr>
          <w:sz w:val="20"/>
          <w:szCs w:val="20"/>
          <w:color w:val="auto"/>
        </w:rPr>
      </w:pPr>
    </w:p>
    <w:p>
      <w:pPr>
        <w:ind w:left="547"/>
        <w:spacing w:after="0"/>
        <w:rPr>
          <w:sz w:val="20"/>
          <w:szCs w:val="20"/>
          <w:color w:val="auto"/>
        </w:rPr>
      </w:pPr>
      <w:r>
        <w:rPr>
          <w:rFonts w:ascii="Arial" w:cs="Arial" w:eastAsia="Arial" w:hAnsi="Arial"/>
          <w:sz w:val="15"/>
          <w:szCs w:val="15"/>
          <w:color w:val="auto"/>
        </w:rPr>
        <w:t>WHEREAS, the Parties have previously entered into that certain Employment Agreement, dated as of June 6, 2016 (the “Employment Agreement”); and</w:t>
      </w:r>
    </w:p>
    <w:p>
      <w:pPr>
        <w:spacing w:after="0" w:line="198" w:lineRule="exact"/>
        <w:rPr>
          <w:sz w:val="20"/>
          <w:szCs w:val="20"/>
          <w:color w:val="auto"/>
        </w:rPr>
      </w:pPr>
    </w:p>
    <w:p>
      <w:pPr>
        <w:ind w:left="7" w:right="60" w:firstLine="556"/>
        <w:spacing w:after="0" w:line="284" w:lineRule="auto"/>
        <w:rPr>
          <w:sz w:val="20"/>
          <w:szCs w:val="20"/>
          <w:color w:val="auto"/>
        </w:rPr>
      </w:pPr>
      <w:r>
        <w:rPr>
          <w:rFonts w:ascii="Arial" w:cs="Arial" w:eastAsia="Arial" w:hAnsi="Arial"/>
          <w:sz w:val="14"/>
          <w:szCs w:val="14"/>
          <w:color w:val="auto"/>
        </w:rPr>
        <w:t>WHEREAS, in connection with Executive’s termination of employment with the Company or a subsidiary or affiliate of the Company effective , 20 ,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149" w:lineRule="exact"/>
        <w:rPr>
          <w:sz w:val="20"/>
          <w:szCs w:val="20"/>
          <w:color w:val="auto"/>
        </w:rPr>
      </w:pPr>
    </w:p>
    <w:p>
      <w:pPr>
        <w:jc w:val="both"/>
        <w:ind w:left="7" w:right="320" w:firstLine="556"/>
        <w:spacing w:after="0" w:line="273" w:lineRule="auto"/>
        <w:rPr>
          <w:sz w:val="20"/>
          <w:szCs w:val="20"/>
          <w:color w:val="auto"/>
        </w:rPr>
      </w:pPr>
      <w:r>
        <w:rPr>
          <w:rFonts w:ascii="Arial" w:cs="Arial" w:eastAsia="Arial" w:hAnsi="Arial"/>
          <w:sz w:val="15"/>
          <w:szCs w:val="15"/>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ectPr>
          <w:pgSz w:w="11900" w:h="16838" w:orient="portrait"/>
          <w:cols w:equalWidth="0" w:num="1">
            <w:col w:w="11427"/>
          </w:cols>
          <w:pgMar w:left="233" w:top="129" w:right="239" w:bottom="0" w:gutter="0" w:footer="0" w:header="0"/>
        </w:sectPr>
      </w:pPr>
    </w:p>
    <w:bookmarkStart w:id="418" w:name="page419"/>
    <w:bookmarkEnd w:id="418"/>
    <w:p>
      <w:pPr>
        <w:ind w:right="420" w:firstLine="549"/>
        <w:spacing w:after="0" w:line="268" w:lineRule="auto"/>
        <w:tabs>
          <w:tab w:leader="none" w:pos="1112" w:val="left"/>
        </w:tabs>
        <w:numPr>
          <w:ilvl w:val="0"/>
          <w:numId w:val="545"/>
        </w:numPr>
        <w:rPr>
          <w:rFonts w:ascii="Arial" w:cs="Arial" w:eastAsia="Arial" w:hAnsi="Arial"/>
          <w:sz w:val="15"/>
          <w:szCs w:val="15"/>
          <w:color w:val="auto"/>
        </w:rPr>
      </w:pPr>
      <w:r>
        <w:rPr>
          <w:rFonts w:ascii="Arial" w:cs="Arial" w:eastAsia="Arial" w:hAnsi="Arial"/>
          <w:sz w:val="15"/>
          <w:szCs w:val="15"/>
          <w:u w:val="single" w:color="auto"/>
          <w:color w:val="auto"/>
        </w:rPr>
        <w:t>Severance Payments; Salary and Benefits</w:t>
      </w:r>
      <w:r>
        <w:rPr>
          <w:rFonts w:ascii="Arial" w:cs="Arial" w:eastAsia="Arial" w:hAnsi="Arial"/>
          <w:sz w:val="15"/>
          <w:szCs w:val="15"/>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56" w:lineRule="exact"/>
        <w:rPr>
          <w:rFonts w:ascii="Arial" w:cs="Arial" w:eastAsia="Arial" w:hAnsi="Arial"/>
          <w:sz w:val="15"/>
          <w:szCs w:val="15"/>
          <w:color w:val="auto"/>
        </w:rPr>
      </w:pPr>
    </w:p>
    <w:p>
      <w:pPr>
        <w:ind w:right="80" w:firstLine="549"/>
        <w:spacing w:after="0" w:line="283" w:lineRule="auto"/>
        <w:tabs>
          <w:tab w:leader="none" w:pos="1112" w:val="left"/>
        </w:tabs>
        <w:numPr>
          <w:ilvl w:val="0"/>
          <w:numId w:val="545"/>
        </w:numPr>
        <w:rPr>
          <w:rFonts w:ascii="Arial" w:cs="Arial" w:eastAsia="Arial" w:hAnsi="Arial"/>
          <w:sz w:val="14"/>
          <w:szCs w:val="14"/>
          <w:color w:val="auto"/>
        </w:rPr>
      </w:pPr>
      <w:r>
        <w:rPr>
          <w:rFonts w:ascii="Arial" w:cs="Arial" w:eastAsia="Arial" w:hAnsi="Arial"/>
          <w:sz w:val="14"/>
          <w:szCs w:val="14"/>
          <w:u w:val="single" w:color="auto"/>
          <w:color w:val="auto"/>
        </w:rPr>
        <w:t>Release of Claims</w:t>
      </w:r>
      <w:r>
        <w:rPr>
          <w:rFonts w:ascii="Arial" w:cs="Arial" w:eastAsia="Arial" w:hAnsi="Arial"/>
          <w:sz w:val="14"/>
          <w:szCs w:val="14"/>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(as defined in Section 7 below), including, without limitation: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ind w:right="80" w:firstLine="1104"/>
        <w:spacing w:after="0" w:line="289" w:lineRule="auto"/>
        <w:tabs>
          <w:tab w:leader="none" w:pos="1665" w:val="left"/>
        </w:tabs>
        <w:numPr>
          <w:ilvl w:val="1"/>
          <w:numId w:val="545"/>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employment or service relationship with the Company or any of its direct or indirect subsidiaries or affiliates and the termination of that relationship;</w:t>
      </w:r>
    </w:p>
    <w:p>
      <w:pPr>
        <w:spacing w:after="0" w:line="140" w:lineRule="exact"/>
        <w:rPr>
          <w:rFonts w:ascii="Arial" w:cs="Arial" w:eastAsia="Arial" w:hAnsi="Arial"/>
          <w:sz w:val="15"/>
          <w:szCs w:val="15"/>
          <w:color w:val="auto"/>
        </w:rPr>
      </w:pPr>
    </w:p>
    <w:p>
      <w:pPr>
        <w:ind w:right="60" w:firstLine="1104"/>
        <w:spacing w:after="0" w:line="273" w:lineRule="auto"/>
        <w:tabs>
          <w:tab w:leader="none" w:pos="1674" w:val="left"/>
        </w:tabs>
        <w:numPr>
          <w:ilvl w:val="1"/>
          <w:numId w:val="545"/>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2" w:lineRule="exact"/>
        <w:rPr>
          <w:rFonts w:ascii="Arial" w:cs="Arial" w:eastAsia="Arial" w:hAnsi="Arial"/>
          <w:sz w:val="15"/>
          <w:szCs w:val="15"/>
          <w:color w:val="auto"/>
        </w:rPr>
      </w:pPr>
    </w:p>
    <w:p>
      <w:pPr>
        <w:ind w:right="140" w:firstLine="1104"/>
        <w:spacing w:after="0" w:line="268" w:lineRule="auto"/>
        <w:tabs>
          <w:tab w:leader="none" w:pos="1677" w:val="left"/>
        </w:tabs>
        <w:numPr>
          <w:ilvl w:val="1"/>
          <w:numId w:val="545"/>
        </w:numPr>
        <w:rPr>
          <w:rFonts w:ascii="Arial" w:cs="Arial" w:eastAsia="Arial" w:hAnsi="Arial"/>
          <w:sz w:val="15"/>
          <w:szCs w:val="15"/>
          <w:color w:val="auto"/>
        </w:rPr>
      </w:pPr>
      <w:r>
        <w:rPr>
          <w:rFonts w:ascii="Arial" w:cs="Arial" w:eastAsia="Arial" w:hAnsi="Arial"/>
          <w:sz w:val="15"/>
          <w:szCs w:val="15"/>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56" w:lineRule="exact"/>
        <w:rPr>
          <w:rFonts w:ascii="Arial" w:cs="Arial" w:eastAsia="Arial" w:hAnsi="Arial"/>
          <w:sz w:val="15"/>
          <w:szCs w:val="15"/>
          <w:color w:val="auto"/>
        </w:rPr>
      </w:pPr>
    </w:p>
    <w:p>
      <w:pPr>
        <w:ind w:right="180" w:firstLine="1104"/>
        <w:spacing w:after="0" w:line="268" w:lineRule="auto"/>
        <w:tabs>
          <w:tab w:leader="none" w:pos="1674" w:val="left"/>
        </w:tabs>
        <w:numPr>
          <w:ilvl w:val="1"/>
          <w:numId w:val="545"/>
        </w:numPr>
        <w:rPr>
          <w:rFonts w:ascii="Arial" w:cs="Arial" w:eastAsia="Arial" w:hAnsi="Arial"/>
          <w:sz w:val="15"/>
          <w:szCs w:val="15"/>
          <w:color w:val="auto"/>
        </w:rPr>
      </w:pPr>
      <w:r>
        <w:rPr>
          <w:rFonts w:ascii="Arial" w:cs="Arial" w:eastAsia="Arial" w:hAnsi="Arial"/>
          <w:sz w:val="15"/>
          <w:szCs w:val="15"/>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56" w:lineRule="exact"/>
        <w:rPr>
          <w:rFonts w:ascii="Arial" w:cs="Arial" w:eastAsia="Arial" w:hAnsi="Arial"/>
          <w:sz w:val="15"/>
          <w:szCs w:val="15"/>
          <w:color w:val="auto"/>
        </w:rPr>
      </w:pPr>
    </w:p>
    <w:p>
      <w:pPr>
        <w:ind w:left="1660" w:hanging="556"/>
        <w:spacing w:after="0"/>
        <w:tabs>
          <w:tab w:leader="none" w:pos="1660" w:val="left"/>
        </w:tabs>
        <w:numPr>
          <w:ilvl w:val="1"/>
          <w:numId w:val="545"/>
        </w:numPr>
        <w:rPr>
          <w:rFonts w:ascii="Arial" w:cs="Arial" w:eastAsia="Arial" w:hAnsi="Arial"/>
          <w:sz w:val="15"/>
          <w:szCs w:val="15"/>
          <w:color w:val="auto"/>
        </w:rPr>
      </w:pPr>
      <w:r>
        <w:rPr>
          <w:rFonts w:ascii="Arial" w:cs="Arial" w:eastAsia="Arial" w:hAnsi="Arial"/>
          <w:sz w:val="15"/>
          <w:szCs w:val="15"/>
          <w:color w:val="auto"/>
        </w:rPr>
        <w:t>any and all claims for violation of the federal or any state constitution;</w:t>
      </w:r>
    </w:p>
    <w:p>
      <w:pPr>
        <w:spacing w:after="0" w:line="198" w:lineRule="exact"/>
        <w:rPr>
          <w:rFonts w:ascii="Arial" w:cs="Arial" w:eastAsia="Arial" w:hAnsi="Arial"/>
          <w:sz w:val="15"/>
          <w:szCs w:val="15"/>
          <w:color w:val="auto"/>
        </w:rPr>
      </w:pPr>
    </w:p>
    <w:p>
      <w:pPr>
        <w:ind w:left="1660" w:hanging="556"/>
        <w:spacing w:after="0"/>
        <w:tabs>
          <w:tab w:leader="none" w:pos="1660" w:val="left"/>
        </w:tabs>
        <w:numPr>
          <w:ilvl w:val="1"/>
          <w:numId w:val="545"/>
        </w:numPr>
        <w:rPr>
          <w:rFonts w:ascii="Arial" w:cs="Arial" w:eastAsia="Arial" w:hAnsi="Arial"/>
          <w:sz w:val="15"/>
          <w:szCs w:val="15"/>
          <w:color w:val="auto"/>
        </w:rPr>
      </w:pPr>
      <w:r>
        <w:rPr>
          <w:rFonts w:ascii="Arial" w:cs="Arial" w:eastAsia="Arial" w:hAnsi="Arial"/>
          <w:sz w:val="15"/>
          <w:szCs w:val="15"/>
          <w:color w:val="auto"/>
        </w:rPr>
        <w:t>any and all claims arising out of any other laws and regulations relating to employment or employment discrimination;</w:t>
      </w:r>
    </w:p>
    <w:p>
      <w:pPr>
        <w:spacing w:after="0" w:line="198" w:lineRule="exact"/>
        <w:rPr>
          <w:rFonts w:ascii="Arial" w:cs="Arial" w:eastAsia="Arial" w:hAnsi="Arial"/>
          <w:sz w:val="15"/>
          <w:szCs w:val="15"/>
          <w:color w:val="auto"/>
        </w:rPr>
      </w:pPr>
    </w:p>
    <w:p>
      <w:pPr>
        <w:ind w:right="20" w:firstLine="1104"/>
        <w:spacing w:after="0" w:line="289" w:lineRule="auto"/>
        <w:tabs>
          <w:tab w:leader="none" w:pos="1686" w:val="left"/>
        </w:tabs>
        <w:numPr>
          <w:ilvl w:val="1"/>
          <w:numId w:val="545"/>
        </w:numPr>
        <w:rPr>
          <w:rFonts w:ascii="Arial" w:cs="Arial" w:eastAsia="Arial" w:hAnsi="Arial"/>
          <w:sz w:val="15"/>
          <w:szCs w:val="15"/>
          <w:color w:val="auto"/>
        </w:rPr>
      </w:pPr>
      <w:r>
        <w:rPr>
          <w:rFonts w:ascii="Arial" w:cs="Arial" w:eastAsia="Arial" w:hAnsi="Arial"/>
          <w:sz w:val="15"/>
          <w:szCs w:val="15"/>
          <w:color w:val="auto"/>
        </w:rPr>
        <w:t>any claim for any loss, cost, damage, or expense arising out of any dispute over the non-withholding or other tax treatment of any of the proceeds received by Executive as a result of this Agreement; and</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1"/>
          <w:numId w:val="545"/>
        </w:numPr>
        <w:rPr>
          <w:rFonts w:ascii="Arial" w:cs="Arial" w:eastAsia="Arial" w:hAnsi="Arial"/>
          <w:sz w:val="15"/>
          <w:szCs w:val="15"/>
          <w:color w:val="auto"/>
        </w:rPr>
      </w:pPr>
      <w:r>
        <w:rPr>
          <w:rFonts w:ascii="Arial" w:cs="Arial" w:eastAsia="Arial" w:hAnsi="Arial"/>
          <w:sz w:val="15"/>
          <w:szCs w:val="15"/>
          <w:color w:val="auto"/>
        </w:rPr>
        <w:t>any and all claims for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-3260090</wp:posOffset>
            </wp:positionV>
            <wp:extent cx="7285990" cy="2730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such monetary relief from the Company or any Releasee),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law and any Retained Claims. This release further does not release claims for breach of Section 3(c), Section 4(b) or Section 4(c) of the Employment Agreement.</w:t>
      </w:r>
    </w:p>
    <w:p>
      <w:pPr>
        <w:spacing w:after="0" w:line="198" w:lineRule="exact"/>
        <w:rPr>
          <w:sz w:val="20"/>
          <w:szCs w:val="20"/>
          <w:color w:val="auto"/>
        </w:rPr>
      </w:pPr>
    </w:p>
    <w:p>
      <w:pPr>
        <w:ind w:firstLine="549"/>
        <w:spacing w:after="0" w:line="281" w:lineRule="auto"/>
        <w:tabs>
          <w:tab w:leader="none" w:pos="1112" w:val="left"/>
        </w:tabs>
        <w:numPr>
          <w:ilvl w:val="0"/>
          <w:numId w:val="546"/>
        </w:numPr>
        <w:rPr>
          <w:rFonts w:ascii="Arial" w:cs="Arial" w:eastAsia="Arial" w:hAnsi="Arial"/>
          <w:sz w:val="14"/>
          <w:szCs w:val="14"/>
          <w:color w:val="auto"/>
        </w:rPr>
      </w:pPr>
      <w:r>
        <w:rPr>
          <w:rFonts w:ascii="Arial" w:cs="Arial" w:eastAsia="Arial" w:hAnsi="Arial"/>
          <w:sz w:val="14"/>
          <w:szCs w:val="14"/>
          <w:u w:val="single" w:color="auto"/>
          <w:color w:val="auto"/>
        </w:rPr>
        <w:t>Acknowledgment of Waiver of Claims under ADEA</w:t>
      </w:r>
      <w:r>
        <w:rPr>
          <w:rFonts w:ascii="Arial" w:cs="Arial" w:eastAsia="Arial" w:hAnsi="Arial"/>
          <w:sz w:val="14"/>
          <w:szCs w:val="14"/>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Effective Date of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53" w:lineRule="exact"/>
        <w:rPr>
          <w:rFonts w:ascii="Arial" w:cs="Arial" w:eastAsia="Arial" w:hAnsi="Arial"/>
          <w:sz w:val="14"/>
          <w:szCs w:val="14"/>
          <w:color w:val="auto"/>
        </w:rPr>
      </w:pPr>
    </w:p>
    <w:p>
      <w:pPr>
        <w:ind w:right="160" w:firstLine="549"/>
        <w:spacing w:after="0" w:line="327" w:lineRule="auto"/>
        <w:tabs>
          <w:tab w:leader="none" w:pos="1112" w:val="left"/>
        </w:tabs>
        <w:numPr>
          <w:ilvl w:val="0"/>
          <w:numId w:val="546"/>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17" w:lineRule="exact"/>
        <w:rPr>
          <w:rFonts w:ascii="Arial" w:cs="Arial" w:eastAsia="Arial" w:hAnsi="Arial"/>
          <w:sz w:val="14"/>
          <w:szCs w:val="14"/>
          <w:color w:val="auto"/>
        </w:rPr>
      </w:pPr>
    </w:p>
    <w:p>
      <w:pPr>
        <w:ind w:left="1100" w:hanging="551"/>
        <w:spacing w:after="0"/>
        <w:tabs>
          <w:tab w:leader="none" w:pos="1100" w:val="left"/>
        </w:tabs>
        <w:numPr>
          <w:ilvl w:val="0"/>
          <w:numId w:val="546"/>
        </w:numPr>
        <w:rPr>
          <w:rFonts w:ascii="Arial" w:cs="Arial" w:eastAsia="Arial" w:hAnsi="Arial"/>
          <w:sz w:val="15"/>
          <w:szCs w:val="15"/>
          <w:color w:val="auto"/>
        </w:rPr>
      </w:pPr>
      <w:r>
        <w:rPr>
          <w:rFonts w:ascii="Arial" w:cs="Arial" w:eastAsia="Arial" w:hAnsi="Arial"/>
          <w:sz w:val="15"/>
          <w:szCs w:val="15"/>
          <w:u w:val="single" w:color="auto"/>
          <w:color w:val="auto"/>
        </w:rPr>
        <w:t>No Oral Modification</w:t>
      </w:r>
      <w:r>
        <w:rPr>
          <w:rFonts w:ascii="Arial" w:cs="Arial" w:eastAsia="Arial" w:hAnsi="Arial"/>
          <w:sz w:val="15"/>
          <w:szCs w:val="15"/>
          <w:color w:val="auto"/>
        </w:rPr>
        <w:t>. This Agreement may only be amended in a writing signed by Executive and a duly authorized officer of the Company.</w:t>
      </w:r>
    </w:p>
    <w:p>
      <w:pPr>
        <w:spacing w:after="0" w:line="198" w:lineRule="exact"/>
        <w:rPr>
          <w:rFonts w:ascii="Arial" w:cs="Arial" w:eastAsia="Arial" w:hAnsi="Arial"/>
          <w:sz w:val="15"/>
          <w:szCs w:val="15"/>
          <w:color w:val="auto"/>
        </w:rPr>
      </w:pPr>
    </w:p>
    <w:p>
      <w:pPr>
        <w:ind w:left="1100" w:hanging="551"/>
        <w:spacing w:after="0"/>
        <w:tabs>
          <w:tab w:leader="none" w:pos="1100" w:val="left"/>
        </w:tabs>
        <w:numPr>
          <w:ilvl w:val="0"/>
          <w:numId w:val="546"/>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subject to the provisions of Sections 9(a) and 9(c) of the Employment Agreement.</w:t>
      </w:r>
    </w:p>
    <w:p>
      <w:pPr>
        <w:spacing w:after="0" w:line="198" w:lineRule="exact"/>
        <w:rPr>
          <w:rFonts w:ascii="Arial" w:cs="Arial" w:eastAsia="Arial" w:hAnsi="Arial"/>
          <w:sz w:val="15"/>
          <w:szCs w:val="15"/>
          <w:color w:val="auto"/>
        </w:rPr>
      </w:pPr>
    </w:p>
    <w:p>
      <w:pPr>
        <w:ind w:right="200" w:firstLine="549"/>
        <w:spacing w:after="0" w:line="268" w:lineRule="auto"/>
        <w:tabs>
          <w:tab w:leader="none" w:pos="1112" w:val="left"/>
        </w:tabs>
        <w:numPr>
          <w:ilvl w:val="0"/>
          <w:numId w:val="546"/>
        </w:numPr>
        <w:rPr>
          <w:rFonts w:ascii="Arial" w:cs="Arial" w:eastAsia="Arial" w:hAnsi="Arial"/>
          <w:sz w:val="15"/>
          <w:szCs w:val="15"/>
          <w:color w:val="auto"/>
        </w:rPr>
      </w:pPr>
      <w:r>
        <w:rPr>
          <w:rFonts w:ascii="Arial" w:cs="Arial" w:eastAsia="Arial" w:hAnsi="Arial"/>
          <w:sz w:val="15"/>
          <w:szCs w:val="15"/>
          <w:u w:val="single" w:color="auto"/>
          <w:color w:val="auto"/>
        </w:rPr>
        <w:t>Effective Date</w:t>
      </w:r>
      <w:r>
        <w:rPr>
          <w:rFonts w:ascii="Arial" w:cs="Arial" w:eastAsia="Arial" w:hAnsi="Arial"/>
          <w:sz w:val="15"/>
          <w:szCs w:val="15"/>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pacing w:after="0" w:line="156" w:lineRule="exact"/>
        <w:rPr>
          <w:rFonts w:ascii="Arial" w:cs="Arial" w:eastAsia="Arial" w:hAnsi="Arial"/>
          <w:sz w:val="15"/>
          <w:szCs w:val="15"/>
          <w:color w:val="auto"/>
        </w:rPr>
      </w:pPr>
    </w:p>
    <w:p>
      <w:pPr>
        <w:ind w:right="120" w:firstLine="549"/>
        <w:spacing w:after="0" w:line="264" w:lineRule="auto"/>
        <w:tabs>
          <w:tab w:leader="none" w:pos="1112" w:val="left"/>
        </w:tabs>
        <w:numPr>
          <w:ilvl w:val="0"/>
          <w:numId w:val="546"/>
        </w:numPr>
        <w:rPr>
          <w:rFonts w:ascii="Arial" w:cs="Arial" w:eastAsia="Arial" w:hAnsi="Arial"/>
          <w:sz w:val="15"/>
          <w:szCs w:val="15"/>
          <w:color w:val="auto"/>
        </w:rPr>
      </w:pPr>
      <w:r>
        <w:rPr>
          <w:rFonts w:ascii="Arial" w:cs="Arial" w:eastAsia="Arial" w:hAnsi="Arial"/>
          <w:sz w:val="15"/>
          <w:szCs w:val="15"/>
          <w:u w:val="single" w:color="auto"/>
          <w:color w:val="auto"/>
        </w:rPr>
        <w:t>Voluntary Execution of Agreement</w:t>
      </w:r>
      <w:r>
        <w:rPr>
          <w:rFonts w:ascii="Arial" w:cs="Arial" w:eastAsia="Arial" w:hAnsi="Arial"/>
          <w:sz w:val="15"/>
          <w:szCs w:val="15"/>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ectPr>
          <w:pgSz w:w="11900" w:h="16838" w:orient="portrait"/>
          <w:cols w:equalWidth="0" w:num="1">
            <w:col w:w="11440"/>
          </w:cols>
          <w:pgMar w:left="240" w:top="129" w:right="219" w:bottom="0" w:gutter="0" w:footer="0" w:header="0"/>
        </w:sectPr>
      </w:pPr>
    </w:p>
    <w:bookmarkStart w:id="419" w:name="page420"/>
    <w:bookmarkEnd w:id="419"/>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Parties have executed this Agreement on the respective dates set forth below.</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14605</wp:posOffset>
            </wp:positionV>
            <wp:extent cx="6751320" cy="762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6751320" cy="7620"/>
                    </a:xfrm>
                    <a:prstGeom prst="rect">
                      <a:avLst/>
                    </a:prstGeom>
                    <a:noFill/>
                  </pic:spPr>
                </pic:pic>
              </a:graphicData>
            </a:graphic>
          </wp:anchor>
        </w:drawing>
      </w:r>
    </w:p>
    <w:p>
      <w:pPr>
        <w:spacing w:after="0" w:line="4"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David Abraham, J.D.</w:t>
      </w:r>
    </w:p>
    <w:p>
      <w:pPr>
        <w:spacing w:after="0" w:line="377" w:lineRule="exact"/>
        <w:rPr>
          <w:sz w:val="20"/>
          <w:szCs w:val="20"/>
          <w:color w:val="auto"/>
        </w:rPr>
      </w:pPr>
    </w:p>
    <w:p>
      <w:pPr>
        <w:ind w:left="5840"/>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p>
      <w:pPr>
        <w:spacing w:after="0"/>
        <w:tabs>
          <w:tab w:leader="none" w:pos="582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14605</wp:posOffset>
            </wp:positionV>
            <wp:extent cx="6751320" cy="762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6751320" cy="7620"/>
                    </a:xfrm>
                    <a:prstGeom prst="rect">
                      <a:avLst/>
                    </a:prstGeom>
                    <a:noFill/>
                  </pic:spPr>
                </pic:pic>
              </a:graphicData>
            </a:graphic>
          </wp:anchor>
        </w:drawing>
      </w:r>
    </w:p>
    <w:p>
      <w:pPr>
        <w:spacing w:after="0" w:line="4" w:lineRule="exact"/>
        <w:rPr>
          <w:sz w:val="20"/>
          <w:szCs w:val="20"/>
          <w:color w:val="auto"/>
        </w:rPr>
      </w:pPr>
    </w:p>
    <w:p>
      <w:pPr>
        <w:ind w:left="636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Employee Nondisclosure, Noncompetition and Assignment of Intellectual Property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EMPLOYEE NONDISCLOSURE, NONCOMPETITION AND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ASSIGNMENT OF INTELLECTUAL PROPERTY AGREEMENT</w:t>
      </w:r>
    </w:p>
    <w:p>
      <w:pPr>
        <w:spacing w:after="0" w:line="188"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In consideration and as a condition of my employment by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of the compensation to be paid to me, and in recognition of the fact that as an employee of the Company I will or may have access to confidential information, I agree with the Company as follows:</w:t>
      </w:r>
    </w:p>
    <w:p>
      <w:pPr>
        <w:spacing w:after="0" w:line="141" w:lineRule="exact"/>
        <w:rPr>
          <w:sz w:val="20"/>
          <w:szCs w:val="20"/>
          <w:color w:val="auto"/>
        </w:rPr>
      </w:pPr>
    </w:p>
    <w:p>
      <w:pPr>
        <w:ind w:left="1160" w:hanging="611"/>
        <w:spacing w:after="0"/>
        <w:tabs>
          <w:tab w:leader="none" w:pos="1160" w:val="left"/>
        </w:tabs>
        <w:numPr>
          <w:ilvl w:val="0"/>
          <w:numId w:val="547"/>
        </w:numPr>
        <w:rPr>
          <w:rFonts w:ascii="Arial" w:cs="Arial" w:eastAsia="Arial" w:hAnsi="Arial"/>
          <w:sz w:val="15"/>
          <w:szCs w:val="15"/>
          <w:color w:val="auto"/>
        </w:rPr>
      </w:pPr>
      <w:r>
        <w:rPr>
          <w:rFonts w:ascii="Arial" w:cs="Arial" w:eastAsia="Arial" w:hAnsi="Arial"/>
          <w:sz w:val="15"/>
          <w:szCs w:val="15"/>
          <w:u w:val="single" w:color="auto"/>
          <w:color w:val="auto"/>
        </w:rPr>
        <w:t>Performance: Prior Obligations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firstLine="1104"/>
        <w:spacing w:after="0" w:line="264" w:lineRule="auto"/>
        <w:tabs>
          <w:tab w:leader="none" w:pos="1708" w:val="left"/>
        </w:tabs>
        <w:numPr>
          <w:ilvl w:val="1"/>
          <w:numId w:val="547"/>
        </w:numPr>
        <w:rPr>
          <w:rFonts w:ascii="Arial" w:cs="Arial" w:eastAsia="Arial" w:hAnsi="Arial"/>
          <w:sz w:val="15"/>
          <w:szCs w:val="15"/>
          <w:color w:val="auto"/>
        </w:rPr>
      </w:pPr>
      <w:r>
        <w:rPr>
          <w:rFonts w:ascii="Arial" w:cs="Arial" w:eastAsia="Arial" w:hAnsi="Arial"/>
          <w:sz w:val="15"/>
          <w:szCs w:val="15"/>
          <w:color w:val="auto"/>
        </w:rPr>
        <w:t>I agree to use best efforts to perform my assigned duties diligently, conscientiously, and with reasonable skill, and shall comply with all rules, procedures and standards promulgated from time to time by the Company with regard to my conduct and my access to and use of the Company’s property, equipment and facilities. Among such rules, procedures and standards are those governing ethical and other professional standards for dealing with customers, government agencies, vendors, competitors, consultants, fellow employees, and the public-at-large, security provisions designed to protect Company property and the personal security of Company employees, rules respecting attendance, punctuality, and hours of work, and rules and procedures designed to protect the confidentiality of proprietary information. The Company agrees to make reasonable efforts to inform me of such rules, standards and procedures as are in effect from time to time.</w:t>
      </w:r>
    </w:p>
    <w:p>
      <w:pPr>
        <w:spacing w:after="0" w:line="158" w:lineRule="exact"/>
        <w:rPr>
          <w:rFonts w:ascii="Arial" w:cs="Arial" w:eastAsia="Arial" w:hAnsi="Arial"/>
          <w:sz w:val="15"/>
          <w:szCs w:val="15"/>
          <w:color w:val="auto"/>
        </w:rPr>
      </w:pPr>
    </w:p>
    <w:p>
      <w:pPr>
        <w:ind w:firstLine="1104"/>
        <w:spacing w:after="0" w:line="264" w:lineRule="auto"/>
        <w:tabs>
          <w:tab w:leader="none" w:pos="1716" w:val="left"/>
        </w:tabs>
        <w:numPr>
          <w:ilvl w:val="1"/>
          <w:numId w:val="547"/>
        </w:numPr>
        <w:rPr>
          <w:rFonts w:ascii="Arial" w:cs="Arial" w:eastAsia="Arial" w:hAnsi="Arial"/>
          <w:sz w:val="15"/>
          <w:szCs w:val="15"/>
          <w:color w:val="auto"/>
        </w:rPr>
      </w:pPr>
      <w:r>
        <w:rPr>
          <w:rFonts w:ascii="Arial" w:cs="Arial" w:eastAsia="Arial" w:hAnsi="Arial"/>
          <w:sz w:val="15"/>
          <w:szCs w:val="15"/>
          <w:color w:val="auto"/>
        </w:rPr>
        <w:t>I hereby represent, warrant and agree (i) that I have the full right to enter into this Agreement and perform the services required of me hereunder, without any restriction whatsoever; (ii) that in the course of performing services hereunder, I will not violate the terms or conditions of any agreement between me and any third party or infringe or wrongfully appropriate any patents, copyrights, trade secrets or other intellectual property rights of any person or entity anywhere in the world; (iii) that I have not and will not disclose or use during my employment by the Company any confidential information that I acquired as a result of any previous employment or consulting arrangement or under a previous obligation of confidentiality; and (iv) that I have disclosed to the Company in writing any and all continuing obligations to previous employers or others that require me not to disclose any information to the Company.</w:t>
      </w:r>
    </w:p>
    <w:p>
      <w:pPr>
        <w:spacing w:after="0" w:line="158" w:lineRule="exact"/>
        <w:rPr>
          <w:rFonts w:ascii="Arial" w:cs="Arial" w:eastAsia="Arial" w:hAnsi="Arial"/>
          <w:sz w:val="15"/>
          <w:szCs w:val="15"/>
          <w:color w:val="auto"/>
        </w:rPr>
      </w:pPr>
    </w:p>
    <w:p>
      <w:pPr>
        <w:ind w:right="20" w:firstLine="549"/>
        <w:spacing w:after="0" w:line="264" w:lineRule="auto"/>
        <w:tabs>
          <w:tab w:leader="none" w:pos="1173" w:val="left"/>
        </w:tabs>
        <w:numPr>
          <w:ilvl w:val="0"/>
          <w:numId w:val="547"/>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While employed by the Company and thereafter, I shall not, directly or indirectly, use any Confidential Information (as hereinafter defined) other than pursuant to my employment by and for the benefit of the Company, or disclose any Confidential Information to anyone outside of the Company, whether by private communication, public address, publication or otherwise, or disclose any Confidential Information to anyone within the Company who has not been authorized to receive such information, except as directed in writing by an authorized representative of the Company. The term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as used throughout this Agreement shall mean all trade secrets, proprietary information, know-how, data, designs, specifications, processes, customer lists and other technical or business information (and any tangible evidence, record or representation thereof), whether prepared,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85990" cy="2730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conceived or developed by a consultant or employee of the Company (including myself) or received by the Company from an outside source, which is in the possession of the Company (whether or not the property of the Company), which in any way relates to the present or future business of the Company, which is maintained in confidence by the Company, or which might permit the Company or its customers to obtain a competitive advantage over competitors who do not have access to such trade secrets, proprietary information, or other data or information. Without limiting the generality of the foregoing. Confidential Information shall include, without limitation:</w:t>
      </w:r>
    </w:p>
    <w:p>
      <w:pPr>
        <w:spacing w:after="0" w:line="156" w:lineRule="exact"/>
        <w:rPr>
          <w:sz w:val="20"/>
          <w:szCs w:val="20"/>
          <w:color w:val="auto"/>
        </w:rPr>
      </w:pPr>
    </w:p>
    <w:p>
      <w:pPr>
        <w:ind w:right="80" w:firstLine="1104"/>
        <w:spacing w:after="0" w:line="268" w:lineRule="auto"/>
        <w:tabs>
          <w:tab w:leader="none" w:pos="1708" w:val="left"/>
        </w:tabs>
        <w:numPr>
          <w:ilvl w:val="0"/>
          <w:numId w:val="548"/>
        </w:numPr>
        <w:rPr>
          <w:rFonts w:ascii="Arial" w:cs="Arial" w:eastAsia="Arial" w:hAnsi="Arial"/>
          <w:sz w:val="15"/>
          <w:szCs w:val="15"/>
          <w:color w:val="auto"/>
        </w:rPr>
      </w:pPr>
      <w:r>
        <w:rPr>
          <w:rFonts w:ascii="Arial" w:cs="Arial" w:eastAsia="Arial" w:hAnsi="Arial"/>
          <w:sz w:val="15"/>
          <w:szCs w:val="15"/>
          <w:color w:val="auto"/>
        </w:rPr>
        <w:t>any idea, improvement, invention, innovation, development, concept, technical or clinical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56" w:lineRule="exact"/>
        <w:rPr>
          <w:rFonts w:ascii="Arial" w:cs="Arial" w:eastAsia="Arial" w:hAnsi="Arial"/>
          <w:sz w:val="15"/>
          <w:szCs w:val="15"/>
          <w:color w:val="auto"/>
        </w:rPr>
      </w:pPr>
    </w:p>
    <w:p>
      <w:pPr>
        <w:jc w:val="both"/>
        <w:ind w:right="140" w:firstLine="1104"/>
        <w:spacing w:after="0" w:line="273" w:lineRule="auto"/>
        <w:tabs>
          <w:tab w:leader="none" w:pos="1716" w:val="left"/>
        </w:tabs>
        <w:numPr>
          <w:ilvl w:val="0"/>
          <w:numId w:val="548"/>
        </w:numPr>
        <w:rPr>
          <w:rFonts w:ascii="Arial" w:cs="Arial" w:eastAsia="Arial" w:hAnsi="Arial"/>
          <w:sz w:val="15"/>
          <w:szCs w:val="15"/>
          <w:color w:val="auto"/>
        </w:rPr>
      </w:pPr>
      <w:r>
        <w:rPr>
          <w:rFonts w:ascii="Arial" w:cs="Arial" w:eastAsia="Arial" w:hAnsi="Arial"/>
          <w:sz w:val="15"/>
          <w:szCs w:val="15"/>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53" w:lineRule="exact"/>
        <w:rPr>
          <w:sz w:val="20"/>
          <w:szCs w:val="20"/>
          <w:color w:val="auto"/>
        </w:rPr>
      </w:pPr>
    </w:p>
    <w:p>
      <w:pPr>
        <w:ind w:right="60" w:firstLine="556"/>
        <w:spacing w:after="0" w:line="289" w:lineRule="auto"/>
        <w:rPr>
          <w:sz w:val="20"/>
          <w:szCs w:val="20"/>
          <w:color w:val="auto"/>
        </w:rPr>
      </w:pPr>
      <w:r>
        <w:rPr>
          <w:rFonts w:ascii="Arial" w:cs="Arial" w:eastAsia="Arial" w:hAnsi="Arial"/>
          <w:sz w:val="15"/>
          <w:szCs w:val="15"/>
          <w:color w:val="auto"/>
        </w:rPr>
        <w:t>Notwithstanding the foregoing, the term Confidential Information shall not apply to information which the Company has voluntarily disclosed to the public without restriction, or which has otherwise lawfully entered the public domain.</w:t>
      </w:r>
    </w:p>
    <w:p>
      <w:pPr>
        <w:spacing w:after="0" w:line="141" w:lineRule="exact"/>
        <w:rPr>
          <w:sz w:val="20"/>
          <w:szCs w:val="20"/>
          <w:color w:val="auto"/>
        </w:rPr>
      </w:pPr>
    </w:p>
    <w:p>
      <w:pPr>
        <w:ind w:right="200" w:firstLine="556"/>
        <w:spacing w:after="0" w:line="289" w:lineRule="auto"/>
        <w:rPr>
          <w:sz w:val="20"/>
          <w:szCs w:val="20"/>
          <w:color w:val="auto"/>
        </w:rPr>
      </w:pPr>
      <w:r>
        <w:rPr>
          <w:rFonts w:ascii="Arial" w:cs="Arial" w:eastAsia="Arial" w:hAnsi="Arial"/>
          <w:sz w:val="15"/>
          <w:szCs w:val="15"/>
          <w:color w:val="auto"/>
        </w:rPr>
        <w:t>I shall promptly notify my supervisor or any officer of the Company if I learn of any possible unauthorized use or disclosure of Confidential Information and shall cooperate fully with the Company to enforce its rights in such information.</w:t>
      </w:r>
    </w:p>
    <w:p>
      <w:pPr>
        <w:spacing w:after="0" w:line="141" w:lineRule="exact"/>
        <w:rPr>
          <w:sz w:val="20"/>
          <w:szCs w:val="20"/>
          <w:color w:val="auto"/>
        </w:rPr>
      </w:pPr>
    </w:p>
    <w:p>
      <w:pPr>
        <w:ind w:firstLine="556"/>
        <w:spacing w:after="0" w:line="327" w:lineRule="auto"/>
        <w:rPr>
          <w:sz w:val="20"/>
          <w:szCs w:val="20"/>
          <w:color w:val="auto"/>
        </w:rPr>
      </w:pPr>
      <w:r>
        <w:rPr>
          <w:rFonts w:ascii="Arial" w:cs="Arial" w:eastAsia="Arial" w:hAnsi="Arial"/>
          <w:sz w:val="14"/>
          <w:szCs w:val="14"/>
          <w:color w:val="auto"/>
        </w:rPr>
        <w:t>I understand that the Company from time to time has in its possession information (including product and development plans and specifications) which is claimed by customers and others to be proprietary and which the Company has agreed to keep confidential. I agree that all such information shall be Confidential Information for purposes of this Agreement.</w:t>
      </w:r>
    </w:p>
    <w:p>
      <w:pPr>
        <w:spacing w:after="0" w:line="117" w:lineRule="exact"/>
        <w:rPr>
          <w:sz w:val="20"/>
          <w:szCs w:val="20"/>
          <w:color w:val="auto"/>
        </w:rPr>
      </w:pPr>
    </w:p>
    <w:p>
      <w:pPr>
        <w:ind w:left="1160" w:hanging="611"/>
        <w:spacing w:after="0"/>
        <w:tabs>
          <w:tab w:leader="none" w:pos="1160" w:val="left"/>
        </w:tabs>
        <w:numPr>
          <w:ilvl w:val="0"/>
          <w:numId w:val="549"/>
        </w:numPr>
        <w:rPr>
          <w:rFonts w:ascii="Arial" w:cs="Arial" w:eastAsia="Arial" w:hAnsi="Arial"/>
          <w:sz w:val="15"/>
          <w:szCs w:val="15"/>
          <w:color w:val="auto"/>
        </w:rPr>
      </w:pPr>
      <w:r>
        <w:rPr>
          <w:rFonts w:ascii="Arial" w:cs="Arial" w:eastAsia="Arial" w:hAnsi="Arial"/>
          <w:sz w:val="15"/>
          <w:szCs w:val="15"/>
          <w:u w:val="single" w:color="auto"/>
          <w:color w:val="auto"/>
        </w:rPr>
        <w:t>Ownership and Assignment of Intellectual Property</w:t>
      </w:r>
      <w:r>
        <w:rPr>
          <w:rFonts w:ascii="Arial" w:cs="Arial" w:eastAsia="Arial" w:hAnsi="Arial"/>
          <w:sz w:val="15"/>
          <w:szCs w:val="15"/>
          <w:color w:val="auto"/>
        </w:rPr>
        <w:t>.</w:t>
      </w:r>
    </w:p>
    <w:p>
      <w:pPr>
        <w:sectPr>
          <w:pgSz w:w="11900" w:h="16838" w:orient="portrait"/>
          <w:cols w:equalWidth="0" w:num="1">
            <w:col w:w="11420"/>
          </w:cols>
          <w:pgMar w:left="240" w:top="314" w:right="239" w:bottom="0" w:gutter="0" w:footer="0" w:header="0"/>
        </w:sectPr>
      </w:pPr>
    </w:p>
    <w:bookmarkStart w:id="420" w:name="page421"/>
    <w:bookmarkEnd w:id="420"/>
    <w:p>
      <w:pPr>
        <w:ind w:right="40" w:firstLine="1104"/>
        <w:spacing w:after="0" w:line="302" w:lineRule="auto"/>
        <w:tabs>
          <w:tab w:leader="none" w:pos="1708" w:val="left"/>
        </w:tabs>
        <w:numPr>
          <w:ilvl w:val="0"/>
          <w:numId w:val="550"/>
        </w:numPr>
        <w:rPr>
          <w:rFonts w:ascii="Arial" w:cs="Arial" w:eastAsia="Arial" w:hAnsi="Arial"/>
          <w:sz w:val="14"/>
          <w:szCs w:val="14"/>
          <w:color w:val="auto"/>
        </w:rPr>
      </w:pPr>
      <w:r>
        <w:rPr>
          <w:rFonts w:ascii="Arial" w:cs="Arial" w:eastAsia="Arial" w:hAnsi="Arial"/>
          <w:sz w:val="14"/>
          <w:szCs w:val="14"/>
          <w:color w:val="auto"/>
        </w:rPr>
        <w:t>I agree that all originals and all copies of all manuscripts, drawings, prints, manuals, diagrams, letters, notes, notebooks, reports, models, records, files, memoranda, plans, sketches and all other documents and materials containing, representing, evidencing, recording, or constituting any Confidential Information (as defined in Section 2 above), however and whenever produced (whether by myself or others) during the course of my employment, shall be the sole property of the Company.</w:t>
      </w:r>
    </w:p>
    <w:p>
      <w:pPr>
        <w:spacing w:after="0" w:line="133" w:lineRule="exact"/>
        <w:rPr>
          <w:rFonts w:ascii="Arial" w:cs="Arial" w:eastAsia="Arial" w:hAnsi="Arial"/>
          <w:sz w:val="14"/>
          <w:szCs w:val="14"/>
          <w:color w:val="auto"/>
        </w:rPr>
      </w:pPr>
    </w:p>
    <w:p>
      <w:pPr>
        <w:ind w:right="540" w:firstLine="1104"/>
        <w:spacing w:after="0" w:line="289" w:lineRule="auto"/>
        <w:tabs>
          <w:tab w:leader="none" w:pos="1716" w:val="left"/>
        </w:tabs>
        <w:numPr>
          <w:ilvl w:val="0"/>
          <w:numId w:val="550"/>
        </w:numPr>
        <w:rPr>
          <w:rFonts w:ascii="Arial" w:cs="Arial" w:eastAsia="Arial" w:hAnsi="Arial"/>
          <w:sz w:val="15"/>
          <w:szCs w:val="15"/>
          <w:color w:val="auto"/>
        </w:rPr>
      </w:pPr>
      <w:r>
        <w:rPr>
          <w:rFonts w:ascii="Arial" w:cs="Arial" w:eastAsia="Arial" w:hAnsi="Arial"/>
          <w:sz w:val="15"/>
          <w:szCs w:val="15"/>
          <w:color w:val="auto"/>
        </w:rPr>
        <w:t>I agree that all Confidential Information and all other discoveries, inventions, ideas, concepts, trademarks, service marks, logos, processes, products, formulas, computer programs or software, source codes, object codes, algorithms, machines, apparatuses,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me, either alone or with others, and related to the business of the Company or to tasks assigned to me during the course of my employment, whether or not made during my regular working hours, whether or not conceived, developed, reduced to practice or made on the Company’s premises and whether or not disclosed by me to the Company (collectively “</w:t>
      </w:r>
      <w:r>
        <w:rPr>
          <w:rFonts w:ascii="Arial" w:cs="Arial" w:eastAsia="Arial" w:hAnsi="Arial"/>
          <w:sz w:val="15"/>
          <w:szCs w:val="15"/>
          <w:u w:val="single" w:color="auto"/>
          <w:color w:val="auto"/>
        </w:rPr>
        <w:t>Company Inventions</w:t>
      </w:r>
      <w:r>
        <w:rPr>
          <w:rFonts w:ascii="Arial" w:cs="Arial" w:eastAsia="Arial" w:hAnsi="Arial"/>
          <w:sz w:val="15"/>
          <w:szCs w:val="15"/>
          <w:color w:val="auto"/>
        </w:rPr>
        <w:t>”), and any and all services and products which embody, emulate or employ any such Company Invention or Confidential Information shall be the sole property of the Company and all copyrights, patents, patent rights, trademarks and reproduction rights to, and other proprietary rights in, each such Company Invention or Confidential Information, whether or not patentable or copyrightable, shall belong exclusively to the Company. For the avoidance of doubt, Confidential Information shall only include information that relates to the present or future business of the Company, and Company Inventions shall only include inventions that relate to the business of the Company or to tasks assigned to me during the course of my employment.</w:t>
      </w:r>
    </w:p>
    <w:p>
      <w:pPr>
        <w:spacing w:after="0" w:line="165" w:lineRule="exact"/>
        <w:rPr>
          <w:sz w:val="20"/>
          <w:szCs w:val="20"/>
          <w:color w:val="auto"/>
        </w:rPr>
      </w:pPr>
    </w:p>
    <w:p>
      <w:pPr>
        <w:ind w:right="80" w:firstLine="1104"/>
        <w:spacing w:after="0" w:line="264" w:lineRule="auto"/>
        <w:tabs>
          <w:tab w:leader="none" w:pos="1708" w:val="left"/>
        </w:tabs>
        <w:numPr>
          <w:ilvl w:val="1"/>
          <w:numId w:val="551"/>
        </w:numPr>
        <w:rPr>
          <w:rFonts w:ascii="Arial" w:cs="Arial" w:eastAsia="Arial" w:hAnsi="Arial"/>
          <w:sz w:val="15"/>
          <w:szCs w:val="15"/>
          <w:color w:val="auto"/>
        </w:rPr>
      </w:pPr>
      <w:r>
        <w:rPr>
          <w:rFonts w:ascii="Arial" w:cs="Arial" w:eastAsia="Arial" w:hAnsi="Arial"/>
          <w:sz w:val="15"/>
          <w:szCs w:val="15"/>
          <w:color w:val="auto"/>
        </w:rPr>
        <w:t>I agree to, and hereby do, assign to the Company all my right, title and interest throughout the world in and to all Company Inventions and to anything tangible which evidences, incorporates, constitutes, represents or records any Company Invention. I agree that all Company Inventions shall constitute works made for hire under the copyright laws of the United States and hereby assign and, to the extent any such assignment cannot be made at present, I hereby agree to assign to the Company all copyrights, patents and other proprietary rights I may have in any Company Inventions, together with the right to file for and/or own wholly without restriction United States and foreign patents, trademarks, and copyrights. I agree to waive, and hereby waive, all moral rights or proprietary rights in or to any Company Inventions and, to the extent that such rights may not be waived, agree not to assert such rights against the Company or its licensees, successors or assigns.</w:t>
      </w:r>
    </w:p>
    <w:p>
      <w:pPr>
        <w:spacing w:after="0" w:line="158" w:lineRule="exact"/>
        <w:rPr>
          <w:rFonts w:ascii="Arial" w:cs="Arial" w:eastAsia="Arial" w:hAnsi="Arial"/>
          <w:sz w:val="15"/>
          <w:szCs w:val="15"/>
          <w:color w:val="auto"/>
        </w:rPr>
      </w:pPr>
    </w:p>
    <w:p>
      <w:pPr>
        <w:ind w:right="20" w:firstLine="1104"/>
        <w:spacing w:after="0" w:line="273" w:lineRule="auto"/>
        <w:tabs>
          <w:tab w:leader="none" w:pos="1716" w:val="left"/>
        </w:tabs>
        <w:numPr>
          <w:ilvl w:val="1"/>
          <w:numId w:val="551"/>
        </w:numPr>
        <w:rPr>
          <w:rFonts w:ascii="Arial" w:cs="Arial" w:eastAsia="Arial" w:hAnsi="Arial"/>
          <w:sz w:val="15"/>
          <w:szCs w:val="15"/>
          <w:color w:val="auto"/>
        </w:rPr>
      </w:pPr>
      <w:r>
        <w:rPr>
          <w:rFonts w:ascii="Arial" w:cs="Arial" w:eastAsia="Arial" w:hAnsi="Arial"/>
          <w:sz w:val="15"/>
          <w:szCs w:val="15"/>
          <w:color w:val="auto"/>
        </w:rPr>
        <w:t xml:space="preserve">I hereby certify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sets forth any and all confidential information and intellectual property that I claim as my own or otherwise intend to exclude from this Agreement because it was developed by me prior to the date of this Agreement. I understand that after execution of this Agreement I shall have no right to exclude Confidential Information or Company Inventions from this Agreement.</w:t>
      </w:r>
    </w:p>
    <w:p>
      <w:pPr>
        <w:spacing w:after="0" w:line="152" w:lineRule="exact"/>
        <w:rPr>
          <w:rFonts w:ascii="Arial" w:cs="Arial" w:eastAsia="Arial" w:hAnsi="Arial"/>
          <w:sz w:val="15"/>
          <w:szCs w:val="15"/>
          <w:color w:val="auto"/>
        </w:rPr>
      </w:pPr>
    </w:p>
    <w:p>
      <w:pPr>
        <w:ind w:right="100" w:firstLine="549"/>
        <w:spacing w:after="0" w:line="273" w:lineRule="auto"/>
        <w:tabs>
          <w:tab w:leader="none" w:pos="1173" w:val="left"/>
        </w:tabs>
        <w:numPr>
          <w:ilvl w:val="0"/>
          <w:numId w:val="552"/>
        </w:numPr>
        <w:rPr>
          <w:rFonts w:ascii="Arial" w:cs="Arial" w:eastAsia="Arial" w:hAnsi="Arial"/>
          <w:sz w:val="15"/>
          <w:szCs w:val="15"/>
          <w:color w:val="auto"/>
        </w:rPr>
      </w:pPr>
      <w:r>
        <w:rPr>
          <w:rFonts w:ascii="Arial" w:cs="Arial" w:eastAsia="Arial" w:hAnsi="Arial"/>
          <w:sz w:val="15"/>
          <w:szCs w:val="15"/>
          <w:u w:val="single" w:color="auto"/>
          <w:color w:val="auto"/>
        </w:rPr>
        <w:t>Employee’s Obligation to Keep Records</w:t>
      </w:r>
      <w:r>
        <w:rPr>
          <w:rFonts w:ascii="Arial" w:cs="Arial" w:eastAsia="Arial" w:hAnsi="Arial"/>
          <w:sz w:val="15"/>
          <w:szCs w:val="15"/>
          <w:color w:val="auto"/>
        </w:rPr>
        <w:t>. I shall make and maintain adequate and current written records of all Company Inventions, including notebooks and invention disclosures, which records shall be available to and remain the property of the Company at all times. I shall disclose all Company Inventions promptly, fully and in writing to the Company immediately upon production or development of the same and at any time upon request.</w:t>
      </w:r>
    </w:p>
    <w:p>
      <w:pPr>
        <w:spacing w:after="0" w:line="152" w:lineRule="exact"/>
        <w:rPr>
          <w:rFonts w:ascii="Arial" w:cs="Arial" w:eastAsia="Arial" w:hAnsi="Arial"/>
          <w:sz w:val="15"/>
          <w:szCs w:val="15"/>
          <w:color w:val="auto"/>
        </w:rPr>
      </w:pPr>
    </w:p>
    <w:p>
      <w:pPr>
        <w:ind w:right="100" w:firstLine="549"/>
        <w:spacing w:after="0" w:line="273" w:lineRule="auto"/>
        <w:tabs>
          <w:tab w:leader="none" w:pos="1173" w:val="left"/>
        </w:tabs>
        <w:numPr>
          <w:ilvl w:val="0"/>
          <w:numId w:val="552"/>
        </w:numPr>
        <w:rPr>
          <w:rFonts w:ascii="Arial" w:cs="Arial" w:eastAsia="Arial" w:hAnsi="Arial"/>
          <w:sz w:val="15"/>
          <w:szCs w:val="15"/>
          <w:color w:val="auto"/>
        </w:rPr>
      </w:pPr>
      <w:r>
        <w:rPr>
          <w:rFonts w:ascii="Arial" w:cs="Arial" w:eastAsia="Arial" w:hAnsi="Arial"/>
          <w:sz w:val="15"/>
          <w:szCs w:val="15"/>
          <w:u w:val="single" w:color="auto"/>
          <w:color w:val="auto"/>
        </w:rPr>
        <w:t>Employee’s Obligation to Cooperate</w:t>
      </w:r>
      <w:r>
        <w:rPr>
          <w:rFonts w:ascii="Arial" w:cs="Arial" w:eastAsia="Arial" w:hAnsi="Arial"/>
          <w:sz w:val="15"/>
          <w:szCs w:val="15"/>
          <w:color w:val="auto"/>
        </w:rPr>
        <w:t>. I will, at any time during my employment, or after it terminates, upon request of the Company, execute all documents and perform all lawful acts which the Company considers necessary or advisable to secure its rights hereunder and to carry out the intent of this Agreement. Without limiting the generality of the foregoing, I will assist the Company in any reasonable manner to obtain for its own benefit patents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copyrights in any and all countries with respect to all Company Inventions assigned pursuant to Section 3, and I will execute, when requested, patent and other applications and assignments thereof to the Company, or persons designated by it, and any other lawful documents deemed necessary by the Company to carry out the purposes of this Agreement, and I will further assist the Company in every way to enforce any patents and copyrights obtained, including, without limitation, testifying in any suit or proceeding involving any of said patents or copyrights or executing any documents deemed necessary by the Company, all without further consideration than provided for herein. It is understood that reasonable out-of-pocket expenses of my assistance incurred at the request of the Company under this Section will be reimbursed by the Company.</w:t>
      </w:r>
    </w:p>
    <w:p>
      <w:pPr>
        <w:spacing w:after="0" w:line="143" w:lineRule="exact"/>
        <w:rPr>
          <w:sz w:val="20"/>
          <w:szCs w:val="20"/>
          <w:color w:val="auto"/>
        </w:rPr>
      </w:pPr>
    </w:p>
    <w:p>
      <w:pPr>
        <w:ind w:firstLine="549"/>
        <w:spacing w:after="0" w:line="265" w:lineRule="auto"/>
        <w:tabs>
          <w:tab w:leader="none" w:pos="1173" w:val="left"/>
        </w:tabs>
        <w:numPr>
          <w:ilvl w:val="0"/>
          <w:numId w:val="553"/>
        </w:numPr>
        <w:rPr>
          <w:rFonts w:ascii="Arial" w:cs="Arial" w:eastAsia="Arial" w:hAnsi="Arial"/>
          <w:sz w:val="15"/>
          <w:szCs w:val="15"/>
          <w:color w:val="auto"/>
        </w:rPr>
      </w:pPr>
      <w:r>
        <w:rPr>
          <w:rFonts w:ascii="Arial" w:cs="Arial" w:eastAsia="Arial" w:hAnsi="Arial"/>
          <w:sz w:val="15"/>
          <w:szCs w:val="15"/>
          <w:u w:val="single" w:color="auto"/>
          <w:color w:val="auto"/>
        </w:rPr>
        <w:t>Noncompetition and Non-solicitation</w:t>
      </w:r>
      <w:r>
        <w:rPr>
          <w:rFonts w:ascii="Arial" w:cs="Arial" w:eastAsia="Arial" w:hAnsi="Arial"/>
          <w:sz w:val="15"/>
          <w:szCs w:val="15"/>
          <w:color w:val="auto"/>
        </w:rPr>
        <w:t>. During my employment with the Company and for a period of 12 months after the termination of my employment with the Company for any reason, I shall not, without the Company’s prior written consent, on my own behalf, or as owner, manager, stockholder, consultant, director, officer, or employee of any business entity (except as a holder of not more than three (3%) percent of the stock of a publicly held company) participate in any capacity in any business activity that is in direct competition with any of the products or services being developed, marketed, distributed, planned, sold or otherwise provided by the Company or its affiliates at the time of, or during the 12 months preceding, my termination.</w:t>
      </w:r>
    </w:p>
    <w:p>
      <w:pPr>
        <w:spacing w:after="0" w:line="160" w:lineRule="exact"/>
        <w:rPr>
          <w:sz w:val="20"/>
          <w:szCs w:val="20"/>
          <w:color w:val="auto"/>
        </w:rPr>
      </w:pPr>
    </w:p>
    <w:p>
      <w:pPr>
        <w:ind w:right="120" w:firstLine="556"/>
        <w:spacing w:after="0" w:line="289" w:lineRule="auto"/>
        <w:rPr>
          <w:sz w:val="20"/>
          <w:szCs w:val="20"/>
          <w:color w:val="auto"/>
        </w:rPr>
      </w:pPr>
      <w:r>
        <w:rPr>
          <w:rFonts w:ascii="Arial" w:cs="Arial" w:eastAsia="Arial" w:hAnsi="Arial"/>
          <w:sz w:val="15"/>
          <w:szCs w:val="15"/>
          <w:color w:val="auto"/>
        </w:rPr>
        <w:t>During my employment with the Company and for a period of 12 months after the termination of my employment with the Company for any reason, I shall not solicit, induce or encourage any employee of the Company to terminate his or her employment with the Company.</w:t>
      </w:r>
    </w:p>
    <w:p>
      <w:pPr>
        <w:spacing w:after="0" w:line="141" w:lineRule="exact"/>
        <w:rPr>
          <w:sz w:val="20"/>
          <w:szCs w:val="20"/>
          <w:color w:val="auto"/>
        </w:rPr>
      </w:pPr>
    </w:p>
    <w:p>
      <w:pPr>
        <w:ind w:right="40" w:firstLine="549"/>
        <w:spacing w:after="0" w:line="261" w:lineRule="auto"/>
        <w:tabs>
          <w:tab w:leader="none" w:pos="1173" w:val="left"/>
        </w:tabs>
        <w:numPr>
          <w:ilvl w:val="0"/>
          <w:numId w:val="554"/>
        </w:numPr>
        <w:rPr>
          <w:rFonts w:ascii="Arial" w:cs="Arial" w:eastAsia="Arial" w:hAnsi="Arial"/>
          <w:sz w:val="15"/>
          <w:szCs w:val="15"/>
          <w:color w:val="auto"/>
        </w:rPr>
      </w:pPr>
      <w:r>
        <w:rPr>
          <w:rFonts w:ascii="Arial" w:cs="Arial" w:eastAsia="Arial" w:hAnsi="Arial"/>
          <w:sz w:val="15"/>
          <w:szCs w:val="15"/>
          <w:u w:val="single" w:color="auto"/>
          <w:color w:val="auto"/>
        </w:rPr>
        <w:t>Return of Property</w:t>
      </w:r>
      <w:r>
        <w:rPr>
          <w:rFonts w:ascii="Arial" w:cs="Arial" w:eastAsia="Arial" w:hAnsi="Arial"/>
          <w:sz w:val="15"/>
          <w:szCs w:val="15"/>
          <w:color w:val="auto"/>
        </w:rPr>
        <w:t>. Upon termination of my employment with the Company, or at any other time upon request of the Company, I shall cease using and return promptly any and all customer or prospective customer lists, other customer or prospective customer information or related materials, computer programs, software, electronic data, specifications, drawings, blueprints, data storage devices, reproductions, sketches, notes, notebooks, memoranda, reports, records, proposals, business plans, or copies of them, other documents or materials, tools, equipment, or other property belonging to the Company or its customers which I may then possess or have under my direct or indirect control. I further agree that upon termination of employment, I shall not take with me any documents or data in any form or of any description containing or pertaining to Confidential Information or Company Inventions, other than documents I have a right to retain under applicable law (with the understanding that my obligations under this Agreement continue to apply to any such retained documents). For purposes of clarity, using best efforts to completely remove (with the Company’s prior written permission) from any personal computer, laptop, smart phone, IPad, or any other electronic device, any Company Property that I have previously returned to the Company in accordance with this Section 7 satisfies my obligations under this section.</w:t>
      </w:r>
    </w:p>
    <w:p>
      <w:pPr>
        <w:spacing w:after="0" w:line="164" w:lineRule="exact"/>
        <w:rPr>
          <w:rFonts w:ascii="Arial" w:cs="Arial" w:eastAsia="Arial" w:hAnsi="Arial"/>
          <w:sz w:val="15"/>
          <w:szCs w:val="15"/>
          <w:color w:val="auto"/>
        </w:rPr>
      </w:pPr>
    </w:p>
    <w:p>
      <w:pPr>
        <w:ind w:right="260" w:firstLine="549"/>
        <w:spacing w:after="0" w:line="334" w:lineRule="auto"/>
        <w:tabs>
          <w:tab w:leader="none" w:pos="1173" w:val="left"/>
        </w:tabs>
        <w:numPr>
          <w:ilvl w:val="0"/>
          <w:numId w:val="554"/>
        </w:numPr>
        <w:rPr>
          <w:rFonts w:ascii="Arial" w:cs="Arial" w:eastAsia="Arial" w:hAnsi="Arial"/>
          <w:sz w:val="13"/>
          <w:szCs w:val="13"/>
          <w:color w:val="auto"/>
        </w:rPr>
      </w:pPr>
      <w:r>
        <w:rPr>
          <w:rFonts w:ascii="Arial" w:cs="Arial" w:eastAsia="Arial" w:hAnsi="Arial"/>
          <w:sz w:val="13"/>
          <w:szCs w:val="13"/>
          <w:u w:val="single" w:color="auto"/>
          <w:color w:val="auto"/>
        </w:rPr>
        <w:t>Other Obligations</w:t>
      </w:r>
      <w:r>
        <w:rPr>
          <w:rFonts w:ascii="Arial" w:cs="Arial" w:eastAsia="Arial" w:hAnsi="Arial"/>
          <w:sz w:val="13"/>
          <w:szCs w:val="13"/>
          <w:color w:val="auto"/>
        </w:rPr>
        <w:t>. I acknowledge that the Company from time to time may have agreements with other persons, including the government of the United States or other countries and agencies thereof, which impose obligations or restrictions on the Company regarding inventions made during the course of work thereunder or regarding the confidential nature of such work. I agree to be bound by all such obligations and restrictions and to take all action necessary to discharge the obligations of the Company thereunder.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60" w:hanging="611"/>
        <w:spacing w:after="0"/>
        <w:tabs>
          <w:tab w:leader="none" w:pos="1160" w:val="left"/>
        </w:tabs>
        <w:numPr>
          <w:ilvl w:val="0"/>
          <w:numId w:val="555"/>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20" w:firstLine="1104"/>
        <w:spacing w:after="0" w:line="273" w:lineRule="auto"/>
        <w:tabs>
          <w:tab w:leader="none" w:pos="1708" w:val="left"/>
        </w:tabs>
        <w:numPr>
          <w:ilvl w:val="1"/>
          <w:numId w:val="555"/>
        </w:numPr>
        <w:rPr>
          <w:rFonts w:ascii="Arial" w:cs="Arial" w:eastAsia="Arial" w:hAnsi="Arial"/>
          <w:sz w:val="15"/>
          <w:szCs w:val="15"/>
          <w:color w:val="auto"/>
        </w:rPr>
      </w:pPr>
      <w:r>
        <w:rPr>
          <w:rFonts w:ascii="Arial" w:cs="Arial" w:eastAsia="Arial" w:hAnsi="Arial"/>
          <w:sz w:val="15"/>
          <w:szCs w:val="15"/>
          <w:color w:val="auto"/>
        </w:rPr>
        <w:t>This Agreement contains the entire and only agreement between me and the Company with respect to the subject matter hereof, superseding any previous oral or written communications, representations, understandings, or agreements with the Company or any officer or representative hereof. In the event of any inconsistency between this Agreement and any other contract between me and the Company, the provisions of this Agreement shall prevail.</w:t>
      </w:r>
    </w:p>
    <w:p>
      <w:pPr>
        <w:spacing w:after="0" w:line="152" w:lineRule="exact"/>
        <w:rPr>
          <w:rFonts w:ascii="Arial" w:cs="Arial" w:eastAsia="Arial" w:hAnsi="Arial"/>
          <w:sz w:val="15"/>
          <w:szCs w:val="15"/>
          <w:color w:val="auto"/>
        </w:rPr>
      </w:pPr>
    </w:p>
    <w:p>
      <w:pPr>
        <w:ind w:right="20" w:firstLine="1104"/>
        <w:spacing w:after="0" w:line="268" w:lineRule="auto"/>
        <w:tabs>
          <w:tab w:leader="none" w:pos="1716" w:val="left"/>
        </w:tabs>
        <w:numPr>
          <w:ilvl w:val="1"/>
          <w:numId w:val="555"/>
        </w:numPr>
        <w:rPr>
          <w:rFonts w:ascii="Arial" w:cs="Arial" w:eastAsia="Arial" w:hAnsi="Arial"/>
          <w:sz w:val="15"/>
          <w:szCs w:val="15"/>
          <w:color w:val="auto"/>
        </w:rPr>
      </w:pPr>
      <w:r>
        <w:rPr>
          <w:rFonts w:ascii="Arial" w:cs="Arial" w:eastAsia="Arial" w:hAnsi="Arial"/>
          <w:sz w:val="15"/>
          <w:szCs w:val="15"/>
          <w:color w:val="auto"/>
        </w:rPr>
        <w:t>My obligations under Sections 2, 3, 5, 6 (for the periods set forth therein), 7, 8 and 9 of this Agreement shall survive the termination of my employment with the Company regardless of the manner of or reasons for such termination, and regardless of whether such termination constitutes a breach of any other agreement I may have with the Company. My obligations under this Agreement shall be binding upon my heirs, assigns, executors, administrators and representatives, and the provisions of this Agreement shall inure to the benefit of and be binding on the successors and assigns of the Company.</w:t>
      </w:r>
    </w:p>
    <w:p>
      <w:pPr>
        <w:sectPr>
          <w:pgSz w:w="11900" w:h="16838" w:orient="portrait"/>
          <w:cols w:equalWidth="0" w:num="1">
            <w:col w:w="11420"/>
          </w:cols>
          <w:pgMar w:left="240" w:top="129" w:right="239" w:bottom="0" w:gutter="0" w:footer="0" w:header="0"/>
        </w:sectPr>
      </w:pPr>
    </w:p>
    <w:bookmarkStart w:id="421" w:name="page422"/>
    <w:bookmarkEnd w:id="421"/>
    <w:p>
      <w:pPr>
        <w:ind w:right="40" w:firstLine="1104"/>
        <w:spacing w:after="0" w:line="264" w:lineRule="auto"/>
        <w:tabs>
          <w:tab w:leader="none" w:pos="1708" w:val="left"/>
        </w:tabs>
        <w:numPr>
          <w:ilvl w:val="0"/>
          <w:numId w:val="556"/>
        </w:numPr>
        <w:rPr>
          <w:rFonts w:ascii="Arial" w:cs="Arial" w:eastAsia="Arial" w:hAnsi="Arial"/>
          <w:sz w:val="15"/>
          <w:szCs w:val="15"/>
          <w:color w:val="auto"/>
        </w:rPr>
      </w:pPr>
      <w:r>
        <w:rPr>
          <w:rFonts w:ascii="Arial" w:cs="Arial" w:eastAsia="Arial" w:hAnsi="Arial"/>
          <w:sz w:val="15"/>
          <w:szCs w:val="15"/>
          <w:color w:val="auto"/>
        </w:rPr>
        <w:t>If any provision of this Agreement shall be determined to be unenforceable by any court of competent jurisdiction by reason of its extending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immediately preceding sentence, any provision of this Agreement shall be determined to be invalid, illegal or otherwise unenforceable by any court of competent jurisdiction, the validity, legality and enforceability of the other provisions of this Agreement shall not be affected thereby. Except as otherwise provided in this paragraph, any invalid, illegal or unenforceable provision of this Agreement shall be severable, and after any such severance, all other provisions hereof shall remain in full force and effect.</w:t>
      </w:r>
    </w:p>
    <w:p>
      <w:pPr>
        <w:spacing w:after="0" w:line="158" w:lineRule="exact"/>
        <w:rPr>
          <w:rFonts w:ascii="Arial" w:cs="Arial" w:eastAsia="Arial" w:hAnsi="Arial"/>
          <w:sz w:val="15"/>
          <w:szCs w:val="15"/>
          <w:color w:val="auto"/>
        </w:rPr>
      </w:pPr>
    </w:p>
    <w:p>
      <w:pPr>
        <w:ind w:right="100" w:firstLine="1104"/>
        <w:spacing w:after="0" w:line="268" w:lineRule="auto"/>
        <w:tabs>
          <w:tab w:leader="none" w:pos="1716" w:val="left"/>
        </w:tabs>
        <w:numPr>
          <w:ilvl w:val="0"/>
          <w:numId w:val="556"/>
        </w:numPr>
        <w:rPr>
          <w:rFonts w:ascii="Arial" w:cs="Arial" w:eastAsia="Arial" w:hAnsi="Arial"/>
          <w:sz w:val="15"/>
          <w:szCs w:val="15"/>
          <w:color w:val="auto"/>
        </w:rPr>
      </w:pPr>
      <w:r>
        <w:rPr>
          <w:rFonts w:ascii="Arial" w:cs="Arial" w:eastAsia="Arial" w:hAnsi="Arial"/>
          <w:sz w:val="15"/>
          <w:szCs w:val="15"/>
          <w:color w:val="auto"/>
        </w:rPr>
        <w:t>I acknowledge and agree that violation of this Agreement by me would cause irreparable harm to the Company not adequately compensable by money damages alone, and I therefore agree that, in addition to all other remedies available to the Company at law, in equity or otherwise, the Company shall be entitled to injunctive relief to prevent an actual or threatened violation of this Agreement and to enforce the provisions hereof, without showing or proving any actual damage to the Company or posting any bond in connection therewith.</w:t>
      </w:r>
    </w:p>
    <w:p>
      <w:pPr>
        <w:spacing w:after="0" w:line="156" w:lineRule="exact"/>
        <w:rPr>
          <w:rFonts w:ascii="Arial" w:cs="Arial" w:eastAsia="Arial" w:hAnsi="Arial"/>
          <w:sz w:val="15"/>
          <w:szCs w:val="15"/>
          <w:color w:val="auto"/>
        </w:rPr>
      </w:pPr>
    </w:p>
    <w:p>
      <w:pPr>
        <w:ind w:right="20" w:firstLine="1104"/>
        <w:spacing w:after="0" w:line="273" w:lineRule="auto"/>
        <w:tabs>
          <w:tab w:leader="none" w:pos="1708" w:val="left"/>
        </w:tabs>
        <w:numPr>
          <w:ilvl w:val="0"/>
          <w:numId w:val="556"/>
        </w:numPr>
        <w:rPr>
          <w:rFonts w:ascii="Arial" w:cs="Arial" w:eastAsia="Arial" w:hAnsi="Arial"/>
          <w:sz w:val="15"/>
          <w:szCs w:val="15"/>
          <w:color w:val="auto"/>
        </w:rPr>
      </w:pPr>
      <w:r>
        <w:rPr>
          <w:rFonts w:ascii="Arial" w:cs="Arial" w:eastAsia="Arial" w:hAnsi="Arial"/>
          <w:sz w:val="15"/>
          <w:szCs w:val="15"/>
          <w:color w:val="auto"/>
        </w:rPr>
        <w:t>No failure by the Company to insist upon strict compliance with any of the terms, covenants, or conditions hereof, and no delay or omission by the Company in exercising any right under this Agreement, will operate as a waiver of such terms, covenants, conditions or rights. A waiver or consent given by the Company on any one occasion is effective only in that instance and will not be construed as a bar to or waiver of any right on any other occasion.</w:t>
      </w:r>
    </w:p>
    <w:p>
      <w:pPr>
        <w:spacing w:after="0" w:line="152" w:lineRule="exact"/>
        <w:rPr>
          <w:rFonts w:ascii="Arial" w:cs="Arial" w:eastAsia="Arial" w:hAnsi="Arial"/>
          <w:sz w:val="15"/>
          <w:szCs w:val="15"/>
          <w:color w:val="auto"/>
        </w:rPr>
      </w:pPr>
    </w:p>
    <w:p>
      <w:pPr>
        <w:ind w:right="360" w:firstLine="1104"/>
        <w:spacing w:after="0" w:line="289" w:lineRule="auto"/>
        <w:tabs>
          <w:tab w:leader="none" w:pos="1729" w:val="left"/>
        </w:tabs>
        <w:numPr>
          <w:ilvl w:val="0"/>
          <w:numId w:val="556"/>
        </w:numPr>
        <w:rPr>
          <w:rFonts w:ascii="Arial" w:cs="Arial" w:eastAsia="Arial" w:hAnsi="Arial"/>
          <w:sz w:val="15"/>
          <w:szCs w:val="15"/>
          <w:color w:val="auto"/>
        </w:rPr>
      </w:pPr>
      <w:r>
        <w:rPr>
          <w:rFonts w:ascii="Arial" w:cs="Arial" w:eastAsia="Arial" w:hAnsi="Arial"/>
          <w:sz w:val="15"/>
          <w:szCs w:val="15"/>
          <w:color w:val="auto"/>
        </w:rPr>
        <w:t>This Agreement may not be changed, modified, released, discharged, abandoned, or otherwise amended, in whole or in part, except by an instrument in writing signed by me and the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firstLine="1104"/>
        <w:spacing w:after="0" w:line="289" w:lineRule="auto"/>
        <w:tabs>
          <w:tab w:leader="none" w:pos="1716" w:val="left"/>
        </w:tabs>
        <w:numPr>
          <w:ilvl w:val="0"/>
          <w:numId w:val="557"/>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and enforced in accordance with, the laws of The Commonwealth of Massachusetts, without regard to its principles of conflicts of laws. This Agreement is executed under seal.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640"/>
        <w:spacing w:after="0" w:line="273" w:lineRule="auto"/>
        <w:rPr>
          <w:sz w:val="20"/>
          <w:szCs w:val="20"/>
          <w:color w:val="auto"/>
        </w:rPr>
      </w:pPr>
      <w:r>
        <w:rPr>
          <w:rFonts w:ascii="Arial" w:cs="Arial" w:eastAsia="Arial" w:hAnsi="Arial"/>
          <w:sz w:val="15"/>
          <w:szCs w:val="15"/>
          <w:color w:val="auto"/>
        </w:rPr>
        <w:t>BY PLACING MY SIGNATURE HEREUNDER, I ACKNOWLEDGE THAT I HAVE HAD THE OPPORTUNITY TO SEEK THE ADVICE OF INDEPENDENT LEGAL COUNSEL AND I HAVE READ ALL THE PROVISIONS OF THIS EMPLOYEE NONDISCLOSURE, NONCOMPETITION AND ASSIGNMENT OF INTELLECTUAL PROPERTY AGREEMENT AND THAT I AGREE TO ALL OF ITS TERMS.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Effective Date: June 6, 2016</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EMPLOYEE:</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David Abraham</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167"/>
        </w:trPr>
        <w:tc>
          <w:tcPr>
            <w:tcW w:w="76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Signature</w:t>
            </w:r>
          </w:p>
        </w:tc>
        <w:tc>
          <w:tcPr>
            <w:tcW w:w="4960" w:type="dxa"/>
            <w:vAlign w:val="bottom"/>
            <w:tcBorders>
              <w:top w:val="single" w:sz="8" w:color="auto"/>
            </w:tcBorders>
          </w:tcPr>
          <w:p>
            <w:pPr>
              <w:spacing w:after="0"/>
              <w:rPr>
                <w:sz w:val="14"/>
                <w:szCs w:val="14"/>
                <w:color w:val="auto"/>
              </w:rPr>
            </w:pP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Name:</w:t>
            </w:r>
          </w:p>
        </w:tc>
        <w:tc>
          <w:tcPr>
            <w:tcW w:w="4960" w:type="dxa"/>
            <w:vAlign w:val="bottom"/>
          </w:tcPr>
          <w:p>
            <w:pPr>
              <w:ind w:left="160"/>
              <w:spacing w:after="0"/>
              <w:rPr>
                <w:sz w:val="20"/>
                <w:szCs w:val="20"/>
                <w:color w:val="auto"/>
              </w:rPr>
            </w:pPr>
            <w:r>
              <w:rPr>
                <w:rFonts w:ascii="Arial" w:cs="Arial" w:eastAsia="Arial" w:hAnsi="Arial"/>
                <w:sz w:val="15"/>
                <w:szCs w:val="15"/>
                <w:color w:val="auto"/>
              </w:rPr>
              <w:t>David Abraham</w:t>
            </w:r>
          </w:p>
        </w:tc>
      </w:tr>
      <w:tr>
        <w:trPr>
          <w:trHeight w:val="371"/>
        </w:trPr>
        <w:tc>
          <w:tcPr>
            <w:tcW w:w="760" w:type="dxa"/>
            <w:vAlign w:val="bottom"/>
          </w:tcPr>
          <w:p>
            <w:pPr>
              <w:spacing w:after="0"/>
              <w:rPr>
                <w:sz w:val="20"/>
                <w:szCs w:val="20"/>
                <w:color w:val="auto"/>
              </w:rPr>
            </w:pPr>
            <w:r>
              <w:rPr>
                <w:rFonts w:ascii="Arial" w:cs="Arial" w:eastAsia="Arial" w:hAnsi="Arial"/>
                <w:sz w:val="15"/>
                <w:szCs w:val="15"/>
                <w:color w:val="auto"/>
              </w:rPr>
              <w:t>Address:</w:t>
            </w:r>
          </w:p>
        </w:tc>
        <w:tc>
          <w:tcPr>
            <w:tcW w:w="4960" w:type="dxa"/>
            <w:vAlign w:val="bottom"/>
          </w:tcPr>
          <w:p>
            <w:pPr>
              <w:ind w:left="160"/>
              <w:spacing w:after="0"/>
              <w:rPr>
                <w:sz w:val="20"/>
                <w:szCs w:val="20"/>
                <w:color w:val="auto"/>
              </w:rPr>
            </w:pPr>
            <w:r>
              <w:rPr>
                <w:rFonts w:ascii="Arial" w:cs="Arial" w:eastAsia="Arial" w:hAnsi="Arial"/>
                <w:sz w:val="15"/>
                <w:szCs w:val="15"/>
                <w:color w:val="auto"/>
              </w:rPr>
              <w:t>[***]</w:t>
            </w:r>
          </w:p>
        </w:tc>
      </w:tr>
    </w:tbl>
    <w:p>
      <w:pPr>
        <w:spacing w:after="0" w:line="36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Accepted and Agreed:</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-108585</wp:posOffset>
            </wp:positionV>
            <wp:extent cx="3279775" cy="762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327977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Excluded Confidential Information and Inventions</w:t>
      </w:r>
    </w:p>
    <w:p>
      <w:pPr>
        <w:spacing w:after="0" w:line="198"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Phoenix Pharmaceutical Group: any confidential information or inventions that do not in any way relate to the present or future business of the Company and were generated as a result of PPG investment or start-up incubator activities</w:t>
      </w:r>
    </w:p>
    <w:p>
      <w:pPr>
        <w:spacing w:after="0" w:line="141"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Innovation Legal Group: any confidential information or inventions that do not in any way relate to the present or future business of the Company and were generated as a result of ILG legal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285990" cy="2730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Indemnification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422" w:name="page423"/>
    <w:bookmarkEnd w:id="422"/>
    <w:p>
      <w:pPr>
        <w:jc w:val="right"/>
        <w:spacing w:after="0"/>
        <w:rPr>
          <w:sz w:val="20"/>
          <w:szCs w:val="20"/>
          <w:color w:val="auto"/>
        </w:rPr>
      </w:pPr>
      <w:r>
        <w:rPr>
          <w:rFonts w:ascii="Arial" w:cs="Arial" w:eastAsia="Arial" w:hAnsi="Arial"/>
          <w:sz w:val="15"/>
          <w:szCs w:val="15"/>
          <w:b w:val="1"/>
          <w:bCs w:val="1"/>
          <w:color w:val="auto"/>
        </w:rPr>
        <w:t>Exhibit 10.23</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Employment Agreement</w:t>
      </w:r>
    </w:p>
    <w:p>
      <w:pPr>
        <w:spacing w:after="0" w:line="204" w:lineRule="exact"/>
        <w:rPr>
          <w:sz w:val="20"/>
          <w:szCs w:val="20"/>
          <w:color w:val="auto"/>
        </w:rPr>
      </w:pPr>
    </w:p>
    <w:p>
      <w:pPr>
        <w:ind w:left="7" w:right="440" w:firstLine="556"/>
        <w:spacing w:after="0" w:line="327" w:lineRule="auto"/>
        <w:rPr>
          <w:sz w:val="20"/>
          <w:szCs w:val="20"/>
          <w:color w:val="auto"/>
        </w:rPr>
      </w:pPr>
      <w:r>
        <w:rPr>
          <w:rFonts w:ascii="Arial" w:cs="Arial" w:eastAsia="Arial" w:hAnsi="Arial"/>
          <w:sz w:val="14"/>
          <w:szCs w:val="14"/>
          <w:color w:val="auto"/>
        </w:rPr>
        <w:t>This Employment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June 6, 2016, is made by and between Selecta Biosciences, Inc., a Delaware corporation (together with any successor thereto, the “</w:t>
      </w:r>
      <w:r>
        <w:rPr>
          <w:rFonts w:ascii="Arial" w:cs="Arial" w:eastAsia="Arial" w:hAnsi="Arial"/>
          <w:sz w:val="14"/>
          <w:szCs w:val="14"/>
          <w:u w:val="single" w:color="auto"/>
          <w:color w:val="auto"/>
        </w:rPr>
        <w:t>Company</w:t>
      </w:r>
      <w:r>
        <w:rPr>
          <w:rFonts w:ascii="Arial" w:cs="Arial" w:eastAsia="Arial" w:hAnsi="Arial"/>
          <w:sz w:val="14"/>
          <w:szCs w:val="14"/>
          <w:color w:val="auto"/>
        </w:rPr>
        <w:t>”), and David Siewers, CPA (“</w:t>
      </w:r>
      <w:r>
        <w:rPr>
          <w:rFonts w:ascii="Arial" w:cs="Arial" w:eastAsia="Arial" w:hAnsi="Arial"/>
          <w:sz w:val="14"/>
          <w:szCs w:val="14"/>
          <w:u w:val="single" w:color="auto"/>
          <w:color w:val="auto"/>
        </w:rPr>
        <w:t>Executive</w:t>
      </w:r>
      <w:r>
        <w:rPr>
          <w:rFonts w:ascii="Arial" w:cs="Arial" w:eastAsia="Arial" w:hAnsi="Arial"/>
          <w:sz w:val="14"/>
          <w:szCs w:val="14"/>
          <w:color w:val="auto"/>
        </w:rPr>
        <w:t>”) (collectively referred to as the “</w:t>
      </w:r>
      <w:r>
        <w:rPr>
          <w:rFonts w:ascii="Arial" w:cs="Arial" w:eastAsia="Arial" w:hAnsi="Arial"/>
          <w:sz w:val="14"/>
          <w:szCs w:val="14"/>
          <w:u w:val="single" w:color="auto"/>
          <w:color w:val="auto"/>
        </w:rPr>
        <w:t>Parties</w:t>
      </w:r>
      <w:r>
        <w:rPr>
          <w:rFonts w:ascii="Arial" w:cs="Arial" w:eastAsia="Arial" w:hAnsi="Arial"/>
          <w:sz w:val="14"/>
          <w:szCs w:val="14"/>
          <w:color w:val="auto"/>
        </w:rPr>
        <w:t>” or individually referred to as a “</w:t>
      </w:r>
      <w:r>
        <w:rPr>
          <w:rFonts w:ascii="Arial" w:cs="Arial" w:eastAsia="Arial" w:hAnsi="Arial"/>
          <w:sz w:val="14"/>
          <w:szCs w:val="14"/>
          <w:u w:val="single" w:color="auto"/>
          <w:color w:val="auto"/>
        </w:rPr>
        <w:t>Party</w:t>
      </w:r>
      <w:r>
        <w:rPr>
          <w:rFonts w:ascii="Arial" w:cs="Arial" w:eastAsia="Arial" w:hAnsi="Arial"/>
          <w:sz w:val="14"/>
          <w:szCs w:val="14"/>
          <w:color w:val="auto"/>
        </w:rPr>
        <w:t>”).</w:t>
      </w:r>
    </w:p>
    <w:p>
      <w:pPr>
        <w:spacing w:after="0" w:line="11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RECITALS</w:t>
      </w:r>
    </w:p>
    <w:p>
      <w:pPr>
        <w:spacing w:after="0" w:line="204" w:lineRule="exact"/>
        <w:rPr>
          <w:sz w:val="20"/>
          <w:szCs w:val="20"/>
          <w:color w:val="auto"/>
        </w:rPr>
      </w:pPr>
    </w:p>
    <w:p>
      <w:pPr>
        <w:ind w:left="567" w:hanging="567"/>
        <w:spacing w:after="0"/>
        <w:tabs>
          <w:tab w:leader="none" w:pos="567" w:val="left"/>
        </w:tabs>
        <w:numPr>
          <w:ilvl w:val="0"/>
          <w:numId w:val="558"/>
        </w:numPr>
        <w:rPr>
          <w:rFonts w:ascii="Arial" w:cs="Arial" w:eastAsia="Arial" w:hAnsi="Arial"/>
          <w:sz w:val="14"/>
          <w:szCs w:val="14"/>
          <w:color w:val="auto"/>
        </w:rPr>
      </w:pPr>
      <w:r>
        <w:rPr>
          <w:rFonts w:ascii="Arial" w:cs="Arial" w:eastAsia="Arial" w:hAnsi="Arial"/>
          <w:sz w:val="14"/>
          <w:szCs w:val="14"/>
          <w:color w:val="auto"/>
        </w:rPr>
        <w:t>It is the desire of the Company to assure itself of the services of Executive following the Effective Date (as defined below) and thereafter by entering into this Agreement.</w:t>
      </w:r>
    </w:p>
    <w:p>
      <w:pPr>
        <w:spacing w:after="0" w:line="209" w:lineRule="exact"/>
        <w:rPr>
          <w:rFonts w:ascii="Arial" w:cs="Arial" w:eastAsia="Arial" w:hAnsi="Arial"/>
          <w:sz w:val="14"/>
          <w:szCs w:val="14"/>
          <w:color w:val="auto"/>
        </w:rPr>
      </w:pPr>
    </w:p>
    <w:p>
      <w:pPr>
        <w:ind w:left="567" w:hanging="567"/>
        <w:spacing w:after="0"/>
        <w:tabs>
          <w:tab w:leader="none" w:pos="567" w:val="left"/>
        </w:tabs>
        <w:numPr>
          <w:ilvl w:val="0"/>
          <w:numId w:val="558"/>
        </w:numPr>
        <w:rPr>
          <w:rFonts w:ascii="Arial" w:cs="Arial" w:eastAsia="Arial" w:hAnsi="Arial"/>
          <w:sz w:val="15"/>
          <w:szCs w:val="15"/>
          <w:color w:val="auto"/>
        </w:rPr>
      </w:pPr>
      <w:r>
        <w:rPr>
          <w:rFonts w:ascii="Arial" w:cs="Arial" w:eastAsia="Arial" w:hAnsi="Arial"/>
          <w:sz w:val="15"/>
          <w:szCs w:val="15"/>
          <w:color w:val="auto"/>
        </w:rPr>
        <w:t>Executive and the Company mutually desire that Executive provide services to the Company on the terms herein provided.</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AGREEMENT</w:t>
      </w:r>
    </w:p>
    <w:p>
      <w:pPr>
        <w:spacing w:after="0" w:line="204" w:lineRule="exact"/>
        <w:rPr>
          <w:sz w:val="20"/>
          <w:szCs w:val="20"/>
          <w:color w:val="auto"/>
        </w:rPr>
      </w:pPr>
    </w:p>
    <w:p>
      <w:pPr>
        <w:ind w:left="547"/>
        <w:spacing w:after="0"/>
        <w:rPr>
          <w:sz w:val="20"/>
          <w:szCs w:val="20"/>
          <w:color w:val="auto"/>
        </w:rPr>
      </w:pPr>
      <w:r>
        <w:rPr>
          <w:rFonts w:ascii="Arial" w:cs="Arial" w:eastAsia="Arial" w:hAnsi="Arial"/>
          <w:sz w:val="15"/>
          <w:szCs w:val="15"/>
          <w:color w:val="auto"/>
        </w:rPr>
        <w:t>NOW, THEREFORE, in consideration of the foregoing and of the respective covenants and agreements set forth below, the Parties hereto agree as follows:</w:t>
      </w:r>
    </w:p>
    <w:p>
      <w:pPr>
        <w:spacing w:after="0" w:line="192" w:lineRule="exact"/>
        <w:rPr>
          <w:sz w:val="20"/>
          <w:szCs w:val="20"/>
          <w:color w:val="auto"/>
        </w:rPr>
      </w:pPr>
    </w:p>
    <w:p>
      <w:pPr>
        <w:ind w:left="547" w:hanging="547"/>
        <w:spacing w:after="0"/>
        <w:tabs>
          <w:tab w:leader="none" w:pos="547" w:val="left"/>
        </w:tabs>
        <w:numPr>
          <w:ilvl w:val="0"/>
          <w:numId w:val="55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Employment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60" w:firstLine="549"/>
        <w:spacing w:after="0" w:line="273" w:lineRule="auto"/>
        <w:tabs>
          <w:tab w:leader="none" w:pos="1117" w:val="left"/>
        </w:tabs>
        <w:numPr>
          <w:ilvl w:val="1"/>
          <w:numId w:val="559"/>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Effective on the closing of the Company’s initial public offering of stock pursuant to an effective registration statement filed under the Securities Act of 1933, as amended (the “</w:t>
      </w:r>
      <w:r>
        <w:rPr>
          <w:rFonts w:ascii="Arial" w:cs="Arial" w:eastAsia="Arial" w:hAnsi="Arial"/>
          <w:sz w:val="15"/>
          <w:szCs w:val="15"/>
          <w:u w:val="single" w:color="auto"/>
          <w:color w:val="auto"/>
        </w:rPr>
        <w:t>Effective Date</w:t>
      </w:r>
      <w:r>
        <w:rPr>
          <w:rFonts w:ascii="Arial" w:cs="Arial" w:eastAsia="Arial" w:hAnsi="Arial"/>
          <w:sz w:val="15"/>
          <w:szCs w:val="15"/>
          <w:color w:val="auto"/>
        </w:rPr>
        <w:t xml:space="preserve">”), the Company shall employ Executive and Executive shall remain in the employ of the Company, for the period and in the positions set forth in this </w:t>
      </w:r>
      <w:r>
        <w:rPr>
          <w:rFonts w:ascii="Arial" w:cs="Arial" w:eastAsia="Arial" w:hAnsi="Arial"/>
          <w:sz w:val="15"/>
          <w:szCs w:val="15"/>
          <w:u w:val="single" w:color="auto"/>
          <w:color w:val="auto"/>
        </w:rPr>
        <w:t>Section 1</w:t>
      </w:r>
      <w:r>
        <w:rPr>
          <w:rFonts w:ascii="Arial" w:cs="Arial" w:eastAsia="Arial" w:hAnsi="Arial"/>
          <w:sz w:val="15"/>
          <w:szCs w:val="15"/>
          <w:color w:val="auto"/>
        </w:rPr>
        <w:t>, and subject to the other terms and conditions herein provided.</w:t>
      </w:r>
    </w:p>
    <w:p>
      <w:pPr>
        <w:spacing w:after="0" w:line="152" w:lineRule="exact"/>
        <w:rPr>
          <w:rFonts w:ascii="Arial" w:cs="Arial" w:eastAsia="Arial" w:hAnsi="Arial"/>
          <w:sz w:val="15"/>
          <w:szCs w:val="15"/>
          <w:color w:val="auto"/>
        </w:rPr>
      </w:pPr>
    </w:p>
    <w:p>
      <w:pPr>
        <w:ind w:left="7" w:firstLine="549"/>
        <w:spacing w:after="0" w:line="264" w:lineRule="auto"/>
        <w:tabs>
          <w:tab w:leader="none" w:pos="1125" w:val="left"/>
        </w:tabs>
        <w:numPr>
          <w:ilvl w:val="1"/>
          <w:numId w:val="559"/>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5"/>
          <w:szCs w:val="15"/>
          <w:u w:val="single" w:color="auto"/>
          <w:color w:val="auto"/>
        </w:rPr>
        <w:t>Section 3(b)</w:t>
      </w:r>
      <w:r>
        <w:rPr>
          <w:rFonts w:ascii="Arial" w:cs="Arial" w:eastAsia="Arial" w:hAnsi="Arial"/>
          <w:sz w:val="15"/>
          <w:szCs w:val="15"/>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5"/>
          <w:szCs w:val="15"/>
          <w:u w:val="single" w:color="auto"/>
          <w:color w:val="auto"/>
        </w:rPr>
        <w:t>Term</w:t>
      </w:r>
      <w:r>
        <w:rPr>
          <w:rFonts w:ascii="Arial" w:cs="Arial" w:eastAsia="Arial" w:hAnsi="Arial"/>
          <w:sz w:val="15"/>
          <w:szCs w:val="15"/>
          <w:color w:val="auto"/>
        </w:rPr>
        <w:t xml:space="preserve">”) shall commence on the Effective Date and end on the date this Agreement is terminated under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left="7" w:right="140" w:firstLine="549"/>
        <w:spacing w:after="0" w:line="284" w:lineRule="auto"/>
        <w:tabs>
          <w:tab w:leader="none" w:pos="1128" w:val="left"/>
        </w:tabs>
        <w:numPr>
          <w:ilvl w:val="1"/>
          <w:numId w:val="559"/>
        </w:numPr>
        <w:rPr>
          <w:rFonts w:ascii="Arial" w:cs="Arial" w:eastAsia="Arial" w:hAnsi="Arial"/>
          <w:sz w:val="14"/>
          <w:szCs w:val="14"/>
          <w:color w:val="auto"/>
        </w:rPr>
      </w:pPr>
      <w:r>
        <w:rPr>
          <w:rFonts w:ascii="Arial" w:cs="Arial" w:eastAsia="Arial" w:hAnsi="Arial"/>
          <w:sz w:val="14"/>
          <w:szCs w:val="14"/>
          <w:u w:val="single" w:color="auto"/>
          <w:color w:val="auto"/>
        </w:rPr>
        <w:t>Positions and Duties</w:t>
      </w:r>
      <w:r>
        <w:rPr>
          <w:rFonts w:ascii="Arial" w:cs="Arial" w:eastAsia="Arial" w:hAnsi="Arial"/>
          <w:sz w:val="14"/>
          <w:szCs w:val="14"/>
          <w:color w:val="auto"/>
        </w:rPr>
        <w:t>. Executive shall serve as Chief Financial Officer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Arial" w:cs="Arial" w:eastAsia="Arial" w:hAnsi="Arial"/>
          <w:sz w:val="14"/>
          <w:szCs w:val="14"/>
          <w:u w:val="single" w:color="auto"/>
          <w:color w:val="auto"/>
        </w:rPr>
        <w:t>Restrictive</w:t>
      </w:r>
      <w:r>
        <w:rPr>
          <w:rFonts w:ascii="Arial" w:cs="Arial" w:eastAsia="Arial" w:hAnsi="Arial"/>
          <w:sz w:val="14"/>
          <w:szCs w:val="14"/>
          <w:color w:val="auto"/>
        </w:rPr>
        <w:t xml:space="preserve"> </w:t>
      </w:r>
      <w:r>
        <w:rPr>
          <w:rFonts w:ascii="Arial" w:cs="Arial" w:eastAsia="Arial" w:hAnsi="Arial"/>
          <w:sz w:val="14"/>
          <w:szCs w:val="14"/>
          <w:u w:val="single" w:color="auto"/>
          <w:color w:val="auto"/>
        </w:rPr>
        <w:t>Covenant Agreement</w:t>
      </w:r>
      <w:r>
        <w:rPr>
          <w:rFonts w:ascii="Arial" w:cs="Arial" w:eastAsia="Arial" w:hAnsi="Arial"/>
          <w:sz w:val="14"/>
          <w:szCs w:val="14"/>
          <w:color w:val="auto"/>
        </w:rPr>
        <w:t>”).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14"/>
          <w:szCs w:val="14"/>
          <w:u w:val="single" w:color="auto"/>
          <w:color w:val="auto"/>
        </w:rPr>
        <w:t>Policy</w:t>
      </w:r>
      <w:r>
        <w:rPr>
          <w:rFonts w:ascii="Arial" w:cs="Arial" w:eastAsia="Arial" w:hAnsi="Arial"/>
          <w:sz w:val="14"/>
          <w:szCs w:val="14"/>
          <w:color w:val="auto"/>
        </w:rPr>
        <w: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6" w:lineRule="exact"/>
        <w:rPr>
          <w:rFonts w:ascii="Arial" w:cs="Arial" w:eastAsia="Arial" w:hAnsi="Arial"/>
          <w:sz w:val="14"/>
          <w:szCs w:val="14"/>
          <w:color w:val="auto"/>
        </w:rPr>
      </w:pPr>
    </w:p>
    <w:p>
      <w:pPr>
        <w:ind w:left="547" w:hanging="547"/>
        <w:spacing w:after="0"/>
        <w:tabs>
          <w:tab w:leader="none" w:pos="547" w:val="left"/>
        </w:tabs>
        <w:numPr>
          <w:ilvl w:val="0"/>
          <w:numId w:val="55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Compensation and Related Matters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jc w:val="both"/>
        <w:ind w:left="7" w:right="20" w:firstLine="549"/>
        <w:spacing w:after="0" w:line="268" w:lineRule="auto"/>
        <w:tabs>
          <w:tab w:leader="none" w:pos="1117" w:val="left"/>
        </w:tabs>
        <w:numPr>
          <w:ilvl w:val="1"/>
          <w:numId w:val="559"/>
        </w:numPr>
        <w:rPr>
          <w:rFonts w:ascii="Arial" w:cs="Arial" w:eastAsia="Arial" w:hAnsi="Arial"/>
          <w:sz w:val="15"/>
          <w:szCs w:val="15"/>
          <w:color w:val="auto"/>
        </w:rPr>
      </w:pPr>
      <w:r>
        <w:rPr>
          <w:rFonts w:ascii="Arial" w:cs="Arial" w:eastAsia="Arial" w:hAnsi="Arial"/>
          <w:sz w:val="15"/>
          <w:szCs w:val="15"/>
          <w:u w:val="single" w:color="auto"/>
          <w:color w:val="auto"/>
        </w:rPr>
        <w:t>Annual Base Salary</w:t>
      </w:r>
      <w:r>
        <w:rPr>
          <w:rFonts w:ascii="Arial" w:cs="Arial" w:eastAsia="Arial" w:hAnsi="Arial"/>
          <w:sz w:val="15"/>
          <w:szCs w:val="15"/>
          <w:color w:val="auto"/>
        </w:rPr>
        <w:t>. During the Term, Executive shall receive a base salary at a rate of $250,000 per annum, which shall be paid in accordance with the customary payroll practices of the Company and shall be pro-rated for partial years of employment. Such annual base salary shall be reviewed (and may be increased) from time to time by the Board of Directors of the Company or an authorized committee of the Board (in either case, the “</w:t>
      </w:r>
      <w:r>
        <w:rPr>
          <w:rFonts w:ascii="Arial" w:cs="Arial" w:eastAsia="Arial" w:hAnsi="Arial"/>
          <w:sz w:val="15"/>
          <w:szCs w:val="15"/>
          <w:u w:val="single" w:color="auto"/>
          <w:color w:val="auto"/>
        </w:rPr>
        <w:t>Board</w:t>
      </w:r>
      <w:r>
        <w:rPr>
          <w:rFonts w:ascii="Arial" w:cs="Arial" w:eastAsia="Arial" w:hAnsi="Arial"/>
          <w:sz w:val="15"/>
          <w:szCs w:val="15"/>
          <w:color w:val="auto"/>
        </w:rPr>
        <w:t>”) (such annual base salary, as it may be increased from time to time, the “</w:t>
      </w:r>
      <w:r>
        <w:rPr>
          <w:rFonts w:ascii="Arial" w:cs="Arial" w:eastAsia="Arial" w:hAnsi="Arial"/>
          <w:sz w:val="15"/>
          <w:szCs w:val="15"/>
          <w:u w:val="single" w:color="auto"/>
          <w:color w:val="auto"/>
        </w:rPr>
        <w:t>Annual</w:t>
      </w:r>
      <w:r>
        <w:rPr>
          <w:rFonts w:ascii="Arial" w:cs="Arial" w:eastAsia="Arial" w:hAnsi="Arial"/>
          <w:sz w:val="15"/>
          <w:szCs w:val="15"/>
          <w:color w:val="auto"/>
        </w:rPr>
        <w:t xml:space="preserve"> </w:t>
      </w:r>
      <w:r>
        <w:rPr>
          <w:rFonts w:ascii="Arial" w:cs="Arial" w:eastAsia="Arial" w:hAnsi="Arial"/>
          <w:sz w:val="15"/>
          <w:szCs w:val="15"/>
          <w:u w:val="single" w:color="auto"/>
          <w:color w:val="auto"/>
        </w:rPr>
        <w:t>Base Salary</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ind w:left="7" w:right="100" w:firstLine="549"/>
        <w:spacing w:after="0" w:line="268" w:lineRule="auto"/>
        <w:tabs>
          <w:tab w:leader="none" w:pos="1125" w:val="left"/>
        </w:tabs>
        <w:numPr>
          <w:ilvl w:val="1"/>
          <w:numId w:val="559"/>
        </w:numPr>
        <w:rPr>
          <w:rFonts w:ascii="Arial" w:cs="Arial" w:eastAsia="Arial" w:hAnsi="Arial"/>
          <w:sz w:val="15"/>
          <w:szCs w:val="15"/>
          <w:color w:val="auto"/>
        </w:rPr>
      </w:pPr>
      <w:r>
        <w:rPr>
          <w:rFonts w:ascii="Arial" w:cs="Arial" w:eastAsia="Arial" w:hAnsi="Arial"/>
          <w:sz w:val="15"/>
          <w:szCs w:val="15"/>
          <w:u w:val="single" w:color="auto"/>
          <w:color w:val="auto"/>
        </w:rPr>
        <w:t>Bonus</w:t>
      </w:r>
      <w:r>
        <w:rPr>
          <w:rFonts w:ascii="Arial" w:cs="Arial" w:eastAsia="Arial" w:hAnsi="Arial"/>
          <w:sz w:val="15"/>
          <w:szCs w:val="15"/>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5"/>
          <w:szCs w:val="15"/>
          <w:u w:val="single" w:color="auto"/>
          <w:color w:val="auto"/>
        </w:rPr>
        <w:t>Annual Bonus</w:t>
      </w:r>
      <w:r>
        <w:rPr>
          <w:rFonts w:ascii="Arial" w:cs="Arial" w:eastAsia="Arial" w:hAnsi="Arial"/>
          <w:sz w:val="15"/>
          <w:szCs w:val="15"/>
          <w:color w:val="auto"/>
        </w:rPr>
        <w:t>”) shall be targeted at 35% of Executive’s Annual Base Salary (the “</w:t>
      </w:r>
      <w:r>
        <w:rPr>
          <w:rFonts w:ascii="Arial" w:cs="Arial" w:eastAsia="Arial" w:hAnsi="Arial"/>
          <w:sz w:val="15"/>
          <w:szCs w:val="15"/>
          <w:u w:val="single" w:color="auto"/>
          <w:color w:val="auto"/>
        </w:rPr>
        <w:t>Target Bonus</w:t>
      </w:r>
      <w:r>
        <w:rPr>
          <w:rFonts w:ascii="Arial" w:cs="Arial" w:eastAsia="Arial" w:hAnsi="Arial"/>
          <w:sz w:val="15"/>
          <w:szCs w:val="15"/>
          <w:color w:val="auto"/>
        </w:rPr>
        <w:t>”). The Annual Bonus payable under the incentive program shall be based on the achievement of performance goals to be determined by the Board. The payment of any Annual Bonus pursuant to the incentive program will be made on or before March 15 of the year following the year in which such Annual Bonus is earned.</w:t>
      </w:r>
    </w:p>
    <w:p>
      <w:pPr>
        <w:spacing w:after="0" w:line="156" w:lineRule="exact"/>
        <w:rPr>
          <w:rFonts w:ascii="Arial" w:cs="Arial" w:eastAsia="Arial" w:hAnsi="Arial"/>
          <w:sz w:val="15"/>
          <w:szCs w:val="15"/>
          <w:color w:val="auto"/>
        </w:rPr>
      </w:pPr>
    </w:p>
    <w:p>
      <w:pPr>
        <w:ind w:left="7" w:right="100" w:firstLine="549"/>
        <w:spacing w:after="0" w:line="273" w:lineRule="auto"/>
        <w:tabs>
          <w:tab w:leader="none" w:pos="1128" w:val="left"/>
        </w:tabs>
        <w:numPr>
          <w:ilvl w:val="1"/>
          <w:numId w:val="559"/>
        </w:numPr>
        <w:rPr>
          <w:rFonts w:ascii="Arial" w:cs="Arial" w:eastAsia="Arial" w:hAnsi="Arial"/>
          <w:sz w:val="15"/>
          <w:szCs w:val="15"/>
          <w:color w:val="auto"/>
        </w:rPr>
      </w:pPr>
      <w:r>
        <w:rPr>
          <w:rFonts w:ascii="Arial" w:cs="Arial" w:eastAsia="Arial" w:hAnsi="Arial"/>
          <w:sz w:val="15"/>
          <w:szCs w:val="15"/>
          <w:u w:val="single" w:color="auto"/>
          <w:color w:val="auto"/>
        </w:rPr>
        <w:t>Benefits</w:t>
      </w:r>
      <w:r>
        <w:rPr>
          <w:rFonts w:ascii="Arial" w:cs="Arial" w:eastAsia="Arial" w:hAnsi="Arial"/>
          <w:sz w:val="15"/>
          <w:szCs w:val="15"/>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this Agreement.</w:t>
      </w:r>
    </w:p>
    <w:p>
      <w:pPr>
        <w:spacing w:after="0" w:line="152" w:lineRule="exact"/>
        <w:rPr>
          <w:rFonts w:ascii="Arial" w:cs="Arial" w:eastAsia="Arial" w:hAnsi="Arial"/>
          <w:sz w:val="15"/>
          <w:szCs w:val="15"/>
          <w:color w:val="auto"/>
        </w:rPr>
      </w:pPr>
    </w:p>
    <w:p>
      <w:pPr>
        <w:ind w:left="7" w:right="60" w:firstLine="549"/>
        <w:spacing w:after="0" w:line="302" w:lineRule="auto"/>
        <w:tabs>
          <w:tab w:leader="none" w:pos="1125" w:val="left"/>
        </w:tabs>
        <w:numPr>
          <w:ilvl w:val="1"/>
          <w:numId w:val="559"/>
        </w:numPr>
        <w:rPr>
          <w:rFonts w:ascii="Arial" w:cs="Arial" w:eastAsia="Arial" w:hAnsi="Arial"/>
          <w:sz w:val="14"/>
          <w:szCs w:val="14"/>
          <w:color w:val="auto"/>
        </w:rPr>
      </w:pPr>
      <w:r>
        <w:rPr>
          <w:rFonts w:ascii="Arial" w:cs="Arial" w:eastAsia="Arial" w:hAnsi="Arial"/>
          <w:sz w:val="14"/>
          <w:szCs w:val="14"/>
          <w:u w:val="single" w:color="auto"/>
          <w:color w:val="auto"/>
        </w:rPr>
        <w:t>Vacation</w:t>
      </w:r>
      <w:r>
        <w:rPr>
          <w:rFonts w:ascii="Arial" w:cs="Arial" w:eastAsia="Arial" w:hAnsi="Arial"/>
          <w:sz w:val="14"/>
          <w:szCs w:val="14"/>
          <w:color w:val="auto"/>
        </w:rPr>
        <w:t>. During the Term, Executive shall be entitled to four weeks of paid personal leave, or paid personal leave per calendar year in accordance with the Company’s Policies, whichever is greater. Vacation days accrued, but not used by the end of any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33" w:lineRule="exact"/>
        <w:rPr>
          <w:rFonts w:ascii="Arial" w:cs="Arial" w:eastAsia="Arial" w:hAnsi="Arial"/>
          <w:sz w:val="14"/>
          <w:szCs w:val="14"/>
          <w:color w:val="auto"/>
        </w:rPr>
      </w:pPr>
    </w:p>
    <w:p>
      <w:pPr>
        <w:ind w:left="7" w:right="400" w:firstLine="549"/>
        <w:spacing w:after="0" w:line="289" w:lineRule="auto"/>
        <w:tabs>
          <w:tab w:leader="none" w:pos="1128" w:val="left"/>
        </w:tabs>
        <w:numPr>
          <w:ilvl w:val="1"/>
          <w:numId w:val="559"/>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40" w:lineRule="exact"/>
        <w:rPr>
          <w:rFonts w:ascii="Arial" w:cs="Arial" w:eastAsia="Arial" w:hAnsi="Arial"/>
          <w:sz w:val="15"/>
          <w:szCs w:val="15"/>
          <w:color w:val="auto"/>
        </w:rPr>
      </w:pPr>
    </w:p>
    <w:p>
      <w:pPr>
        <w:ind w:left="7" w:right="20" w:firstLine="549"/>
        <w:spacing w:after="0" w:line="265" w:lineRule="auto"/>
        <w:tabs>
          <w:tab w:leader="none" w:pos="1123" w:val="left"/>
        </w:tabs>
        <w:numPr>
          <w:ilvl w:val="1"/>
          <w:numId w:val="559"/>
        </w:numPr>
        <w:rPr>
          <w:rFonts w:ascii="Arial" w:cs="Arial" w:eastAsia="Arial" w:hAnsi="Arial"/>
          <w:sz w:val="15"/>
          <w:szCs w:val="15"/>
          <w:color w:val="auto"/>
        </w:rPr>
      </w:pPr>
      <w:r>
        <w:rPr>
          <w:rFonts w:ascii="Arial" w:cs="Arial" w:eastAsia="Arial" w:hAnsi="Arial"/>
          <w:sz w:val="15"/>
          <w:szCs w:val="15"/>
          <w:u w:val="single" w:color="auto"/>
          <w:color w:val="auto"/>
        </w:rPr>
        <w:t>Key Person Insurance</w:t>
      </w:r>
      <w:r>
        <w:rPr>
          <w:rFonts w:ascii="Arial" w:cs="Arial" w:eastAsia="Arial" w:hAnsi="Arial"/>
          <w:sz w:val="15"/>
          <w:szCs w:val="15"/>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53" w:lineRule="exact"/>
        <w:rPr>
          <w:rFonts w:ascii="Arial" w:cs="Arial" w:eastAsia="Arial" w:hAnsi="Arial"/>
          <w:sz w:val="15"/>
          <w:szCs w:val="15"/>
          <w:color w:val="auto"/>
        </w:rPr>
      </w:pPr>
    </w:p>
    <w:p>
      <w:pPr>
        <w:ind w:left="547" w:hanging="547"/>
        <w:spacing w:after="0"/>
        <w:tabs>
          <w:tab w:leader="none" w:pos="547" w:val="left"/>
        </w:tabs>
        <w:numPr>
          <w:ilvl w:val="0"/>
          <w:numId w:val="55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-3844290</wp:posOffset>
            </wp:positionV>
            <wp:extent cx="7285990" cy="2730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84" w:lineRule="exact"/>
        <w:rPr>
          <w:sz w:val="20"/>
          <w:szCs w:val="20"/>
          <w:color w:val="auto"/>
        </w:rPr>
      </w:pPr>
    </w:p>
    <w:p>
      <w:pPr>
        <w:jc w:val="center"/>
        <w:ind w:left="440"/>
        <w:spacing w:after="0"/>
        <w:rPr>
          <w:sz w:val="20"/>
          <w:szCs w:val="20"/>
          <w:color w:val="auto"/>
        </w:rPr>
      </w:pPr>
      <w:r>
        <w:rPr>
          <w:rFonts w:ascii="Arial" w:cs="Arial" w:eastAsia="Arial" w:hAnsi="Arial"/>
          <w:sz w:val="14"/>
          <w:szCs w:val="14"/>
          <w:color w:val="auto"/>
        </w:rPr>
        <w:t>Executive’s employment hereunder may be terminated by the Company or Executive, as applicable, without any breach of this Agreement under the following circumstances:</w:t>
      </w: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7" w:hanging="551"/>
        <w:spacing w:after="0"/>
        <w:tabs>
          <w:tab w:leader="none" w:pos="1107" w:val="left"/>
        </w:tabs>
        <w:numPr>
          <w:ilvl w:val="0"/>
          <w:numId w:val="560"/>
        </w:numPr>
        <w:rPr>
          <w:rFonts w:ascii="Arial" w:cs="Arial" w:eastAsia="Arial" w:hAnsi="Arial"/>
          <w:sz w:val="15"/>
          <w:szCs w:val="15"/>
          <w:color w:val="auto"/>
        </w:rPr>
      </w:pPr>
      <w:r>
        <w:rPr>
          <w:rFonts w:ascii="Arial" w:cs="Arial" w:eastAsia="Arial" w:hAnsi="Arial"/>
          <w:sz w:val="15"/>
          <w:szCs w:val="15"/>
          <w:u w:val="single" w:color="auto"/>
          <w:color w:val="auto"/>
        </w:rPr>
        <w:t>Circumstances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560"/>
        </w:numPr>
        <w:rPr>
          <w:rFonts w:ascii="Arial" w:cs="Arial" w:eastAsia="Arial" w:hAnsi="Arial"/>
          <w:sz w:val="15"/>
          <w:szCs w:val="15"/>
          <w:color w:val="auto"/>
        </w:rPr>
      </w:pPr>
      <w:r>
        <w:rPr>
          <w:rFonts w:ascii="Arial" w:cs="Arial" w:eastAsia="Arial" w:hAnsi="Arial"/>
          <w:sz w:val="15"/>
          <w:szCs w:val="15"/>
          <w:i w:val="1"/>
          <w:iCs w:val="1"/>
          <w:color w:val="auto"/>
        </w:rPr>
        <w:t>Death</w:t>
      </w:r>
      <w:r>
        <w:rPr>
          <w:rFonts w:ascii="Arial" w:cs="Arial" w:eastAsia="Arial" w:hAnsi="Arial"/>
          <w:sz w:val="15"/>
          <w:szCs w:val="15"/>
          <w:color w:val="auto"/>
        </w:rPr>
        <w:t>. Executive’s employment hereunder shall terminate upon Executive’s death.</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560"/>
        </w:numPr>
        <w:rPr>
          <w:rFonts w:ascii="Arial" w:cs="Arial" w:eastAsia="Arial" w:hAnsi="Arial"/>
          <w:sz w:val="15"/>
          <w:szCs w:val="15"/>
          <w:color w:val="auto"/>
        </w:rPr>
      </w:pPr>
      <w:r>
        <w:rPr>
          <w:rFonts w:ascii="Arial" w:cs="Arial" w:eastAsia="Arial" w:hAnsi="Arial"/>
          <w:sz w:val="15"/>
          <w:szCs w:val="15"/>
          <w:i w:val="1"/>
          <w:iCs w:val="1"/>
          <w:color w:val="auto"/>
        </w:rPr>
        <w:t>Disability</w:t>
      </w:r>
      <w:r>
        <w:rPr>
          <w:rFonts w:ascii="Arial" w:cs="Arial" w:eastAsia="Arial" w:hAnsi="Arial"/>
          <w:sz w:val="15"/>
          <w:szCs w:val="15"/>
          <w:color w:val="auto"/>
        </w:rPr>
        <w:t>. If Executive has incurred a Disability, as defined below, the Company may terminate Executive’s employment.</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1"/>
          <w:numId w:val="560"/>
        </w:numPr>
        <w:rPr>
          <w:rFonts w:ascii="Arial" w:cs="Arial" w:eastAsia="Arial" w:hAnsi="Arial"/>
          <w:sz w:val="15"/>
          <w:szCs w:val="15"/>
          <w:color w:val="auto"/>
        </w:rPr>
      </w:pPr>
      <w:r>
        <w:rPr>
          <w:rFonts w:ascii="Arial" w:cs="Arial" w:eastAsia="Arial" w:hAnsi="Arial"/>
          <w:sz w:val="15"/>
          <w:szCs w:val="15"/>
          <w:i w:val="1"/>
          <w:iCs w:val="1"/>
          <w:color w:val="auto"/>
        </w:rPr>
        <w:t>Termination for Cause</w:t>
      </w:r>
      <w:r>
        <w:rPr>
          <w:rFonts w:ascii="Arial" w:cs="Arial" w:eastAsia="Arial" w:hAnsi="Arial"/>
          <w:sz w:val="15"/>
          <w:szCs w:val="15"/>
          <w:color w:val="auto"/>
        </w:rPr>
        <w:t>. The Company may terminate Executive’s employment for Cause, as defined below.</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1"/>
          <w:numId w:val="560"/>
        </w:numPr>
        <w:rPr>
          <w:rFonts w:ascii="Arial" w:cs="Arial" w:eastAsia="Arial" w:hAnsi="Arial"/>
          <w:sz w:val="15"/>
          <w:szCs w:val="15"/>
          <w:color w:val="auto"/>
        </w:rPr>
      </w:pPr>
      <w:r>
        <w:rPr>
          <w:rFonts w:ascii="Arial" w:cs="Arial" w:eastAsia="Arial" w:hAnsi="Arial"/>
          <w:sz w:val="15"/>
          <w:szCs w:val="15"/>
          <w:i w:val="1"/>
          <w:iCs w:val="1"/>
          <w:color w:val="auto"/>
        </w:rPr>
        <w:t>Termination without Cause</w:t>
      </w:r>
      <w:r>
        <w:rPr>
          <w:rFonts w:ascii="Arial" w:cs="Arial" w:eastAsia="Arial" w:hAnsi="Arial"/>
          <w:sz w:val="15"/>
          <w:szCs w:val="15"/>
          <w:color w:val="auto"/>
        </w:rPr>
        <w:t>. The Company may terminate Executive’s employment without Cause.</w:t>
      </w:r>
    </w:p>
    <w:p>
      <w:pPr>
        <w:sectPr>
          <w:pgSz w:w="11900" w:h="16838" w:orient="portrait"/>
          <w:cols w:equalWidth="0" w:num="1">
            <w:col w:w="11447"/>
          </w:cols>
          <w:pgMar w:left="233" w:top="331" w:right="219" w:bottom="0" w:gutter="0" w:footer="0" w:header="0"/>
        </w:sectPr>
      </w:pPr>
    </w:p>
    <w:bookmarkStart w:id="423" w:name="page424"/>
    <w:bookmarkEnd w:id="423"/>
    <w:p>
      <w:pPr>
        <w:ind w:left="1667" w:hanging="556"/>
        <w:spacing w:after="0"/>
        <w:tabs>
          <w:tab w:leader="none" w:pos="1667" w:val="left"/>
        </w:tabs>
        <w:numPr>
          <w:ilvl w:val="2"/>
          <w:numId w:val="561"/>
        </w:numPr>
        <w:rPr>
          <w:rFonts w:ascii="Arial" w:cs="Arial" w:eastAsia="Arial" w:hAnsi="Arial"/>
          <w:sz w:val="14"/>
          <w:szCs w:val="14"/>
          <w:color w:val="auto"/>
        </w:rPr>
      </w:pPr>
      <w:r>
        <w:rPr>
          <w:rFonts w:ascii="Arial" w:cs="Arial" w:eastAsia="Arial" w:hAnsi="Arial"/>
          <w:sz w:val="14"/>
          <w:szCs w:val="14"/>
          <w:i w:val="1"/>
          <w:iCs w:val="1"/>
          <w:color w:val="auto"/>
        </w:rPr>
        <w:t xml:space="preserve">Resignation from the Company with Good Reason. </w:t>
      </w:r>
      <w:r>
        <w:rPr>
          <w:rFonts w:ascii="Arial" w:cs="Arial" w:eastAsia="Arial" w:hAnsi="Arial"/>
          <w:sz w:val="14"/>
          <w:szCs w:val="14"/>
          <w:color w:val="auto"/>
        </w:rPr>
        <w:t>Executive may resign Executive’s employment with the Company with Good Reason, as defined below.</w:t>
      </w:r>
    </w:p>
    <w:p>
      <w:pPr>
        <w:spacing w:after="0" w:line="209" w:lineRule="exact"/>
        <w:rPr>
          <w:rFonts w:ascii="Arial" w:cs="Arial" w:eastAsia="Arial" w:hAnsi="Arial"/>
          <w:sz w:val="14"/>
          <w:szCs w:val="14"/>
          <w:color w:val="auto"/>
        </w:rPr>
      </w:pPr>
    </w:p>
    <w:p>
      <w:pPr>
        <w:ind w:left="547" w:right="260" w:firstLine="564"/>
        <w:spacing w:after="0" w:line="289" w:lineRule="auto"/>
        <w:tabs>
          <w:tab w:leader="none" w:pos="1674" w:val="left"/>
        </w:tabs>
        <w:numPr>
          <w:ilvl w:val="2"/>
          <w:numId w:val="561"/>
        </w:numPr>
        <w:rPr>
          <w:rFonts w:ascii="Arial" w:cs="Arial" w:eastAsia="Arial" w:hAnsi="Arial"/>
          <w:sz w:val="15"/>
          <w:szCs w:val="15"/>
          <w:color w:val="auto"/>
        </w:rPr>
      </w:pPr>
      <w:r>
        <w:rPr>
          <w:rFonts w:ascii="Arial" w:cs="Arial" w:eastAsia="Arial" w:hAnsi="Arial"/>
          <w:sz w:val="15"/>
          <w:szCs w:val="15"/>
          <w:i w:val="1"/>
          <w:iCs w:val="1"/>
          <w:color w:val="auto"/>
        </w:rPr>
        <w:t>Resignation from the Company Without Good Reason</w:t>
      </w:r>
      <w:r>
        <w:rPr>
          <w:rFonts w:ascii="Arial" w:cs="Arial" w:eastAsia="Arial" w:hAnsi="Arial"/>
          <w:sz w:val="15"/>
          <w:szCs w:val="15"/>
          <w:color w:val="auto"/>
        </w:rPr>
        <w:t>. Executive may resign Executive’s employment with the Company for any reason other than Good</w:t>
      </w:r>
      <w:r>
        <w:rPr>
          <w:rFonts w:ascii="Arial" w:cs="Arial" w:eastAsia="Arial" w:hAnsi="Arial"/>
          <w:sz w:val="15"/>
          <w:szCs w:val="15"/>
          <w:i w:val="1"/>
          <w:iCs w:val="1"/>
          <w:color w:val="auto"/>
        </w:rPr>
        <w:t xml:space="preserve"> </w:t>
      </w:r>
      <w:r>
        <w:rPr>
          <w:rFonts w:ascii="Arial" w:cs="Arial" w:eastAsia="Arial" w:hAnsi="Arial"/>
          <w:sz w:val="15"/>
          <w:szCs w:val="15"/>
          <w:color w:val="auto"/>
        </w:rPr>
        <w:t>Reason or for no reason.</w:t>
      </w:r>
    </w:p>
    <w:p>
      <w:pPr>
        <w:spacing w:after="0" w:line="140" w:lineRule="exact"/>
        <w:rPr>
          <w:rFonts w:ascii="Arial" w:cs="Arial" w:eastAsia="Arial" w:hAnsi="Arial"/>
          <w:sz w:val="15"/>
          <w:szCs w:val="15"/>
          <w:color w:val="auto"/>
        </w:rPr>
      </w:pPr>
    </w:p>
    <w:p>
      <w:pPr>
        <w:ind w:left="7" w:right="80" w:firstLine="549"/>
        <w:spacing w:after="0" w:line="280" w:lineRule="auto"/>
        <w:tabs>
          <w:tab w:leader="none" w:pos="1125" w:val="left"/>
        </w:tabs>
        <w:numPr>
          <w:ilvl w:val="1"/>
          <w:numId w:val="562"/>
        </w:numPr>
        <w:rPr>
          <w:rFonts w:ascii="Arial" w:cs="Arial" w:eastAsia="Arial" w:hAnsi="Arial"/>
          <w:sz w:val="14"/>
          <w:szCs w:val="14"/>
          <w:color w:val="auto"/>
        </w:rPr>
      </w:pP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Any termination of Executive’s employment by the Company or by Executive under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(other than termination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shall be at least thirty (30) days following the date of such notice, but no more than forty</w:t>
      </w:r>
    </w:p>
    <w:p>
      <w:pPr>
        <w:ind w:left="7" w:right="60" w:hanging="7"/>
        <w:spacing w:after="0" w:line="259" w:lineRule="auto"/>
        <w:tabs>
          <w:tab w:leader="none" w:pos="303" w:val="left"/>
        </w:tabs>
        <w:numPr>
          <w:ilvl w:val="0"/>
          <w:numId w:val="563"/>
        </w:numPr>
        <w:rPr>
          <w:rFonts w:ascii="Arial" w:cs="Arial" w:eastAsia="Arial" w:hAnsi="Arial"/>
          <w:sz w:val="15"/>
          <w:szCs w:val="15"/>
          <w:color w:val="auto"/>
        </w:rPr>
      </w:pPr>
      <w:r>
        <w:rPr>
          <w:rFonts w:ascii="Arial" w:cs="Arial" w:eastAsia="Arial" w:hAnsi="Arial"/>
          <w:sz w:val="15"/>
          <w:szCs w:val="15"/>
          <w:color w:val="auto"/>
        </w:rPr>
        <w:t>days following the date of such notice (a “</w:t>
      </w:r>
      <w:r>
        <w:rPr>
          <w:rFonts w:ascii="Arial" w:cs="Arial" w:eastAsia="Arial" w:hAnsi="Arial"/>
          <w:sz w:val="15"/>
          <w:szCs w:val="15"/>
          <w:u w:val="single" w:color="auto"/>
          <w:color w:val="auto"/>
        </w:rPr>
        <w:t>Notice of Termination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5"/>
          <w:szCs w:val="15"/>
          <w:i w:val="1"/>
          <w:iCs w:val="1"/>
          <w:color w:val="auto"/>
        </w:rPr>
        <w:t>provided</w:t>
      </w:r>
      <w:r>
        <w:rPr>
          <w:rFonts w:ascii="Arial" w:cs="Arial" w:eastAsia="Arial" w:hAnsi="Arial"/>
          <w:sz w:val="15"/>
          <w:szCs w:val="15"/>
          <w:color w:val="auto"/>
        </w:rPr>
        <w:t>, in either case,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 Any decision to terminate Executive’s employment for Cause shall be made by a majority vote of the Board after Executive has received written notice from the Board setting forth in reasonable detail the facts and circumstances claimed to provide the basis for the Cause and the Board has provided the Executive reasonable opportunity to be heard by the Board with counsel present if he chooses.</w:t>
      </w:r>
    </w:p>
    <w:p>
      <w:pPr>
        <w:spacing w:after="0" w:line="166" w:lineRule="exact"/>
        <w:rPr>
          <w:rFonts w:ascii="Arial" w:cs="Arial" w:eastAsia="Arial" w:hAnsi="Arial"/>
          <w:sz w:val="15"/>
          <w:szCs w:val="15"/>
          <w:color w:val="auto"/>
        </w:rPr>
      </w:pPr>
    </w:p>
    <w:p>
      <w:pPr>
        <w:ind w:left="7" w:right="80" w:firstLine="549"/>
        <w:spacing w:after="0" w:line="322" w:lineRule="auto"/>
        <w:tabs>
          <w:tab w:leader="none" w:pos="1128" w:val="left"/>
        </w:tabs>
        <w:numPr>
          <w:ilvl w:val="1"/>
          <w:numId w:val="563"/>
        </w:numPr>
        <w:rPr>
          <w:rFonts w:ascii="Arial" w:cs="Arial" w:eastAsia="Arial" w:hAnsi="Arial"/>
          <w:sz w:val="13"/>
          <w:szCs w:val="13"/>
          <w:color w:val="auto"/>
        </w:rPr>
      </w:pPr>
      <w:r>
        <w:rPr>
          <w:rFonts w:ascii="Arial" w:cs="Arial" w:eastAsia="Arial" w:hAnsi="Arial"/>
          <w:sz w:val="13"/>
          <w:szCs w:val="13"/>
          <w:u w:val="single" w:color="auto"/>
          <w:color w:val="auto"/>
        </w:rPr>
        <w:t>Company Obligations upon Termination</w:t>
      </w:r>
      <w:r>
        <w:rPr>
          <w:rFonts w:ascii="Arial" w:cs="Arial" w:eastAsia="Arial" w:hAnsi="Arial"/>
          <w:sz w:val="13"/>
          <w:szCs w:val="13"/>
          <w:color w:val="auto"/>
        </w:rPr>
        <w:t xml:space="preserve">. Upon termination of Executive’s employment pursuant to any of the circumstances listed in this </w:t>
      </w:r>
      <w:r>
        <w:rPr>
          <w:rFonts w:ascii="Arial" w:cs="Arial" w:eastAsia="Arial" w:hAnsi="Arial"/>
          <w:sz w:val="13"/>
          <w:szCs w:val="13"/>
          <w:u w:val="single" w:color="auto"/>
          <w:color w:val="auto"/>
        </w:rPr>
        <w:t>Section 3</w:t>
      </w:r>
      <w:r>
        <w:rPr>
          <w:rFonts w:ascii="Arial" w:cs="Arial" w:eastAsia="Arial" w:hAnsi="Arial"/>
          <w:sz w:val="13"/>
          <w:szCs w:val="13"/>
          <w:color w:val="auto"/>
        </w:rPr>
        <w:t>,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w:t>
      </w:r>
    </w:p>
    <w:p>
      <w:pPr>
        <w:spacing w:after="0" w:line="12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line="265" w:lineRule="auto"/>
        <w:rPr>
          <w:sz w:val="20"/>
          <w:szCs w:val="20"/>
          <w:color w:val="auto"/>
        </w:rPr>
      </w:pPr>
      <w:r>
        <w:rPr>
          <w:rFonts w:ascii="Arial" w:cs="Arial" w:eastAsia="Arial" w:hAnsi="Arial"/>
          <w:sz w:val="15"/>
          <w:szCs w:val="15"/>
          <w:color w:val="auto"/>
        </w:rPr>
        <w:t xml:space="preserve">but in no event later than March 15 of the year in which the Date of Termination occurs; (iii) any expenses owed to Executive pursuant to </w:t>
      </w:r>
      <w:r>
        <w:rPr>
          <w:rFonts w:ascii="Arial" w:cs="Arial" w:eastAsia="Arial" w:hAnsi="Arial"/>
          <w:sz w:val="15"/>
          <w:szCs w:val="15"/>
          <w:u w:val="single" w:color="auto"/>
          <w:color w:val="auto"/>
        </w:rPr>
        <w:t>Section 2(e)</w:t>
      </w:r>
      <w:r>
        <w:rPr>
          <w:rFonts w:ascii="Arial" w:cs="Arial" w:eastAsia="Arial" w:hAnsi="Arial"/>
          <w:sz w:val="15"/>
          <w:szCs w:val="15"/>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5"/>
          <w:szCs w:val="15"/>
          <w:u w:val="single" w:color="auto"/>
          <w:color w:val="auto"/>
        </w:rPr>
        <w:t>Company Arrangements</w:t>
      </w:r>
      <w:r>
        <w:rPr>
          <w:rFonts w:ascii="Arial" w:cs="Arial" w:eastAsia="Arial" w:hAnsi="Arial"/>
          <w:sz w:val="15"/>
          <w:szCs w:val="15"/>
          <w:color w:val="auto"/>
        </w:rPr>
        <w:t>”). Except as otherwise expressly required by law (</w:t>
      </w:r>
      <w:r>
        <w:rPr>
          <w:rFonts w:ascii="Arial" w:cs="Arial" w:eastAsia="Arial" w:hAnsi="Arial"/>
          <w:sz w:val="15"/>
          <w:szCs w:val="15"/>
          <w:u w:val="single" w:color="auto"/>
          <w:color w:val="auto"/>
        </w:rPr>
        <w:t>e.g.</w:t>
      </w:r>
      <w:r>
        <w:rPr>
          <w:rFonts w:ascii="Arial" w:cs="Arial" w:eastAsia="Arial" w:hAnsi="Arial"/>
          <w:sz w:val="15"/>
          <w:szCs w:val="15"/>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60" w:lineRule="exact"/>
        <w:rPr>
          <w:sz w:val="20"/>
          <w:szCs w:val="20"/>
          <w:color w:val="auto"/>
        </w:rPr>
      </w:pPr>
    </w:p>
    <w:p>
      <w:pPr>
        <w:ind w:left="7" w:right="120" w:firstLine="549"/>
        <w:spacing w:after="0" w:line="289" w:lineRule="auto"/>
        <w:tabs>
          <w:tab w:leader="none" w:pos="1125" w:val="left"/>
        </w:tabs>
        <w:numPr>
          <w:ilvl w:val="1"/>
          <w:numId w:val="564"/>
        </w:numPr>
        <w:rPr>
          <w:rFonts w:ascii="Arial" w:cs="Arial" w:eastAsia="Arial" w:hAnsi="Arial"/>
          <w:sz w:val="15"/>
          <w:szCs w:val="15"/>
          <w:color w:val="auto"/>
        </w:rPr>
      </w:pPr>
      <w:r>
        <w:rPr>
          <w:rFonts w:ascii="Arial" w:cs="Arial" w:eastAsia="Arial" w:hAnsi="Arial"/>
          <w:sz w:val="15"/>
          <w:szCs w:val="15"/>
          <w:u w:val="single" w:color="auto"/>
          <w:color w:val="auto"/>
        </w:rPr>
        <w:t>Deemed Resignation</w:t>
      </w:r>
      <w:r>
        <w:rPr>
          <w:rFonts w:ascii="Arial" w:cs="Arial" w:eastAsia="Arial" w:hAnsi="Arial"/>
          <w:sz w:val="15"/>
          <w:szCs w:val="15"/>
          <w:color w:val="auto"/>
        </w:rPr>
        <w:t>. Upon termination of Executive’s employment for any reason, Executive shall be deemed to have resigned from all offices and directorships, if any, then held with the Company or any of its subsidiaries.</w:t>
      </w:r>
    </w:p>
    <w:p>
      <w:pPr>
        <w:spacing w:after="0" w:line="134" w:lineRule="exact"/>
        <w:rPr>
          <w:rFonts w:ascii="Arial" w:cs="Arial" w:eastAsia="Arial" w:hAnsi="Arial"/>
          <w:sz w:val="15"/>
          <w:szCs w:val="15"/>
          <w:color w:val="auto"/>
        </w:rPr>
      </w:pPr>
    </w:p>
    <w:p>
      <w:pPr>
        <w:ind w:left="547" w:hanging="547"/>
        <w:spacing w:after="0"/>
        <w:tabs>
          <w:tab w:leader="none" w:pos="547" w:val="left"/>
        </w:tabs>
        <w:numPr>
          <w:ilvl w:val="0"/>
          <w:numId w:val="56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firstLine="549"/>
        <w:spacing w:after="0" w:line="302" w:lineRule="auto"/>
        <w:tabs>
          <w:tab w:leader="none" w:pos="1117" w:val="left"/>
        </w:tabs>
        <w:numPr>
          <w:ilvl w:val="1"/>
          <w:numId w:val="565"/>
        </w:numPr>
        <w:rPr>
          <w:rFonts w:ascii="Arial" w:cs="Arial" w:eastAsia="Arial" w:hAnsi="Arial"/>
          <w:sz w:val="14"/>
          <w:szCs w:val="14"/>
          <w:color w:val="auto"/>
        </w:rPr>
      </w:pPr>
      <w:r>
        <w:rPr>
          <w:rFonts w:ascii="Arial" w:cs="Arial" w:eastAsia="Arial" w:hAnsi="Arial"/>
          <w:sz w:val="14"/>
          <w:szCs w:val="14"/>
          <w:u w:val="single" w:color="auto"/>
          <w:color w:val="auto"/>
        </w:rPr>
        <w:t>Termination for Cause, or Termination Upon Death, Disability or Resignation from the Company Without Good Reason</w:t>
      </w:r>
      <w:r>
        <w:rPr>
          <w:rFonts w:ascii="Arial" w:cs="Arial" w:eastAsia="Arial" w:hAnsi="Arial"/>
          <w:sz w:val="14"/>
          <w:szCs w:val="14"/>
          <w:color w:val="auto"/>
        </w:rPr>
        <w:t xml:space="preserve">. If Executive’s employment shall terminate as a result of Executive’s death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or Disability pursuant to </w:t>
      </w:r>
      <w:r>
        <w:rPr>
          <w:rFonts w:ascii="Arial" w:cs="Arial" w:eastAsia="Arial" w:hAnsi="Arial"/>
          <w:sz w:val="14"/>
          <w:szCs w:val="14"/>
          <w:u w:val="single" w:color="auto"/>
          <w:color w:val="auto"/>
        </w:rPr>
        <w:t>Section 3(a)(ii)</w:t>
      </w:r>
      <w:r>
        <w:rPr>
          <w:rFonts w:ascii="Arial" w:cs="Arial" w:eastAsia="Arial" w:hAnsi="Arial"/>
          <w:sz w:val="14"/>
          <w:szCs w:val="14"/>
          <w:color w:val="auto"/>
        </w:rPr>
        <w:t xml:space="preserve">,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xml:space="preserve"> for Cause, or pursuant to </w:t>
      </w:r>
      <w:r>
        <w:rPr>
          <w:rFonts w:ascii="Arial" w:cs="Arial" w:eastAsia="Arial" w:hAnsi="Arial"/>
          <w:sz w:val="14"/>
          <w:szCs w:val="14"/>
          <w:u w:val="single" w:color="auto"/>
          <w:color w:val="auto"/>
        </w:rPr>
        <w:t>Section 3(a)(vi)</w:t>
      </w:r>
      <w:r>
        <w:rPr>
          <w:rFonts w:ascii="Arial" w:cs="Arial" w:eastAsia="Arial" w:hAnsi="Arial"/>
          <w:sz w:val="14"/>
          <w:szCs w:val="14"/>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4"/>
          <w:szCs w:val="14"/>
          <w:u w:val="single" w:color="auto"/>
          <w:color w:val="auto"/>
        </w:rPr>
        <w:t>Section 3(c)</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ind w:left="7" w:right="20" w:firstLine="549"/>
        <w:spacing w:after="0" w:line="245" w:lineRule="auto"/>
        <w:tabs>
          <w:tab w:leader="none" w:pos="1125" w:val="left"/>
        </w:tabs>
        <w:numPr>
          <w:ilvl w:val="1"/>
          <w:numId w:val="565"/>
        </w:numPr>
        <w:rPr>
          <w:rFonts w:ascii="Arial" w:cs="Arial" w:eastAsia="Arial" w:hAnsi="Arial"/>
          <w:sz w:val="15"/>
          <w:szCs w:val="15"/>
          <w:color w:val="auto"/>
        </w:rPr>
      </w:pPr>
      <w:r>
        <w:rPr>
          <w:rFonts w:ascii="Arial" w:cs="Arial" w:eastAsia="Arial" w:hAnsi="Arial"/>
          <w:sz w:val="15"/>
          <w:szCs w:val="15"/>
          <w:u w:val="single" w:color="auto"/>
          <w:color w:val="auto"/>
        </w:rPr>
        <w:t>Termination without Cause, or Resignation from the Company with Good Reason</w:t>
      </w:r>
      <w:r>
        <w:rPr>
          <w:rFonts w:ascii="Arial" w:cs="Arial" w:eastAsia="Arial" w:hAnsi="Arial"/>
          <w:sz w:val="15"/>
          <w:szCs w:val="15"/>
          <w:color w:val="auto"/>
        </w:rPr>
        <w:t xml:space="preserve">. If Executive’s employment terminates without Cause pursuant to </w:t>
      </w:r>
      <w:r>
        <w:rPr>
          <w:rFonts w:ascii="Arial" w:cs="Arial" w:eastAsia="Arial" w:hAnsi="Arial"/>
          <w:sz w:val="15"/>
          <w:szCs w:val="15"/>
          <w:u w:val="single" w:color="auto"/>
          <w:color w:val="auto"/>
        </w:rPr>
        <w:t>Section 3(a)(iv)</w:t>
      </w:r>
      <w:r>
        <w:rPr>
          <w:rFonts w:ascii="Arial" w:cs="Arial" w:eastAsia="Arial" w:hAnsi="Arial"/>
          <w:sz w:val="15"/>
          <w:szCs w:val="15"/>
          <w:color w:val="auto"/>
        </w:rPr>
        <w:t xml:space="preserve">, or pursuant to </w:t>
      </w:r>
      <w:r>
        <w:rPr>
          <w:rFonts w:ascii="Arial" w:cs="Arial" w:eastAsia="Arial" w:hAnsi="Arial"/>
          <w:sz w:val="15"/>
          <w:szCs w:val="15"/>
          <w:u w:val="single" w:color="auto"/>
          <w:color w:val="auto"/>
        </w:rPr>
        <w:t>Section 3(a)(v)</w:t>
      </w:r>
      <w:r>
        <w:rPr>
          <w:rFonts w:ascii="Arial" w:cs="Arial" w:eastAsia="Arial" w:hAnsi="Arial"/>
          <w:sz w:val="15"/>
          <w:szCs w:val="15"/>
          <w:color w:val="auto"/>
        </w:rPr>
        <w:t xml:space="preserve"> due to Executive’s resignation with Good Reason, then, subject to Executive signing on or before the 60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this Agreement (the “</w:t>
      </w: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and Executive’s continued compliance with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Executive shall receive, in addition to payments and benefits set forth in </w:t>
      </w:r>
      <w:r>
        <w:rPr>
          <w:rFonts w:ascii="Arial" w:cs="Arial" w:eastAsia="Arial" w:hAnsi="Arial"/>
          <w:sz w:val="15"/>
          <w:szCs w:val="15"/>
          <w:u w:val="single" w:color="auto"/>
          <w:color w:val="auto"/>
        </w:rPr>
        <w:t>Section 3(c)</w:t>
      </w:r>
      <w:r>
        <w:rPr>
          <w:rFonts w:ascii="Arial" w:cs="Arial" w:eastAsia="Arial" w:hAnsi="Arial"/>
          <w:sz w:val="15"/>
          <w:szCs w:val="15"/>
          <w:color w:val="auto"/>
        </w:rPr>
        <w:t>, the following:</w:t>
      </w:r>
    </w:p>
    <w:p>
      <w:pPr>
        <w:spacing w:after="0" w:line="172" w:lineRule="exact"/>
        <w:rPr>
          <w:rFonts w:ascii="Arial" w:cs="Arial" w:eastAsia="Arial" w:hAnsi="Arial"/>
          <w:sz w:val="15"/>
          <w:szCs w:val="15"/>
          <w:color w:val="auto"/>
        </w:rPr>
      </w:pPr>
    </w:p>
    <w:p>
      <w:pPr>
        <w:ind w:left="547" w:right="40" w:firstLine="564"/>
        <w:spacing w:after="0" w:line="289" w:lineRule="auto"/>
        <w:tabs>
          <w:tab w:leader="none" w:pos="1677" w:val="left"/>
        </w:tabs>
        <w:numPr>
          <w:ilvl w:val="2"/>
          <w:numId w:val="565"/>
        </w:numPr>
        <w:rPr>
          <w:rFonts w:ascii="Arial" w:cs="Arial" w:eastAsia="Arial" w:hAnsi="Arial"/>
          <w:sz w:val="15"/>
          <w:szCs w:val="15"/>
          <w:color w:val="auto"/>
        </w:rPr>
      </w:pPr>
      <w:r>
        <w:rPr>
          <w:rFonts w:ascii="Arial" w:cs="Arial" w:eastAsia="Arial" w:hAnsi="Arial"/>
          <w:sz w:val="15"/>
          <w:szCs w:val="15"/>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15"/>
          <w:szCs w:val="15"/>
          <w:u w:val="single" w:color="auto"/>
          <w:color w:val="auto"/>
        </w:rPr>
        <w:t>Severance Period</w:t>
      </w:r>
      <w:r>
        <w:rPr>
          <w:rFonts w:ascii="Arial" w:cs="Arial" w:eastAsia="Arial" w:hAnsi="Arial"/>
          <w:sz w:val="15"/>
          <w:szCs w:val="15"/>
          <w:color w:val="auto"/>
        </w:rPr>
        <w:t>”) in accordance with the Company’s normal payroll practices;</w:t>
      </w:r>
    </w:p>
    <w:p>
      <w:pPr>
        <w:spacing w:after="0" w:line="140" w:lineRule="exact"/>
        <w:rPr>
          <w:rFonts w:ascii="Arial" w:cs="Arial" w:eastAsia="Arial" w:hAnsi="Arial"/>
          <w:sz w:val="15"/>
          <w:szCs w:val="15"/>
          <w:color w:val="auto"/>
        </w:rPr>
      </w:pPr>
    </w:p>
    <w:p>
      <w:pPr>
        <w:ind w:left="547" w:right="20" w:firstLine="564"/>
        <w:spacing w:after="0" w:line="268" w:lineRule="auto"/>
        <w:tabs>
          <w:tab w:leader="none" w:pos="1686" w:val="left"/>
        </w:tabs>
        <w:numPr>
          <w:ilvl w:val="2"/>
          <w:numId w:val="565"/>
        </w:numPr>
        <w:rPr>
          <w:rFonts w:ascii="Arial" w:cs="Arial" w:eastAsia="Arial" w:hAnsi="Arial"/>
          <w:sz w:val="15"/>
          <w:szCs w:val="15"/>
          <w:color w:val="auto"/>
        </w:rPr>
      </w:pPr>
      <w:r>
        <w:rPr>
          <w:rFonts w:ascii="Arial" w:cs="Arial" w:eastAsia="Arial" w:hAnsi="Arial"/>
          <w:sz w:val="15"/>
          <w:szCs w:val="15"/>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or an authorized committee thereof, if the Date of Termination occurs after the first quarter of the calendar year, multiplied by (B) a fraction, using the number of full months of the year elapsed prior to the Date of Termination as the numerator and 12 as the denominator; and</w:t>
      </w:r>
    </w:p>
    <w:p>
      <w:pPr>
        <w:spacing w:after="0" w:line="156" w:lineRule="exact"/>
        <w:rPr>
          <w:rFonts w:ascii="Arial" w:cs="Arial" w:eastAsia="Arial" w:hAnsi="Arial"/>
          <w:sz w:val="15"/>
          <w:szCs w:val="15"/>
          <w:color w:val="auto"/>
        </w:rPr>
      </w:pPr>
    </w:p>
    <w:p>
      <w:pPr>
        <w:jc w:val="both"/>
        <w:ind w:left="547" w:right="40" w:firstLine="564"/>
        <w:spacing w:after="0" w:line="293" w:lineRule="auto"/>
        <w:tabs>
          <w:tab w:leader="none" w:pos="1694" w:val="left"/>
        </w:tabs>
        <w:numPr>
          <w:ilvl w:val="2"/>
          <w:numId w:val="565"/>
        </w:numPr>
        <w:rPr>
          <w:rFonts w:ascii="Arial" w:cs="Arial" w:eastAsia="Arial" w:hAnsi="Arial"/>
          <w:sz w:val="14"/>
          <w:szCs w:val="14"/>
          <w:color w:val="auto"/>
        </w:rPr>
      </w:pPr>
      <w:r>
        <w:rPr>
          <w:rFonts w:ascii="Arial" w:cs="Arial" w:eastAsia="Arial" w:hAnsi="Arial"/>
          <w:sz w:val="14"/>
          <w:szCs w:val="14"/>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4"/>
          <w:szCs w:val="14"/>
          <w:u w:val="single" w:color="auto"/>
          <w:color w:val="auto"/>
        </w:rPr>
        <w:t>COBRA</w:t>
      </w:r>
      <w:r>
        <w:rPr>
          <w:rFonts w:ascii="Arial" w:cs="Arial" w:eastAsia="Arial" w:hAnsi="Arial"/>
          <w:sz w:val="14"/>
          <w:szCs w:val="14"/>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w:t>
      </w:r>
    </w:p>
    <w:p>
      <w:pPr>
        <w:spacing w:after="0" w:line="14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line="265" w:lineRule="auto"/>
        <w:rPr>
          <w:sz w:val="20"/>
          <w:szCs w:val="20"/>
          <w:color w:val="auto"/>
        </w:rPr>
      </w:pPr>
      <w:r>
        <w:rPr>
          <w:rFonts w:ascii="Arial" w:cs="Arial" w:eastAsia="Arial" w:hAnsi="Arial"/>
          <w:sz w:val="15"/>
          <w:szCs w:val="15"/>
          <w:color w:val="auto"/>
        </w:rPr>
        <w:t>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60" w:lineRule="exact"/>
        <w:rPr>
          <w:sz w:val="20"/>
          <w:szCs w:val="20"/>
          <w:color w:val="auto"/>
        </w:rPr>
      </w:pPr>
    </w:p>
    <w:p>
      <w:pPr>
        <w:ind w:left="7" w:right="40" w:firstLine="549"/>
        <w:spacing w:after="0" w:line="271" w:lineRule="auto"/>
        <w:tabs>
          <w:tab w:leader="none" w:pos="1128" w:val="left"/>
        </w:tabs>
        <w:numPr>
          <w:ilvl w:val="1"/>
          <w:numId w:val="566"/>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4"/>
          <w:szCs w:val="14"/>
          <w:u w:val="single" w:color="auto"/>
          <w:color w:val="auto"/>
        </w:rPr>
        <w:t>Section 3(a)(iv)</w:t>
      </w:r>
      <w:r>
        <w:rPr>
          <w:rFonts w:ascii="Arial" w:cs="Arial" w:eastAsia="Arial" w:hAnsi="Arial"/>
          <w:sz w:val="14"/>
          <w:szCs w:val="14"/>
          <w:color w:val="auto"/>
        </w:rPr>
        <w:t xml:space="preserve">, or pursuant to </w:t>
      </w:r>
      <w:r>
        <w:rPr>
          <w:rFonts w:ascii="Arial" w:cs="Arial" w:eastAsia="Arial" w:hAnsi="Arial"/>
          <w:sz w:val="14"/>
          <w:szCs w:val="14"/>
          <w:u w:val="single" w:color="auto"/>
          <w:color w:val="auto"/>
        </w:rPr>
        <w:t>Section 3(a)(v)</w:t>
      </w:r>
      <w:r>
        <w:rPr>
          <w:rFonts w:ascii="Arial" w:cs="Arial" w:eastAsia="Arial" w:hAnsi="Arial"/>
          <w:sz w:val="14"/>
          <w:szCs w:val="14"/>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Executive shall receive, in addition to the payments and benefits set forth in </w:t>
      </w:r>
      <w:r>
        <w:rPr>
          <w:rFonts w:ascii="Arial" w:cs="Arial" w:eastAsia="Arial" w:hAnsi="Arial"/>
          <w:sz w:val="14"/>
          <w:szCs w:val="14"/>
          <w:u w:val="single" w:color="auto"/>
          <w:color w:val="auto"/>
        </w:rPr>
        <w:t>Section 3(c)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4(b)</w:t>
      </w:r>
      <w:r>
        <w:rPr>
          <w:rFonts w:ascii="Arial" w:cs="Arial" w:eastAsia="Arial" w:hAnsi="Arial"/>
          <w:sz w:val="14"/>
          <w:szCs w:val="14"/>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58" w:lineRule="exact"/>
        <w:rPr>
          <w:rFonts w:ascii="Arial" w:cs="Arial" w:eastAsia="Arial" w:hAnsi="Arial"/>
          <w:sz w:val="14"/>
          <w:szCs w:val="14"/>
          <w:color w:val="auto"/>
        </w:rPr>
      </w:pPr>
    </w:p>
    <w:p>
      <w:pPr>
        <w:ind w:left="7" w:right="60" w:firstLine="549"/>
        <w:spacing w:after="0" w:line="289" w:lineRule="auto"/>
        <w:tabs>
          <w:tab w:leader="none" w:pos="1125" w:val="left"/>
        </w:tabs>
        <w:numPr>
          <w:ilvl w:val="1"/>
          <w:numId w:val="566"/>
        </w:numPr>
        <w:rPr>
          <w:rFonts w:ascii="Arial" w:cs="Arial" w:eastAsia="Arial" w:hAnsi="Arial"/>
          <w:sz w:val="15"/>
          <w:szCs w:val="15"/>
          <w:color w:val="auto"/>
        </w:rPr>
      </w:pP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Notwithstanding anything to the contrary in this Agreement, the provisions of </w:t>
      </w:r>
      <w:r>
        <w:rPr>
          <w:rFonts w:ascii="Arial" w:cs="Arial" w:eastAsia="Arial" w:hAnsi="Arial"/>
          <w:sz w:val="15"/>
          <w:szCs w:val="15"/>
          <w:u w:val="single" w:color="auto"/>
          <w:color w:val="auto"/>
        </w:rPr>
        <w:t>Sections 5</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9</w:t>
      </w:r>
      <w:r>
        <w:rPr>
          <w:rFonts w:ascii="Arial" w:cs="Arial" w:eastAsia="Arial" w:hAnsi="Arial"/>
          <w:sz w:val="15"/>
          <w:szCs w:val="15"/>
          <w:color w:val="auto"/>
        </w:rPr>
        <w:t xml:space="preserve"> will survive the termination of Executive’s employment and the termination of the Term.</w:t>
      </w:r>
    </w:p>
    <w:p>
      <w:pPr>
        <w:spacing w:after="0" w:line="134" w:lineRule="exact"/>
        <w:rPr>
          <w:rFonts w:ascii="Arial" w:cs="Arial" w:eastAsia="Arial" w:hAnsi="Arial"/>
          <w:sz w:val="15"/>
          <w:szCs w:val="15"/>
          <w:color w:val="auto"/>
        </w:rPr>
      </w:pPr>
    </w:p>
    <w:p>
      <w:pPr>
        <w:ind w:left="7" w:right="40" w:hanging="7"/>
        <w:spacing w:after="0" w:line="336" w:lineRule="auto"/>
        <w:tabs>
          <w:tab w:leader="none" w:pos="563" w:val="left"/>
        </w:tabs>
        <w:numPr>
          <w:ilvl w:val="0"/>
          <w:numId w:val="56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Restrictive Covenants</w:t>
      </w:r>
      <w:r>
        <w:rPr>
          <w:rFonts w:ascii="Arial" w:cs="Arial" w:eastAsia="Arial" w:hAnsi="Arial"/>
          <w:sz w:val="14"/>
          <w:szCs w:val="14"/>
          <w:b w:val="1"/>
          <w:bCs w:val="1"/>
          <w:color w:val="auto"/>
        </w:rPr>
        <w:t xml:space="preserve">. </w:t>
      </w:r>
      <w:r>
        <w:rPr>
          <w:rFonts w:ascii="Arial" w:cs="Arial" w:eastAsia="Arial" w:hAnsi="Arial"/>
          <w:sz w:val="14"/>
          <w:szCs w:val="14"/>
          <w:color w:val="auto"/>
        </w:rPr>
        <w:t>As a condition to the effectiveness of this Agreement, Executive will execute and deliver to the Company contemporaneously herewith the Restrictive</w:t>
      </w:r>
      <w:r>
        <w:rPr>
          <w:rFonts w:ascii="Arial" w:cs="Arial" w:eastAsia="Arial" w:hAnsi="Arial"/>
          <w:sz w:val="14"/>
          <w:szCs w:val="14"/>
          <w:b w:val="1"/>
          <w:bCs w:val="1"/>
          <w:color w:val="auto"/>
        </w:rPr>
        <w:t xml:space="preserve"> </w:t>
      </w:r>
      <w:r>
        <w:rPr>
          <w:rFonts w:ascii="Arial" w:cs="Arial" w:eastAsia="Arial" w:hAnsi="Arial"/>
          <w:sz w:val="14"/>
          <w:szCs w:val="14"/>
          <w:color w:val="auto"/>
        </w:rPr>
        <w:t>Covenant Agreement. Executive agrees to abide by the terms of the Restrictive Covenant Agreement, which are hereby incorporated by reference into this Agreement. Executive</w:t>
      </w:r>
    </w:p>
    <w:p>
      <w:pPr>
        <w:sectPr>
          <w:pgSz w:w="11900" w:h="16838" w:orient="portrait"/>
          <w:cols w:equalWidth="0" w:num="1">
            <w:col w:w="11427"/>
          </w:cols>
          <w:pgMar w:left="233" w:top="314" w:right="239" w:bottom="0" w:gutter="0" w:footer="0" w:header="0"/>
        </w:sectPr>
      </w:pPr>
    </w:p>
    <w:bookmarkStart w:id="424" w:name="page425"/>
    <w:bookmarkEnd w:id="424"/>
    <w:p>
      <w:pPr>
        <w:ind w:left="7" w:right="280"/>
        <w:spacing w:after="0" w:line="289" w:lineRule="auto"/>
        <w:rPr>
          <w:sz w:val="20"/>
          <w:szCs w:val="20"/>
          <w:color w:val="auto"/>
        </w:rPr>
      </w:pPr>
      <w:r>
        <w:rPr>
          <w:rFonts w:ascii="Arial" w:cs="Arial" w:eastAsia="Arial" w:hAnsi="Arial"/>
          <w:sz w:val="15"/>
          <w:szCs w:val="15"/>
          <w:color w:val="auto"/>
        </w:rPr>
        <w:t>acknowledges that the provisions of the Restrictive Covenant Agreement will survive the termination of Executive’s employment and the termination of the Term for the periods set forth in the Restrictive Covenant Agreement.</w:t>
      </w:r>
    </w:p>
    <w:p>
      <w:pPr>
        <w:spacing w:after="0" w:line="135" w:lineRule="exact"/>
        <w:rPr>
          <w:sz w:val="20"/>
          <w:szCs w:val="20"/>
          <w:color w:val="auto"/>
        </w:rPr>
      </w:pPr>
    </w:p>
    <w:p>
      <w:pPr>
        <w:ind w:left="547" w:hanging="547"/>
        <w:spacing w:after="0"/>
        <w:tabs>
          <w:tab w:leader="none" w:pos="547" w:val="left"/>
        </w:tabs>
        <w:numPr>
          <w:ilvl w:val="0"/>
          <w:numId w:val="56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Assignment and Successors</w:t>
      </w:r>
      <w:r>
        <w:rPr>
          <w:rFonts w:ascii="Arial" w:cs="Arial" w:eastAsia="Arial" w:hAnsi="Arial"/>
          <w:sz w:val="15"/>
          <w:szCs w:val="15"/>
          <w:b w:val="1"/>
          <w:bCs w:val="1"/>
          <w:color w:val="auto"/>
        </w:rPr>
        <w:t>.</w:t>
      </w:r>
    </w:p>
    <w:p>
      <w:pPr>
        <w:spacing w:after="0" w:line="204" w:lineRule="exact"/>
        <w:rPr>
          <w:sz w:val="20"/>
          <w:szCs w:val="20"/>
          <w:color w:val="auto"/>
        </w:rPr>
      </w:pPr>
    </w:p>
    <w:p>
      <w:pPr>
        <w:ind w:left="7" w:right="60" w:firstLine="556"/>
        <w:spacing w:after="0" w:line="264" w:lineRule="auto"/>
        <w:rPr>
          <w:sz w:val="20"/>
          <w:szCs w:val="20"/>
          <w:color w:val="auto"/>
        </w:rPr>
      </w:pPr>
      <w:r>
        <w:rPr>
          <w:rFonts w:ascii="Arial" w:cs="Arial" w:eastAsia="Arial" w:hAnsi="Arial"/>
          <w:sz w:val="15"/>
          <w:szCs w:val="15"/>
          <w:color w:val="auto"/>
        </w:rPr>
        <w:t>The Company must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53" w:lineRule="exact"/>
        <w:rPr>
          <w:sz w:val="20"/>
          <w:szCs w:val="20"/>
          <w:color w:val="auto"/>
        </w:rPr>
      </w:pPr>
    </w:p>
    <w:p>
      <w:pPr>
        <w:ind w:left="547" w:hanging="547"/>
        <w:spacing w:after="0"/>
        <w:tabs>
          <w:tab w:leader="none" w:pos="547" w:val="left"/>
        </w:tabs>
        <w:numPr>
          <w:ilvl w:val="0"/>
          <w:numId w:val="56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Certain Definitions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687" w:right="4340" w:hanging="5131"/>
        <w:spacing w:after="0" w:line="547" w:lineRule="auto"/>
        <w:tabs>
          <w:tab w:leader="none" w:pos="1114" w:val="left"/>
        </w:tabs>
        <w:numPr>
          <w:ilvl w:val="1"/>
          <w:numId w:val="569"/>
        </w:numPr>
        <w:rPr>
          <w:rFonts w:ascii="Arial" w:cs="Arial" w:eastAsia="Arial" w:hAnsi="Arial"/>
          <w:sz w:val="15"/>
          <w:szCs w:val="15"/>
          <w:color w:val="auto"/>
        </w:rPr>
      </w:pPr>
      <w:r>
        <w:rPr>
          <w:rFonts w:ascii="Arial" w:cs="Arial" w:eastAsia="Arial" w:hAnsi="Arial"/>
          <w:sz w:val="15"/>
          <w:szCs w:val="15"/>
          <w:u w:val="single" w:color="auto"/>
          <w:color w:val="auto"/>
        </w:rPr>
        <w:t>Cause</w:t>
      </w:r>
      <w:r>
        <w:rPr>
          <w:rFonts w:ascii="Arial" w:cs="Arial" w:eastAsia="Arial" w:hAnsi="Arial"/>
          <w:sz w:val="15"/>
          <w:szCs w:val="15"/>
          <w:color w:val="auto"/>
        </w:rPr>
        <w:t>. The Company shall have “Cause” to terminate Executive’s employment hereunder upon: 5</w:t>
      </w:r>
    </w:p>
    <w:p>
      <w:pPr>
        <w:spacing w:after="0" w:line="383" w:lineRule="exact"/>
        <w:rPr>
          <w:rFonts w:ascii="Arial" w:cs="Arial" w:eastAsia="Arial" w:hAnsi="Arial"/>
          <w:sz w:val="15"/>
          <w:szCs w:val="15"/>
          <w:color w:val="auto"/>
        </w:rPr>
      </w:pPr>
    </w:p>
    <w:p>
      <w:pPr>
        <w:ind w:left="1687" w:hanging="576"/>
        <w:spacing w:after="0"/>
        <w:tabs>
          <w:tab w:leader="none" w:pos="1687" w:val="left"/>
        </w:tabs>
        <w:numPr>
          <w:ilvl w:val="2"/>
          <w:numId w:val="569"/>
        </w:numPr>
        <w:rPr>
          <w:rFonts w:ascii="Arial" w:cs="Arial" w:eastAsia="Arial" w:hAnsi="Arial"/>
          <w:sz w:val="15"/>
          <w:szCs w:val="15"/>
          <w:color w:val="auto"/>
        </w:rPr>
      </w:pPr>
      <w:r>
        <w:rPr>
          <w:rFonts w:ascii="Arial" w:cs="Arial" w:eastAsia="Arial" w:hAnsi="Arial"/>
          <w:sz w:val="15"/>
          <w:szCs w:val="15"/>
          <w:color w:val="auto"/>
        </w:rPr>
        <w:t>Executive’s commission of, or indictment or conviction of, any felony or any crime involving dishonesty by Executive;</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569"/>
        </w:numPr>
        <w:rPr>
          <w:rFonts w:ascii="Arial" w:cs="Arial" w:eastAsia="Arial" w:hAnsi="Arial"/>
          <w:sz w:val="15"/>
          <w:szCs w:val="15"/>
          <w:color w:val="auto"/>
        </w:rPr>
      </w:pPr>
      <w:r>
        <w:rPr>
          <w:rFonts w:ascii="Arial" w:cs="Arial" w:eastAsia="Arial" w:hAnsi="Arial"/>
          <w:sz w:val="15"/>
          <w:szCs w:val="15"/>
          <w:color w:val="auto"/>
        </w:rPr>
        <w:t>Executive’s participation in any fraud against the Company;</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569"/>
        </w:numPr>
        <w:rPr>
          <w:rFonts w:ascii="Arial" w:cs="Arial" w:eastAsia="Arial" w:hAnsi="Arial"/>
          <w:sz w:val="15"/>
          <w:szCs w:val="15"/>
          <w:color w:val="auto"/>
        </w:rPr>
      </w:pPr>
      <w:r>
        <w:rPr>
          <w:rFonts w:ascii="Arial" w:cs="Arial" w:eastAsia="Arial" w:hAnsi="Arial"/>
          <w:sz w:val="15"/>
          <w:szCs w:val="15"/>
          <w:color w:val="auto"/>
        </w:rPr>
        <w:t>any intentional damage to any property of the Company by Executive;</w:t>
      </w:r>
    </w:p>
    <w:p>
      <w:pPr>
        <w:spacing w:after="0" w:line="198" w:lineRule="exact"/>
        <w:rPr>
          <w:rFonts w:ascii="Arial" w:cs="Arial" w:eastAsia="Arial" w:hAnsi="Arial"/>
          <w:sz w:val="15"/>
          <w:szCs w:val="15"/>
          <w:color w:val="auto"/>
        </w:rPr>
      </w:pPr>
    </w:p>
    <w:p>
      <w:pPr>
        <w:ind w:left="547" w:right="40" w:firstLine="564"/>
        <w:spacing w:after="0" w:line="289" w:lineRule="auto"/>
        <w:tabs>
          <w:tab w:leader="none" w:pos="1674" w:val="left"/>
        </w:tabs>
        <w:numPr>
          <w:ilvl w:val="2"/>
          <w:numId w:val="569"/>
        </w:numPr>
        <w:rPr>
          <w:rFonts w:ascii="Arial" w:cs="Arial" w:eastAsia="Arial" w:hAnsi="Arial"/>
          <w:sz w:val="15"/>
          <w:szCs w:val="15"/>
          <w:color w:val="auto"/>
        </w:rPr>
      </w:pPr>
      <w:r>
        <w:rPr>
          <w:rFonts w:ascii="Arial" w:cs="Arial" w:eastAsia="Arial" w:hAnsi="Arial"/>
          <w:sz w:val="15"/>
          <w:szCs w:val="15"/>
          <w:color w:val="auto"/>
        </w:rPr>
        <w:t>Executive’s misconduct which materially and adversely reflects upon the business, operations, or reputation of the Company, which misconduct has not been cured (or cannot be cured) within thirty (30) days after the Company gives written notice to Executive regarding such misconduct; or</w:t>
      </w:r>
    </w:p>
    <w:p>
      <w:pPr>
        <w:spacing w:after="0" w:line="140" w:lineRule="exact"/>
        <w:rPr>
          <w:rFonts w:ascii="Arial" w:cs="Arial" w:eastAsia="Arial" w:hAnsi="Arial"/>
          <w:sz w:val="15"/>
          <w:szCs w:val="15"/>
          <w:color w:val="auto"/>
        </w:rPr>
      </w:pPr>
    </w:p>
    <w:p>
      <w:pPr>
        <w:ind w:left="547" w:right="80" w:firstLine="564"/>
        <w:spacing w:after="0" w:line="289" w:lineRule="auto"/>
        <w:tabs>
          <w:tab w:leader="none" w:pos="1665" w:val="left"/>
        </w:tabs>
        <w:numPr>
          <w:ilvl w:val="2"/>
          <w:numId w:val="569"/>
        </w:numPr>
        <w:rPr>
          <w:rFonts w:ascii="Arial" w:cs="Arial" w:eastAsia="Arial" w:hAnsi="Arial"/>
          <w:sz w:val="15"/>
          <w:szCs w:val="15"/>
          <w:color w:val="auto"/>
        </w:rPr>
      </w:pPr>
      <w:r>
        <w:rPr>
          <w:rFonts w:ascii="Arial" w:cs="Arial" w:eastAsia="Arial" w:hAnsi="Arial"/>
          <w:sz w:val="15"/>
          <w:szCs w:val="15"/>
          <w:color w:val="auto"/>
        </w:rPr>
        <w:t>Executive’s breach of any material provision of this Agreement or any other written agreement between Executive and the Company and failure to cure such breach (if capable of cure) within thirty (30) days after the Company gives written notice to Executive regarding such breach.</w:t>
      </w:r>
    </w:p>
    <w:p>
      <w:pPr>
        <w:spacing w:after="0" w:line="140" w:lineRule="exact"/>
        <w:rPr>
          <w:rFonts w:ascii="Arial" w:cs="Arial" w:eastAsia="Arial" w:hAnsi="Arial"/>
          <w:sz w:val="15"/>
          <w:szCs w:val="15"/>
          <w:color w:val="auto"/>
        </w:rPr>
      </w:pPr>
    </w:p>
    <w:p>
      <w:pPr>
        <w:ind w:left="1127" w:hanging="571"/>
        <w:spacing w:after="0"/>
        <w:tabs>
          <w:tab w:leader="none" w:pos="1127" w:val="left"/>
        </w:tabs>
        <w:numPr>
          <w:ilvl w:val="1"/>
          <w:numId w:val="569"/>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“Change in Control” shall have the meaning set forth in the version of the Selecta Biosciences, Inc. 2016 Incentive Award Plan in effect on the</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Effective Date.</w:t>
      </w:r>
    </w:p>
    <w:p>
      <w:pPr>
        <w:spacing w:after="0" w:line="187" w:lineRule="exact"/>
        <w:rPr>
          <w:rFonts w:ascii="Arial" w:cs="Arial" w:eastAsia="Arial" w:hAnsi="Arial"/>
          <w:sz w:val="14"/>
          <w:szCs w:val="14"/>
          <w:color w:val="auto"/>
        </w:rPr>
      </w:pPr>
    </w:p>
    <w:p>
      <w:pPr>
        <w:ind w:left="1127" w:hanging="571"/>
        <w:spacing w:after="0"/>
        <w:tabs>
          <w:tab w:leader="none" w:pos="1127" w:val="left"/>
        </w:tabs>
        <w:numPr>
          <w:ilvl w:val="1"/>
          <w:numId w:val="569"/>
        </w:numPr>
        <w:rPr>
          <w:rFonts w:ascii="Arial" w:cs="Arial" w:eastAsia="Arial" w:hAnsi="Arial"/>
          <w:sz w:val="15"/>
          <w:szCs w:val="15"/>
          <w:color w:val="auto"/>
        </w:rPr>
      </w:pPr>
      <w:r>
        <w:rPr>
          <w:rFonts w:ascii="Arial" w:cs="Arial" w:eastAsia="Arial" w:hAnsi="Arial"/>
          <w:sz w:val="15"/>
          <w:szCs w:val="15"/>
          <w:u w:val="single" w:color="auto"/>
          <w:color w:val="auto"/>
        </w:rPr>
        <w:t>Code</w:t>
      </w:r>
      <w:r>
        <w:rPr>
          <w:rFonts w:ascii="Arial" w:cs="Arial" w:eastAsia="Arial" w:hAnsi="Arial"/>
          <w:sz w:val="15"/>
          <w:szCs w:val="15"/>
          <w:color w:val="auto"/>
        </w:rPr>
        <w:t>. “Code” shall mean the Internal Revenue Code of 1986, as amended, and the regulations and guidance promulgated thereunder.</w:t>
      </w:r>
    </w:p>
    <w:p>
      <w:pPr>
        <w:spacing w:after="0" w:line="198" w:lineRule="exact"/>
        <w:rPr>
          <w:rFonts w:ascii="Arial" w:cs="Arial" w:eastAsia="Arial" w:hAnsi="Arial"/>
          <w:sz w:val="15"/>
          <w:szCs w:val="15"/>
          <w:color w:val="auto"/>
        </w:rPr>
      </w:pPr>
    </w:p>
    <w:p>
      <w:pPr>
        <w:ind w:left="7" w:right="380" w:firstLine="549"/>
        <w:spacing w:after="0" w:line="273" w:lineRule="auto"/>
        <w:tabs>
          <w:tab w:leader="none" w:pos="1125" w:val="left"/>
        </w:tabs>
        <w:numPr>
          <w:ilvl w:val="1"/>
          <w:numId w:val="569"/>
        </w:numPr>
        <w:rPr>
          <w:rFonts w:ascii="Arial" w:cs="Arial" w:eastAsia="Arial" w:hAnsi="Arial"/>
          <w:sz w:val="15"/>
          <w:szCs w:val="15"/>
          <w:color w:val="auto"/>
        </w:rPr>
      </w:pPr>
      <w:r>
        <w:rPr>
          <w:rFonts w:ascii="Arial" w:cs="Arial" w:eastAsia="Arial" w:hAnsi="Arial"/>
          <w:sz w:val="15"/>
          <w:szCs w:val="15"/>
          <w:u w:val="single" w:color="auto"/>
          <w:color w:val="auto"/>
        </w:rPr>
        <w:t>Date of Termination</w:t>
      </w:r>
      <w:r>
        <w:rPr>
          <w:rFonts w:ascii="Arial" w:cs="Arial" w:eastAsia="Arial" w:hAnsi="Arial"/>
          <w:sz w:val="15"/>
          <w:szCs w:val="15"/>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5"/>
          <w:szCs w:val="15"/>
          <w:u w:val="single" w:color="auto"/>
          <w:color w:val="auto"/>
        </w:rPr>
        <w:t>Section 3(a)(ii) — (vi)</w:t>
      </w:r>
      <w:r>
        <w:rPr>
          <w:rFonts w:ascii="Arial" w:cs="Arial" w:eastAsia="Arial" w:hAnsi="Arial"/>
          <w:sz w:val="15"/>
          <w:szCs w:val="15"/>
          <w:color w:val="auto"/>
        </w:rPr>
        <w:t xml:space="preserve"> either the date indicated in the Notice of Termination or the date specified by the Company pursuant to </w:t>
      </w:r>
      <w:r>
        <w:rPr>
          <w:rFonts w:ascii="Arial" w:cs="Arial" w:eastAsia="Arial" w:hAnsi="Arial"/>
          <w:sz w:val="15"/>
          <w:szCs w:val="15"/>
          <w:u w:val="single" w:color="auto"/>
          <w:color w:val="auto"/>
        </w:rPr>
        <w:t>Section 3(b)</w:t>
      </w:r>
      <w:r>
        <w:rPr>
          <w:rFonts w:ascii="Arial" w:cs="Arial" w:eastAsia="Arial" w:hAnsi="Arial"/>
          <w:sz w:val="15"/>
          <w:szCs w:val="15"/>
          <w:color w:val="auto"/>
        </w:rPr>
        <w:t>, whichever is earlier.</w:t>
      </w:r>
    </w:p>
    <w:p>
      <w:pPr>
        <w:spacing w:after="0" w:line="152" w:lineRule="exact"/>
        <w:rPr>
          <w:rFonts w:ascii="Arial" w:cs="Arial" w:eastAsia="Arial" w:hAnsi="Arial"/>
          <w:sz w:val="15"/>
          <w:szCs w:val="15"/>
          <w:color w:val="auto"/>
        </w:rPr>
      </w:pPr>
    </w:p>
    <w:p>
      <w:pPr>
        <w:ind w:left="7" w:firstLine="549"/>
        <w:spacing w:after="0" w:line="261" w:lineRule="auto"/>
        <w:tabs>
          <w:tab w:leader="none" w:pos="1128" w:val="left"/>
        </w:tabs>
        <w:numPr>
          <w:ilvl w:val="1"/>
          <w:numId w:val="569"/>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5"/>
          <w:szCs w:val="15"/>
          <w:i w:val="1"/>
          <w:iCs w:val="1"/>
          <w:color w:val="auto"/>
        </w:rPr>
        <w:t>provided, however</w:t>
      </w:r>
      <w:r>
        <w:rPr>
          <w:rFonts w:ascii="Arial" w:cs="Arial" w:eastAsia="Arial" w:hAnsi="Arial"/>
          <w:sz w:val="15"/>
          <w:szCs w:val="15"/>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64" w:lineRule="exact"/>
        <w:rPr>
          <w:rFonts w:ascii="Arial" w:cs="Arial" w:eastAsia="Arial" w:hAnsi="Arial"/>
          <w:sz w:val="15"/>
          <w:szCs w:val="15"/>
          <w:color w:val="auto"/>
        </w:rPr>
      </w:pPr>
    </w:p>
    <w:p>
      <w:pPr>
        <w:ind w:left="7" w:right="100" w:firstLine="549"/>
        <w:spacing w:after="0" w:line="293" w:lineRule="auto"/>
        <w:tabs>
          <w:tab w:leader="none" w:pos="1123" w:val="left"/>
        </w:tabs>
        <w:numPr>
          <w:ilvl w:val="1"/>
          <w:numId w:val="569"/>
        </w:numPr>
        <w:rPr>
          <w:rFonts w:ascii="Arial" w:cs="Arial" w:eastAsia="Arial" w:hAnsi="Arial"/>
          <w:sz w:val="14"/>
          <w:szCs w:val="14"/>
          <w:color w:val="auto"/>
        </w:rPr>
      </w:pPr>
      <w:r>
        <w:rPr>
          <w:rFonts w:ascii="Arial" w:cs="Arial" w:eastAsia="Arial" w:hAnsi="Arial"/>
          <w:sz w:val="14"/>
          <w:szCs w:val="14"/>
          <w:u w:val="single" w:color="auto"/>
          <w:color w:val="auto"/>
        </w:rPr>
        <w:t>Good Reason</w:t>
      </w:r>
      <w:r>
        <w:rPr>
          <w:rFonts w:ascii="Arial" w:cs="Arial" w:eastAsia="Arial" w:hAnsi="Arial"/>
          <w:sz w:val="14"/>
          <w:szCs w:val="14"/>
          <w:color w:val="auto"/>
        </w:rPr>
        <w:t>. For the sole purpose of determining Executive’s right to severance payments and benefits as described above, Executive’s resignation will be with “Good Reason” if Executive resigns within one year after any of the following events, unless Executive consents to the applicable event in writing: (i) a material reduction in Executive’s Annual Base Salary or Target Bonus, (ii) a material diminution in Executive’s authority, title, duties or areas of responsibility, (iii) the requirement that Executive report to someone other than the Chief Executive Officer, (iv) the relocation of Executive’s primary office to a location more than 40 miles from the Boston metropolitan area, or (v)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-4473575</wp:posOffset>
            </wp:positionV>
            <wp:extent cx="7285990" cy="2730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2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40"/>
        <w:spacing w:after="0" w:line="268" w:lineRule="auto"/>
        <w:rPr>
          <w:sz w:val="20"/>
          <w:szCs w:val="20"/>
          <w:color w:val="auto"/>
        </w:rPr>
      </w:pPr>
      <w:r>
        <w:rPr>
          <w:rFonts w:ascii="Arial" w:cs="Arial" w:eastAsia="Arial" w:hAnsi="Arial"/>
          <w:sz w:val="15"/>
          <w:szCs w:val="15"/>
          <w:color w:val="auto"/>
        </w:rPr>
        <w:t>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thirty (30) days after the receipt of such notice.</w:t>
      </w:r>
    </w:p>
    <w:p>
      <w:pPr>
        <w:spacing w:after="0" w:line="150" w:lineRule="exact"/>
        <w:rPr>
          <w:sz w:val="20"/>
          <w:szCs w:val="20"/>
          <w:color w:val="auto"/>
        </w:rPr>
      </w:pPr>
    </w:p>
    <w:p>
      <w:pPr>
        <w:ind w:left="547" w:hanging="547"/>
        <w:spacing w:after="0"/>
        <w:tabs>
          <w:tab w:leader="none" w:pos="547" w:val="left"/>
        </w:tabs>
        <w:numPr>
          <w:ilvl w:val="0"/>
          <w:numId w:val="57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Parachute Payments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 w:firstLine="549"/>
        <w:spacing w:after="0" w:line="282" w:lineRule="auto"/>
        <w:tabs>
          <w:tab w:leader="none" w:pos="1117" w:val="left"/>
        </w:tabs>
        <w:numPr>
          <w:ilvl w:val="1"/>
          <w:numId w:val="570"/>
        </w:numPr>
        <w:rPr>
          <w:rFonts w:ascii="Arial" w:cs="Arial" w:eastAsia="Arial" w:hAnsi="Arial"/>
          <w:sz w:val="14"/>
          <w:szCs w:val="14"/>
          <w:color w:val="auto"/>
        </w:rPr>
      </w:pPr>
      <w:r>
        <w:rPr>
          <w:rFonts w:ascii="Arial" w:cs="Arial" w:eastAsia="Arial" w:hAnsi="Arial"/>
          <w:sz w:val="14"/>
          <w:szCs w:val="14"/>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4"/>
          <w:szCs w:val="14"/>
          <w:u w:val="single" w:color="auto"/>
          <w:color w:val="auto"/>
        </w:rPr>
        <w:t>Section 4(b)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4(c)</w:t>
      </w:r>
      <w:r>
        <w:rPr>
          <w:rFonts w:ascii="Arial" w:cs="Arial" w:eastAsia="Arial" w:hAnsi="Arial"/>
          <w:sz w:val="14"/>
          <w:szCs w:val="14"/>
          <w:color w:val="auto"/>
        </w:rPr>
        <w:t xml:space="preserve"> hereof, being hereinafter referred to as the “</w:t>
      </w:r>
      <w:r>
        <w:rPr>
          <w:rFonts w:ascii="Arial" w:cs="Arial" w:eastAsia="Arial" w:hAnsi="Arial"/>
          <w:sz w:val="14"/>
          <w:szCs w:val="14"/>
          <w:u w:val="single" w:color="auto"/>
          <w:color w:val="auto"/>
        </w:rPr>
        <w:t>Total Payments</w:t>
      </w:r>
      <w:r>
        <w:rPr>
          <w:rFonts w:ascii="Arial" w:cs="Arial" w:eastAsia="Arial" w:hAnsi="Arial"/>
          <w:sz w:val="14"/>
          <w:szCs w:val="14"/>
          <w:color w:val="auto"/>
        </w:rPr>
        <w:t>”), would be subject (in whole or in part) to the excise tax imposed by Section 4999 of the Code (the “</w:t>
      </w:r>
      <w:r>
        <w:rPr>
          <w:rFonts w:ascii="Arial" w:cs="Arial" w:eastAsia="Arial" w:hAnsi="Arial"/>
          <w:sz w:val="14"/>
          <w:szCs w:val="14"/>
          <w:u w:val="single" w:color="auto"/>
          <w:color w:val="auto"/>
        </w:rPr>
        <w:t>Excise Tax</w:t>
      </w:r>
      <w:r>
        <w:rPr>
          <w:rFonts w:ascii="Arial" w:cs="Arial" w:eastAsia="Arial" w:hAnsi="Arial"/>
          <w:sz w:val="14"/>
          <w:szCs w:val="14"/>
          <w:color w:val="auto"/>
        </w:rPr>
        <w:t xml:space="preserve">”), then the Total Payments shall be reduced (in the order provided in </w:t>
      </w:r>
      <w:r>
        <w:rPr>
          <w:rFonts w:ascii="Arial" w:cs="Arial" w:eastAsia="Arial" w:hAnsi="Arial"/>
          <w:sz w:val="14"/>
          <w:szCs w:val="14"/>
          <w:u w:val="single" w:color="auto"/>
          <w:color w:val="auto"/>
        </w:rPr>
        <w:t>Section 8(b)</w:t>
      </w:r>
      <w:r>
        <w:rPr>
          <w:rFonts w:ascii="Arial" w:cs="Arial" w:eastAsia="Arial" w:hAnsi="Arial"/>
          <w:sz w:val="14"/>
          <w:szCs w:val="14"/>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0" w:lineRule="exact"/>
        <w:rPr>
          <w:rFonts w:ascii="Arial" w:cs="Arial" w:eastAsia="Arial" w:hAnsi="Arial"/>
          <w:sz w:val="14"/>
          <w:szCs w:val="14"/>
          <w:color w:val="auto"/>
        </w:rPr>
      </w:pPr>
    </w:p>
    <w:p>
      <w:pPr>
        <w:ind w:left="7" w:right="180" w:firstLine="549"/>
        <w:spacing w:after="0" w:line="265" w:lineRule="auto"/>
        <w:tabs>
          <w:tab w:leader="none" w:pos="1125" w:val="left"/>
        </w:tabs>
        <w:numPr>
          <w:ilvl w:val="1"/>
          <w:numId w:val="570"/>
        </w:numPr>
        <w:rPr>
          <w:rFonts w:ascii="Arial" w:cs="Arial" w:eastAsia="Arial" w:hAnsi="Arial"/>
          <w:sz w:val="15"/>
          <w:szCs w:val="15"/>
          <w:color w:val="auto"/>
        </w:rPr>
      </w:pPr>
      <w:r>
        <w:rPr>
          <w:rFonts w:ascii="Arial" w:cs="Arial" w:eastAsia="Arial" w:hAnsi="Arial"/>
          <w:sz w:val="15"/>
          <w:szCs w:val="15"/>
          <w:color w:val="auto"/>
        </w:rPr>
        <w:t>The Total Payments shall be reduced in the following order: (i) reduction on a pro-rata basis of any cash severance payments that are exempt from Section 409A of the Code (“</w:t>
      </w:r>
      <w:r>
        <w:rPr>
          <w:rFonts w:ascii="Arial" w:cs="Arial" w:eastAsia="Arial" w:hAnsi="Arial"/>
          <w:sz w:val="15"/>
          <w:szCs w:val="15"/>
          <w:u w:val="single" w:color="auto"/>
          <w:color w:val="auto"/>
        </w:rPr>
        <w:t>Section 409A</w:t>
      </w:r>
      <w:r>
        <w:rPr>
          <w:rFonts w:ascii="Arial" w:cs="Arial" w:eastAsia="Arial" w:hAnsi="Arial"/>
          <w:sz w:val="15"/>
          <w:szCs w:val="15"/>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59" w:lineRule="exact"/>
        <w:rPr>
          <w:rFonts w:ascii="Arial" w:cs="Arial" w:eastAsia="Arial" w:hAnsi="Arial"/>
          <w:sz w:val="15"/>
          <w:szCs w:val="15"/>
          <w:color w:val="auto"/>
        </w:rPr>
      </w:pPr>
    </w:p>
    <w:p>
      <w:pPr>
        <w:ind w:left="7" w:right="100" w:firstLine="549"/>
        <w:spacing w:after="0" w:line="293" w:lineRule="auto"/>
        <w:tabs>
          <w:tab w:leader="none" w:pos="1128" w:val="left"/>
        </w:tabs>
        <w:numPr>
          <w:ilvl w:val="1"/>
          <w:numId w:val="570"/>
        </w:numPr>
        <w:rPr>
          <w:rFonts w:ascii="Arial" w:cs="Arial" w:eastAsia="Arial" w:hAnsi="Arial"/>
          <w:sz w:val="14"/>
          <w:szCs w:val="14"/>
          <w:color w:val="auto"/>
        </w:rPr>
      </w:pPr>
      <w:r>
        <w:rPr>
          <w:rFonts w:ascii="Arial" w:cs="Arial" w:eastAsia="Arial" w:hAnsi="Arial"/>
          <w:sz w:val="14"/>
          <w:szCs w:val="14"/>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4"/>
          <w:szCs w:val="14"/>
          <w:u w:val="single" w:color="auto"/>
          <w:color w:val="auto"/>
        </w:rPr>
        <w:t>Independent Advisors</w:t>
      </w:r>
      <w:r>
        <w:rPr>
          <w:rFonts w:ascii="Arial" w:cs="Arial" w:eastAsia="Arial" w:hAnsi="Arial"/>
          <w:sz w:val="14"/>
          <w:szCs w:val="14"/>
          <w:color w:val="auto"/>
        </w:rPr>
        <w:t xml:space="preserve">”) to make determinations regarding the application of this </w:t>
      </w:r>
      <w:r>
        <w:rPr>
          <w:rFonts w:ascii="Arial" w:cs="Arial" w:eastAsia="Arial" w:hAnsi="Arial"/>
          <w:sz w:val="14"/>
          <w:szCs w:val="14"/>
          <w:u w:val="single" w:color="auto"/>
          <w:color w:val="auto"/>
        </w:rPr>
        <w:t>Section 8</w:t>
      </w:r>
      <w:r>
        <w:rPr>
          <w:rFonts w:ascii="Arial" w:cs="Arial" w:eastAsia="Arial" w:hAnsi="Arial"/>
          <w:sz w:val="14"/>
          <w:szCs w:val="14"/>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w:t>
      </w:r>
    </w:p>
    <w:p>
      <w:pPr>
        <w:sectPr>
          <w:pgSz w:w="11900" w:h="16838" w:orient="portrait"/>
          <w:cols w:equalWidth="0" w:num="1">
            <w:col w:w="11427"/>
          </w:cols>
          <w:pgMar w:left="233" w:top="129" w:right="239" w:bottom="0" w:gutter="0" w:footer="0" w:header="0"/>
        </w:sectPr>
      </w:pPr>
    </w:p>
    <w:bookmarkStart w:id="425" w:name="page426"/>
    <w:bookmarkEnd w:id="425"/>
    <w:p>
      <w:pPr>
        <w:ind w:left="7" w:right="160" w:hanging="7"/>
        <w:spacing w:after="0" w:line="289" w:lineRule="auto"/>
        <w:tabs>
          <w:tab w:leader="none" w:pos="252" w:val="left"/>
        </w:tabs>
        <w:numPr>
          <w:ilvl w:val="0"/>
          <w:numId w:val="571"/>
        </w:numPr>
        <w:rPr>
          <w:rFonts w:ascii="Arial" w:cs="Arial" w:eastAsia="Arial" w:hAnsi="Arial"/>
          <w:sz w:val="15"/>
          <w:szCs w:val="15"/>
          <w:color w:val="auto"/>
        </w:rPr>
      </w:pPr>
      <w:r>
        <w:rPr>
          <w:rFonts w:ascii="Arial" w:cs="Arial" w:eastAsia="Arial" w:hAnsi="Arial"/>
          <w:sz w:val="15"/>
          <w:szCs w:val="15"/>
          <w:color w:val="auto"/>
        </w:rPr>
        <w:t>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40" w:lineRule="exact"/>
        <w:rPr>
          <w:rFonts w:ascii="Arial" w:cs="Arial" w:eastAsia="Arial" w:hAnsi="Arial"/>
          <w:sz w:val="15"/>
          <w:szCs w:val="15"/>
          <w:color w:val="auto"/>
        </w:rPr>
      </w:pPr>
    </w:p>
    <w:p>
      <w:pPr>
        <w:ind w:left="7" w:firstLine="549"/>
        <w:spacing w:after="0" w:line="273" w:lineRule="auto"/>
        <w:tabs>
          <w:tab w:leader="none" w:pos="1125" w:val="left"/>
        </w:tabs>
        <w:numPr>
          <w:ilvl w:val="1"/>
          <w:numId w:val="571"/>
        </w:numPr>
        <w:rPr>
          <w:rFonts w:ascii="Arial" w:cs="Arial" w:eastAsia="Arial" w:hAnsi="Arial"/>
          <w:sz w:val="15"/>
          <w:szCs w:val="15"/>
          <w:color w:val="auto"/>
        </w:rPr>
      </w:pPr>
      <w:r>
        <w:rPr>
          <w:rFonts w:ascii="Arial" w:cs="Arial" w:eastAsia="Arial" w:hAnsi="Arial"/>
          <w:sz w:val="15"/>
          <w:szCs w:val="15"/>
          <w:color w:val="auto"/>
        </w:rPr>
        <w:t xml:space="preserve">If Executive incurs legal fees or other expenses (including expert witness and accounting fees) in an effort to determine the applicability of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or establish entitlement to or obtain any portion of the Total Payments that have been reduced under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(collectively, “</w:t>
      </w:r>
      <w:r>
        <w:rPr>
          <w:rFonts w:ascii="Arial" w:cs="Arial" w:eastAsia="Arial" w:hAnsi="Arial"/>
          <w:sz w:val="15"/>
          <w:szCs w:val="15"/>
          <w:u w:val="single" w:color="auto"/>
          <w:color w:val="auto"/>
        </w:rPr>
        <w:t>Legal and Other Expenses</w:t>
      </w:r>
      <w:r>
        <w:rPr>
          <w:rFonts w:ascii="Arial" w:cs="Arial" w:eastAsia="Arial" w:hAnsi="Arial"/>
          <w:sz w:val="15"/>
          <w:szCs w:val="15"/>
          <w:color w:val="auto"/>
        </w:rPr>
        <w:t>”), Executive shall be entitled to payment of or reimbursement for such Legal and Other</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0"/>
        <w:spacing w:after="0" w:line="265" w:lineRule="auto"/>
        <w:rPr>
          <w:sz w:val="20"/>
          <w:szCs w:val="20"/>
          <w:color w:val="auto"/>
        </w:rPr>
      </w:pPr>
      <w:r>
        <w:rPr>
          <w:rFonts w:ascii="Arial" w:cs="Arial" w:eastAsia="Arial" w:hAnsi="Arial"/>
          <w:sz w:val="15"/>
          <w:szCs w:val="15"/>
          <w:color w:val="auto"/>
        </w:rPr>
        <w:t xml:space="preserve">Expenses in accordance with this </w:t>
      </w:r>
      <w:r>
        <w:rPr>
          <w:rFonts w:ascii="Arial" w:cs="Arial" w:eastAsia="Arial" w:hAnsi="Arial"/>
          <w:sz w:val="15"/>
          <w:szCs w:val="15"/>
          <w:u w:val="single" w:color="auto"/>
          <w:color w:val="auto"/>
        </w:rPr>
        <w:t>Section 8(d)</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Sections 9(l)(iv)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9(m)</w:t>
      </w:r>
      <w:r>
        <w:rPr>
          <w:rFonts w:ascii="Arial" w:cs="Arial" w:eastAsia="Arial" w:hAnsi="Arial"/>
          <w:sz w:val="15"/>
          <w:szCs w:val="15"/>
          <w:color w:val="auto"/>
        </w:rPr>
        <w:t xml:space="preserve"> and the other provisions of this </w:t>
      </w:r>
      <w:r>
        <w:rPr>
          <w:rFonts w:ascii="Arial" w:cs="Arial" w:eastAsia="Arial" w:hAnsi="Arial"/>
          <w:sz w:val="15"/>
          <w:szCs w:val="15"/>
          <w:u w:val="single" w:color="auto"/>
          <w:color w:val="auto"/>
        </w:rPr>
        <w:t>Section 8</w:t>
      </w:r>
      <w:r>
        <w:rPr>
          <w:rFonts w:ascii="Arial" w:cs="Arial" w:eastAsia="Arial" w:hAnsi="Arial"/>
          <w:sz w:val="15"/>
          <w:szCs w:val="15"/>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60" w:lineRule="exact"/>
        <w:rPr>
          <w:sz w:val="20"/>
          <w:szCs w:val="20"/>
          <w:color w:val="auto"/>
        </w:rPr>
      </w:pPr>
    </w:p>
    <w:p>
      <w:pPr>
        <w:ind w:left="7" w:right="60" w:firstLine="549"/>
        <w:spacing w:after="0" w:line="302" w:lineRule="auto"/>
        <w:tabs>
          <w:tab w:leader="none" w:pos="1128" w:val="left"/>
        </w:tabs>
        <w:numPr>
          <w:ilvl w:val="1"/>
          <w:numId w:val="572"/>
        </w:numPr>
        <w:rPr>
          <w:rFonts w:ascii="Arial" w:cs="Arial" w:eastAsia="Arial" w:hAnsi="Arial"/>
          <w:sz w:val="14"/>
          <w:szCs w:val="14"/>
          <w:color w:val="auto"/>
        </w:rPr>
      </w:pPr>
      <w:r>
        <w:rPr>
          <w:rFonts w:ascii="Arial" w:cs="Arial" w:eastAsia="Arial" w:hAnsi="Arial"/>
          <w:sz w:val="14"/>
          <w:szCs w:val="14"/>
          <w:color w:val="auto"/>
        </w:rPr>
        <w:t xml:space="preserve">In the event it is later determined that to implement the objective and intent of this </w:t>
      </w:r>
      <w:r>
        <w:rPr>
          <w:rFonts w:ascii="Arial" w:cs="Arial" w:eastAsia="Arial" w:hAnsi="Arial"/>
          <w:sz w:val="14"/>
          <w:szCs w:val="14"/>
          <w:u w:val="single" w:color="auto"/>
          <w:color w:val="auto"/>
        </w:rPr>
        <w:t>Section 8</w:t>
      </w:r>
      <w:r>
        <w:rPr>
          <w:rFonts w:ascii="Arial" w:cs="Arial" w:eastAsia="Arial" w:hAnsi="Arial"/>
          <w:sz w:val="14"/>
          <w:szCs w:val="14"/>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27" w:lineRule="exact"/>
        <w:rPr>
          <w:rFonts w:ascii="Arial" w:cs="Arial" w:eastAsia="Arial" w:hAnsi="Arial"/>
          <w:sz w:val="14"/>
          <w:szCs w:val="14"/>
          <w:color w:val="auto"/>
        </w:rPr>
      </w:pPr>
    </w:p>
    <w:p>
      <w:pPr>
        <w:ind w:left="547" w:hanging="547"/>
        <w:spacing w:after="0"/>
        <w:tabs>
          <w:tab w:leader="none" w:pos="547" w:val="left"/>
        </w:tabs>
        <w:numPr>
          <w:ilvl w:val="0"/>
          <w:numId w:val="5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 Provisions</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7" w:right="200" w:firstLine="549"/>
        <w:spacing w:after="0" w:line="302" w:lineRule="auto"/>
        <w:tabs>
          <w:tab w:leader="none" w:pos="1117" w:val="left"/>
        </w:tabs>
        <w:numPr>
          <w:ilvl w:val="1"/>
          <w:numId w:val="573"/>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33" w:lineRule="exact"/>
        <w:rPr>
          <w:rFonts w:ascii="Arial" w:cs="Arial" w:eastAsia="Arial" w:hAnsi="Arial"/>
          <w:sz w:val="14"/>
          <w:szCs w:val="14"/>
          <w:color w:val="auto"/>
        </w:rPr>
      </w:pPr>
    </w:p>
    <w:p>
      <w:pPr>
        <w:ind w:left="7" w:right="240" w:firstLine="549"/>
        <w:spacing w:after="0" w:line="289" w:lineRule="auto"/>
        <w:tabs>
          <w:tab w:leader="none" w:pos="1125" w:val="left"/>
        </w:tabs>
        <w:numPr>
          <w:ilvl w:val="1"/>
          <w:numId w:val="573"/>
        </w:numPr>
        <w:rPr>
          <w:rFonts w:ascii="Arial" w:cs="Arial" w:eastAsia="Arial" w:hAnsi="Arial"/>
          <w:sz w:val="15"/>
          <w:szCs w:val="15"/>
          <w:color w:val="auto"/>
        </w:rPr>
      </w:pPr>
      <w:r>
        <w:rPr>
          <w:rFonts w:ascii="Arial" w:cs="Arial" w:eastAsia="Arial" w:hAnsi="Arial"/>
          <w:sz w:val="15"/>
          <w:szCs w:val="15"/>
          <w:u w:val="single" w:color="auto"/>
          <w:color w:val="auto"/>
        </w:rPr>
        <w:t>Validity</w:t>
      </w:r>
      <w:r>
        <w:rPr>
          <w:rFonts w:ascii="Arial" w:cs="Arial" w:eastAsia="Arial" w:hAnsi="Arial"/>
          <w:sz w:val="15"/>
          <w:szCs w:val="15"/>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40" w:lineRule="exact"/>
        <w:rPr>
          <w:rFonts w:ascii="Arial" w:cs="Arial" w:eastAsia="Arial" w:hAnsi="Arial"/>
          <w:sz w:val="15"/>
          <w:szCs w:val="15"/>
          <w:color w:val="auto"/>
        </w:rPr>
      </w:pPr>
    </w:p>
    <w:p>
      <w:pPr>
        <w:ind w:left="7" w:right="280" w:firstLine="549"/>
        <w:spacing w:after="0" w:line="289" w:lineRule="auto"/>
        <w:tabs>
          <w:tab w:leader="none" w:pos="1128" w:val="left"/>
        </w:tabs>
        <w:numPr>
          <w:ilvl w:val="1"/>
          <w:numId w:val="573"/>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40" w:lineRule="exact"/>
        <w:rPr>
          <w:rFonts w:ascii="Arial" w:cs="Arial" w:eastAsia="Arial" w:hAnsi="Arial"/>
          <w:sz w:val="15"/>
          <w:szCs w:val="15"/>
          <w:color w:val="auto"/>
        </w:rPr>
      </w:pPr>
    </w:p>
    <w:p>
      <w:pPr>
        <w:ind w:left="1687" w:hanging="576"/>
        <w:spacing w:after="0"/>
        <w:tabs>
          <w:tab w:leader="none" w:pos="1687" w:val="left"/>
        </w:tabs>
        <w:numPr>
          <w:ilvl w:val="2"/>
          <w:numId w:val="573"/>
        </w:numPr>
        <w:rPr>
          <w:rFonts w:ascii="Arial" w:cs="Arial" w:eastAsia="Arial" w:hAnsi="Arial"/>
          <w:sz w:val="15"/>
          <w:szCs w:val="15"/>
          <w:color w:val="auto"/>
        </w:rPr>
      </w:pPr>
      <w:r>
        <w:rPr>
          <w:rFonts w:ascii="Arial" w:cs="Arial" w:eastAsia="Arial" w:hAnsi="Arial"/>
          <w:sz w:val="15"/>
          <w:szCs w:val="15"/>
          <w:color w:val="auto"/>
        </w:rPr>
        <w:t>If to the Company, to the General Counsel of the Company at the Company’s headquarters,</w:t>
      </w:r>
    </w:p>
    <w:p>
      <w:pPr>
        <w:spacing w:after="0" w:line="198" w:lineRule="exact"/>
        <w:rPr>
          <w:rFonts w:ascii="Arial" w:cs="Arial" w:eastAsia="Arial" w:hAnsi="Arial"/>
          <w:sz w:val="15"/>
          <w:szCs w:val="15"/>
          <w:color w:val="auto"/>
        </w:rPr>
      </w:pPr>
    </w:p>
    <w:p>
      <w:pPr>
        <w:ind w:left="1687" w:hanging="576"/>
        <w:spacing w:after="0"/>
        <w:tabs>
          <w:tab w:leader="none" w:pos="1687" w:val="left"/>
        </w:tabs>
        <w:numPr>
          <w:ilvl w:val="2"/>
          <w:numId w:val="573"/>
        </w:numPr>
        <w:rPr>
          <w:rFonts w:ascii="Arial" w:cs="Arial" w:eastAsia="Arial" w:hAnsi="Arial"/>
          <w:sz w:val="15"/>
          <w:szCs w:val="15"/>
          <w:color w:val="auto"/>
        </w:rPr>
      </w:pPr>
      <w:r>
        <w:rPr>
          <w:rFonts w:ascii="Arial" w:cs="Arial" w:eastAsia="Arial" w:hAnsi="Arial"/>
          <w:sz w:val="15"/>
          <w:szCs w:val="15"/>
          <w:color w:val="auto"/>
        </w:rPr>
        <w:t>If to Executive, to the last address that the Company has in its personnel records for Executive, or</w:t>
      </w:r>
    </w:p>
    <w:p>
      <w:pPr>
        <w:spacing w:after="0" w:line="198" w:lineRule="exact"/>
        <w:rPr>
          <w:rFonts w:ascii="Arial" w:cs="Arial" w:eastAsia="Arial" w:hAnsi="Arial"/>
          <w:sz w:val="15"/>
          <w:szCs w:val="15"/>
          <w:color w:val="auto"/>
        </w:rPr>
      </w:pPr>
    </w:p>
    <w:p>
      <w:pPr>
        <w:ind w:left="1707" w:hanging="596"/>
        <w:spacing w:after="0"/>
        <w:tabs>
          <w:tab w:leader="none" w:pos="1707" w:val="left"/>
        </w:tabs>
        <w:numPr>
          <w:ilvl w:val="2"/>
          <w:numId w:val="573"/>
        </w:numPr>
        <w:rPr>
          <w:rFonts w:ascii="Arial" w:cs="Arial" w:eastAsia="Arial" w:hAnsi="Arial"/>
          <w:sz w:val="15"/>
          <w:szCs w:val="15"/>
          <w:color w:val="auto"/>
        </w:rPr>
      </w:pPr>
      <w:r>
        <w:rPr>
          <w:rFonts w:ascii="Arial" w:cs="Arial" w:eastAsia="Arial" w:hAnsi="Arial"/>
          <w:sz w:val="15"/>
          <w:szCs w:val="15"/>
          <w:color w:val="auto"/>
        </w:rPr>
        <w:t>at any other address as any Party shall have specified by notice in writing to the other Party.</w:t>
      </w:r>
    </w:p>
    <w:p>
      <w:pPr>
        <w:spacing w:after="0" w:line="198" w:lineRule="exact"/>
        <w:rPr>
          <w:rFonts w:ascii="Arial" w:cs="Arial" w:eastAsia="Arial" w:hAnsi="Arial"/>
          <w:sz w:val="15"/>
          <w:szCs w:val="15"/>
          <w:color w:val="auto"/>
        </w:rPr>
      </w:pPr>
    </w:p>
    <w:p>
      <w:pPr>
        <w:ind w:left="7" w:right="100" w:firstLine="549"/>
        <w:spacing w:after="0" w:line="289" w:lineRule="auto"/>
        <w:tabs>
          <w:tab w:leader="none" w:pos="1125" w:val="left"/>
        </w:tabs>
        <w:numPr>
          <w:ilvl w:val="1"/>
          <w:numId w:val="573"/>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40" w:lineRule="exact"/>
        <w:rPr>
          <w:rFonts w:ascii="Arial" w:cs="Arial" w:eastAsia="Arial" w:hAnsi="Arial"/>
          <w:sz w:val="15"/>
          <w:szCs w:val="15"/>
          <w:color w:val="auto"/>
        </w:rPr>
      </w:pPr>
    </w:p>
    <w:p>
      <w:pPr>
        <w:ind w:left="7" w:right="160" w:firstLine="549"/>
        <w:spacing w:after="0" w:line="302" w:lineRule="auto"/>
        <w:tabs>
          <w:tab w:leader="none" w:pos="1128" w:val="left"/>
        </w:tabs>
        <w:numPr>
          <w:ilvl w:val="1"/>
          <w:numId w:val="573"/>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xml:space="preserve">. The terms of this Agreement, the Restrictive Covenant Agreement incorporated herein by reference as set forth in </w:t>
      </w:r>
      <w:r>
        <w:rPr>
          <w:rFonts w:ascii="Arial" w:cs="Arial" w:eastAsia="Arial" w:hAnsi="Arial"/>
          <w:sz w:val="14"/>
          <w:szCs w:val="14"/>
          <w:u w:val="single" w:color="auto"/>
          <w:color w:val="auto"/>
        </w:rPr>
        <w:t>Section 5</w:t>
      </w:r>
      <w:r>
        <w:rPr>
          <w:rFonts w:ascii="Arial" w:cs="Arial" w:eastAsia="Arial" w:hAnsi="Arial"/>
          <w:sz w:val="14"/>
          <w:szCs w:val="14"/>
          <w:color w:val="auto"/>
        </w:rPr>
        <w:t>, the Indemnification Agreement (defined below) and any stock option agreement between the Company and Executive entered into prior to the date hereof are intended by the Parties to be the final expression of their agreement with respect to the subject matter hereof and supersede all prior understandings and agreements, whether written or oral, including without</w:t>
      </w:r>
    </w:p>
    <w:p>
      <w:pPr>
        <w:spacing w:after="0" w:line="13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 w:right="520"/>
        <w:spacing w:after="0" w:line="273" w:lineRule="auto"/>
        <w:rPr>
          <w:sz w:val="20"/>
          <w:szCs w:val="20"/>
          <w:color w:val="auto"/>
        </w:rPr>
      </w:pPr>
      <w:r>
        <w:rPr>
          <w:rFonts w:ascii="Arial" w:cs="Arial" w:eastAsia="Arial" w:hAnsi="Arial"/>
          <w:sz w:val="15"/>
          <w:szCs w:val="15"/>
          <w:color w:val="auto"/>
        </w:rPr>
        <w:t>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53" w:lineRule="exact"/>
        <w:rPr>
          <w:sz w:val="20"/>
          <w:szCs w:val="20"/>
          <w:color w:val="auto"/>
        </w:rPr>
      </w:pPr>
    </w:p>
    <w:p>
      <w:pPr>
        <w:ind w:left="1107" w:hanging="551"/>
        <w:spacing w:after="0"/>
        <w:tabs>
          <w:tab w:leader="none" w:pos="1107" w:val="left"/>
        </w:tabs>
        <w:numPr>
          <w:ilvl w:val="1"/>
          <w:numId w:val="574"/>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xml:space="preserve">. The Parties acknowledge that they have or will enter into an Indemnification Agreement in substantially the form attached as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hereto.</w:t>
      </w:r>
    </w:p>
    <w:p>
      <w:pPr>
        <w:spacing w:after="0" w:line="209" w:lineRule="exact"/>
        <w:rPr>
          <w:rFonts w:ascii="Arial" w:cs="Arial" w:eastAsia="Arial" w:hAnsi="Arial"/>
          <w:sz w:val="14"/>
          <w:szCs w:val="14"/>
          <w:color w:val="auto"/>
        </w:rPr>
      </w:pPr>
    </w:p>
    <w:p>
      <w:pPr>
        <w:ind w:left="7" w:right="20" w:firstLine="549"/>
        <w:spacing w:after="0" w:line="265" w:lineRule="auto"/>
        <w:tabs>
          <w:tab w:leader="none" w:pos="1137" w:val="left"/>
        </w:tabs>
        <w:numPr>
          <w:ilvl w:val="1"/>
          <w:numId w:val="574"/>
        </w:numPr>
        <w:rPr>
          <w:rFonts w:ascii="Arial" w:cs="Arial" w:eastAsia="Arial" w:hAnsi="Arial"/>
          <w:sz w:val="15"/>
          <w:szCs w:val="15"/>
          <w:color w:val="auto"/>
        </w:rPr>
      </w:pPr>
      <w:r>
        <w:rPr>
          <w:rFonts w:ascii="Arial" w:cs="Arial" w:eastAsia="Arial" w:hAnsi="Arial"/>
          <w:sz w:val="15"/>
          <w:szCs w:val="15"/>
          <w:u w:val="single" w:color="auto"/>
          <w:color w:val="auto"/>
        </w:rPr>
        <w:t>Amendments; Waivers</w:t>
      </w:r>
      <w:r>
        <w:rPr>
          <w:rFonts w:ascii="Arial" w:cs="Arial" w:eastAsia="Arial" w:hAnsi="Arial"/>
          <w:sz w:val="15"/>
          <w:szCs w:val="15"/>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59" w:lineRule="exact"/>
        <w:rPr>
          <w:rFonts w:ascii="Arial" w:cs="Arial" w:eastAsia="Arial" w:hAnsi="Arial"/>
          <w:sz w:val="15"/>
          <w:szCs w:val="15"/>
          <w:color w:val="auto"/>
        </w:rPr>
      </w:pPr>
    </w:p>
    <w:p>
      <w:pPr>
        <w:ind w:left="7" w:right="400" w:firstLine="549"/>
        <w:spacing w:after="0" w:line="273" w:lineRule="auto"/>
        <w:tabs>
          <w:tab w:leader="none" w:pos="1125" w:val="left"/>
        </w:tabs>
        <w:numPr>
          <w:ilvl w:val="1"/>
          <w:numId w:val="574"/>
        </w:numPr>
        <w:rPr>
          <w:rFonts w:ascii="Arial" w:cs="Arial" w:eastAsia="Arial" w:hAnsi="Arial"/>
          <w:sz w:val="15"/>
          <w:szCs w:val="15"/>
          <w:color w:val="auto"/>
        </w:rPr>
      </w:pPr>
      <w:r>
        <w:rPr>
          <w:rFonts w:ascii="Arial" w:cs="Arial" w:eastAsia="Arial" w:hAnsi="Arial"/>
          <w:sz w:val="15"/>
          <w:szCs w:val="15"/>
          <w:u w:val="single" w:color="auto"/>
          <w:color w:val="auto"/>
        </w:rPr>
        <w:t>No Inconsistent Actions</w:t>
      </w:r>
      <w:r>
        <w:rPr>
          <w:rFonts w:ascii="Arial" w:cs="Arial" w:eastAsia="Arial" w:hAnsi="Arial"/>
          <w:sz w:val="15"/>
          <w:szCs w:val="15"/>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52" w:lineRule="exact"/>
        <w:rPr>
          <w:rFonts w:ascii="Arial" w:cs="Arial" w:eastAsia="Arial" w:hAnsi="Arial"/>
          <w:sz w:val="15"/>
          <w:szCs w:val="15"/>
          <w:color w:val="auto"/>
        </w:rPr>
      </w:pPr>
    </w:p>
    <w:p>
      <w:pPr>
        <w:ind w:left="7" w:right="60" w:firstLine="549"/>
        <w:spacing w:after="0" w:line="279" w:lineRule="auto"/>
        <w:tabs>
          <w:tab w:leader="none" w:pos="1138" w:val="left"/>
        </w:tabs>
        <w:numPr>
          <w:ilvl w:val="1"/>
          <w:numId w:val="574"/>
        </w:numPr>
        <w:rPr>
          <w:rFonts w:ascii="Arial" w:cs="Arial" w:eastAsia="Arial" w:hAnsi="Arial"/>
          <w:sz w:val="14"/>
          <w:szCs w:val="14"/>
          <w:color w:val="auto"/>
        </w:rPr>
      </w:pPr>
      <w:r>
        <w:rPr>
          <w:rFonts w:ascii="Arial" w:cs="Arial" w:eastAsia="Arial" w:hAnsi="Arial"/>
          <w:sz w:val="14"/>
          <w:szCs w:val="14"/>
          <w:u w:val="single" w:color="auto"/>
          <w:color w:val="auto"/>
        </w:rPr>
        <w:t>Construction</w:t>
      </w:r>
      <w:r>
        <w:rPr>
          <w:rFonts w:ascii="Arial" w:cs="Arial" w:eastAsia="Arial" w:hAnsi="Arial"/>
          <w:sz w:val="14"/>
          <w:szCs w:val="14"/>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w:t>
      </w:r>
    </w:p>
    <w:p>
      <w:pPr>
        <w:spacing w:after="0" w:line="1" w:lineRule="exact"/>
        <w:rPr>
          <w:rFonts w:ascii="Arial" w:cs="Arial" w:eastAsia="Arial" w:hAnsi="Arial"/>
          <w:sz w:val="14"/>
          <w:szCs w:val="14"/>
          <w:color w:val="auto"/>
        </w:rPr>
      </w:pPr>
    </w:p>
    <w:p>
      <w:pPr>
        <w:ind w:left="7" w:right="500" w:hanging="7"/>
        <w:spacing w:after="0" w:line="266" w:lineRule="auto"/>
        <w:tabs>
          <w:tab w:leader="none" w:pos="226" w:val="left"/>
        </w:tabs>
        <w:numPr>
          <w:ilvl w:val="0"/>
          <w:numId w:val="575"/>
        </w:numPr>
        <w:rPr>
          <w:rFonts w:ascii="Arial" w:cs="Arial" w:eastAsia="Arial" w:hAnsi="Arial"/>
          <w:sz w:val="15"/>
          <w:szCs w:val="15"/>
          <w:color w:val="auto"/>
        </w:rPr>
      </w:pPr>
      <w:r>
        <w:rPr>
          <w:rFonts w:ascii="Arial" w:cs="Arial" w:eastAsia="Arial" w:hAnsi="Arial"/>
          <w:sz w:val="15"/>
          <w:szCs w:val="15"/>
          <w:color w:val="auto"/>
        </w:rPr>
        <w:t>“herein,”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57" w:lineRule="exact"/>
        <w:rPr>
          <w:rFonts w:ascii="Arial" w:cs="Arial" w:eastAsia="Arial" w:hAnsi="Arial"/>
          <w:sz w:val="15"/>
          <w:szCs w:val="15"/>
          <w:color w:val="auto"/>
        </w:rPr>
      </w:pPr>
    </w:p>
    <w:p>
      <w:pPr>
        <w:ind w:left="7" w:right="100" w:firstLine="549"/>
        <w:spacing w:after="0" w:line="265" w:lineRule="auto"/>
        <w:tabs>
          <w:tab w:leader="none" w:pos="1126" w:val="left"/>
        </w:tabs>
        <w:numPr>
          <w:ilvl w:val="1"/>
          <w:numId w:val="575"/>
        </w:numPr>
        <w:rPr>
          <w:rFonts w:ascii="Arial" w:cs="Arial" w:eastAsia="Arial" w:hAnsi="Arial"/>
          <w:sz w:val="15"/>
          <w:szCs w:val="15"/>
          <w:color w:val="auto"/>
        </w:rPr>
      </w:pPr>
      <w:r>
        <w:rPr>
          <w:rFonts w:ascii="Arial" w:cs="Arial" w:eastAsia="Arial" w:hAnsi="Arial"/>
          <w:sz w:val="15"/>
          <w:szCs w:val="15"/>
          <w:u w:val="single" w:color="auto"/>
          <w:color w:val="auto"/>
        </w:rPr>
        <w:t>Enforcement</w:t>
      </w:r>
      <w:r>
        <w:rPr>
          <w:rFonts w:ascii="Arial" w:cs="Arial" w:eastAsia="Arial" w:hAnsi="Arial"/>
          <w:sz w:val="15"/>
          <w:szCs w:val="15"/>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59" w:lineRule="exact"/>
        <w:rPr>
          <w:rFonts w:ascii="Arial" w:cs="Arial" w:eastAsia="Arial" w:hAnsi="Arial"/>
          <w:sz w:val="15"/>
          <w:szCs w:val="15"/>
          <w:color w:val="auto"/>
        </w:rPr>
      </w:pPr>
    </w:p>
    <w:p>
      <w:pPr>
        <w:ind w:left="7" w:right="300" w:firstLine="549"/>
        <w:spacing w:after="0" w:line="273" w:lineRule="auto"/>
        <w:tabs>
          <w:tab w:leader="none" w:pos="1125" w:val="left"/>
        </w:tabs>
        <w:numPr>
          <w:ilvl w:val="1"/>
          <w:numId w:val="575"/>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27"/>
          </w:cols>
          <w:pgMar w:left="233" w:top="129" w:right="239" w:bottom="105" w:gutter="0" w:footer="0" w:header="0"/>
        </w:sectPr>
      </w:pPr>
    </w:p>
    <w:bookmarkStart w:id="426" w:name="page427"/>
    <w:bookmarkEnd w:id="426"/>
    <w:p>
      <w:pPr>
        <w:ind w:left="1127" w:hanging="571"/>
        <w:spacing w:after="0"/>
        <w:tabs>
          <w:tab w:leader="none" w:pos="1127" w:val="left"/>
        </w:tabs>
        <w:numPr>
          <w:ilvl w:val="0"/>
          <w:numId w:val="576"/>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47" w:right="80" w:firstLine="564"/>
        <w:spacing w:after="0" w:line="289" w:lineRule="auto"/>
        <w:tabs>
          <w:tab w:leader="none" w:pos="1677" w:val="left"/>
        </w:tabs>
        <w:numPr>
          <w:ilvl w:val="1"/>
          <w:numId w:val="576"/>
        </w:numPr>
        <w:rPr>
          <w:rFonts w:ascii="Arial" w:cs="Arial" w:eastAsia="Arial" w:hAnsi="Arial"/>
          <w:sz w:val="15"/>
          <w:szCs w:val="15"/>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 intent of the Parties is that the payments and benefits under this Agreement comply with or be exempt from Section 409A and, accordingly, to</w:t>
      </w:r>
      <w:r>
        <w:rPr>
          <w:rFonts w:ascii="Arial" w:cs="Arial" w:eastAsia="Arial" w:hAnsi="Arial"/>
          <w:sz w:val="15"/>
          <w:szCs w:val="15"/>
          <w:i w:val="1"/>
          <w:iCs w:val="1"/>
          <w:color w:val="auto"/>
        </w:rPr>
        <w:t xml:space="preserve"> </w:t>
      </w:r>
      <w:r>
        <w:rPr>
          <w:rFonts w:ascii="Arial" w:cs="Arial" w:eastAsia="Arial" w:hAnsi="Arial"/>
          <w:sz w:val="15"/>
          <w:szCs w:val="15"/>
          <w:color w:val="auto"/>
        </w:rPr>
        <w:t>the maximum extent permitted, this Agreement shall be interpreted to be in compliance therewith.</w:t>
      </w:r>
    </w:p>
    <w:p>
      <w:pPr>
        <w:spacing w:after="0" w:line="140" w:lineRule="exact"/>
        <w:rPr>
          <w:rFonts w:ascii="Arial" w:cs="Arial" w:eastAsia="Arial" w:hAnsi="Arial"/>
          <w:sz w:val="15"/>
          <w:szCs w:val="15"/>
          <w:color w:val="auto"/>
        </w:rPr>
      </w:pPr>
    </w:p>
    <w:p>
      <w:pPr>
        <w:ind w:left="547" w:right="80" w:firstLine="564"/>
        <w:spacing w:after="0" w:line="263" w:lineRule="auto"/>
        <w:tabs>
          <w:tab w:leader="none" w:pos="1686" w:val="left"/>
        </w:tabs>
        <w:numPr>
          <w:ilvl w:val="1"/>
          <w:numId w:val="576"/>
        </w:numPr>
        <w:rPr>
          <w:rFonts w:ascii="Arial" w:cs="Arial" w:eastAsia="Arial" w:hAnsi="Arial"/>
          <w:sz w:val="15"/>
          <w:szCs w:val="15"/>
          <w:color w:val="auto"/>
        </w:rPr>
      </w:pPr>
      <w:r>
        <w:rPr>
          <w:rFonts w:ascii="Arial" w:cs="Arial" w:eastAsia="Arial" w:hAnsi="Arial"/>
          <w:sz w:val="15"/>
          <w:szCs w:val="15"/>
          <w:i w:val="1"/>
          <w:iCs w:val="1"/>
          <w:color w:val="auto"/>
        </w:rPr>
        <w:t xml:space="preserve">Separation from Service. </w:t>
      </w:r>
      <w:r>
        <w:rPr>
          <w:rFonts w:ascii="Arial" w:cs="Arial" w:eastAsia="Arial" w:hAnsi="Arial"/>
          <w:sz w:val="15"/>
          <w:szCs w:val="15"/>
          <w:color w:val="auto"/>
        </w:rPr>
        <w:t>Notwithstanding anything in this Agreement to the contrary, any compensation or benefits payable under this Agreement that is</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xml:space="preserve">”) and, except as provided below, any such compensation or benefits described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not be paid, or, in the case of installments, shall not commence payment, until the sixtieth (60th) day following Executive’s Separation from Service (the “</w:t>
      </w:r>
      <w:r>
        <w:rPr>
          <w:rFonts w:ascii="Arial" w:cs="Arial" w:eastAsia="Arial" w:hAnsi="Arial"/>
          <w:sz w:val="15"/>
          <w:szCs w:val="15"/>
          <w:u w:val="single" w:color="auto"/>
          <w:color w:val="auto"/>
        </w:rPr>
        <w:t>First Payment Date</w:t>
      </w:r>
      <w:r>
        <w:rPr>
          <w:rFonts w:ascii="Arial" w:cs="Arial" w:eastAsia="Arial" w:hAnsi="Arial"/>
          <w:sz w:val="15"/>
          <w:szCs w:val="15"/>
          <w:color w:val="auto"/>
        </w:rPr>
        <w:t>”). Any installment payments that would have been made to Executive during the sixty (60) day period immediately following Executive’s Separation from Service but for the preceding sentence shall be paid to Executive on the First Payment Date and the remaining payments shall be made as provided in this Agreement.</w:t>
      </w:r>
    </w:p>
    <w:p>
      <w:pPr>
        <w:spacing w:after="0" w:line="159" w:lineRule="exact"/>
        <w:rPr>
          <w:rFonts w:ascii="Arial" w:cs="Arial" w:eastAsia="Arial" w:hAnsi="Arial"/>
          <w:sz w:val="15"/>
          <w:szCs w:val="15"/>
          <w:color w:val="auto"/>
        </w:rPr>
      </w:pPr>
    </w:p>
    <w:p>
      <w:pPr>
        <w:ind w:left="547" w:right="40" w:firstLine="564"/>
        <w:spacing w:after="0" w:line="286" w:lineRule="auto"/>
        <w:tabs>
          <w:tab w:leader="none" w:pos="1694" w:val="left"/>
        </w:tabs>
        <w:numPr>
          <w:ilvl w:val="1"/>
          <w:numId w:val="576"/>
        </w:numPr>
        <w:rPr>
          <w:rFonts w:ascii="Arial" w:cs="Arial" w:eastAsia="Arial" w:hAnsi="Arial"/>
          <w:sz w:val="14"/>
          <w:szCs w:val="14"/>
          <w:color w:val="auto"/>
        </w:rPr>
      </w:pPr>
      <w:r>
        <w:rPr>
          <w:rFonts w:ascii="Arial" w:cs="Arial" w:eastAsia="Arial" w:hAnsi="Arial"/>
          <w:sz w:val="14"/>
          <w:szCs w:val="14"/>
          <w:i w:val="1"/>
          <w:iCs w:val="1"/>
          <w:color w:val="auto"/>
        </w:rPr>
        <w:t xml:space="preserve">Specified Employee. </w:t>
      </w:r>
      <w:r>
        <w:rPr>
          <w:rFonts w:ascii="Arial" w:cs="Arial" w:eastAsia="Arial" w:hAnsi="Arial"/>
          <w:sz w:val="14"/>
          <w:szCs w:val="14"/>
          <w:color w:val="auto"/>
        </w:rPr>
        <w:t>Notwithstanding anything in this Agreement to the contrary, if Executive is deemed by the Company at the time of Executive’s</w:t>
      </w:r>
      <w:r>
        <w:rPr>
          <w:rFonts w:ascii="Arial" w:cs="Arial" w:eastAsia="Arial" w:hAnsi="Arial"/>
          <w:sz w:val="14"/>
          <w:szCs w:val="14"/>
          <w:i w:val="1"/>
          <w:iCs w:val="1"/>
          <w:color w:val="auto"/>
        </w:rPr>
        <w:t xml:space="preserve"> </w:t>
      </w:r>
      <w:r>
        <w:rPr>
          <w:rFonts w:ascii="Arial" w:cs="Arial" w:eastAsia="Arial" w:hAnsi="Arial"/>
          <w:sz w:val="14"/>
          <w:szCs w:val="14"/>
          <w:color w:val="auto"/>
        </w:rPr>
        <w:t>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46" w:lineRule="exact"/>
        <w:rPr>
          <w:rFonts w:ascii="Arial" w:cs="Arial" w:eastAsia="Arial" w:hAnsi="Arial"/>
          <w:sz w:val="14"/>
          <w:szCs w:val="14"/>
          <w:color w:val="auto"/>
        </w:rPr>
      </w:pPr>
    </w:p>
    <w:p>
      <w:pPr>
        <w:ind w:left="547" w:right="60" w:firstLine="564"/>
        <w:spacing w:after="0" w:line="265" w:lineRule="auto"/>
        <w:tabs>
          <w:tab w:leader="none" w:pos="1674" w:val="left"/>
        </w:tabs>
        <w:numPr>
          <w:ilvl w:val="1"/>
          <w:numId w:val="576"/>
        </w:numPr>
        <w:rPr>
          <w:rFonts w:ascii="Arial" w:cs="Arial" w:eastAsia="Arial" w:hAnsi="Arial"/>
          <w:sz w:val="15"/>
          <w:szCs w:val="15"/>
          <w:color w:val="auto"/>
        </w:rPr>
      </w:pPr>
      <w:r>
        <w:rPr>
          <w:rFonts w:ascii="Arial" w:cs="Arial" w:eastAsia="Arial" w:hAnsi="Arial"/>
          <w:sz w:val="15"/>
          <w:szCs w:val="15"/>
          <w:i w:val="1"/>
          <w:iCs w:val="1"/>
          <w:color w:val="auto"/>
        </w:rPr>
        <w:t xml:space="preserve">Expense Reimbursements. </w:t>
      </w:r>
      <w:r>
        <w:rPr>
          <w:rFonts w:ascii="Arial" w:cs="Arial" w:eastAsia="Arial" w:hAnsi="Arial"/>
          <w:sz w:val="15"/>
          <w:szCs w:val="15"/>
          <w:color w:val="auto"/>
        </w:rPr>
        <w:t>To the extent that any reimbursements under this Agreement are subject to Section 409A, any such reimbursements payable to</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shall be paid to Executive no later than December 31 of the year following the year in which the expense was incurred; provided, that Executive submits Executive’s reimbursement request promptly following the date the expense is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59" w:lineRule="exact"/>
        <w:rPr>
          <w:rFonts w:ascii="Arial" w:cs="Arial" w:eastAsia="Arial" w:hAnsi="Arial"/>
          <w:sz w:val="15"/>
          <w:szCs w:val="15"/>
          <w:color w:val="auto"/>
        </w:rPr>
      </w:pPr>
    </w:p>
    <w:p>
      <w:pPr>
        <w:ind w:left="547" w:right="20" w:firstLine="564"/>
        <w:spacing w:after="0" w:line="268" w:lineRule="auto"/>
        <w:tabs>
          <w:tab w:leader="none" w:pos="1665" w:val="left"/>
        </w:tabs>
        <w:numPr>
          <w:ilvl w:val="1"/>
          <w:numId w:val="576"/>
        </w:numPr>
        <w:rPr>
          <w:rFonts w:ascii="Arial" w:cs="Arial" w:eastAsia="Arial" w:hAnsi="Arial"/>
          <w:sz w:val="15"/>
          <w:szCs w:val="15"/>
          <w:color w:val="auto"/>
        </w:rPr>
      </w:pPr>
      <w:r>
        <w:rPr>
          <w:rFonts w:ascii="Arial" w:cs="Arial" w:eastAsia="Arial" w:hAnsi="Arial"/>
          <w:sz w:val="15"/>
          <w:szCs w:val="15"/>
          <w:i w:val="1"/>
          <w:iCs w:val="1"/>
          <w:color w:val="auto"/>
        </w:rPr>
        <w:t xml:space="preserve">Installments. </w:t>
      </w:r>
      <w:r>
        <w:rPr>
          <w:rFonts w:ascii="Arial" w:cs="Arial" w:eastAsia="Arial" w:hAnsi="Arial"/>
          <w:sz w:val="15"/>
          <w:szCs w:val="15"/>
          <w:color w:val="auto"/>
        </w:rPr>
        <w:t>Executive’s right to receive any installment payments under this Agreement, including without limitation any continuation salary payments that</w:t>
      </w:r>
      <w:r>
        <w:rPr>
          <w:rFonts w:ascii="Arial" w:cs="Arial" w:eastAsia="Arial" w:hAnsi="Arial"/>
          <w:sz w:val="15"/>
          <w:szCs w:val="15"/>
          <w:i w:val="1"/>
          <w:iCs w:val="1"/>
          <w:color w:val="auto"/>
        </w:rPr>
        <w:t xml:space="preserve"> </w:t>
      </w:r>
      <w:r>
        <w:rPr>
          <w:rFonts w:ascii="Arial" w:cs="Arial" w:eastAsia="Arial" w:hAnsi="Arial"/>
          <w:sz w:val="15"/>
          <w:szCs w:val="15"/>
          <w:color w:val="auto"/>
        </w:rPr>
        <w:t>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5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60" w:firstLine="549"/>
        <w:spacing w:after="0" w:line="289" w:lineRule="auto"/>
        <w:tabs>
          <w:tab w:leader="none" w:pos="1122" w:val="left"/>
        </w:tabs>
        <w:numPr>
          <w:ilvl w:val="1"/>
          <w:numId w:val="577"/>
        </w:numPr>
        <w:rPr>
          <w:rFonts w:ascii="Arial" w:cs="Arial" w:eastAsia="Arial" w:hAnsi="Arial"/>
          <w:sz w:val="15"/>
          <w:szCs w:val="15"/>
          <w:color w:val="auto"/>
        </w:rPr>
      </w:pPr>
      <w:r>
        <w:rPr>
          <w:rFonts w:ascii="Arial" w:cs="Arial" w:eastAsia="Arial" w:hAnsi="Arial"/>
          <w:sz w:val="15"/>
          <w:szCs w:val="15"/>
          <w:u w:val="single" w:color="auto"/>
          <w:color w:val="auto"/>
        </w:rPr>
        <w:t>Attorneys’ Fees</w:t>
      </w:r>
      <w:r>
        <w:rPr>
          <w:rFonts w:ascii="Arial" w:cs="Arial" w:eastAsia="Arial" w:hAnsi="Arial"/>
          <w:sz w:val="15"/>
          <w:szCs w:val="15"/>
          <w:color w:val="auto"/>
        </w:rPr>
        <w:t>. In the event that either Party prevails in a dispute with the other Party concerning the rights and obligations hereunder, the non-prevailing Party shall pay the prevailing Party’s reasonable attorneys’ fees and costs.</w:t>
      </w:r>
    </w:p>
    <w:p>
      <w:pPr>
        <w:spacing w:after="0" w:line="134" w:lineRule="exact"/>
        <w:rPr>
          <w:rFonts w:ascii="Arial" w:cs="Arial" w:eastAsia="Arial" w:hAnsi="Arial"/>
          <w:sz w:val="15"/>
          <w:szCs w:val="15"/>
          <w:color w:val="auto"/>
        </w:rPr>
      </w:pPr>
    </w:p>
    <w:p>
      <w:pPr>
        <w:ind w:left="547" w:hanging="547"/>
        <w:spacing w:after="0"/>
        <w:tabs>
          <w:tab w:leader="none" w:pos="547" w:val="left"/>
        </w:tabs>
        <w:numPr>
          <w:ilvl w:val="0"/>
          <w:numId w:val="5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Executive Acknowledgement</w:t>
      </w:r>
      <w:r>
        <w:rPr>
          <w:rFonts w:ascii="Arial" w:cs="Arial" w:eastAsia="Arial" w:hAnsi="Arial"/>
          <w:sz w:val="15"/>
          <w:szCs w:val="15"/>
          <w:b w:val="1"/>
          <w:bCs w:val="1"/>
          <w:color w:val="auto"/>
        </w:rPr>
        <w:t>.</w:t>
      </w:r>
    </w:p>
    <w:p>
      <w:pPr>
        <w:spacing w:after="0" w:line="204"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Executive acknowledges that Executive has read and understands this Agreement, is fully aware of its legal effect, has not acted in reliance upon any representations or</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color w:val="auto"/>
        </w:rPr>
        <w:t>promises made by the Company other than those contained in writing herein, and has entered into this Agreement freely based on Executive’s own judgment.</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rPr>
          <w:sz w:val="20"/>
          <w:szCs w:val="20"/>
          <w:color w:val="auto"/>
        </w:rPr>
      </w:pPr>
      <w:r>
        <w:rPr>
          <w:rFonts w:ascii="Arial" w:cs="Arial" w:eastAsia="Arial" w:hAnsi="Arial"/>
          <w:sz w:val="15"/>
          <w:szCs w:val="15"/>
          <w:color w:val="auto"/>
        </w:rPr>
        <w:t>IN WITNESS WHEREOF, the Parties have executed this Agreement on the date and year first above written.</w:t>
      </w:r>
    </w:p>
    <w:p>
      <w:pPr>
        <w:spacing w:after="0" w:line="192" w:lineRule="exact"/>
        <w:rPr>
          <w:sz w:val="20"/>
          <w:szCs w:val="20"/>
          <w:color w:val="auto"/>
        </w:rPr>
      </w:pPr>
    </w:p>
    <w:p>
      <w:pPr>
        <w:ind w:left="5727"/>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tbl>
      <w:tblPr>
        <w:tblLayout w:type="fixed"/>
        <w:tblInd w:w="5727" w:type="dxa"/>
        <w:tblCellMar>
          <w:top w:w="0" w:type="dxa"/>
          <w:left w:w="0" w:type="dxa"/>
          <w:bottom w:w="0" w:type="dxa"/>
          <w:right w:w="0" w:type="dxa"/>
        </w:tblCellMar>
      </w:tblPr>
      <w:tr>
        <w:trPr>
          <w:trHeight w:val="196"/>
        </w:trPr>
        <w:tc>
          <w:tcPr>
            <w:tcW w:w="500" w:type="dxa"/>
            <w:vAlign w:val="bottom"/>
          </w:tcPr>
          <w:p>
            <w:pPr>
              <w:spacing w:after="0"/>
              <w:rPr>
                <w:sz w:val="20"/>
                <w:szCs w:val="20"/>
                <w:color w:val="auto"/>
              </w:rPr>
            </w:pPr>
            <w:r>
              <w:rPr>
                <w:rFonts w:ascii="Arial" w:cs="Arial" w:eastAsia="Arial" w:hAnsi="Arial"/>
                <w:sz w:val="15"/>
                <w:szCs w:val="15"/>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Werner Cautreels, Ph.D.</w:t>
            </w:r>
          </w:p>
        </w:tc>
      </w:tr>
      <w:tr>
        <w:trPr>
          <w:trHeight w:val="166"/>
        </w:trPr>
        <w:tc>
          <w:tcPr>
            <w:tcW w:w="500" w:type="dxa"/>
            <w:vAlign w:val="bottom"/>
          </w:tcPr>
          <w:p>
            <w:pPr>
              <w:spacing w:after="0"/>
              <w:rPr>
                <w:sz w:val="14"/>
                <w:szCs w:val="14"/>
                <w:color w:val="auto"/>
              </w:rPr>
            </w:pPr>
          </w:p>
        </w:tc>
        <w:tc>
          <w:tcPr>
            <w:tcW w:w="5220" w:type="dxa"/>
            <w:vAlign w:val="bottom"/>
          </w:tcPr>
          <w:p>
            <w:pPr>
              <w:spacing w:after="0" w:line="167" w:lineRule="exact"/>
              <w:rPr>
                <w:sz w:val="20"/>
                <w:szCs w:val="20"/>
                <w:color w:val="auto"/>
              </w:rPr>
            </w:pPr>
            <w:r>
              <w:rPr>
                <w:rFonts w:ascii="Arial" w:cs="Arial" w:eastAsia="Arial" w:hAnsi="Arial"/>
                <w:sz w:val="15"/>
                <w:szCs w:val="15"/>
                <w:color w:val="auto"/>
              </w:rPr>
              <w:t>Name: Werner Cautreels, Ph.D.</w:t>
            </w:r>
          </w:p>
        </w:tc>
      </w:tr>
      <w:tr>
        <w:trPr>
          <w:trHeight w:val="196"/>
        </w:trPr>
        <w:tc>
          <w:tcPr>
            <w:tcW w:w="50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5"/>
                <w:szCs w:val="15"/>
                <w:color w:val="auto"/>
              </w:rPr>
              <w:t>Title: President and Chief Executive Officer</w:t>
            </w:r>
          </w:p>
        </w:tc>
      </w:tr>
    </w:tbl>
    <w:p>
      <w:pPr>
        <w:spacing w:after="0" w:line="360"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/s/ David Siewers,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625850" cy="762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David Siewers, CPA</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285990" cy="2730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EXHIBIT A</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Separation Agreement and Release</w:t>
      </w:r>
    </w:p>
    <w:p>
      <w:pPr>
        <w:spacing w:after="0" w:line="204" w:lineRule="exact"/>
        <w:rPr>
          <w:sz w:val="20"/>
          <w:szCs w:val="20"/>
          <w:color w:val="auto"/>
        </w:rPr>
      </w:pPr>
    </w:p>
    <w:p>
      <w:pPr>
        <w:ind w:left="7" w:right="440" w:firstLine="556"/>
        <w:spacing w:after="0" w:line="273" w:lineRule="auto"/>
        <w:rPr>
          <w:sz w:val="20"/>
          <w:szCs w:val="20"/>
          <w:color w:val="auto"/>
        </w:rPr>
      </w:pPr>
      <w:r>
        <w:rPr>
          <w:rFonts w:ascii="Arial" w:cs="Arial" w:eastAsia="Arial" w:hAnsi="Arial"/>
          <w:sz w:val="15"/>
          <w:szCs w:val="15"/>
          <w:color w:val="auto"/>
        </w:rPr>
        <w:t>This Separation Agreement and Release (“Agreement”) is made by and between David Siewers, CPA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153" w:lineRule="exact"/>
        <w:rPr>
          <w:sz w:val="20"/>
          <w:szCs w:val="20"/>
          <w:color w:val="auto"/>
        </w:rPr>
      </w:pPr>
    </w:p>
    <w:p>
      <w:pPr>
        <w:ind w:left="547"/>
        <w:spacing w:after="0"/>
        <w:rPr>
          <w:sz w:val="20"/>
          <w:szCs w:val="20"/>
          <w:color w:val="auto"/>
        </w:rPr>
      </w:pPr>
      <w:r>
        <w:rPr>
          <w:rFonts w:ascii="Arial" w:cs="Arial" w:eastAsia="Arial" w:hAnsi="Arial"/>
          <w:sz w:val="15"/>
          <w:szCs w:val="15"/>
          <w:color w:val="auto"/>
        </w:rPr>
        <w:t>WHEREAS, the Parties have previously entered into that certain Employment Agreement, dated as of June 6, 2016 (the “Employment Agreement”); and</w:t>
      </w:r>
    </w:p>
    <w:p>
      <w:pPr>
        <w:spacing w:after="0" w:line="198" w:lineRule="exact"/>
        <w:rPr>
          <w:sz w:val="20"/>
          <w:szCs w:val="20"/>
          <w:color w:val="auto"/>
        </w:rPr>
      </w:pPr>
    </w:p>
    <w:p>
      <w:pPr>
        <w:ind w:left="7" w:right="80" w:firstLine="556"/>
        <w:spacing w:after="0" w:line="284" w:lineRule="auto"/>
        <w:rPr>
          <w:sz w:val="20"/>
          <w:szCs w:val="20"/>
          <w:color w:val="auto"/>
        </w:rPr>
      </w:pPr>
      <w:r>
        <w:rPr>
          <w:rFonts w:ascii="Arial" w:cs="Arial" w:eastAsia="Arial" w:hAnsi="Arial"/>
          <w:sz w:val="14"/>
          <w:szCs w:val="14"/>
          <w:color w:val="auto"/>
        </w:rPr>
        <w:t>WHEREAS, in connection with Executive’s termination of employment with the Company or a subsidiary or affiliate of the Company effective , 20 ,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149" w:lineRule="exact"/>
        <w:rPr>
          <w:sz w:val="20"/>
          <w:szCs w:val="20"/>
          <w:color w:val="auto"/>
        </w:rPr>
      </w:pPr>
    </w:p>
    <w:p>
      <w:pPr>
        <w:jc w:val="both"/>
        <w:ind w:left="7" w:right="340" w:firstLine="556"/>
        <w:spacing w:after="0" w:line="273" w:lineRule="auto"/>
        <w:rPr>
          <w:sz w:val="20"/>
          <w:szCs w:val="20"/>
          <w:color w:val="auto"/>
        </w:rPr>
      </w:pPr>
      <w:r>
        <w:rPr>
          <w:rFonts w:ascii="Arial" w:cs="Arial" w:eastAsia="Arial" w:hAnsi="Arial"/>
          <w:sz w:val="15"/>
          <w:szCs w:val="15"/>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ectPr>
          <w:pgSz w:w="11900" w:h="16838" w:orient="portrait"/>
          <w:cols w:equalWidth="0" w:num="1">
            <w:col w:w="11447"/>
          </w:cols>
          <w:pgMar w:left="233" w:top="129" w:right="219" w:bottom="0" w:gutter="0" w:footer="0" w:header="0"/>
        </w:sectPr>
      </w:pPr>
    </w:p>
    <w:bookmarkStart w:id="427" w:name="page428"/>
    <w:bookmarkEnd w:id="427"/>
    <w:p>
      <w:pPr>
        <w:ind w:right="420" w:firstLine="549"/>
        <w:spacing w:after="0" w:line="268" w:lineRule="auto"/>
        <w:tabs>
          <w:tab w:leader="none" w:pos="1112" w:val="left"/>
        </w:tabs>
        <w:numPr>
          <w:ilvl w:val="0"/>
          <w:numId w:val="579"/>
        </w:numPr>
        <w:rPr>
          <w:rFonts w:ascii="Arial" w:cs="Arial" w:eastAsia="Arial" w:hAnsi="Arial"/>
          <w:sz w:val="15"/>
          <w:szCs w:val="15"/>
          <w:color w:val="auto"/>
        </w:rPr>
      </w:pPr>
      <w:r>
        <w:rPr>
          <w:rFonts w:ascii="Arial" w:cs="Arial" w:eastAsia="Arial" w:hAnsi="Arial"/>
          <w:sz w:val="15"/>
          <w:szCs w:val="15"/>
          <w:u w:val="single" w:color="auto"/>
          <w:color w:val="auto"/>
        </w:rPr>
        <w:t>Severance Payments; Salary and Benefits</w:t>
      </w:r>
      <w:r>
        <w:rPr>
          <w:rFonts w:ascii="Arial" w:cs="Arial" w:eastAsia="Arial" w:hAnsi="Arial"/>
          <w:sz w:val="15"/>
          <w:szCs w:val="15"/>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56" w:lineRule="exact"/>
        <w:rPr>
          <w:rFonts w:ascii="Arial" w:cs="Arial" w:eastAsia="Arial" w:hAnsi="Arial"/>
          <w:sz w:val="15"/>
          <w:szCs w:val="15"/>
          <w:color w:val="auto"/>
        </w:rPr>
      </w:pPr>
    </w:p>
    <w:p>
      <w:pPr>
        <w:ind w:right="80" w:firstLine="549"/>
        <w:spacing w:after="0" w:line="283" w:lineRule="auto"/>
        <w:tabs>
          <w:tab w:leader="none" w:pos="1112" w:val="left"/>
        </w:tabs>
        <w:numPr>
          <w:ilvl w:val="0"/>
          <w:numId w:val="579"/>
        </w:numPr>
        <w:rPr>
          <w:rFonts w:ascii="Arial" w:cs="Arial" w:eastAsia="Arial" w:hAnsi="Arial"/>
          <w:sz w:val="14"/>
          <w:szCs w:val="14"/>
          <w:color w:val="auto"/>
        </w:rPr>
      </w:pPr>
      <w:r>
        <w:rPr>
          <w:rFonts w:ascii="Arial" w:cs="Arial" w:eastAsia="Arial" w:hAnsi="Arial"/>
          <w:sz w:val="14"/>
          <w:szCs w:val="14"/>
          <w:u w:val="single" w:color="auto"/>
          <w:color w:val="auto"/>
        </w:rPr>
        <w:t>Release of Claims</w:t>
      </w:r>
      <w:r>
        <w:rPr>
          <w:rFonts w:ascii="Arial" w:cs="Arial" w:eastAsia="Arial" w:hAnsi="Arial"/>
          <w:sz w:val="14"/>
          <w:szCs w:val="14"/>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(as defined in Section 7 below), including, without limitation: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ind w:right="80" w:firstLine="1104"/>
        <w:spacing w:after="0" w:line="289" w:lineRule="auto"/>
        <w:tabs>
          <w:tab w:leader="none" w:pos="1665" w:val="left"/>
        </w:tabs>
        <w:numPr>
          <w:ilvl w:val="1"/>
          <w:numId w:val="579"/>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employment or service relationship with the Company or any of its direct or indirect subsidiaries or affiliates and the termination of that relationship;</w:t>
      </w:r>
    </w:p>
    <w:p>
      <w:pPr>
        <w:spacing w:after="0" w:line="140" w:lineRule="exact"/>
        <w:rPr>
          <w:rFonts w:ascii="Arial" w:cs="Arial" w:eastAsia="Arial" w:hAnsi="Arial"/>
          <w:sz w:val="15"/>
          <w:szCs w:val="15"/>
          <w:color w:val="auto"/>
        </w:rPr>
      </w:pPr>
    </w:p>
    <w:p>
      <w:pPr>
        <w:ind w:right="60" w:firstLine="1104"/>
        <w:spacing w:after="0" w:line="273" w:lineRule="auto"/>
        <w:tabs>
          <w:tab w:leader="none" w:pos="1674" w:val="left"/>
        </w:tabs>
        <w:numPr>
          <w:ilvl w:val="1"/>
          <w:numId w:val="579"/>
        </w:numPr>
        <w:rPr>
          <w:rFonts w:ascii="Arial" w:cs="Arial" w:eastAsia="Arial" w:hAnsi="Arial"/>
          <w:sz w:val="15"/>
          <w:szCs w:val="15"/>
          <w:color w:val="auto"/>
        </w:rPr>
      </w:pPr>
      <w:r>
        <w:rPr>
          <w:rFonts w:ascii="Arial" w:cs="Arial" w:eastAsia="Arial" w:hAnsi="Arial"/>
          <w:sz w:val="15"/>
          <w:szCs w:val="15"/>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2" w:lineRule="exact"/>
        <w:rPr>
          <w:rFonts w:ascii="Arial" w:cs="Arial" w:eastAsia="Arial" w:hAnsi="Arial"/>
          <w:sz w:val="15"/>
          <w:szCs w:val="15"/>
          <w:color w:val="auto"/>
        </w:rPr>
      </w:pPr>
    </w:p>
    <w:p>
      <w:pPr>
        <w:ind w:right="140" w:firstLine="1104"/>
        <w:spacing w:after="0" w:line="268" w:lineRule="auto"/>
        <w:tabs>
          <w:tab w:leader="none" w:pos="1677" w:val="left"/>
        </w:tabs>
        <w:numPr>
          <w:ilvl w:val="1"/>
          <w:numId w:val="579"/>
        </w:numPr>
        <w:rPr>
          <w:rFonts w:ascii="Arial" w:cs="Arial" w:eastAsia="Arial" w:hAnsi="Arial"/>
          <w:sz w:val="15"/>
          <w:szCs w:val="15"/>
          <w:color w:val="auto"/>
        </w:rPr>
      </w:pPr>
      <w:r>
        <w:rPr>
          <w:rFonts w:ascii="Arial" w:cs="Arial" w:eastAsia="Arial" w:hAnsi="Arial"/>
          <w:sz w:val="15"/>
          <w:szCs w:val="15"/>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56" w:lineRule="exact"/>
        <w:rPr>
          <w:rFonts w:ascii="Arial" w:cs="Arial" w:eastAsia="Arial" w:hAnsi="Arial"/>
          <w:sz w:val="15"/>
          <w:szCs w:val="15"/>
          <w:color w:val="auto"/>
        </w:rPr>
      </w:pPr>
    </w:p>
    <w:p>
      <w:pPr>
        <w:ind w:right="180" w:firstLine="1104"/>
        <w:spacing w:after="0" w:line="268" w:lineRule="auto"/>
        <w:tabs>
          <w:tab w:leader="none" w:pos="1674" w:val="left"/>
        </w:tabs>
        <w:numPr>
          <w:ilvl w:val="1"/>
          <w:numId w:val="579"/>
        </w:numPr>
        <w:rPr>
          <w:rFonts w:ascii="Arial" w:cs="Arial" w:eastAsia="Arial" w:hAnsi="Arial"/>
          <w:sz w:val="15"/>
          <w:szCs w:val="15"/>
          <w:color w:val="auto"/>
        </w:rPr>
      </w:pPr>
      <w:r>
        <w:rPr>
          <w:rFonts w:ascii="Arial" w:cs="Arial" w:eastAsia="Arial" w:hAnsi="Arial"/>
          <w:sz w:val="15"/>
          <w:szCs w:val="15"/>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56" w:lineRule="exact"/>
        <w:rPr>
          <w:rFonts w:ascii="Arial" w:cs="Arial" w:eastAsia="Arial" w:hAnsi="Arial"/>
          <w:sz w:val="15"/>
          <w:szCs w:val="15"/>
          <w:color w:val="auto"/>
        </w:rPr>
      </w:pPr>
    </w:p>
    <w:p>
      <w:pPr>
        <w:ind w:left="1660" w:hanging="556"/>
        <w:spacing w:after="0"/>
        <w:tabs>
          <w:tab w:leader="none" w:pos="1660" w:val="left"/>
        </w:tabs>
        <w:numPr>
          <w:ilvl w:val="1"/>
          <w:numId w:val="579"/>
        </w:numPr>
        <w:rPr>
          <w:rFonts w:ascii="Arial" w:cs="Arial" w:eastAsia="Arial" w:hAnsi="Arial"/>
          <w:sz w:val="15"/>
          <w:szCs w:val="15"/>
          <w:color w:val="auto"/>
        </w:rPr>
      </w:pPr>
      <w:r>
        <w:rPr>
          <w:rFonts w:ascii="Arial" w:cs="Arial" w:eastAsia="Arial" w:hAnsi="Arial"/>
          <w:sz w:val="15"/>
          <w:szCs w:val="15"/>
          <w:color w:val="auto"/>
        </w:rPr>
        <w:t>any and all claims for violation of the federal or any state constitution;</w:t>
      </w:r>
    </w:p>
    <w:p>
      <w:pPr>
        <w:spacing w:after="0" w:line="198" w:lineRule="exact"/>
        <w:rPr>
          <w:rFonts w:ascii="Arial" w:cs="Arial" w:eastAsia="Arial" w:hAnsi="Arial"/>
          <w:sz w:val="15"/>
          <w:szCs w:val="15"/>
          <w:color w:val="auto"/>
        </w:rPr>
      </w:pPr>
    </w:p>
    <w:p>
      <w:pPr>
        <w:ind w:left="1660" w:hanging="556"/>
        <w:spacing w:after="0"/>
        <w:tabs>
          <w:tab w:leader="none" w:pos="1660" w:val="left"/>
        </w:tabs>
        <w:numPr>
          <w:ilvl w:val="1"/>
          <w:numId w:val="579"/>
        </w:numPr>
        <w:rPr>
          <w:rFonts w:ascii="Arial" w:cs="Arial" w:eastAsia="Arial" w:hAnsi="Arial"/>
          <w:sz w:val="15"/>
          <w:szCs w:val="15"/>
          <w:color w:val="auto"/>
        </w:rPr>
      </w:pPr>
      <w:r>
        <w:rPr>
          <w:rFonts w:ascii="Arial" w:cs="Arial" w:eastAsia="Arial" w:hAnsi="Arial"/>
          <w:sz w:val="15"/>
          <w:szCs w:val="15"/>
          <w:color w:val="auto"/>
        </w:rPr>
        <w:t>any and all claims arising out of any other laws and regulations relating to employment or employment discrimination;</w:t>
      </w:r>
    </w:p>
    <w:p>
      <w:pPr>
        <w:spacing w:after="0" w:line="198" w:lineRule="exact"/>
        <w:rPr>
          <w:rFonts w:ascii="Arial" w:cs="Arial" w:eastAsia="Arial" w:hAnsi="Arial"/>
          <w:sz w:val="15"/>
          <w:szCs w:val="15"/>
          <w:color w:val="auto"/>
        </w:rPr>
      </w:pPr>
    </w:p>
    <w:p>
      <w:pPr>
        <w:ind w:right="20" w:firstLine="1104"/>
        <w:spacing w:after="0" w:line="289" w:lineRule="auto"/>
        <w:tabs>
          <w:tab w:leader="none" w:pos="1686" w:val="left"/>
        </w:tabs>
        <w:numPr>
          <w:ilvl w:val="1"/>
          <w:numId w:val="579"/>
        </w:numPr>
        <w:rPr>
          <w:rFonts w:ascii="Arial" w:cs="Arial" w:eastAsia="Arial" w:hAnsi="Arial"/>
          <w:sz w:val="15"/>
          <w:szCs w:val="15"/>
          <w:color w:val="auto"/>
        </w:rPr>
      </w:pPr>
      <w:r>
        <w:rPr>
          <w:rFonts w:ascii="Arial" w:cs="Arial" w:eastAsia="Arial" w:hAnsi="Arial"/>
          <w:sz w:val="15"/>
          <w:szCs w:val="15"/>
          <w:color w:val="auto"/>
        </w:rPr>
        <w:t>any claim for any loss, cost, damage, or expense arising out of any dispute over the non-withholding or other tax treatment of any of the proceeds received by Executive as a result of this Agreement; and</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1"/>
          <w:numId w:val="579"/>
        </w:numPr>
        <w:rPr>
          <w:rFonts w:ascii="Arial" w:cs="Arial" w:eastAsia="Arial" w:hAnsi="Arial"/>
          <w:sz w:val="15"/>
          <w:szCs w:val="15"/>
          <w:color w:val="auto"/>
        </w:rPr>
      </w:pPr>
      <w:r>
        <w:rPr>
          <w:rFonts w:ascii="Arial" w:cs="Arial" w:eastAsia="Arial" w:hAnsi="Arial"/>
          <w:sz w:val="15"/>
          <w:szCs w:val="15"/>
          <w:color w:val="auto"/>
        </w:rPr>
        <w:t>any and all claims for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-3260090</wp:posOffset>
            </wp:positionV>
            <wp:extent cx="7285990" cy="2730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such monetary relief from the Company or any Releasee),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law and any Retained Claims. This release further does not release claims for breach of Section 3(c), Section 4(b) or Section 4(c) of the Employment Agreement.</w:t>
      </w:r>
    </w:p>
    <w:p>
      <w:pPr>
        <w:spacing w:after="0" w:line="198" w:lineRule="exact"/>
        <w:rPr>
          <w:sz w:val="20"/>
          <w:szCs w:val="20"/>
          <w:color w:val="auto"/>
        </w:rPr>
      </w:pPr>
    </w:p>
    <w:p>
      <w:pPr>
        <w:ind w:firstLine="549"/>
        <w:spacing w:after="0" w:line="281" w:lineRule="auto"/>
        <w:tabs>
          <w:tab w:leader="none" w:pos="1112" w:val="left"/>
        </w:tabs>
        <w:numPr>
          <w:ilvl w:val="0"/>
          <w:numId w:val="580"/>
        </w:numPr>
        <w:rPr>
          <w:rFonts w:ascii="Arial" w:cs="Arial" w:eastAsia="Arial" w:hAnsi="Arial"/>
          <w:sz w:val="14"/>
          <w:szCs w:val="14"/>
          <w:color w:val="auto"/>
        </w:rPr>
      </w:pPr>
      <w:r>
        <w:rPr>
          <w:rFonts w:ascii="Arial" w:cs="Arial" w:eastAsia="Arial" w:hAnsi="Arial"/>
          <w:sz w:val="14"/>
          <w:szCs w:val="14"/>
          <w:u w:val="single" w:color="auto"/>
          <w:color w:val="auto"/>
        </w:rPr>
        <w:t>Acknowledgment of Waiver of Claims under ADEA</w:t>
      </w:r>
      <w:r>
        <w:rPr>
          <w:rFonts w:ascii="Arial" w:cs="Arial" w:eastAsia="Arial" w:hAnsi="Arial"/>
          <w:sz w:val="14"/>
          <w:szCs w:val="14"/>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Effective Date of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53" w:lineRule="exact"/>
        <w:rPr>
          <w:rFonts w:ascii="Arial" w:cs="Arial" w:eastAsia="Arial" w:hAnsi="Arial"/>
          <w:sz w:val="14"/>
          <w:szCs w:val="14"/>
          <w:color w:val="auto"/>
        </w:rPr>
      </w:pPr>
    </w:p>
    <w:p>
      <w:pPr>
        <w:ind w:right="160" w:firstLine="549"/>
        <w:spacing w:after="0" w:line="327" w:lineRule="auto"/>
        <w:tabs>
          <w:tab w:leader="none" w:pos="1112" w:val="left"/>
        </w:tabs>
        <w:numPr>
          <w:ilvl w:val="0"/>
          <w:numId w:val="580"/>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17" w:lineRule="exact"/>
        <w:rPr>
          <w:rFonts w:ascii="Arial" w:cs="Arial" w:eastAsia="Arial" w:hAnsi="Arial"/>
          <w:sz w:val="14"/>
          <w:szCs w:val="14"/>
          <w:color w:val="auto"/>
        </w:rPr>
      </w:pPr>
    </w:p>
    <w:p>
      <w:pPr>
        <w:ind w:left="1100" w:hanging="551"/>
        <w:spacing w:after="0"/>
        <w:tabs>
          <w:tab w:leader="none" w:pos="1100" w:val="left"/>
        </w:tabs>
        <w:numPr>
          <w:ilvl w:val="0"/>
          <w:numId w:val="580"/>
        </w:numPr>
        <w:rPr>
          <w:rFonts w:ascii="Arial" w:cs="Arial" w:eastAsia="Arial" w:hAnsi="Arial"/>
          <w:sz w:val="15"/>
          <w:szCs w:val="15"/>
          <w:color w:val="auto"/>
        </w:rPr>
      </w:pPr>
      <w:r>
        <w:rPr>
          <w:rFonts w:ascii="Arial" w:cs="Arial" w:eastAsia="Arial" w:hAnsi="Arial"/>
          <w:sz w:val="15"/>
          <w:szCs w:val="15"/>
          <w:u w:val="single" w:color="auto"/>
          <w:color w:val="auto"/>
        </w:rPr>
        <w:t>No Oral Modification</w:t>
      </w:r>
      <w:r>
        <w:rPr>
          <w:rFonts w:ascii="Arial" w:cs="Arial" w:eastAsia="Arial" w:hAnsi="Arial"/>
          <w:sz w:val="15"/>
          <w:szCs w:val="15"/>
          <w:color w:val="auto"/>
        </w:rPr>
        <w:t>. This Agreement may only be amended in a writing signed by Executive and a duly authorized officer of the Company.</w:t>
      </w:r>
    </w:p>
    <w:p>
      <w:pPr>
        <w:spacing w:after="0" w:line="198" w:lineRule="exact"/>
        <w:rPr>
          <w:rFonts w:ascii="Arial" w:cs="Arial" w:eastAsia="Arial" w:hAnsi="Arial"/>
          <w:sz w:val="15"/>
          <w:szCs w:val="15"/>
          <w:color w:val="auto"/>
        </w:rPr>
      </w:pPr>
    </w:p>
    <w:p>
      <w:pPr>
        <w:ind w:left="1100" w:hanging="551"/>
        <w:spacing w:after="0"/>
        <w:tabs>
          <w:tab w:leader="none" w:pos="1100" w:val="left"/>
        </w:tabs>
        <w:numPr>
          <w:ilvl w:val="0"/>
          <w:numId w:val="580"/>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subject to the provisions of Sections 9(a) and 9(c) of the Employment Agreement.</w:t>
      </w:r>
    </w:p>
    <w:p>
      <w:pPr>
        <w:spacing w:after="0" w:line="198" w:lineRule="exact"/>
        <w:rPr>
          <w:rFonts w:ascii="Arial" w:cs="Arial" w:eastAsia="Arial" w:hAnsi="Arial"/>
          <w:sz w:val="15"/>
          <w:szCs w:val="15"/>
          <w:color w:val="auto"/>
        </w:rPr>
      </w:pPr>
    </w:p>
    <w:p>
      <w:pPr>
        <w:ind w:right="200" w:firstLine="549"/>
        <w:spacing w:after="0" w:line="268" w:lineRule="auto"/>
        <w:tabs>
          <w:tab w:leader="none" w:pos="1112" w:val="left"/>
        </w:tabs>
        <w:numPr>
          <w:ilvl w:val="0"/>
          <w:numId w:val="580"/>
        </w:numPr>
        <w:rPr>
          <w:rFonts w:ascii="Arial" w:cs="Arial" w:eastAsia="Arial" w:hAnsi="Arial"/>
          <w:sz w:val="15"/>
          <w:szCs w:val="15"/>
          <w:color w:val="auto"/>
        </w:rPr>
      </w:pPr>
      <w:r>
        <w:rPr>
          <w:rFonts w:ascii="Arial" w:cs="Arial" w:eastAsia="Arial" w:hAnsi="Arial"/>
          <w:sz w:val="15"/>
          <w:szCs w:val="15"/>
          <w:u w:val="single" w:color="auto"/>
          <w:color w:val="auto"/>
        </w:rPr>
        <w:t>Effective Date</w:t>
      </w:r>
      <w:r>
        <w:rPr>
          <w:rFonts w:ascii="Arial" w:cs="Arial" w:eastAsia="Arial" w:hAnsi="Arial"/>
          <w:sz w:val="15"/>
          <w:szCs w:val="15"/>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pacing w:after="0" w:line="156" w:lineRule="exact"/>
        <w:rPr>
          <w:rFonts w:ascii="Arial" w:cs="Arial" w:eastAsia="Arial" w:hAnsi="Arial"/>
          <w:sz w:val="15"/>
          <w:szCs w:val="15"/>
          <w:color w:val="auto"/>
        </w:rPr>
      </w:pPr>
    </w:p>
    <w:p>
      <w:pPr>
        <w:ind w:right="120" w:firstLine="549"/>
        <w:spacing w:after="0" w:line="264" w:lineRule="auto"/>
        <w:tabs>
          <w:tab w:leader="none" w:pos="1112" w:val="left"/>
        </w:tabs>
        <w:numPr>
          <w:ilvl w:val="0"/>
          <w:numId w:val="580"/>
        </w:numPr>
        <w:rPr>
          <w:rFonts w:ascii="Arial" w:cs="Arial" w:eastAsia="Arial" w:hAnsi="Arial"/>
          <w:sz w:val="15"/>
          <w:szCs w:val="15"/>
          <w:color w:val="auto"/>
        </w:rPr>
      </w:pPr>
      <w:r>
        <w:rPr>
          <w:rFonts w:ascii="Arial" w:cs="Arial" w:eastAsia="Arial" w:hAnsi="Arial"/>
          <w:sz w:val="15"/>
          <w:szCs w:val="15"/>
          <w:u w:val="single" w:color="auto"/>
          <w:color w:val="auto"/>
        </w:rPr>
        <w:t>Voluntary Execution of Agreement</w:t>
      </w:r>
      <w:r>
        <w:rPr>
          <w:rFonts w:ascii="Arial" w:cs="Arial" w:eastAsia="Arial" w:hAnsi="Arial"/>
          <w:sz w:val="15"/>
          <w:szCs w:val="15"/>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ectPr>
          <w:pgSz w:w="11900" w:h="16838" w:orient="portrait"/>
          <w:cols w:equalWidth="0" w:num="1">
            <w:col w:w="11440"/>
          </w:cols>
          <w:pgMar w:left="240" w:top="129" w:right="219" w:bottom="0" w:gutter="0" w:footer="0" w:header="0"/>
        </w:sectPr>
      </w:pPr>
    </w:p>
    <w:bookmarkStart w:id="428" w:name="page429"/>
    <w:bookmarkEnd w:id="428"/>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Parties have executed this Agreement on the respective dates set forth below.</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14605</wp:posOffset>
            </wp:positionV>
            <wp:extent cx="6795135" cy="762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6795135" cy="7620"/>
                    </a:xfrm>
                    <a:prstGeom prst="rect">
                      <a:avLst/>
                    </a:prstGeom>
                    <a:noFill/>
                  </pic:spPr>
                </pic:pic>
              </a:graphicData>
            </a:graphic>
          </wp:anchor>
        </w:drawing>
      </w:r>
    </w:p>
    <w:p>
      <w:pPr>
        <w:spacing w:after="0" w:line="4"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David Siewers, CPA</w:t>
      </w:r>
    </w:p>
    <w:p>
      <w:pPr>
        <w:spacing w:after="0" w:line="377" w:lineRule="exact"/>
        <w:rPr>
          <w:sz w:val="20"/>
          <w:szCs w:val="20"/>
          <w:color w:val="auto"/>
        </w:rPr>
      </w:pPr>
    </w:p>
    <w:p>
      <w:pPr>
        <w:ind w:left="5840"/>
        <w:spacing w:after="0"/>
        <w:rPr>
          <w:sz w:val="20"/>
          <w:szCs w:val="20"/>
          <w:color w:val="auto"/>
        </w:rPr>
      </w:pPr>
      <w:r>
        <w:rPr>
          <w:rFonts w:ascii="Arial" w:cs="Arial" w:eastAsia="Arial" w:hAnsi="Arial"/>
          <w:sz w:val="15"/>
          <w:szCs w:val="15"/>
          <w:b w:val="1"/>
          <w:bCs w:val="1"/>
          <w:color w:val="auto"/>
        </w:rPr>
        <w:t>SELECTA BIOSCIENCES, INC.</w:t>
      </w:r>
    </w:p>
    <w:p>
      <w:pPr>
        <w:spacing w:after="0" w:line="204" w:lineRule="exact"/>
        <w:rPr>
          <w:sz w:val="20"/>
          <w:szCs w:val="20"/>
          <w:color w:val="auto"/>
        </w:rPr>
      </w:pPr>
    </w:p>
    <w:p>
      <w:pPr>
        <w:spacing w:after="0"/>
        <w:tabs>
          <w:tab w:leader="none" w:pos="582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14605</wp:posOffset>
            </wp:positionV>
            <wp:extent cx="6795135" cy="762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6795135" cy="7620"/>
                    </a:xfrm>
                    <a:prstGeom prst="rect">
                      <a:avLst/>
                    </a:prstGeom>
                    <a:noFill/>
                  </pic:spPr>
                </pic:pic>
              </a:graphicData>
            </a:graphic>
          </wp:anchor>
        </w:drawing>
      </w:r>
    </w:p>
    <w:p>
      <w:pPr>
        <w:spacing w:after="0" w:line="4"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Employee Nondisclosure, Noncompetition and Assignment of Intellectual Property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EMPLOYEE NONDISCLOSURE, NONCOMPETITION AND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ASSIGNMENT OF INTELLECTUAL PROPERTY AGREEMENT</w:t>
      </w:r>
    </w:p>
    <w:p>
      <w:pPr>
        <w:spacing w:after="0" w:line="188" w:lineRule="exact"/>
        <w:rPr>
          <w:sz w:val="20"/>
          <w:szCs w:val="20"/>
          <w:color w:val="auto"/>
        </w:rPr>
      </w:pPr>
    </w:p>
    <w:p>
      <w:pPr>
        <w:ind w:right="20" w:firstLine="556"/>
        <w:spacing w:after="0" w:line="289" w:lineRule="auto"/>
        <w:rPr>
          <w:sz w:val="20"/>
          <w:szCs w:val="20"/>
          <w:color w:val="auto"/>
        </w:rPr>
      </w:pPr>
      <w:r>
        <w:rPr>
          <w:rFonts w:ascii="Arial" w:cs="Arial" w:eastAsia="Arial" w:hAnsi="Arial"/>
          <w:sz w:val="15"/>
          <w:szCs w:val="15"/>
          <w:color w:val="auto"/>
        </w:rPr>
        <w:t>In consideration and as a condition of my employment by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of the compensation to be paid to me, and in recognition of the fact that as an employee of the Company I will or may have access to confidential information, I agree with the Company as follows:</w:t>
      </w:r>
    </w:p>
    <w:p>
      <w:pPr>
        <w:spacing w:after="0" w:line="141" w:lineRule="exact"/>
        <w:rPr>
          <w:sz w:val="20"/>
          <w:szCs w:val="20"/>
          <w:color w:val="auto"/>
        </w:rPr>
      </w:pPr>
    </w:p>
    <w:p>
      <w:pPr>
        <w:ind w:left="1160" w:hanging="611"/>
        <w:spacing w:after="0"/>
        <w:tabs>
          <w:tab w:leader="none" w:pos="1160" w:val="left"/>
        </w:tabs>
        <w:numPr>
          <w:ilvl w:val="0"/>
          <w:numId w:val="581"/>
        </w:numPr>
        <w:rPr>
          <w:rFonts w:ascii="Arial" w:cs="Arial" w:eastAsia="Arial" w:hAnsi="Arial"/>
          <w:sz w:val="15"/>
          <w:szCs w:val="15"/>
          <w:color w:val="auto"/>
        </w:rPr>
      </w:pPr>
      <w:r>
        <w:rPr>
          <w:rFonts w:ascii="Arial" w:cs="Arial" w:eastAsia="Arial" w:hAnsi="Arial"/>
          <w:sz w:val="15"/>
          <w:szCs w:val="15"/>
          <w:u w:val="single" w:color="auto"/>
          <w:color w:val="auto"/>
        </w:rPr>
        <w:t>Performance: Prior Obligations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firstLine="1104"/>
        <w:spacing w:after="0" w:line="264" w:lineRule="auto"/>
        <w:tabs>
          <w:tab w:leader="none" w:pos="1708" w:val="left"/>
        </w:tabs>
        <w:numPr>
          <w:ilvl w:val="1"/>
          <w:numId w:val="581"/>
        </w:numPr>
        <w:rPr>
          <w:rFonts w:ascii="Arial" w:cs="Arial" w:eastAsia="Arial" w:hAnsi="Arial"/>
          <w:sz w:val="15"/>
          <w:szCs w:val="15"/>
          <w:color w:val="auto"/>
        </w:rPr>
      </w:pPr>
      <w:r>
        <w:rPr>
          <w:rFonts w:ascii="Arial" w:cs="Arial" w:eastAsia="Arial" w:hAnsi="Arial"/>
          <w:sz w:val="15"/>
          <w:szCs w:val="15"/>
          <w:color w:val="auto"/>
        </w:rPr>
        <w:t>I agree to use best efforts to perform my assigned duties diligently, conscientiously, and with reasonable skill, and shall comply with all rules, procedures and standards promulgated from time to time by the Company with regard to my conduct and my access to and use of the Company’s property, equipment and facilities. Among such rules, procedures and standards are those governing ethical and other professional standards for dealing with customers, government agencies, vendors, competitors, consultants, fellow employees, and the public-at-large, security provisions designed to protect Company property and the personal security of Company employees, rules respecting attendance, punctuality, and hours of work, and rules and procedures designed to protect the confidentiality of proprietary information. The Company agrees to make reasonable efforts to inform me of such rules, standards and procedures as are in effect from time to time.</w:t>
      </w:r>
    </w:p>
    <w:p>
      <w:pPr>
        <w:spacing w:after="0" w:line="158" w:lineRule="exact"/>
        <w:rPr>
          <w:rFonts w:ascii="Arial" w:cs="Arial" w:eastAsia="Arial" w:hAnsi="Arial"/>
          <w:sz w:val="15"/>
          <w:szCs w:val="15"/>
          <w:color w:val="auto"/>
        </w:rPr>
      </w:pPr>
    </w:p>
    <w:p>
      <w:pPr>
        <w:ind w:firstLine="1104"/>
        <w:spacing w:after="0" w:line="264" w:lineRule="auto"/>
        <w:tabs>
          <w:tab w:leader="none" w:pos="1716" w:val="left"/>
        </w:tabs>
        <w:numPr>
          <w:ilvl w:val="1"/>
          <w:numId w:val="581"/>
        </w:numPr>
        <w:rPr>
          <w:rFonts w:ascii="Arial" w:cs="Arial" w:eastAsia="Arial" w:hAnsi="Arial"/>
          <w:sz w:val="15"/>
          <w:szCs w:val="15"/>
          <w:color w:val="auto"/>
        </w:rPr>
      </w:pPr>
      <w:r>
        <w:rPr>
          <w:rFonts w:ascii="Arial" w:cs="Arial" w:eastAsia="Arial" w:hAnsi="Arial"/>
          <w:sz w:val="15"/>
          <w:szCs w:val="15"/>
          <w:color w:val="auto"/>
        </w:rPr>
        <w:t>I hereby represent, warrant and agree (i) that I have the full right to enter into this Agreement and perform the services required of me hereunder, without any restriction whatsoever; (ii) that in the course of performing services hereunder, I will not violate the terms or conditions of any agreement between me and any third party or infringe or wrongfully appropriate any patents, copyrights, trade secrets or other intellectual property rights of any person or entity anywhere in the world; (iii) that I have not and will not disclose or use during my employment by the Company any confidential information that I acquired as a result of any previous employment or consulting arrangement or under a previous obligation of confidentiality; and (iv) that I have disclosed to the Company in writing any and all continuing obligations to previous employers or others that require me not to disclose any information to the Company.</w:t>
      </w:r>
    </w:p>
    <w:p>
      <w:pPr>
        <w:spacing w:after="0" w:line="158" w:lineRule="exact"/>
        <w:rPr>
          <w:rFonts w:ascii="Arial" w:cs="Arial" w:eastAsia="Arial" w:hAnsi="Arial"/>
          <w:sz w:val="15"/>
          <w:szCs w:val="15"/>
          <w:color w:val="auto"/>
        </w:rPr>
      </w:pPr>
    </w:p>
    <w:p>
      <w:pPr>
        <w:ind w:right="20" w:firstLine="549"/>
        <w:spacing w:after="0" w:line="264" w:lineRule="auto"/>
        <w:tabs>
          <w:tab w:leader="none" w:pos="1173" w:val="left"/>
        </w:tabs>
        <w:numPr>
          <w:ilvl w:val="0"/>
          <w:numId w:val="581"/>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While employed by the Company and thereafter, I shall not, directly or indirectly, use any Confidential Information (as hereinafter defined) other than pursuant to my employment by and for the benefit of the Company, or disclose any Confidential Information to anyone outside of the Company, whether by private communication, public address, publication or otherwise, or disclose any Confidential Information to anyone within the Company who has not been authorized to receive such information, except as directed in writing by an authorized representative of the Company. The term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as used throughout this Agreement shall mean all trade secrets, proprietary information, know-how, data, designs, specifications, processes, customer lists and other technical or business information (and any tangible evidence, record or representation thereof), whether prepared,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85990" cy="2730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conceived or developed by a consultant or employee of the Company (including myself) or received by the Company from an outside source, which is in the possession of the Company (whether or not the property of the Company), which in any way relates to the present or future business of the Company, which is maintained in confidence by the Company, or which might permit the Company or its customers to obtain a competitive advantage over competitors who do not have access to such trade secrets, proprietary information, or other data or information. Without limiting the generality of the foregoing. Confidential Information shall include, without limitation:</w:t>
      </w:r>
    </w:p>
    <w:p>
      <w:pPr>
        <w:spacing w:after="0" w:line="156" w:lineRule="exact"/>
        <w:rPr>
          <w:sz w:val="20"/>
          <w:szCs w:val="20"/>
          <w:color w:val="auto"/>
        </w:rPr>
      </w:pPr>
    </w:p>
    <w:p>
      <w:pPr>
        <w:ind w:right="80" w:firstLine="1104"/>
        <w:spacing w:after="0" w:line="268" w:lineRule="auto"/>
        <w:tabs>
          <w:tab w:leader="none" w:pos="1708" w:val="left"/>
        </w:tabs>
        <w:numPr>
          <w:ilvl w:val="0"/>
          <w:numId w:val="582"/>
        </w:numPr>
        <w:rPr>
          <w:rFonts w:ascii="Arial" w:cs="Arial" w:eastAsia="Arial" w:hAnsi="Arial"/>
          <w:sz w:val="15"/>
          <w:szCs w:val="15"/>
          <w:color w:val="auto"/>
        </w:rPr>
      </w:pPr>
      <w:r>
        <w:rPr>
          <w:rFonts w:ascii="Arial" w:cs="Arial" w:eastAsia="Arial" w:hAnsi="Arial"/>
          <w:sz w:val="15"/>
          <w:szCs w:val="15"/>
          <w:color w:val="auto"/>
        </w:rPr>
        <w:t>any idea, improvement, invention, innovation, development, concept, technical or clinical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56" w:lineRule="exact"/>
        <w:rPr>
          <w:rFonts w:ascii="Arial" w:cs="Arial" w:eastAsia="Arial" w:hAnsi="Arial"/>
          <w:sz w:val="15"/>
          <w:szCs w:val="15"/>
          <w:color w:val="auto"/>
        </w:rPr>
      </w:pPr>
    </w:p>
    <w:p>
      <w:pPr>
        <w:jc w:val="both"/>
        <w:ind w:right="140" w:firstLine="1104"/>
        <w:spacing w:after="0" w:line="273" w:lineRule="auto"/>
        <w:tabs>
          <w:tab w:leader="none" w:pos="1716" w:val="left"/>
        </w:tabs>
        <w:numPr>
          <w:ilvl w:val="0"/>
          <w:numId w:val="582"/>
        </w:numPr>
        <w:rPr>
          <w:rFonts w:ascii="Arial" w:cs="Arial" w:eastAsia="Arial" w:hAnsi="Arial"/>
          <w:sz w:val="15"/>
          <w:szCs w:val="15"/>
          <w:color w:val="auto"/>
        </w:rPr>
      </w:pPr>
      <w:r>
        <w:rPr>
          <w:rFonts w:ascii="Arial" w:cs="Arial" w:eastAsia="Arial" w:hAnsi="Arial"/>
          <w:sz w:val="15"/>
          <w:szCs w:val="15"/>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53" w:lineRule="exact"/>
        <w:rPr>
          <w:sz w:val="20"/>
          <w:szCs w:val="20"/>
          <w:color w:val="auto"/>
        </w:rPr>
      </w:pPr>
    </w:p>
    <w:p>
      <w:pPr>
        <w:ind w:right="60" w:firstLine="556"/>
        <w:spacing w:after="0" w:line="289" w:lineRule="auto"/>
        <w:rPr>
          <w:sz w:val="20"/>
          <w:szCs w:val="20"/>
          <w:color w:val="auto"/>
        </w:rPr>
      </w:pPr>
      <w:r>
        <w:rPr>
          <w:rFonts w:ascii="Arial" w:cs="Arial" w:eastAsia="Arial" w:hAnsi="Arial"/>
          <w:sz w:val="15"/>
          <w:szCs w:val="15"/>
          <w:color w:val="auto"/>
        </w:rPr>
        <w:t>Notwithstanding the foregoing, the term Confidential Information shall not apply to information which the Company has voluntarily disclosed to the public without restriction, or which has otherwise lawfully entered the public domain.</w:t>
      </w:r>
    </w:p>
    <w:p>
      <w:pPr>
        <w:spacing w:after="0" w:line="141" w:lineRule="exact"/>
        <w:rPr>
          <w:sz w:val="20"/>
          <w:szCs w:val="20"/>
          <w:color w:val="auto"/>
        </w:rPr>
      </w:pPr>
    </w:p>
    <w:p>
      <w:pPr>
        <w:ind w:right="200" w:firstLine="556"/>
        <w:spacing w:after="0" w:line="289" w:lineRule="auto"/>
        <w:rPr>
          <w:sz w:val="20"/>
          <w:szCs w:val="20"/>
          <w:color w:val="auto"/>
        </w:rPr>
      </w:pPr>
      <w:r>
        <w:rPr>
          <w:rFonts w:ascii="Arial" w:cs="Arial" w:eastAsia="Arial" w:hAnsi="Arial"/>
          <w:sz w:val="15"/>
          <w:szCs w:val="15"/>
          <w:color w:val="auto"/>
        </w:rPr>
        <w:t>I shall promptly notify my supervisor or any officer of the Company if I learn of any possible unauthorized use or disclosure of Confidential Information and shall cooperate fully with the Company to enforce its rights in such information.</w:t>
      </w:r>
    </w:p>
    <w:p>
      <w:pPr>
        <w:spacing w:after="0" w:line="141" w:lineRule="exact"/>
        <w:rPr>
          <w:sz w:val="20"/>
          <w:szCs w:val="20"/>
          <w:color w:val="auto"/>
        </w:rPr>
      </w:pPr>
    </w:p>
    <w:p>
      <w:pPr>
        <w:ind w:firstLine="556"/>
        <w:spacing w:after="0" w:line="327" w:lineRule="auto"/>
        <w:rPr>
          <w:sz w:val="20"/>
          <w:szCs w:val="20"/>
          <w:color w:val="auto"/>
        </w:rPr>
      </w:pPr>
      <w:r>
        <w:rPr>
          <w:rFonts w:ascii="Arial" w:cs="Arial" w:eastAsia="Arial" w:hAnsi="Arial"/>
          <w:sz w:val="14"/>
          <w:szCs w:val="14"/>
          <w:color w:val="auto"/>
        </w:rPr>
        <w:t>I understand that the Company from time to time has in its possession information (including product and development plans and specifications) which is claimed by customers and others to be proprietary and which the Company has agreed to keep confidential. I agree that all such information shall be Confidential Information for purposes of this Agreement.</w:t>
      </w:r>
    </w:p>
    <w:p>
      <w:pPr>
        <w:spacing w:after="0" w:line="117" w:lineRule="exact"/>
        <w:rPr>
          <w:sz w:val="20"/>
          <w:szCs w:val="20"/>
          <w:color w:val="auto"/>
        </w:rPr>
      </w:pPr>
    </w:p>
    <w:p>
      <w:pPr>
        <w:ind w:left="1160" w:hanging="611"/>
        <w:spacing w:after="0"/>
        <w:tabs>
          <w:tab w:leader="none" w:pos="1160" w:val="left"/>
        </w:tabs>
        <w:numPr>
          <w:ilvl w:val="0"/>
          <w:numId w:val="583"/>
        </w:numPr>
        <w:rPr>
          <w:rFonts w:ascii="Arial" w:cs="Arial" w:eastAsia="Arial" w:hAnsi="Arial"/>
          <w:sz w:val="15"/>
          <w:szCs w:val="15"/>
          <w:color w:val="auto"/>
        </w:rPr>
      </w:pPr>
      <w:r>
        <w:rPr>
          <w:rFonts w:ascii="Arial" w:cs="Arial" w:eastAsia="Arial" w:hAnsi="Arial"/>
          <w:sz w:val="15"/>
          <w:szCs w:val="15"/>
          <w:u w:val="single" w:color="auto"/>
          <w:color w:val="auto"/>
        </w:rPr>
        <w:t>Ownership and Assignment of Intellectual Property</w:t>
      </w:r>
      <w:r>
        <w:rPr>
          <w:rFonts w:ascii="Arial" w:cs="Arial" w:eastAsia="Arial" w:hAnsi="Arial"/>
          <w:sz w:val="15"/>
          <w:szCs w:val="15"/>
          <w:color w:val="auto"/>
        </w:rPr>
        <w:t>.</w:t>
      </w:r>
    </w:p>
    <w:p>
      <w:pPr>
        <w:sectPr>
          <w:pgSz w:w="11900" w:h="16838" w:orient="portrait"/>
          <w:cols w:equalWidth="0" w:num="1">
            <w:col w:w="11420"/>
          </w:cols>
          <w:pgMar w:left="240" w:top="314" w:right="239" w:bottom="0" w:gutter="0" w:footer="0" w:header="0"/>
        </w:sectPr>
      </w:pPr>
    </w:p>
    <w:bookmarkStart w:id="429" w:name="page430"/>
    <w:bookmarkEnd w:id="429"/>
    <w:p>
      <w:pPr>
        <w:ind w:right="40" w:firstLine="1104"/>
        <w:spacing w:after="0" w:line="302" w:lineRule="auto"/>
        <w:tabs>
          <w:tab w:leader="none" w:pos="1708" w:val="left"/>
        </w:tabs>
        <w:numPr>
          <w:ilvl w:val="0"/>
          <w:numId w:val="584"/>
        </w:numPr>
        <w:rPr>
          <w:rFonts w:ascii="Arial" w:cs="Arial" w:eastAsia="Arial" w:hAnsi="Arial"/>
          <w:sz w:val="14"/>
          <w:szCs w:val="14"/>
          <w:color w:val="auto"/>
        </w:rPr>
      </w:pPr>
      <w:r>
        <w:rPr>
          <w:rFonts w:ascii="Arial" w:cs="Arial" w:eastAsia="Arial" w:hAnsi="Arial"/>
          <w:sz w:val="14"/>
          <w:szCs w:val="14"/>
          <w:color w:val="auto"/>
        </w:rPr>
        <w:t>I agree that all originals and all copies of all manuscripts, drawings, prints, manuals, diagrams, letters, notes, notebooks, reports, models, records, files, memoranda, plans, sketches and all other documents and materials containing, representing, evidencing, recording, or constituting any Confidential Information (as defined in Section 2 above), however and whenever produced (whether by myself or others) during the course of my employment, shall be the sole property of the Company.</w:t>
      </w:r>
    </w:p>
    <w:p>
      <w:pPr>
        <w:spacing w:after="0" w:line="133" w:lineRule="exact"/>
        <w:rPr>
          <w:rFonts w:ascii="Arial" w:cs="Arial" w:eastAsia="Arial" w:hAnsi="Arial"/>
          <w:sz w:val="14"/>
          <w:szCs w:val="14"/>
          <w:color w:val="auto"/>
        </w:rPr>
      </w:pPr>
    </w:p>
    <w:p>
      <w:pPr>
        <w:ind w:right="540" w:firstLine="1104"/>
        <w:spacing w:after="0" w:line="289" w:lineRule="auto"/>
        <w:tabs>
          <w:tab w:leader="none" w:pos="1716" w:val="left"/>
        </w:tabs>
        <w:numPr>
          <w:ilvl w:val="0"/>
          <w:numId w:val="584"/>
        </w:numPr>
        <w:rPr>
          <w:rFonts w:ascii="Arial" w:cs="Arial" w:eastAsia="Arial" w:hAnsi="Arial"/>
          <w:sz w:val="15"/>
          <w:szCs w:val="15"/>
          <w:color w:val="auto"/>
        </w:rPr>
      </w:pPr>
      <w:r>
        <w:rPr>
          <w:rFonts w:ascii="Arial" w:cs="Arial" w:eastAsia="Arial" w:hAnsi="Arial"/>
          <w:sz w:val="15"/>
          <w:szCs w:val="15"/>
          <w:color w:val="auto"/>
        </w:rPr>
        <w:t>I agree that all Confidential Information and all other discoveries, inventions, ideas, concepts, trademarks, service marks, logos, processes, products, formulas, computer programs or software, source codes, object codes, algorithms, machines, apparatuses,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me, either alone or with others, and related to the business of the Company or to tasks assigned to me during the course of my employment, whether or not made during my regular working hours, whether or not conceived, developed, reduced to practice or made on the Company’s premises and whether or not disclosed by me to the Company (collectively “</w:t>
      </w:r>
      <w:r>
        <w:rPr>
          <w:rFonts w:ascii="Arial" w:cs="Arial" w:eastAsia="Arial" w:hAnsi="Arial"/>
          <w:sz w:val="15"/>
          <w:szCs w:val="15"/>
          <w:u w:val="single" w:color="auto"/>
          <w:color w:val="auto"/>
        </w:rPr>
        <w:t>Company Inventions</w:t>
      </w:r>
      <w:r>
        <w:rPr>
          <w:rFonts w:ascii="Arial" w:cs="Arial" w:eastAsia="Arial" w:hAnsi="Arial"/>
          <w:sz w:val="15"/>
          <w:szCs w:val="15"/>
          <w:color w:val="auto"/>
        </w:rPr>
        <w:t>”), and any and all services and products which embody, emulate or employ any such Company Invention or Confidential Information shall be the sole property of the Company and all copyrights, patents, patent rights, trademarks and reproduction rights to, and other proprietary rights in, each such Company Invention or Confidential Information, whether or not patentable or copyrightable, shall belong exclusively to the Company. For the avoidance of doubt, Confidential Information shall only include information that relates to the present or future business of the Company, and Company Inventions shall only include inventions that relate to the business of the Company or to tasks assigned to me during the course of my employment.</w:t>
      </w:r>
    </w:p>
    <w:p>
      <w:pPr>
        <w:spacing w:after="0" w:line="165" w:lineRule="exact"/>
        <w:rPr>
          <w:sz w:val="20"/>
          <w:szCs w:val="20"/>
          <w:color w:val="auto"/>
        </w:rPr>
      </w:pPr>
    </w:p>
    <w:p>
      <w:pPr>
        <w:ind w:right="80" w:firstLine="1104"/>
        <w:spacing w:after="0" w:line="264" w:lineRule="auto"/>
        <w:tabs>
          <w:tab w:leader="none" w:pos="1708" w:val="left"/>
        </w:tabs>
        <w:numPr>
          <w:ilvl w:val="1"/>
          <w:numId w:val="585"/>
        </w:numPr>
        <w:rPr>
          <w:rFonts w:ascii="Arial" w:cs="Arial" w:eastAsia="Arial" w:hAnsi="Arial"/>
          <w:sz w:val="15"/>
          <w:szCs w:val="15"/>
          <w:color w:val="auto"/>
        </w:rPr>
      </w:pPr>
      <w:r>
        <w:rPr>
          <w:rFonts w:ascii="Arial" w:cs="Arial" w:eastAsia="Arial" w:hAnsi="Arial"/>
          <w:sz w:val="15"/>
          <w:szCs w:val="15"/>
          <w:color w:val="auto"/>
        </w:rPr>
        <w:t>I agree to, and hereby do, assign to the Company all my right, title and interest throughout the world in and to all Company Inventions and to anything tangible which evidences, incorporates, constitutes, represents or records any Company Invention. I agree that all Company Inventions shall constitute works made for hire under the copyright laws of the United States and hereby assign and, to the extent any such assignment cannot be made at present, I hereby agree to assign to the Company all copyrights, patents and other proprietary rights I may have in any Company Inventions, together with the right to file for and/or own wholly without restriction United States and foreign patents, trademarks, and copyrights. I agree to waive, and hereby waive, all moral rights or proprietary rights in or to any Company Inventions and, to the extent that such rights may not be waived, agree not to assert such rights against the Company or its licensees, successors or assigns.</w:t>
      </w:r>
    </w:p>
    <w:p>
      <w:pPr>
        <w:spacing w:after="0" w:line="158" w:lineRule="exact"/>
        <w:rPr>
          <w:rFonts w:ascii="Arial" w:cs="Arial" w:eastAsia="Arial" w:hAnsi="Arial"/>
          <w:sz w:val="15"/>
          <w:szCs w:val="15"/>
          <w:color w:val="auto"/>
        </w:rPr>
      </w:pPr>
    </w:p>
    <w:p>
      <w:pPr>
        <w:ind w:right="20" w:firstLine="1104"/>
        <w:spacing w:after="0" w:line="273" w:lineRule="auto"/>
        <w:tabs>
          <w:tab w:leader="none" w:pos="1716" w:val="left"/>
        </w:tabs>
        <w:numPr>
          <w:ilvl w:val="1"/>
          <w:numId w:val="585"/>
        </w:numPr>
        <w:rPr>
          <w:rFonts w:ascii="Arial" w:cs="Arial" w:eastAsia="Arial" w:hAnsi="Arial"/>
          <w:sz w:val="15"/>
          <w:szCs w:val="15"/>
          <w:color w:val="auto"/>
        </w:rPr>
      </w:pPr>
      <w:r>
        <w:rPr>
          <w:rFonts w:ascii="Arial" w:cs="Arial" w:eastAsia="Arial" w:hAnsi="Arial"/>
          <w:sz w:val="15"/>
          <w:szCs w:val="15"/>
          <w:color w:val="auto"/>
        </w:rPr>
        <w:t xml:space="preserve">I hereby certify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sets forth any and all confidential information and intellectual property that I claim as my own or otherwise intend to exclude from this Agreement because it was developed by me prior to the date of this Agreement. I understand that after execution of this Agreement I shall have no right to exclude Confidential Information or Company Inventions from this Agreement.</w:t>
      </w:r>
    </w:p>
    <w:p>
      <w:pPr>
        <w:spacing w:after="0" w:line="152" w:lineRule="exact"/>
        <w:rPr>
          <w:rFonts w:ascii="Arial" w:cs="Arial" w:eastAsia="Arial" w:hAnsi="Arial"/>
          <w:sz w:val="15"/>
          <w:szCs w:val="15"/>
          <w:color w:val="auto"/>
        </w:rPr>
      </w:pPr>
    </w:p>
    <w:p>
      <w:pPr>
        <w:ind w:right="100" w:firstLine="549"/>
        <w:spacing w:after="0" w:line="273" w:lineRule="auto"/>
        <w:tabs>
          <w:tab w:leader="none" w:pos="1173" w:val="left"/>
        </w:tabs>
        <w:numPr>
          <w:ilvl w:val="0"/>
          <w:numId w:val="586"/>
        </w:numPr>
        <w:rPr>
          <w:rFonts w:ascii="Arial" w:cs="Arial" w:eastAsia="Arial" w:hAnsi="Arial"/>
          <w:sz w:val="15"/>
          <w:szCs w:val="15"/>
          <w:color w:val="auto"/>
        </w:rPr>
      </w:pPr>
      <w:r>
        <w:rPr>
          <w:rFonts w:ascii="Arial" w:cs="Arial" w:eastAsia="Arial" w:hAnsi="Arial"/>
          <w:sz w:val="15"/>
          <w:szCs w:val="15"/>
          <w:u w:val="single" w:color="auto"/>
          <w:color w:val="auto"/>
        </w:rPr>
        <w:t>Employee’s Obligation to Keep Records</w:t>
      </w:r>
      <w:r>
        <w:rPr>
          <w:rFonts w:ascii="Arial" w:cs="Arial" w:eastAsia="Arial" w:hAnsi="Arial"/>
          <w:sz w:val="15"/>
          <w:szCs w:val="15"/>
          <w:color w:val="auto"/>
        </w:rPr>
        <w:t>. I shall make and maintain adequate and current written records of all Company Inventions, including notebooks and invention disclosures, which records shall be available to and remain the property of the Company at all times. I shall disclose all Company Inventions promptly, fully and in writing to the Company immediately upon production or development of the same and at any time upon request.</w:t>
      </w:r>
    </w:p>
    <w:p>
      <w:pPr>
        <w:spacing w:after="0" w:line="152" w:lineRule="exact"/>
        <w:rPr>
          <w:rFonts w:ascii="Arial" w:cs="Arial" w:eastAsia="Arial" w:hAnsi="Arial"/>
          <w:sz w:val="15"/>
          <w:szCs w:val="15"/>
          <w:color w:val="auto"/>
        </w:rPr>
      </w:pPr>
    </w:p>
    <w:p>
      <w:pPr>
        <w:ind w:right="100" w:firstLine="549"/>
        <w:spacing w:after="0" w:line="273" w:lineRule="auto"/>
        <w:tabs>
          <w:tab w:leader="none" w:pos="1173" w:val="left"/>
        </w:tabs>
        <w:numPr>
          <w:ilvl w:val="0"/>
          <w:numId w:val="586"/>
        </w:numPr>
        <w:rPr>
          <w:rFonts w:ascii="Arial" w:cs="Arial" w:eastAsia="Arial" w:hAnsi="Arial"/>
          <w:sz w:val="15"/>
          <w:szCs w:val="15"/>
          <w:color w:val="auto"/>
        </w:rPr>
      </w:pPr>
      <w:r>
        <w:rPr>
          <w:rFonts w:ascii="Arial" w:cs="Arial" w:eastAsia="Arial" w:hAnsi="Arial"/>
          <w:sz w:val="15"/>
          <w:szCs w:val="15"/>
          <w:u w:val="single" w:color="auto"/>
          <w:color w:val="auto"/>
        </w:rPr>
        <w:t>Employee’s Obligation to Cooperate</w:t>
      </w:r>
      <w:r>
        <w:rPr>
          <w:rFonts w:ascii="Arial" w:cs="Arial" w:eastAsia="Arial" w:hAnsi="Arial"/>
          <w:sz w:val="15"/>
          <w:szCs w:val="15"/>
          <w:color w:val="auto"/>
        </w:rPr>
        <w:t>. I will, at any time during my employment, or after it terminates, upon request of the Company, execute all documents and perform all lawful acts which the Company considers necessary or advisable to secure its rights hereunder and to carry out the intent of this Agreement. Without limiting the generality of the foregoing, I will assist the Company in any reasonable manner to obtain for its own benefit patents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copyrights in any and all countries with respect to all Company Inventions assigned pursuant to Section 3, and I will execute, when requested, patent and other applications and assignments thereof to the Company, or persons designated by it, and any other lawful documents deemed necessary by the Company to carry out the purposes of this Agreement, and I will further assist the Company in every way to enforce any patents and copyrights obtained, including, without limitation, testifying in any suit or proceeding involving any of said patents or copyrights or executing any documents deemed necessary by the Company, all without further consideration than provided for herein. It is understood that reasonable out-of-pocket expenses of my assistance incurred at the request of the Company under this Section will be reimbursed by the Company.</w:t>
      </w:r>
    </w:p>
    <w:p>
      <w:pPr>
        <w:spacing w:after="0" w:line="143" w:lineRule="exact"/>
        <w:rPr>
          <w:sz w:val="20"/>
          <w:szCs w:val="20"/>
          <w:color w:val="auto"/>
        </w:rPr>
      </w:pPr>
    </w:p>
    <w:p>
      <w:pPr>
        <w:ind w:firstLine="549"/>
        <w:spacing w:after="0" w:line="265" w:lineRule="auto"/>
        <w:tabs>
          <w:tab w:leader="none" w:pos="1173" w:val="left"/>
        </w:tabs>
        <w:numPr>
          <w:ilvl w:val="0"/>
          <w:numId w:val="587"/>
        </w:numPr>
        <w:rPr>
          <w:rFonts w:ascii="Arial" w:cs="Arial" w:eastAsia="Arial" w:hAnsi="Arial"/>
          <w:sz w:val="15"/>
          <w:szCs w:val="15"/>
          <w:color w:val="auto"/>
        </w:rPr>
      </w:pPr>
      <w:r>
        <w:rPr>
          <w:rFonts w:ascii="Arial" w:cs="Arial" w:eastAsia="Arial" w:hAnsi="Arial"/>
          <w:sz w:val="15"/>
          <w:szCs w:val="15"/>
          <w:u w:val="single" w:color="auto"/>
          <w:color w:val="auto"/>
        </w:rPr>
        <w:t>Noncompetition and Non-solicitation</w:t>
      </w:r>
      <w:r>
        <w:rPr>
          <w:rFonts w:ascii="Arial" w:cs="Arial" w:eastAsia="Arial" w:hAnsi="Arial"/>
          <w:sz w:val="15"/>
          <w:szCs w:val="15"/>
          <w:color w:val="auto"/>
        </w:rPr>
        <w:t>. During my employment with the Company and for a period of 12 months after the termination of my employment with the Company for any reason, I shall not, without the Company’s prior written consent, on my own behalf, or as owner, manager, stockholder, consultant, director, officer, or employee of any business entity (except as a holder of not more than three (3%) percent of the stock of a publicly held company) participate in any capacity in any business activity that is in direct competition with any of the products or services being developed, marketed, distributed, planned, sold or otherwise provided by the Company or its affiliates at the time of, or during the 12 months preceding, my termination.</w:t>
      </w:r>
    </w:p>
    <w:p>
      <w:pPr>
        <w:spacing w:after="0" w:line="160" w:lineRule="exact"/>
        <w:rPr>
          <w:sz w:val="20"/>
          <w:szCs w:val="20"/>
          <w:color w:val="auto"/>
        </w:rPr>
      </w:pPr>
    </w:p>
    <w:p>
      <w:pPr>
        <w:ind w:right="120" w:firstLine="556"/>
        <w:spacing w:after="0" w:line="289" w:lineRule="auto"/>
        <w:rPr>
          <w:sz w:val="20"/>
          <w:szCs w:val="20"/>
          <w:color w:val="auto"/>
        </w:rPr>
      </w:pPr>
      <w:r>
        <w:rPr>
          <w:rFonts w:ascii="Arial" w:cs="Arial" w:eastAsia="Arial" w:hAnsi="Arial"/>
          <w:sz w:val="15"/>
          <w:szCs w:val="15"/>
          <w:color w:val="auto"/>
        </w:rPr>
        <w:t>During my employment with the Company and for a period of 12 months after the termination of my employment with the Company for any reason, I shall not solicit, induce or encourage any employee of the Company to terminate his or her employment with the Company.</w:t>
      </w:r>
    </w:p>
    <w:p>
      <w:pPr>
        <w:spacing w:after="0" w:line="141" w:lineRule="exact"/>
        <w:rPr>
          <w:sz w:val="20"/>
          <w:szCs w:val="20"/>
          <w:color w:val="auto"/>
        </w:rPr>
      </w:pPr>
    </w:p>
    <w:p>
      <w:pPr>
        <w:ind w:right="40" w:firstLine="549"/>
        <w:spacing w:after="0" w:line="261" w:lineRule="auto"/>
        <w:tabs>
          <w:tab w:leader="none" w:pos="1173" w:val="left"/>
        </w:tabs>
        <w:numPr>
          <w:ilvl w:val="0"/>
          <w:numId w:val="588"/>
        </w:numPr>
        <w:rPr>
          <w:rFonts w:ascii="Arial" w:cs="Arial" w:eastAsia="Arial" w:hAnsi="Arial"/>
          <w:sz w:val="15"/>
          <w:szCs w:val="15"/>
          <w:color w:val="auto"/>
        </w:rPr>
      </w:pPr>
      <w:r>
        <w:rPr>
          <w:rFonts w:ascii="Arial" w:cs="Arial" w:eastAsia="Arial" w:hAnsi="Arial"/>
          <w:sz w:val="15"/>
          <w:szCs w:val="15"/>
          <w:u w:val="single" w:color="auto"/>
          <w:color w:val="auto"/>
        </w:rPr>
        <w:t>Return of Property</w:t>
      </w:r>
      <w:r>
        <w:rPr>
          <w:rFonts w:ascii="Arial" w:cs="Arial" w:eastAsia="Arial" w:hAnsi="Arial"/>
          <w:sz w:val="15"/>
          <w:szCs w:val="15"/>
          <w:color w:val="auto"/>
        </w:rPr>
        <w:t>. Upon termination of my employment with the Company, or at any other time upon request of the Company, I shall cease using and return promptly any and all customer or prospective customer lists, other customer or prospective customer information or related materials, computer programs, software, electronic data, specifications, drawings, blueprints, data storage devices, reproductions, sketches, notes, notebooks, memoranda, reports, records, proposals, business plans, or copies of them, other documents or materials, tools, equipment, or other property belonging to the Company or its customers which I may then possess or have under my direct or indirect control. I further agree that upon termination of employment, I shall not take with me any documents or data in any form or of any description containing or pertaining to Confidential Information or Company Inventions, other than documents I have a right to retain under applicable law (with the understanding that my obligations under this Agreement continue to apply to any such retained documents). For purposes of clarity, using best efforts to completely remove (with the Company’s prior written permission) from any personal computer, laptop, smart phone, IPad, or any other electronic device, any Company Property that I have previously returned to the Company in accordance with this Section 7 satisfies my obligations under this section.</w:t>
      </w:r>
    </w:p>
    <w:p>
      <w:pPr>
        <w:spacing w:after="0" w:line="164" w:lineRule="exact"/>
        <w:rPr>
          <w:rFonts w:ascii="Arial" w:cs="Arial" w:eastAsia="Arial" w:hAnsi="Arial"/>
          <w:sz w:val="15"/>
          <w:szCs w:val="15"/>
          <w:color w:val="auto"/>
        </w:rPr>
      </w:pPr>
    </w:p>
    <w:p>
      <w:pPr>
        <w:ind w:right="260" w:firstLine="549"/>
        <w:spacing w:after="0" w:line="334" w:lineRule="auto"/>
        <w:tabs>
          <w:tab w:leader="none" w:pos="1173" w:val="left"/>
        </w:tabs>
        <w:numPr>
          <w:ilvl w:val="0"/>
          <w:numId w:val="588"/>
        </w:numPr>
        <w:rPr>
          <w:rFonts w:ascii="Arial" w:cs="Arial" w:eastAsia="Arial" w:hAnsi="Arial"/>
          <w:sz w:val="13"/>
          <w:szCs w:val="13"/>
          <w:color w:val="auto"/>
        </w:rPr>
      </w:pPr>
      <w:r>
        <w:rPr>
          <w:rFonts w:ascii="Arial" w:cs="Arial" w:eastAsia="Arial" w:hAnsi="Arial"/>
          <w:sz w:val="13"/>
          <w:szCs w:val="13"/>
          <w:u w:val="single" w:color="auto"/>
          <w:color w:val="auto"/>
        </w:rPr>
        <w:t>Other Obligations</w:t>
      </w:r>
      <w:r>
        <w:rPr>
          <w:rFonts w:ascii="Arial" w:cs="Arial" w:eastAsia="Arial" w:hAnsi="Arial"/>
          <w:sz w:val="13"/>
          <w:szCs w:val="13"/>
          <w:color w:val="auto"/>
        </w:rPr>
        <w:t>. I acknowledge that the Company from time to time may have agreements with other persons, including the government of the United States or other countries and agencies thereof, which impose obligations or restrictions on the Company regarding inventions made during the course of work thereunder or regarding the confidential nature of such work. I agree to be bound by all such obligations and restrictions and to take all action necessary to discharge the obligations of the Company thereunder.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60" w:hanging="611"/>
        <w:spacing w:after="0"/>
        <w:tabs>
          <w:tab w:leader="none" w:pos="1160" w:val="left"/>
        </w:tabs>
        <w:numPr>
          <w:ilvl w:val="0"/>
          <w:numId w:val="589"/>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20" w:firstLine="1104"/>
        <w:spacing w:after="0" w:line="273" w:lineRule="auto"/>
        <w:tabs>
          <w:tab w:leader="none" w:pos="1708" w:val="left"/>
        </w:tabs>
        <w:numPr>
          <w:ilvl w:val="1"/>
          <w:numId w:val="589"/>
        </w:numPr>
        <w:rPr>
          <w:rFonts w:ascii="Arial" w:cs="Arial" w:eastAsia="Arial" w:hAnsi="Arial"/>
          <w:sz w:val="15"/>
          <w:szCs w:val="15"/>
          <w:color w:val="auto"/>
        </w:rPr>
      </w:pPr>
      <w:r>
        <w:rPr>
          <w:rFonts w:ascii="Arial" w:cs="Arial" w:eastAsia="Arial" w:hAnsi="Arial"/>
          <w:sz w:val="15"/>
          <w:szCs w:val="15"/>
          <w:color w:val="auto"/>
        </w:rPr>
        <w:t>This Agreement contains the entire and only agreement between me and the Company with respect to the subject matter hereof, superseding any previous oral or written communications, representations, understandings, or agreements with the Company or any officer or representative hereof. In the event of any inconsistency between this Agreement and any other contract between me and the Company, the provisions of this Agreement shall prevail.</w:t>
      </w:r>
    </w:p>
    <w:p>
      <w:pPr>
        <w:spacing w:after="0" w:line="152" w:lineRule="exact"/>
        <w:rPr>
          <w:rFonts w:ascii="Arial" w:cs="Arial" w:eastAsia="Arial" w:hAnsi="Arial"/>
          <w:sz w:val="15"/>
          <w:szCs w:val="15"/>
          <w:color w:val="auto"/>
        </w:rPr>
      </w:pPr>
    </w:p>
    <w:p>
      <w:pPr>
        <w:ind w:right="20" w:firstLine="1104"/>
        <w:spacing w:after="0" w:line="268" w:lineRule="auto"/>
        <w:tabs>
          <w:tab w:leader="none" w:pos="1716" w:val="left"/>
        </w:tabs>
        <w:numPr>
          <w:ilvl w:val="1"/>
          <w:numId w:val="589"/>
        </w:numPr>
        <w:rPr>
          <w:rFonts w:ascii="Arial" w:cs="Arial" w:eastAsia="Arial" w:hAnsi="Arial"/>
          <w:sz w:val="15"/>
          <w:szCs w:val="15"/>
          <w:color w:val="auto"/>
        </w:rPr>
      </w:pPr>
      <w:r>
        <w:rPr>
          <w:rFonts w:ascii="Arial" w:cs="Arial" w:eastAsia="Arial" w:hAnsi="Arial"/>
          <w:sz w:val="15"/>
          <w:szCs w:val="15"/>
          <w:color w:val="auto"/>
        </w:rPr>
        <w:t>My obligations under Sections 2, 3, 5, 6 (for the periods set forth therein), 7, 8 and 9 of this Agreement shall survive the termination of my employment with the Company regardless of the manner of or reasons for such termination, and regardless of whether such termination constitutes a breach of any other agreement I may have with the Company. My obligations under this Agreement shall be binding upon my heirs, assigns, executors, administrators and representatives, and the provisions of this Agreement shall inure to the benefit of and be binding on the successors and assigns of the Company.</w:t>
      </w:r>
    </w:p>
    <w:p>
      <w:pPr>
        <w:sectPr>
          <w:pgSz w:w="11900" w:h="16838" w:orient="portrait"/>
          <w:cols w:equalWidth="0" w:num="1">
            <w:col w:w="11420"/>
          </w:cols>
          <w:pgMar w:left="240" w:top="129" w:right="239" w:bottom="0" w:gutter="0" w:footer="0" w:header="0"/>
        </w:sectPr>
      </w:pPr>
    </w:p>
    <w:bookmarkStart w:id="430" w:name="page431"/>
    <w:bookmarkEnd w:id="430"/>
    <w:p>
      <w:pPr>
        <w:ind w:right="40" w:firstLine="1104"/>
        <w:spacing w:after="0" w:line="264" w:lineRule="auto"/>
        <w:tabs>
          <w:tab w:leader="none" w:pos="1708" w:val="left"/>
        </w:tabs>
        <w:numPr>
          <w:ilvl w:val="0"/>
          <w:numId w:val="590"/>
        </w:numPr>
        <w:rPr>
          <w:rFonts w:ascii="Arial" w:cs="Arial" w:eastAsia="Arial" w:hAnsi="Arial"/>
          <w:sz w:val="15"/>
          <w:szCs w:val="15"/>
          <w:color w:val="auto"/>
        </w:rPr>
      </w:pPr>
      <w:r>
        <w:rPr>
          <w:rFonts w:ascii="Arial" w:cs="Arial" w:eastAsia="Arial" w:hAnsi="Arial"/>
          <w:sz w:val="15"/>
          <w:szCs w:val="15"/>
          <w:color w:val="auto"/>
        </w:rPr>
        <w:t>If any provision of this Agreement shall be determined to be unenforceable by any court of competent jurisdiction by reason of its extending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immediately preceding sentence, any provision of this Agreement shall be determined to be invalid, illegal or otherwise unenforceable by any court of competent jurisdiction, the validity, legality and enforceability of the other provisions of this Agreement shall not be affected thereby. Except as otherwise provided in this paragraph, any invalid, illegal or unenforceable provision of this Agreement shall be severable, and after any such severance, all other provisions hereof shall remain in full force and effect.</w:t>
      </w:r>
    </w:p>
    <w:p>
      <w:pPr>
        <w:spacing w:after="0" w:line="158" w:lineRule="exact"/>
        <w:rPr>
          <w:rFonts w:ascii="Arial" w:cs="Arial" w:eastAsia="Arial" w:hAnsi="Arial"/>
          <w:sz w:val="15"/>
          <w:szCs w:val="15"/>
          <w:color w:val="auto"/>
        </w:rPr>
      </w:pPr>
    </w:p>
    <w:p>
      <w:pPr>
        <w:ind w:right="100" w:firstLine="1104"/>
        <w:spacing w:after="0" w:line="268" w:lineRule="auto"/>
        <w:tabs>
          <w:tab w:leader="none" w:pos="1716" w:val="left"/>
        </w:tabs>
        <w:numPr>
          <w:ilvl w:val="0"/>
          <w:numId w:val="590"/>
        </w:numPr>
        <w:rPr>
          <w:rFonts w:ascii="Arial" w:cs="Arial" w:eastAsia="Arial" w:hAnsi="Arial"/>
          <w:sz w:val="15"/>
          <w:szCs w:val="15"/>
          <w:color w:val="auto"/>
        </w:rPr>
      </w:pPr>
      <w:r>
        <w:rPr>
          <w:rFonts w:ascii="Arial" w:cs="Arial" w:eastAsia="Arial" w:hAnsi="Arial"/>
          <w:sz w:val="15"/>
          <w:szCs w:val="15"/>
          <w:color w:val="auto"/>
        </w:rPr>
        <w:t>I acknowledge and agree that violation of this Agreement by me would cause irreparable harm to the Company not adequately compensable by money damages alone, and I therefore agree that, in addition to all other remedies available to the Company at law, in equity or otherwise, the Company shall be entitled to injunctive relief to prevent an actual or threatened violation of this Agreement and to enforce the provisions hereof, without showing or proving any actual damage to the Company or posting any bond in connection therewith.</w:t>
      </w:r>
    </w:p>
    <w:p>
      <w:pPr>
        <w:spacing w:after="0" w:line="156" w:lineRule="exact"/>
        <w:rPr>
          <w:rFonts w:ascii="Arial" w:cs="Arial" w:eastAsia="Arial" w:hAnsi="Arial"/>
          <w:sz w:val="15"/>
          <w:szCs w:val="15"/>
          <w:color w:val="auto"/>
        </w:rPr>
      </w:pPr>
    </w:p>
    <w:p>
      <w:pPr>
        <w:ind w:right="20" w:firstLine="1104"/>
        <w:spacing w:after="0" w:line="273" w:lineRule="auto"/>
        <w:tabs>
          <w:tab w:leader="none" w:pos="1708" w:val="left"/>
        </w:tabs>
        <w:numPr>
          <w:ilvl w:val="0"/>
          <w:numId w:val="590"/>
        </w:numPr>
        <w:rPr>
          <w:rFonts w:ascii="Arial" w:cs="Arial" w:eastAsia="Arial" w:hAnsi="Arial"/>
          <w:sz w:val="15"/>
          <w:szCs w:val="15"/>
          <w:color w:val="auto"/>
        </w:rPr>
      </w:pPr>
      <w:r>
        <w:rPr>
          <w:rFonts w:ascii="Arial" w:cs="Arial" w:eastAsia="Arial" w:hAnsi="Arial"/>
          <w:sz w:val="15"/>
          <w:szCs w:val="15"/>
          <w:color w:val="auto"/>
        </w:rPr>
        <w:t>No failure by the Company to insist upon strict compliance with any of the terms, covenants, or conditions hereof, and no delay or omission by the Company in exercising any right under this Agreement, will operate as a waiver of such terms, covenants, conditions or rights. A waiver or consent given by the Company on any one occasion is effective only in that instance and will not be construed as a bar to or waiver of any right on any other occasion.</w:t>
      </w:r>
    </w:p>
    <w:p>
      <w:pPr>
        <w:spacing w:after="0" w:line="152" w:lineRule="exact"/>
        <w:rPr>
          <w:rFonts w:ascii="Arial" w:cs="Arial" w:eastAsia="Arial" w:hAnsi="Arial"/>
          <w:sz w:val="15"/>
          <w:szCs w:val="15"/>
          <w:color w:val="auto"/>
        </w:rPr>
      </w:pPr>
    </w:p>
    <w:p>
      <w:pPr>
        <w:ind w:right="360" w:firstLine="1104"/>
        <w:spacing w:after="0" w:line="289" w:lineRule="auto"/>
        <w:tabs>
          <w:tab w:leader="none" w:pos="1729" w:val="left"/>
        </w:tabs>
        <w:numPr>
          <w:ilvl w:val="0"/>
          <w:numId w:val="590"/>
        </w:numPr>
        <w:rPr>
          <w:rFonts w:ascii="Arial" w:cs="Arial" w:eastAsia="Arial" w:hAnsi="Arial"/>
          <w:sz w:val="15"/>
          <w:szCs w:val="15"/>
          <w:color w:val="auto"/>
        </w:rPr>
      </w:pPr>
      <w:r>
        <w:rPr>
          <w:rFonts w:ascii="Arial" w:cs="Arial" w:eastAsia="Arial" w:hAnsi="Arial"/>
          <w:sz w:val="15"/>
          <w:szCs w:val="15"/>
          <w:color w:val="auto"/>
        </w:rPr>
        <w:t>This Agreement may not be changed, modified, released, discharged, abandoned, or otherwise amended, in whole or in part, except by an instrument in writing signed by me and the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firstLine="1104"/>
        <w:spacing w:after="0" w:line="289" w:lineRule="auto"/>
        <w:tabs>
          <w:tab w:leader="none" w:pos="1716" w:val="left"/>
        </w:tabs>
        <w:numPr>
          <w:ilvl w:val="0"/>
          <w:numId w:val="591"/>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and enforced in accordance with, the laws of The Commonwealth of Massachusetts, without regard to its principles of conflicts of laws. This Agreement is executed under seal.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640"/>
        <w:spacing w:after="0" w:line="273" w:lineRule="auto"/>
        <w:rPr>
          <w:sz w:val="20"/>
          <w:szCs w:val="20"/>
          <w:color w:val="auto"/>
        </w:rPr>
      </w:pPr>
      <w:r>
        <w:rPr>
          <w:rFonts w:ascii="Arial" w:cs="Arial" w:eastAsia="Arial" w:hAnsi="Arial"/>
          <w:sz w:val="15"/>
          <w:szCs w:val="15"/>
          <w:color w:val="auto"/>
        </w:rPr>
        <w:t>BY PLACING MY SIGNATURE HEREUNDER, I ACKNOWLEDGE THAT I HAVE HAD THE OPPORTUNITY TO SEEK THE ADVICE OF INDEPENDENT LEGAL COUNSEL AND I HAVE READ ALL THE PROVISIONS OF THIS EMPLOYEE NONDISCLOSURE, NONCOMPETITION AND ASSIGNMENT OF INTELLECTUAL PROPERTY AGREEMENT AND THAT I AGREE TO ALL OF ITS TERMS.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Effective Date: June 2, 2016</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EMPLOYEE:</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David Siewers</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167"/>
        </w:trPr>
        <w:tc>
          <w:tcPr>
            <w:tcW w:w="76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Signature</w:t>
            </w:r>
          </w:p>
        </w:tc>
        <w:tc>
          <w:tcPr>
            <w:tcW w:w="4960" w:type="dxa"/>
            <w:vAlign w:val="bottom"/>
            <w:tcBorders>
              <w:top w:val="single" w:sz="8" w:color="auto"/>
            </w:tcBorders>
          </w:tcPr>
          <w:p>
            <w:pPr>
              <w:spacing w:after="0"/>
              <w:rPr>
                <w:sz w:val="14"/>
                <w:szCs w:val="14"/>
                <w:color w:val="auto"/>
              </w:rPr>
            </w:pP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Name:</w:t>
            </w:r>
          </w:p>
        </w:tc>
        <w:tc>
          <w:tcPr>
            <w:tcW w:w="4960" w:type="dxa"/>
            <w:vAlign w:val="bottom"/>
          </w:tcPr>
          <w:p>
            <w:pPr>
              <w:ind w:left="160"/>
              <w:spacing w:after="0"/>
              <w:rPr>
                <w:sz w:val="20"/>
                <w:szCs w:val="20"/>
                <w:color w:val="auto"/>
              </w:rPr>
            </w:pPr>
            <w:r>
              <w:rPr>
                <w:rFonts w:ascii="Arial" w:cs="Arial" w:eastAsia="Arial" w:hAnsi="Arial"/>
                <w:sz w:val="15"/>
                <w:szCs w:val="15"/>
                <w:color w:val="auto"/>
              </w:rPr>
              <w:t>David Siewers</w:t>
            </w:r>
          </w:p>
        </w:tc>
      </w:tr>
      <w:tr>
        <w:trPr>
          <w:trHeight w:val="371"/>
        </w:trPr>
        <w:tc>
          <w:tcPr>
            <w:tcW w:w="760" w:type="dxa"/>
            <w:vAlign w:val="bottom"/>
          </w:tcPr>
          <w:p>
            <w:pPr>
              <w:spacing w:after="0"/>
              <w:rPr>
                <w:sz w:val="20"/>
                <w:szCs w:val="20"/>
                <w:color w:val="auto"/>
              </w:rPr>
            </w:pPr>
            <w:r>
              <w:rPr>
                <w:rFonts w:ascii="Arial" w:cs="Arial" w:eastAsia="Arial" w:hAnsi="Arial"/>
                <w:sz w:val="15"/>
                <w:szCs w:val="15"/>
                <w:color w:val="auto"/>
              </w:rPr>
              <w:t>Address:</w:t>
            </w:r>
          </w:p>
        </w:tc>
        <w:tc>
          <w:tcPr>
            <w:tcW w:w="4960" w:type="dxa"/>
            <w:vAlign w:val="bottom"/>
          </w:tcPr>
          <w:p>
            <w:pPr>
              <w:ind w:left="160"/>
              <w:spacing w:after="0"/>
              <w:rPr>
                <w:sz w:val="20"/>
                <w:szCs w:val="20"/>
                <w:color w:val="auto"/>
              </w:rPr>
            </w:pPr>
            <w:r>
              <w:rPr>
                <w:rFonts w:ascii="Arial" w:cs="Arial" w:eastAsia="Arial" w:hAnsi="Arial"/>
                <w:sz w:val="15"/>
                <w:szCs w:val="15"/>
                <w:color w:val="auto"/>
              </w:rPr>
              <w:t>[***]</w:t>
            </w:r>
          </w:p>
        </w:tc>
      </w:tr>
    </w:tbl>
    <w:p>
      <w:pPr>
        <w:spacing w:after="0" w:line="36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Accepted and Agreed:</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-108585</wp:posOffset>
            </wp:positionV>
            <wp:extent cx="3279775" cy="762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327977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Excluded Confidential Information and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Indemnification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431" w:name="page432"/>
    <w:bookmarkEnd w:id="431"/>
    <w:p>
      <w:pPr>
        <w:spacing w:after="0" w:line="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Exhibit 10.24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INDEPENDENT DIRECTOR CONSULTING AGREEMENT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(George R. Siber, M.D.)</w:t>
      </w:r>
    </w:p>
    <w:p>
      <w:pPr>
        <w:spacing w:after="0" w:line="188" w:lineRule="exact"/>
        <w:rPr>
          <w:sz w:val="20"/>
          <w:szCs w:val="20"/>
          <w:color w:val="auto"/>
        </w:rPr>
      </w:pPr>
    </w:p>
    <w:p>
      <w:pPr>
        <w:ind w:right="380" w:firstLine="556"/>
        <w:spacing w:after="0" w:line="289" w:lineRule="auto"/>
        <w:rPr>
          <w:sz w:val="20"/>
          <w:szCs w:val="20"/>
          <w:color w:val="auto"/>
        </w:rPr>
      </w:pPr>
      <w:r>
        <w:rPr>
          <w:rFonts w:ascii="Arial" w:cs="Arial" w:eastAsia="Arial" w:hAnsi="Arial"/>
          <w:sz w:val="15"/>
          <w:szCs w:val="15"/>
          <w:color w:val="auto"/>
        </w:rPr>
        <w:t>This Independent Director Consulting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May 5, 2009 (the “</w:t>
      </w:r>
      <w:r>
        <w:rPr>
          <w:rFonts w:ascii="Arial" w:cs="Arial" w:eastAsia="Arial" w:hAnsi="Arial"/>
          <w:sz w:val="15"/>
          <w:szCs w:val="15"/>
          <w:u w:val="single" w:color="auto"/>
          <w:color w:val="auto"/>
        </w:rPr>
        <w:t>Effective Date</w:t>
      </w:r>
      <w:r>
        <w:rPr>
          <w:rFonts w:ascii="Arial" w:cs="Arial" w:eastAsia="Arial" w:hAnsi="Arial"/>
          <w:sz w:val="15"/>
          <w:szCs w:val="15"/>
          <w:color w:val="auto"/>
        </w:rPr>
        <w:t>”), is made by and between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George R. Siber, M.D. (the “</w:t>
      </w:r>
      <w:r>
        <w:rPr>
          <w:rFonts w:ascii="Arial" w:cs="Arial" w:eastAsia="Arial" w:hAnsi="Arial"/>
          <w:sz w:val="15"/>
          <w:szCs w:val="15"/>
          <w:u w:val="single" w:color="auto"/>
          <w:color w:val="auto"/>
        </w:rPr>
        <w:t>Consultant</w:t>
      </w:r>
      <w:r>
        <w:rPr>
          <w:rFonts w:ascii="Arial" w:cs="Arial" w:eastAsia="Arial" w:hAnsi="Arial"/>
          <w:sz w:val="15"/>
          <w:szCs w:val="15"/>
          <w:color w:val="auto"/>
        </w:rPr>
        <w:t>”).</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WHEREAS, the Company desires to engage the Consultant as a member of the Board of Directors (the “</w:t>
      </w:r>
      <w:r>
        <w:rPr>
          <w:rFonts w:ascii="Arial" w:cs="Arial" w:eastAsia="Arial" w:hAnsi="Arial"/>
          <w:sz w:val="14"/>
          <w:szCs w:val="14"/>
          <w:u w:val="single" w:color="auto"/>
          <w:color w:val="auto"/>
        </w:rPr>
        <w:t>Board</w:t>
      </w:r>
      <w:r>
        <w:rPr>
          <w:rFonts w:ascii="Arial" w:cs="Arial" w:eastAsia="Arial" w:hAnsi="Arial"/>
          <w:sz w:val="14"/>
          <w:szCs w:val="14"/>
          <w:color w:val="auto"/>
        </w:rPr>
        <w:t>”) and the Consultant desires to serve as a member of the Board;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188" w:lineRule="exact"/>
        <w:rPr>
          <w:sz w:val="20"/>
          <w:szCs w:val="20"/>
          <w:color w:val="auto"/>
        </w:rPr>
      </w:pPr>
    </w:p>
    <w:p>
      <w:pPr>
        <w:ind w:firstLine="556"/>
        <w:spacing w:after="0" w:line="289" w:lineRule="auto"/>
        <w:rPr>
          <w:sz w:val="20"/>
          <w:szCs w:val="20"/>
          <w:color w:val="auto"/>
        </w:rPr>
      </w:pPr>
      <w:r>
        <w:rPr>
          <w:rFonts w:ascii="Arial" w:cs="Arial" w:eastAsia="Arial" w:hAnsi="Arial"/>
          <w:sz w:val="15"/>
          <w:szCs w:val="15"/>
          <w:color w:val="auto"/>
        </w:rPr>
        <w:t>WHEREAS, the Company desires to engage the Consultant to perform consulting services on behalf of the Company and the Consultant desires to perform such services on the terms and conditions hereinafter set forth.</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NOW, THEREFORE, in consideration of the premises and the mutual covenants set forth herein the parties hereby agree as follows:</w:t>
      </w:r>
    </w:p>
    <w:p>
      <w:pPr>
        <w:spacing w:after="0" w:line="198" w:lineRule="exact"/>
        <w:rPr>
          <w:sz w:val="20"/>
          <w:szCs w:val="20"/>
          <w:color w:val="auto"/>
        </w:rPr>
      </w:pPr>
    </w:p>
    <w:p>
      <w:pPr>
        <w:ind w:left="1100" w:hanging="459"/>
        <w:spacing w:after="0"/>
        <w:tabs>
          <w:tab w:leader="none" w:pos="1100" w:val="left"/>
        </w:tabs>
        <w:numPr>
          <w:ilvl w:val="1"/>
          <w:numId w:val="592"/>
        </w:numPr>
        <w:rPr>
          <w:rFonts w:ascii="Arial" w:cs="Arial" w:eastAsia="Arial" w:hAnsi="Arial"/>
          <w:sz w:val="15"/>
          <w:szCs w:val="15"/>
          <w:color w:val="auto"/>
        </w:rPr>
      </w:pPr>
      <w:r>
        <w:rPr>
          <w:rFonts w:ascii="Arial" w:cs="Arial" w:eastAsia="Arial" w:hAnsi="Arial"/>
          <w:sz w:val="15"/>
          <w:szCs w:val="15"/>
          <w:u w:val="single" w:color="auto"/>
          <w:color w:val="auto"/>
        </w:rPr>
        <w:t>Consulting Services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480" w:firstLine="1104"/>
        <w:spacing w:after="0" w:line="289" w:lineRule="auto"/>
        <w:tabs>
          <w:tab w:leader="none" w:pos="1665" w:val="left"/>
        </w:tabs>
        <w:numPr>
          <w:ilvl w:val="2"/>
          <w:numId w:val="592"/>
        </w:numPr>
        <w:rPr>
          <w:rFonts w:ascii="Arial" w:cs="Arial" w:eastAsia="Arial" w:hAnsi="Arial"/>
          <w:sz w:val="15"/>
          <w:szCs w:val="15"/>
          <w:color w:val="auto"/>
        </w:rPr>
      </w:pPr>
      <w:r>
        <w:rPr>
          <w:rFonts w:ascii="Arial" w:cs="Arial" w:eastAsia="Arial" w:hAnsi="Arial"/>
          <w:sz w:val="15"/>
          <w:szCs w:val="15"/>
          <w:color w:val="auto"/>
        </w:rPr>
        <w:t xml:space="preserve">The Company hereby retains the Consultant and the Consultant hereby agrees to perform such consulting and advisory services relating to the Field of Interest (as defined in Section 14(j)) as the Company may request and as set forth in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Consulting Services</w:t>
      </w:r>
      <w:r>
        <w:rPr>
          <w:rFonts w:ascii="Arial" w:cs="Arial" w:eastAsia="Arial" w:hAnsi="Arial"/>
          <w:sz w:val="15"/>
          <w:szCs w:val="15"/>
          <w:color w:val="auto"/>
        </w:rPr>
        <w:t>”).</w:t>
      </w:r>
    </w:p>
    <w:p>
      <w:pPr>
        <w:spacing w:after="0" w:line="140" w:lineRule="exact"/>
        <w:rPr>
          <w:rFonts w:ascii="Arial" w:cs="Arial" w:eastAsia="Arial" w:hAnsi="Arial"/>
          <w:sz w:val="15"/>
          <w:szCs w:val="15"/>
          <w:color w:val="auto"/>
        </w:rPr>
      </w:pPr>
    </w:p>
    <w:p>
      <w:pPr>
        <w:ind w:right="80" w:firstLine="1104"/>
        <w:spacing w:after="0" w:line="327" w:lineRule="auto"/>
        <w:tabs>
          <w:tab w:leader="none" w:pos="1674" w:val="left"/>
        </w:tabs>
        <w:numPr>
          <w:ilvl w:val="2"/>
          <w:numId w:val="592"/>
        </w:numPr>
        <w:rPr>
          <w:rFonts w:ascii="Arial" w:cs="Arial" w:eastAsia="Arial" w:hAnsi="Arial"/>
          <w:sz w:val="14"/>
          <w:szCs w:val="14"/>
          <w:color w:val="auto"/>
        </w:rPr>
      </w:pPr>
      <w:r>
        <w:rPr>
          <w:rFonts w:ascii="Arial" w:cs="Arial" w:eastAsia="Arial" w:hAnsi="Arial"/>
          <w:sz w:val="14"/>
          <w:szCs w:val="14"/>
          <w:color w:val="auto"/>
        </w:rPr>
        <w:t xml:space="preserve">The Consultant agrees to make himself available to render the Consulting Services, at such times and locations as may be mutually agreed, from time to time as requested by the Company. Except as provided in </w:t>
      </w:r>
      <w:r>
        <w:rPr>
          <w:rFonts w:ascii="Arial" w:cs="Arial" w:eastAsia="Arial" w:hAnsi="Arial"/>
          <w:sz w:val="14"/>
          <w:szCs w:val="14"/>
          <w:u w:val="single" w:color="auto"/>
          <w:color w:val="auto"/>
        </w:rPr>
        <w:t>Schedule A</w:t>
      </w:r>
      <w:r>
        <w:rPr>
          <w:rFonts w:ascii="Arial" w:cs="Arial" w:eastAsia="Arial" w:hAnsi="Arial"/>
          <w:sz w:val="14"/>
          <w:szCs w:val="14"/>
          <w:color w:val="auto"/>
        </w:rPr>
        <w:t>, the Consultant may deliver the Consulting Services over the telephone, in person or by written correspondence.</w:t>
      </w:r>
    </w:p>
    <w:p>
      <w:pPr>
        <w:spacing w:after="0" w:line="117" w:lineRule="exact"/>
        <w:rPr>
          <w:rFonts w:ascii="Arial" w:cs="Arial" w:eastAsia="Arial" w:hAnsi="Arial"/>
          <w:sz w:val="14"/>
          <w:szCs w:val="14"/>
          <w:color w:val="auto"/>
        </w:rPr>
      </w:pPr>
    </w:p>
    <w:p>
      <w:pPr>
        <w:ind w:right="120" w:firstLine="1104"/>
        <w:spacing w:after="0" w:line="264" w:lineRule="auto"/>
        <w:tabs>
          <w:tab w:leader="none" w:pos="1677" w:val="left"/>
        </w:tabs>
        <w:numPr>
          <w:ilvl w:val="2"/>
          <w:numId w:val="592"/>
        </w:numPr>
        <w:rPr>
          <w:rFonts w:ascii="Arial" w:cs="Arial" w:eastAsia="Arial" w:hAnsi="Arial"/>
          <w:sz w:val="15"/>
          <w:szCs w:val="15"/>
          <w:color w:val="auto"/>
        </w:rPr>
      </w:pPr>
      <w:r>
        <w:rPr>
          <w:rFonts w:ascii="Arial" w:cs="Arial" w:eastAsia="Arial" w:hAnsi="Arial"/>
          <w:sz w:val="15"/>
          <w:szCs w:val="15"/>
          <w:color w:val="auto"/>
        </w:rPr>
        <w:t xml:space="preserve">The Consultant represents and warrants to the Company that, except as set forth in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he is not currently an employee or consultant of any Person (as defined in Section 14(j)). The Consultant agrees to notify the Company promptly after entering into any employment or consulting agreement with a third party between the Effective Date and the termination of this Agreement. The Company acknowledges that the Consultant has obligations to provide services to the Persons listed in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and disclosed pursuant to the preceding sentence (collectively, “</w:t>
      </w:r>
      <w:r>
        <w:rPr>
          <w:rFonts w:ascii="Arial" w:cs="Arial" w:eastAsia="Arial" w:hAnsi="Arial"/>
          <w:sz w:val="15"/>
          <w:szCs w:val="15"/>
          <w:u w:val="single" w:color="auto"/>
          <w:color w:val="auto"/>
        </w:rPr>
        <w:t>Other Clients</w:t>
      </w:r>
      <w:r>
        <w:rPr>
          <w:rFonts w:ascii="Arial" w:cs="Arial" w:eastAsia="Arial" w:hAnsi="Arial"/>
          <w:sz w:val="15"/>
          <w:szCs w:val="15"/>
          <w:color w:val="auto"/>
        </w:rPr>
        <w:t>”) and that the Consultant must take these obligations into account when scheduling meetings or calls with the Company. The Consultant acknowledges that the Company has the right to terminate this Agreement in accordance with Section 4 if the Consultant is not able satisfy the Company’s requests for meetings and calls.</w:t>
      </w:r>
    </w:p>
    <w:p>
      <w:pPr>
        <w:spacing w:after="0" w:line="158" w:lineRule="exact"/>
        <w:rPr>
          <w:rFonts w:ascii="Arial" w:cs="Arial" w:eastAsia="Arial" w:hAnsi="Arial"/>
          <w:sz w:val="15"/>
          <w:szCs w:val="15"/>
          <w:color w:val="auto"/>
        </w:rPr>
      </w:pPr>
    </w:p>
    <w:p>
      <w:pPr>
        <w:ind w:right="40" w:firstLine="1104"/>
        <w:spacing w:after="0" w:line="273" w:lineRule="auto"/>
        <w:tabs>
          <w:tab w:leader="none" w:pos="1674" w:val="left"/>
        </w:tabs>
        <w:numPr>
          <w:ilvl w:val="2"/>
          <w:numId w:val="592"/>
        </w:numPr>
        <w:rPr>
          <w:rFonts w:ascii="Arial" w:cs="Arial" w:eastAsia="Arial" w:hAnsi="Arial"/>
          <w:sz w:val="15"/>
          <w:szCs w:val="15"/>
          <w:color w:val="auto"/>
        </w:rPr>
      </w:pPr>
      <w:r>
        <w:rPr>
          <w:rFonts w:ascii="Arial" w:cs="Arial" w:eastAsia="Arial" w:hAnsi="Arial"/>
          <w:sz w:val="15"/>
          <w:szCs w:val="15"/>
          <w:color w:val="auto"/>
        </w:rPr>
        <w:t>The Consultant agrees to devote his best efforts to performing the Consulting Services. The Consultant shall comply with all rules, procedures and standards promulgated and made known to the Consultant from time to time by the Company with regard to the Consultant’s access to and use of the Company’s property, information, equipment and facilities.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66" w:lineRule="exact"/>
        <w:rPr>
          <w:rFonts w:ascii="Arial" w:cs="Arial" w:eastAsia="Arial" w:hAnsi="Arial"/>
          <w:sz w:val="15"/>
          <w:szCs w:val="15"/>
          <w:color w:val="auto"/>
        </w:rPr>
      </w:pPr>
    </w:p>
    <w:p>
      <w:pPr>
        <w:ind w:right="280" w:firstLine="549"/>
        <w:spacing w:after="0" w:line="289" w:lineRule="auto"/>
        <w:tabs>
          <w:tab w:leader="none" w:pos="1112" w:val="left"/>
        </w:tabs>
        <w:numPr>
          <w:ilvl w:val="0"/>
          <w:numId w:val="593"/>
        </w:numPr>
        <w:rPr>
          <w:rFonts w:ascii="Arial" w:cs="Arial" w:eastAsia="Arial" w:hAnsi="Arial"/>
          <w:sz w:val="15"/>
          <w:szCs w:val="15"/>
          <w:color w:val="auto"/>
        </w:rPr>
      </w:pPr>
      <w:r>
        <w:rPr>
          <w:rFonts w:ascii="Arial" w:cs="Arial" w:eastAsia="Arial" w:hAnsi="Arial"/>
          <w:sz w:val="15"/>
          <w:szCs w:val="15"/>
          <w:u w:val="single" w:color="auto"/>
          <w:color w:val="auto"/>
        </w:rPr>
        <w:t>Compensation</w:t>
      </w:r>
      <w:r>
        <w:rPr>
          <w:rFonts w:ascii="Arial" w:cs="Arial" w:eastAsia="Arial" w:hAnsi="Arial"/>
          <w:sz w:val="15"/>
          <w:szCs w:val="15"/>
          <w:color w:val="auto"/>
        </w:rPr>
        <w:t xml:space="preserve">. The Company shall pay the Consultant a consulting fee as provided in </w:t>
      </w:r>
      <w:r>
        <w:rPr>
          <w:rFonts w:ascii="Arial" w:cs="Arial" w:eastAsia="Arial" w:hAnsi="Arial"/>
          <w:sz w:val="15"/>
          <w:szCs w:val="15"/>
          <w:u w:val="single" w:color="auto"/>
          <w:color w:val="auto"/>
        </w:rPr>
        <w:t>Schedule A and</w:t>
      </w:r>
      <w:r>
        <w:rPr>
          <w:rFonts w:ascii="Arial" w:cs="Arial" w:eastAsia="Arial" w:hAnsi="Arial"/>
          <w:sz w:val="15"/>
          <w:szCs w:val="15"/>
          <w:color w:val="auto"/>
        </w:rPr>
        <w:t xml:space="preserve"> will reimburse the Consultant for business expenses, also as provided in </w:t>
      </w:r>
      <w:r>
        <w:rPr>
          <w:rFonts w:ascii="Arial" w:cs="Arial" w:eastAsia="Arial" w:hAnsi="Arial"/>
          <w:sz w:val="15"/>
          <w:szCs w:val="15"/>
          <w:u w:val="single" w:color="auto"/>
          <w:color w:val="auto"/>
        </w:rPr>
        <w:t>Schedule A</w:t>
      </w:r>
      <w:r>
        <w:rPr>
          <w:rFonts w:ascii="Arial" w:cs="Arial" w:eastAsia="Arial" w:hAnsi="Arial"/>
          <w:sz w:val="15"/>
          <w:szCs w:val="15"/>
          <w:color w:val="auto"/>
        </w:rPr>
        <w:t>.</w:t>
      </w:r>
    </w:p>
    <w:p>
      <w:pPr>
        <w:spacing w:after="0" w:line="140" w:lineRule="exact"/>
        <w:rPr>
          <w:rFonts w:ascii="Arial" w:cs="Arial" w:eastAsia="Arial" w:hAnsi="Arial"/>
          <w:sz w:val="15"/>
          <w:szCs w:val="15"/>
          <w:color w:val="auto"/>
        </w:rPr>
      </w:pPr>
    </w:p>
    <w:p>
      <w:pPr>
        <w:ind w:right="240" w:firstLine="549"/>
        <w:spacing w:after="0" w:line="265" w:lineRule="auto"/>
        <w:tabs>
          <w:tab w:leader="none" w:pos="1112" w:val="left"/>
        </w:tabs>
        <w:numPr>
          <w:ilvl w:val="0"/>
          <w:numId w:val="593"/>
        </w:numPr>
        <w:rPr>
          <w:rFonts w:ascii="Arial" w:cs="Arial" w:eastAsia="Arial" w:hAnsi="Arial"/>
          <w:sz w:val="15"/>
          <w:szCs w:val="15"/>
          <w:color w:val="auto"/>
        </w:rPr>
      </w:pPr>
      <w:r>
        <w:rPr>
          <w:rFonts w:ascii="Arial" w:cs="Arial" w:eastAsia="Arial" w:hAnsi="Arial"/>
          <w:sz w:val="15"/>
          <w:szCs w:val="15"/>
          <w:u w:val="single" w:color="auto"/>
          <w:color w:val="auto"/>
        </w:rPr>
        <w:t>Independent Contractor</w:t>
      </w:r>
      <w:r>
        <w:rPr>
          <w:rFonts w:ascii="Arial" w:cs="Arial" w:eastAsia="Arial" w:hAnsi="Arial"/>
          <w:sz w:val="15"/>
          <w:szCs w:val="15"/>
          <w:color w:val="auto"/>
        </w:rPr>
        <w:t>. In furnishing the Consulting Services, the Consultant understands that he will at all times be acting as an independent contractor of the Company and, as such, will not be an employee of the Company and will not by reason of this Agreement or by reason of his Consulting Services to the Company be entitled to participate in or to receive any benefit or right under any of the Company’s employee benefit or welfare plans. The Consultant also will be responsible for paying all withholding and other taxes required by law to be paid as and when the same become due and payable. The Consultant shall not enter into any agreements or incur any obligations on behalf of the Company.</w:t>
      </w:r>
    </w:p>
    <w:p>
      <w:pPr>
        <w:spacing w:after="0" w:line="159" w:lineRule="exact"/>
        <w:rPr>
          <w:rFonts w:ascii="Arial" w:cs="Arial" w:eastAsia="Arial" w:hAnsi="Arial"/>
          <w:sz w:val="15"/>
          <w:szCs w:val="15"/>
          <w:color w:val="auto"/>
        </w:rPr>
      </w:pPr>
    </w:p>
    <w:p>
      <w:pPr>
        <w:ind w:right="180" w:firstLine="549"/>
        <w:spacing w:after="0" w:line="273" w:lineRule="auto"/>
        <w:tabs>
          <w:tab w:leader="none" w:pos="1112" w:val="left"/>
        </w:tabs>
        <w:numPr>
          <w:ilvl w:val="0"/>
          <w:numId w:val="593"/>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The parties may agree to terminate this Agreement at any time with the mutual consent of both parties. Either party may terminate this Agreement at any time and for any reason or for no reason; provided, however, that the terminating party shall first provide written notice to the other party at least 30 days prior to the effective date of termination.</w:t>
      </w:r>
    </w:p>
    <w:p>
      <w:pPr>
        <w:spacing w:after="0" w:line="152" w:lineRule="exact"/>
        <w:rPr>
          <w:rFonts w:ascii="Arial" w:cs="Arial" w:eastAsia="Arial" w:hAnsi="Arial"/>
          <w:sz w:val="15"/>
          <w:szCs w:val="15"/>
          <w:color w:val="auto"/>
        </w:rPr>
      </w:pPr>
    </w:p>
    <w:p>
      <w:pPr>
        <w:ind w:right="40" w:firstLine="549"/>
        <w:spacing w:after="0" w:line="286" w:lineRule="auto"/>
        <w:tabs>
          <w:tab w:leader="none" w:pos="1112" w:val="left"/>
        </w:tabs>
        <w:numPr>
          <w:ilvl w:val="0"/>
          <w:numId w:val="593"/>
        </w:numPr>
        <w:rPr>
          <w:rFonts w:ascii="Arial" w:cs="Arial" w:eastAsia="Arial" w:hAnsi="Arial"/>
          <w:sz w:val="14"/>
          <w:szCs w:val="14"/>
          <w:color w:val="auto"/>
        </w:rPr>
      </w:pPr>
      <w:r>
        <w:rPr>
          <w:rFonts w:ascii="Arial" w:cs="Arial" w:eastAsia="Arial" w:hAnsi="Arial"/>
          <w:sz w:val="14"/>
          <w:szCs w:val="14"/>
          <w:u w:val="single" w:color="auto"/>
          <w:color w:val="auto"/>
        </w:rPr>
        <w:t>Exceptions to this Agreement</w:t>
      </w:r>
      <w:r>
        <w:rPr>
          <w:rFonts w:ascii="Arial" w:cs="Arial" w:eastAsia="Arial" w:hAnsi="Arial"/>
          <w:sz w:val="14"/>
          <w:szCs w:val="14"/>
          <w:color w:val="auto"/>
        </w:rPr>
        <w:t>. The Company acknowledges that (I) the Consultant is now or may become an employee or consultant of Other Clients, and (II) the Consultant is now or may become a party to agreements with Other Clients relating to the disclosure of information, the ownership of inventions, restrictions against competition and/or similar matters. The Consultant represents and agrees that the execution, delivery and performance of this Agreement does not and will not conflict with any other agreement, policy or rule applicable to the Consultant. The Consultant will not (i) disclose to the Company any information that he is required to keep secret pursuant to an existing confidentiality agreement with Other Clients or any other third party, (ii) use the funding, resources, facilities or inventions of Other Clients or any other third party to perform the Consulting Services, or (iii) perform the Consulting Services in any manner that would give Other Clients or any other third party rights to any intellectual property created in connection with such services.</w:t>
      </w:r>
    </w:p>
    <w:p>
      <w:pPr>
        <w:spacing w:after="0" w:line="146" w:lineRule="exact"/>
        <w:rPr>
          <w:rFonts w:ascii="Arial" w:cs="Arial" w:eastAsia="Arial" w:hAnsi="Arial"/>
          <w:sz w:val="14"/>
          <w:szCs w:val="14"/>
          <w:color w:val="auto"/>
        </w:rPr>
      </w:pPr>
    </w:p>
    <w:p>
      <w:pPr>
        <w:ind w:right="20" w:firstLine="549"/>
        <w:spacing w:after="0" w:line="286" w:lineRule="auto"/>
        <w:tabs>
          <w:tab w:leader="none" w:pos="1112" w:val="left"/>
        </w:tabs>
        <w:numPr>
          <w:ilvl w:val="0"/>
          <w:numId w:val="593"/>
        </w:numPr>
        <w:rPr>
          <w:rFonts w:ascii="Arial" w:cs="Arial" w:eastAsia="Arial" w:hAnsi="Arial"/>
          <w:sz w:val="14"/>
          <w:szCs w:val="14"/>
          <w:color w:val="auto"/>
        </w:rPr>
      </w:pP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While providing the Consulting Services to the Company and for five years thereafter, the Consultant shall not, directly or indirectly, use any Confidential Information (as defined below) other than pursuant to his provision of the Consulting Services by and for the benefit of the Company, or disclose to anyone outside of the Company any such Confidential Information. The term “</w:t>
      </w: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as used throughout this Agreement shall mean all trade secrets, proprietary information and other data or information (and any tangible evidence, record or representation thereof), written or oral, whether prepared, conceived or developed by a consultant or employee of the Company (including the Consultant) or received by the Company from an outside source, which is in the possession of the Company (whether or not the property of the Company) and which is maintained in secrecy or confidence by the Company. Without limiting the generality of the foregoing, Confidential Information shall include:</w:t>
      </w:r>
    </w:p>
    <w:p>
      <w:pPr>
        <w:spacing w:after="0" w:line="146" w:lineRule="exact"/>
        <w:rPr>
          <w:rFonts w:ascii="Arial" w:cs="Arial" w:eastAsia="Arial" w:hAnsi="Arial"/>
          <w:sz w:val="14"/>
          <w:szCs w:val="14"/>
          <w:color w:val="auto"/>
        </w:rPr>
      </w:pPr>
    </w:p>
    <w:p>
      <w:pPr>
        <w:ind w:firstLine="1104"/>
        <w:spacing w:after="0" w:line="289" w:lineRule="auto"/>
        <w:tabs>
          <w:tab w:leader="none" w:pos="1665" w:val="left"/>
        </w:tabs>
        <w:numPr>
          <w:ilvl w:val="2"/>
          <w:numId w:val="593"/>
        </w:numPr>
        <w:rPr>
          <w:rFonts w:ascii="Arial" w:cs="Arial" w:eastAsia="Arial" w:hAnsi="Arial"/>
          <w:sz w:val="15"/>
          <w:szCs w:val="15"/>
          <w:color w:val="auto"/>
        </w:rPr>
      </w:pPr>
      <w:r>
        <w:rPr>
          <w:rFonts w:ascii="Arial" w:cs="Arial" w:eastAsia="Arial" w:hAnsi="Arial"/>
          <w:sz w:val="15"/>
          <w:szCs w:val="15"/>
          <w:color w:val="auto"/>
        </w:rPr>
        <w:t>any idea, improvement, invention, innovation, development, concept, technical data, design, formula, device, pattern, sequence, method, process, composition of matter, computer program or software, source code, object code, algorithm, model,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-3766820</wp:posOffset>
            </wp:positionV>
            <wp:extent cx="7285990" cy="2730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20"/>
        <w:spacing w:after="0" w:line="289" w:lineRule="auto"/>
        <w:rPr>
          <w:sz w:val="20"/>
          <w:szCs w:val="20"/>
          <w:color w:val="auto"/>
        </w:rPr>
      </w:pPr>
      <w:r>
        <w:rPr>
          <w:rFonts w:ascii="Arial" w:cs="Arial" w:eastAsia="Arial" w:hAnsi="Arial"/>
          <w:sz w:val="15"/>
          <w:szCs w:val="15"/>
          <w:color w:val="auto"/>
        </w:rPr>
        <w:t>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41" w:lineRule="exact"/>
        <w:rPr>
          <w:sz w:val="20"/>
          <w:szCs w:val="20"/>
          <w:color w:val="auto"/>
        </w:rPr>
      </w:pPr>
    </w:p>
    <w:p>
      <w:pPr>
        <w:jc w:val="both"/>
        <w:ind w:right="160" w:firstLine="1104"/>
        <w:spacing w:after="0" w:line="273" w:lineRule="auto"/>
        <w:tabs>
          <w:tab w:leader="none" w:pos="1674" w:val="left"/>
        </w:tabs>
        <w:numPr>
          <w:ilvl w:val="0"/>
          <w:numId w:val="594"/>
        </w:numPr>
        <w:rPr>
          <w:rFonts w:ascii="Arial" w:cs="Arial" w:eastAsia="Arial" w:hAnsi="Arial"/>
          <w:sz w:val="15"/>
          <w:szCs w:val="15"/>
          <w:color w:val="auto"/>
        </w:rPr>
      </w:pPr>
      <w:r>
        <w:rPr>
          <w:rFonts w:ascii="Arial" w:cs="Arial" w:eastAsia="Arial" w:hAnsi="Arial"/>
          <w:sz w:val="15"/>
          <w:szCs w:val="15"/>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53" w:lineRule="exact"/>
        <w:rPr>
          <w:sz w:val="20"/>
          <w:szCs w:val="20"/>
          <w:color w:val="auto"/>
        </w:rPr>
      </w:pPr>
    </w:p>
    <w:p>
      <w:pPr>
        <w:jc w:val="both"/>
        <w:ind w:right="80" w:firstLine="556"/>
        <w:spacing w:after="0" w:line="273" w:lineRule="auto"/>
        <w:rPr>
          <w:sz w:val="20"/>
          <w:szCs w:val="20"/>
          <w:color w:val="auto"/>
        </w:rPr>
      </w:pPr>
      <w:r>
        <w:rPr>
          <w:rFonts w:ascii="Arial" w:cs="Arial" w:eastAsia="Arial" w:hAnsi="Arial"/>
          <w:sz w:val="15"/>
          <w:szCs w:val="15"/>
          <w:color w:val="auto"/>
        </w:rPr>
        <w:t>Notwithstanding the foregoing, the term Confidential Information shall not apply to information which the Company has voluntarily disclosed to the public without restriction, which has otherwise lawfully entered the public domain or which becomes available to the Consultant on a non-confidential basis from a third-party source that is entitled to disclose it to the Consultant.</w:t>
      </w:r>
    </w:p>
    <w:p>
      <w:pPr>
        <w:spacing w:after="0" w:line="153" w:lineRule="exact"/>
        <w:rPr>
          <w:sz w:val="20"/>
          <w:szCs w:val="20"/>
          <w:color w:val="auto"/>
        </w:rPr>
      </w:pPr>
    </w:p>
    <w:p>
      <w:pPr>
        <w:ind w:right="320" w:firstLine="556"/>
        <w:spacing w:after="0" w:line="327" w:lineRule="auto"/>
        <w:rPr>
          <w:sz w:val="20"/>
          <w:szCs w:val="20"/>
          <w:color w:val="auto"/>
        </w:rPr>
      </w:pPr>
      <w:r>
        <w:rPr>
          <w:rFonts w:ascii="Arial" w:cs="Arial" w:eastAsia="Arial" w:hAnsi="Arial"/>
          <w:sz w:val="14"/>
          <w:szCs w:val="14"/>
          <w:color w:val="auto"/>
        </w:rPr>
        <w:t>The Consultant acknowledges that the Company from time to time has in its possession information (including product and development plans and specifications) which is claimed by others to be proprietary and which the Company has agreed to keep confidential. The Consultant agrees that all such information shall be Confidential Information for</w:t>
      </w:r>
    </w:p>
    <w:p>
      <w:pPr>
        <w:sectPr>
          <w:pgSz w:w="11900" w:h="16843" w:orient="portrait"/>
          <w:cols w:equalWidth="0" w:num="1">
            <w:col w:w="11440"/>
          </w:cols>
          <w:pgMar w:left="240" w:top="331" w:right="219" w:bottom="0" w:gutter="0" w:footer="0" w:header="0"/>
        </w:sectPr>
      </w:pPr>
    </w:p>
    <w:bookmarkStart w:id="432" w:name="page433"/>
    <w:bookmarkEnd w:id="432"/>
    <w:p>
      <w:pPr>
        <w:spacing w:after="0"/>
        <w:rPr>
          <w:sz w:val="20"/>
          <w:szCs w:val="20"/>
          <w:color w:val="auto"/>
        </w:rPr>
      </w:pPr>
      <w:r>
        <w:rPr>
          <w:rFonts w:ascii="Arial" w:cs="Arial" w:eastAsia="Arial" w:hAnsi="Arial"/>
          <w:sz w:val="15"/>
          <w:szCs w:val="15"/>
          <w:color w:val="auto"/>
        </w:rPr>
        <w:t>purposes of this Agreement.</w:t>
      </w:r>
    </w:p>
    <w:p>
      <w:pPr>
        <w:spacing w:after="0" w:line="198" w:lineRule="exact"/>
        <w:rPr>
          <w:sz w:val="20"/>
          <w:szCs w:val="20"/>
          <w:color w:val="auto"/>
        </w:rPr>
      </w:pPr>
    </w:p>
    <w:p>
      <w:pPr>
        <w:ind w:right="160" w:firstLine="556"/>
        <w:spacing w:after="0" w:line="289" w:lineRule="auto"/>
        <w:rPr>
          <w:sz w:val="20"/>
          <w:szCs w:val="20"/>
          <w:color w:val="auto"/>
        </w:rPr>
      </w:pPr>
      <w:r>
        <w:rPr>
          <w:rFonts w:ascii="Arial" w:cs="Arial" w:eastAsia="Arial" w:hAnsi="Arial"/>
          <w:sz w:val="15"/>
          <w:szCs w:val="15"/>
          <w:color w:val="auto"/>
        </w:rPr>
        <w:t>The Consultant agrees that all originals and all copies of materials containing, representing, evidencing, recording, or constituting any Confidential Information, however and whenever produced (whether by the Consultant or others), shall be the sole property of the Company.</w:t>
      </w:r>
    </w:p>
    <w:p>
      <w:pPr>
        <w:spacing w:after="0" w:line="141" w:lineRule="exact"/>
        <w:rPr>
          <w:sz w:val="20"/>
          <w:szCs w:val="20"/>
          <w:color w:val="auto"/>
        </w:rPr>
      </w:pPr>
    </w:p>
    <w:p>
      <w:pPr>
        <w:ind w:left="1100" w:hanging="551"/>
        <w:spacing w:after="0"/>
        <w:tabs>
          <w:tab w:leader="none" w:pos="1100" w:val="left"/>
        </w:tabs>
        <w:numPr>
          <w:ilvl w:val="0"/>
          <w:numId w:val="595"/>
        </w:numPr>
        <w:rPr>
          <w:rFonts w:ascii="Arial" w:cs="Arial" w:eastAsia="Arial" w:hAnsi="Arial"/>
          <w:sz w:val="15"/>
          <w:szCs w:val="15"/>
          <w:color w:val="auto"/>
        </w:rPr>
      </w:pPr>
      <w:r>
        <w:rPr>
          <w:rFonts w:ascii="Arial" w:cs="Arial" w:eastAsia="Arial" w:hAnsi="Arial"/>
          <w:sz w:val="15"/>
          <w:szCs w:val="15"/>
          <w:u w:val="single" w:color="auto"/>
          <w:color w:val="auto"/>
        </w:rPr>
        <w:t>Inventions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firstLine="1104"/>
        <w:spacing w:after="0" w:line="268" w:lineRule="auto"/>
        <w:tabs>
          <w:tab w:leader="none" w:pos="1665" w:val="left"/>
        </w:tabs>
        <w:numPr>
          <w:ilvl w:val="1"/>
          <w:numId w:val="595"/>
        </w:numPr>
        <w:rPr>
          <w:rFonts w:ascii="Arial" w:cs="Arial" w:eastAsia="Arial" w:hAnsi="Arial"/>
          <w:sz w:val="15"/>
          <w:szCs w:val="15"/>
          <w:color w:val="auto"/>
        </w:rPr>
      </w:pPr>
      <w:r>
        <w:rPr>
          <w:rFonts w:ascii="Arial" w:cs="Arial" w:eastAsia="Arial" w:hAnsi="Arial"/>
          <w:sz w:val="15"/>
          <w:szCs w:val="15"/>
          <w:u w:val="single" w:color="auto"/>
          <w:color w:val="auto"/>
        </w:rPr>
        <w:t>Certain Inventions Made by Others</w:t>
      </w:r>
      <w:r>
        <w:rPr>
          <w:rFonts w:ascii="Arial" w:cs="Arial" w:eastAsia="Arial" w:hAnsi="Arial"/>
          <w:sz w:val="15"/>
          <w:szCs w:val="15"/>
          <w:color w:val="auto"/>
        </w:rPr>
        <w:t>. Subject to the Consultant’s obligations to Other Clients, during the term of this Agreement the Consultant will disclose to the President of the Company, on a confidential basis, (i) technology and product opportunities which come to the attention of the Consultant in the Field of Interest, and (ii) any invention, improvement, discovery, process, formula or method or other intellectual property relating to or useful in, the Field of Interest, whether or not patentable or copyrightable, and whether or not discovered or developed by the Consultant.</w:t>
      </w:r>
    </w:p>
    <w:p>
      <w:pPr>
        <w:spacing w:after="0" w:line="156" w:lineRule="exact"/>
        <w:rPr>
          <w:rFonts w:ascii="Arial" w:cs="Arial" w:eastAsia="Arial" w:hAnsi="Arial"/>
          <w:sz w:val="15"/>
          <w:szCs w:val="15"/>
          <w:color w:val="auto"/>
        </w:rPr>
      </w:pPr>
    </w:p>
    <w:p>
      <w:pPr>
        <w:ind w:right="20" w:firstLine="1104"/>
        <w:spacing w:after="0" w:line="265" w:lineRule="auto"/>
        <w:tabs>
          <w:tab w:leader="none" w:pos="1674" w:val="left"/>
        </w:tabs>
        <w:numPr>
          <w:ilvl w:val="1"/>
          <w:numId w:val="595"/>
        </w:numPr>
        <w:rPr>
          <w:rFonts w:ascii="Arial" w:cs="Arial" w:eastAsia="Arial" w:hAnsi="Arial"/>
          <w:sz w:val="15"/>
          <w:szCs w:val="15"/>
          <w:color w:val="auto"/>
        </w:rPr>
      </w:pPr>
      <w:r>
        <w:rPr>
          <w:rFonts w:ascii="Arial" w:cs="Arial" w:eastAsia="Arial" w:hAnsi="Arial"/>
          <w:sz w:val="15"/>
          <w:szCs w:val="15"/>
          <w:u w:val="single" w:color="auto"/>
          <w:color w:val="auto"/>
        </w:rPr>
        <w:t>Inventions Made by the Consultant</w:t>
      </w:r>
      <w:r>
        <w:rPr>
          <w:rFonts w:ascii="Arial" w:cs="Arial" w:eastAsia="Arial" w:hAnsi="Arial"/>
          <w:sz w:val="15"/>
          <w:szCs w:val="15"/>
          <w:color w:val="auto"/>
        </w:rPr>
        <w:t>. Consultant agrees that all Confidential Information and all other discoveries, inventions, ideas, concepts, products or formulas,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the Consultant during the term of this Agreement, either alone or with others, and directly related to or directly arising out of: (i) the Field of Interest; (ii) the Consulting Services; or (iii) Confidential Information of the Company, whether or not conceived, developed, reduced to practice or made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on the Company’s premises (collectively, “</w:t>
      </w:r>
      <w:r>
        <w:rPr>
          <w:rFonts w:ascii="Arial" w:cs="Arial" w:eastAsia="Arial" w:hAnsi="Arial"/>
          <w:sz w:val="15"/>
          <w:szCs w:val="15"/>
          <w:u w:val="single" w:color="auto"/>
          <w:color w:val="auto"/>
        </w:rPr>
        <w:t>Company Inventions</w:t>
      </w:r>
      <w:r>
        <w:rPr>
          <w:rFonts w:ascii="Arial" w:cs="Arial" w:eastAsia="Arial" w:hAnsi="Arial"/>
          <w:sz w:val="15"/>
          <w:szCs w:val="15"/>
          <w:color w:val="auto"/>
        </w:rPr>
        <w:t>”), and any and all services and products which embody, emulate or employ any such Company Inventions or Confidential Information, shall be the sole property of the Company and all copyrights, patents, patent rights, trademarks and reproduction rights to, and other proprietary rights in, each such Company Invention or Confidential Information, whether or not patentable or copyrightable, shall belong exclusively to the Company. The Consultant agrees that all such Company Inventions shall constitute works made for hire under the copyright laws of the United States and hereby assigns and, to the extent any such assignment cannot be made at the present time, agrees to assign, to the Company any and all copyrights, patents and other proprietary rights he may have in any such Company Invention,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159" w:lineRule="exact"/>
        <w:rPr>
          <w:sz w:val="20"/>
          <w:szCs w:val="20"/>
          <w:color w:val="auto"/>
        </w:rPr>
      </w:pPr>
    </w:p>
    <w:p>
      <w:pPr>
        <w:ind w:right="80" w:firstLine="549"/>
        <w:spacing w:after="0" w:line="289" w:lineRule="auto"/>
        <w:tabs>
          <w:tab w:leader="none" w:pos="1112" w:val="left"/>
        </w:tabs>
        <w:numPr>
          <w:ilvl w:val="0"/>
          <w:numId w:val="596"/>
        </w:numPr>
        <w:rPr>
          <w:rFonts w:ascii="Arial" w:cs="Arial" w:eastAsia="Arial" w:hAnsi="Arial"/>
          <w:sz w:val="15"/>
          <w:szCs w:val="15"/>
          <w:color w:val="auto"/>
        </w:rPr>
      </w:pPr>
      <w:r>
        <w:rPr>
          <w:rFonts w:ascii="Arial" w:cs="Arial" w:eastAsia="Arial" w:hAnsi="Arial"/>
          <w:sz w:val="15"/>
          <w:szCs w:val="15"/>
          <w:u w:val="single" w:color="auto"/>
          <w:color w:val="auto"/>
        </w:rPr>
        <w:t>Consultant’s Obligation to Keep Records</w:t>
      </w:r>
      <w:r>
        <w:rPr>
          <w:rFonts w:ascii="Arial" w:cs="Arial" w:eastAsia="Arial" w:hAnsi="Arial"/>
          <w:sz w:val="15"/>
          <w:szCs w:val="15"/>
          <w:color w:val="auto"/>
        </w:rPr>
        <w:t>. The Consultant shall make and maintain adequate and current written records of all Company Inventions, and shall disclose all Company Inventions promptly, fully and in writing to the Company immediately upon development of the same and at any time upon request.</w:t>
      </w:r>
    </w:p>
    <w:p>
      <w:pPr>
        <w:spacing w:after="0" w:line="140" w:lineRule="exact"/>
        <w:rPr>
          <w:rFonts w:ascii="Arial" w:cs="Arial" w:eastAsia="Arial" w:hAnsi="Arial"/>
          <w:sz w:val="15"/>
          <w:szCs w:val="15"/>
          <w:color w:val="auto"/>
        </w:rPr>
      </w:pPr>
    </w:p>
    <w:p>
      <w:pPr>
        <w:ind w:right="20" w:firstLine="549"/>
        <w:spacing w:after="0" w:line="261" w:lineRule="auto"/>
        <w:tabs>
          <w:tab w:leader="none" w:pos="1112" w:val="left"/>
        </w:tabs>
        <w:numPr>
          <w:ilvl w:val="0"/>
          <w:numId w:val="596"/>
        </w:numPr>
        <w:rPr>
          <w:rFonts w:ascii="Arial" w:cs="Arial" w:eastAsia="Arial" w:hAnsi="Arial"/>
          <w:sz w:val="15"/>
          <w:szCs w:val="15"/>
          <w:color w:val="auto"/>
        </w:rPr>
      </w:pPr>
      <w:r>
        <w:rPr>
          <w:rFonts w:ascii="Arial" w:cs="Arial" w:eastAsia="Arial" w:hAnsi="Arial"/>
          <w:sz w:val="15"/>
          <w:szCs w:val="15"/>
          <w:u w:val="single" w:color="auto"/>
          <w:color w:val="auto"/>
        </w:rPr>
        <w:t>Consultant’s Obligation to Cooperate</w:t>
      </w:r>
      <w:r>
        <w:rPr>
          <w:rFonts w:ascii="Arial" w:cs="Arial" w:eastAsia="Arial" w:hAnsi="Arial"/>
          <w:sz w:val="15"/>
          <w:szCs w:val="15"/>
          <w:color w:val="auto"/>
        </w:rPr>
        <w:t xml:space="preserve">. The Consultant will, during or after the term of this Agreement, upon request of the Company, execute all documents and perform all lawful acts which are reasonably necessary or advisable to secure the Company’s rights hereunder and to carry out the intent of this Agreement. Without limiting the generality of the foregoing, the Consultant will assist the Company in any reasonable manner to obtain for its own benefit patents or copyrights in any and all countries with respect to all Company Inventions assigned pursuant to Section 7, and the Consultant will execute, when requested, patent and other applications and assignments thereof to the Company, or Persons designated by it, and any other lawful documents deemed necessary by the Company to carry out the purposes of this Agreement, and the Consultant will further assist the Company as reasonably necessary to enforce any patents and copyrights obtained, including testifying in any suit or proceeding involving any of said patents or copyrights or executing any documents deemed necessary by the Company, all without further consideration than provided for herein. It is understood that reasonable out-of-pocket expenses of the Consultant incurred at the request of the Company under this Section 9 will promptly be reimbursed by the Company and that in the event that the Consultant is required to devote more than a </w:t>
      </w:r>
      <w:r>
        <w:rPr>
          <w:rFonts w:ascii="Arial" w:cs="Arial" w:eastAsia="Arial" w:hAnsi="Arial"/>
          <w:sz w:val="15"/>
          <w:szCs w:val="15"/>
          <w:u w:val="single" w:color="auto"/>
          <w:color w:val="auto"/>
        </w:rPr>
        <w:t>de</w:t>
      </w:r>
      <w:r>
        <w:rPr>
          <w:rFonts w:ascii="Arial" w:cs="Arial" w:eastAsia="Arial" w:hAnsi="Arial"/>
          <w:sz w:val="15"/>
          <w:szCs w:val="15"/>
          <w:color w:val="auto"/>
        </w:rPr>
        <w:t xml:space="preserve"> </w:t>
      </w:r>
      <w:r>
        <w:rPr>
          <w:rFonts w:ascii="Arial" w:cs="Arial" w:eastAsia="Arial" w:hAnsi="Arial"/>
          <w:sz w:val="15"/>
          <w:szCs w:val="15"/>
          <w:u w:val="single" w:color="auto"/>
          <w:color w:val="auto"/>
        </w:rPr>
        <w:t>minimis</w:t>
      </w:r>
      <w:r>
        <w:rPr>
          <w:rFonts w:ascii="Arial" w:cs="Arial" w:eastAsia="Arial" w:hAnsi="Arial"/>
          <w:sz w:val="15"/>
          <w:szCs w:val="15"/>
          <w:color w:val="auto"/>
        </w:rPr>
        <w:t xml:space="preserve"> amount of time to assisting the Company under this Section 9 subsequent to the term of this Agreement, the Consultant will be compensated by the Company at his then current </w:t>
      </w:r>
      <w:r>
        <w:rPr>
          <w:rFonts w:ascii="Arial" w:cs="Arial" w:eastAsia="Arial" w:hAnsi="Arial"/>
          <w:sz w:val="15"/>
          <w:szCs w:val="15"/>
          <w:u w:val="single" w:color="auto"/>
          <w:color w:val="auto"/>
        </w:rPr>
        <w:t>per diem</w:t>
      </w:r>
      <w:r>
        <w:rPr>
          <w:rFonts w:ascii="Arial" w:cs="Arial" w:eastAsia="Arial" w:hAnsi="Arial"/>
          <w:sz w:val="15"/>
          <w:szCs w:val="15"/>
          <w:color w:val="auto"/>
        </w:rPr>
        <w:t xml:space="preserve"> rate for consulting services.</w:t>
      </w:r>
    </w:p>
    <w:p>
      <w:pPr>
        <w:spacing w:after="0" w:line="162" w:lineRule="exact"/>
        <w:rPr>
          <w:rFonts w:ascii="Arial" w:cs="Arial" w:eastAsia="Arial" w:hAnsi="Arial"/>
          <w:sz w:val="15"/>
          <w:szCs w:val="15"/>
          <w:color w:val="auto"/>
        </w:rPr>
      </w:pPr>
    </w:p>
    <w:p>
      <w:pPr>
        <w:ind w:right="140" w:firstLine="549"/>
        <w:spacing w:after="0" w:line="327" w:lineRule="auto"/>
        <w:tabs>
          <w:tab w:leader="none" w:pos="1108" w:val="left"/>
        </w:tabs>
        <w:numPr>
          <w:ilvl w:val="0"/>
          <w:numId w:val="596"/>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The Company and the Consultant shall enter into an Indemnification Agreement providing for indemnification of the Consultant in his capacity as a director, to the maximum extent permissible under applicable law, such Indemnification Agreement to be in substantially the form provided to the Company’s other outside directors.</w:t>
      </w:r>
    </w:p>
    <w:p>
      <w:pPr>
        <w:spacing w:after="0" w:line="117" w:lineRule="exact"/>
        <w:rPr>
          <w:rFonts w:ascii="Arial" w:cs="Arial" w:eastAsia="Arial" w:hAnsi="Arial"/>
          <w:sz w:val="14"/>
          <w:szCs w:val="14"/>
          <w:color w:val="auto"/>
        </w:rPr>
      </w:pPr>
    </w:p>
    <w:p>
      <w:pPr>
        <w:ind w:right="100" w:firstLine="549"/>
        <w:spacing w:after="0" w:line="273" w:lineRule="auto"/>
        <w:tabs>
          <w:tab w:leader="none" w:pos="1102" w:val="left"/>
        </w:tabs>
        <w:numPr>
          <w:ilvl w:val="0"/>
          <w:numId w:val="596"/>
        </w:numPr>
        <w:rPr>
          <w:rFonts w:ascii="Arial" w:cs="Arial" w:eastAsia="Arial" w:hAnsi="Arial"/>
          <w:sz w:val="15"/>
          <w:szCs w:val="15"/>
          <w:color w:val="auto"/>
        </w:rPr>
      </w:pPr>
      <w:r>
        <w:rPr>
          <w:rFonts w:ascii="Arial" w:cs="Arial" w:eastAsia="Arial" w:hAnsi="Arial"/>
          <w:sz w:val="15"/>
          <w:szCs w:val="15"/>
          <w:u w:val="single" w:color="auto"/>
          <w:color w:val="auto"/>
        </w:rPr>
        <w:t>Noncompetition</w:t>
      </w:r>
      <w:r>
        <w:rPr>
          <w:rFonts w:ascii="Arial" w:cs="Arial" w:eastAsia="Arial" w:hAnsi="Arial"/>
          <w:sz w:val="15"/>
          <w:szCs w:val="15"/>
          <w:color w:val="auto"/>
        </w:rPr>
        <w:t>. Subject to written waivers that may be provided by the Company upon request, which shall not be unreasonably withheld or delayed, the Consultant agrees that during the term of this Agreement and for a period of six months after the termination of this Agreement, the Consultant shall not directly or indirectly (i) provide any services in the Field of Interest to any Person other than the Company, or (ii) become an owner, partner,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60"/>
        <w:spacing w:after="0" w:line="334" w:lineRule="auto"/>
        <w:rPr>
          <w:sz w:val="20"/>
          <w:szCs w:val="20"/>
          <w:color w:val="auto"/>
        </w:rPr>
      </w:pPr>
      <w:r>
        <w:rPr>
          <w:rFonts w:ascii="Arial" w:cs="Arial" w:eastAsia="Arial" w:hAnsi="Arial"/>
          <w:sz w:val="13"/>
          <w:szCs w:val="13"/>
          <w:color w:val="auto"/>
        </w:rPr>
        <w:t>shareholder, consultant, agent, employee or co-venturer of any Person that has committed, or intends to commit, significant resources to the Field of Interest. Notwithstanding the foregoing, the Consultant may purchase as a passive investment up to one percent (1%) of any class or series of outstanding voting securities of any Person that has committed significant resources to the Field of Interest if such class or series is listed on a national or regional securities exchange or publicly traded in the “over-the-counter” market.</w:t>
      </w:r>
    </w:p>
    <w:p>
      <w:pPr>
        <w:spacing w:after="0" w:line="117" w:lineRule="exact"/>
        <w:rPr>
          <w:sz w:val="20"/>
          <w:szCs w:val="20"/>
          <w:color w:val="auto"/>
        </w:rPr>
      </w:pPr>
    </w:p>
    <w:p>
      <w:pPr>
        <w:ind w:right="80" w:firstLine="549"/>
        <w:spacing w:after="0" w:line="265" w:lineRule="auto"/>
        <w:tabs>
          <w:tab w:leader="none" w:pos="1108" w:val="left"/>
        </w:tabs>
        <w:numPr>
          <w:ilvl w:val="0"/>
          <w:numId w:val="597"/>
        </w:numPr>
        <w:rPr>
          <w:rFonts w:ascii="Arial" w:cs="Arial" w:eastAsia="Arial" w:hAnsi="Arial"/>
          <w:sz w:val="15"/>
          <w:szCs w:val="15"/>
          <w:color w:val="auto"/>
        </w:rPr>
      </w:pPr>
      <w:r>
        <w:rPr>
          <w:rFonts w:ascii="Arial" w:cs="Arial" w:eastAsia="Arial" w:hAnsi="Arial"/>
          <w:sz w:val="15"/>
          <w:szCs w:val="15"/>
          <w:u w:val="single" w:color="auto"/>
          <w:color w:val="auto"/>
        </w:rPr>
        <w:t>Nonsolicitation</w:t>
      </w:r>
      <w:r>
        <w:rPr>
          <w:rFonts w:ascii="Arial" w:cs="Arial" w:eastAsia="Arial" w:hAnsi="Arial"/>
          <w:sz w:val="15"/>
          <w:szCs w:val="15"/>
          <w:color w:val="auto"/>
        </w:rPr>
        <w:t>. During the term of this Agreement and for a period of one year after the termination of this Agreement, the Consultant shall not (i) solicit, encourage, or take any other action which is intended to induce any employee of, or consultant to, the Company (or any other Person who may have been employed by, or may have been a consultant to, the Company during the term of this Agreement) to terminate his or her employment or relationship with the Company in order to become employed by or otherwise perform services for any other Person, or (ii) solicit, endeavor to entice away from the Company or otherwise interfere with the relationship of the Company with any Person who is, or was within the then-most recent 12 month period, a client or customer of the Company.</w:t>
      </w:r>
    </w:p>
    <w:p>
      <w:pPr>
        <w:spacing w:after="0" w:line="159" w:lineRule="exact"/>
        <w:rPr>
          <w:rFonts w:ascii="Arial" w:cs="Arial" w:eastAsia="Arial" w:hAnsi="Arial"/>
          <w:sz w:val="15"/>
          <w:szCs w:val="15"/>
          <w:color w:val="auto"/>
        </w:rPr>
      </w:pPr>
    </w:p>
    <w:p>
      <w:pPr>
        <w:ind w:right="220" w:firstLine="549"/>
        <w:spacing w:after="0" w:line="286" w:lineRule="auto"/>
        <w:tabs>
          <w:tab w:leader="none" w:pos="1108" w:val="left"/>
        </w:tabs>
        <w:numPr>
          <w:ilvl w:val="0"/>
          <w:numId w:val="597"/>
        </w:numPr>
        <w:rPr>
          <w:rFonts w:ascii="Arial" w:cs="Arial" w:eastAsia="Arial" w:hAnsi="Arial"/>
          <w:sz w:val="14"/>
          <w:szCs w:val="14"/>
          <w:color w:val="auto"/>
        </w:rPr>
      </w:pPr>
      <w:r>
        <w:rPr>
          <w:rFonts w:ascii="Arial" w:cs="Arial" w:eastAsia="Arial" w:hAnsi="Arial"/>
          <w:sz w:val="14"/>
          <w:szCs w:val="14"/>
          <w:u w:val="single" w:color="auto"/>
          <w:color w:val="auto"/>
        </w:rPr>
        <w:t>Return of Property</w:t>
      </w:r>
      <w:r>
        <w:rPr>
          <w:rFonts w:ascii="Arial" w:cs="Arial" w:eastAsia="Arial" w:hAnsi="Arial"/>
          <w:sz w:val="14"/>
          <w:szCs w:val="14"/>
          <w:color w:val="auto"/>
        </w:rPr>
        <w:t>. Upon termination of the Consultant’s engagement with the Company, or at any other time upon request of the Company, the Consultant shall return promptly any and all Confidential Information, including customer or prospective customer lists, other customer or prospective customer information or related materials, computer programs, software, electronic data, specifications, drawings, blueprints, medical devices, samples, reproductions, sketches, notes, notebooks, memoranda, reports, records, proposals, business plans, or copies of them, other documents or materials, tools, equipment, or other property belonging to the Company or its customers which the Consultant may then possess or have under his control. The Consultant further agrees that upon termination of his engagement he shall not take with him any documents or data in any form or of any description containing or pertaining to Confidential Information or any Company Inventions.</w:t>
      </w:r>
    </w:p>
    <w:p>
      <w:pPr>
        <w:spacing w:after="0" w:line="146" w:lineRule="exact"/>
        <w:rPr>
          <w:rFonts w:ascii="Arial" w:cs="Arial" w:eastAsia="Arial" w:hAnsi="Arial"/>
          <w:sz w:val="14"/>
          <w:szCs w:val="14"/>
          <w:color w:val="auto"/>
        </w:rPr>
      </w:pPr>
    </w:p>
    <w:p>
      <w:pPr>
        <w:ind w:left="1100" w:hanging="551"/>
        <w:spacing w:after="0"/>
        <w:tabs>
          <w:tab w:leader="none" w:pos="1100" w:val="left"/>
        </w:tabs>
        <w:numPr>
          <w:ilvl w:val="0"/>
          <w:numId w:val="597"/>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140" w:firstLine="1104"/>
        <w:spacing w:after="0" w:line="289" w:lineRule="auto"/>
        <w:tabs>
          <w:tab w:leader="none" w:pos="1665" w:val="left"/>
        </w:tabs>
        <w:numPr>
          <w:ilvl w:val="1"/>
          <w:numId w:val="597"/>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and the documents referred to herein constitute the entire agreement among the parties with respect to the subject matter hereof and supersede all other prior agreements and understandings, both written and oral, between the parties with respect to such subject matter.</w:t>
      </w:r>
    </w:p>
    <w:p>
      <w:pPr>
        <w:spacing w:after="0" w:line="140" w:lineRule="exact"/>
        <w:rPr>
          <w:rFonts w:ascii="Arial" w:cs="Arial" w:eastAsia="Arial" w:hAnsi="Arial"/>
          <w:sz w:val="15"/>
          <w:szCs w:val="15"/>
          <w:color w:val="auto"/>
        </w:rPr>
      </w:pPr>
    </w:p>
    <w:p>
      <w:pPr>
        <w:ind w:right="180" w:firstLine="1104"/>
        <w:spacing w:after="0" w:line="273" w:lineRule="auto"/>
        <w:tabs>
          <w:tab w:leader="none" w:pos="1674" w:val="left"/>
        </w:tabs>
        <w:numPr>
          <w:ilvl w:val="1"/>
          <w:numId w:val="597"/>
        </w:numPr>
        <w:rPr>
          <w:rFonts w:ascii="Arial" w:cs="Arial" w:eastAsia="Arial" w:hAnsi="Arial"/>
          <w:sz w:val="15"/>
          <w:szCs w:val="15"/>
          <w:color w:val="auto"/>
        </w:rPr>
      </w:pPr>
      <w:r>
        <w:rPr>
          <w:rFonts w:ascii="Arial" w:cs="Arial" w:eastAsia="Arial" w:hAnsi="Arial"/>
          <w:sz w:val="15"/>
          <w:szCs w:val="15"/>
          <w:u w:val="single" w:color="auto"/>
          <w:color w:val="auto"/>
        </w:rPr>
        <w:t>Assignment</w:t>
      </w:r>
      <w:r>
        <w:rPr>
          <w:rFonts w:ascii="Arial" w:cs="Arial" w:eastAsia="Arial" w:hAnsi="Arial"/>
          <w:sz w:val="15"/>
          <w:szCs w:val="15"/>
          <w:color w:val="auto"/>
        </w:rPr>
        <w:t>.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provided herein and shall not be assignable by operation of law or otherwise.</w:t>
      </w:r>
    </w:p>
    <w:p>
      <w:pPr>
        <w:spacing w:after="0" w:line="152" w:lineRule="exact"/>
        <w:rPr>
          <w:rFonts w:ascii="Arial" w:cs="Arial" w:eastAsia="Arial" w:hAnsi="Arial"/>
          <w:sz w:val="15"/>
          <w:szCs w:val="15"/>
          <w:color w:val="auto"/>
        </w:rPr>
      </w:pPr>
    </w:p>
    <w:p>
      <w:pPr>
        <w:ind w:left="1660" w:hanging="556"/>
        <w:spacing w:after="0"/>
        <w:tabs>
          <w:tab w:leader="none" w:pos="1660" w:val="left"/>
        </w:tabs>
        <w:numPr>
          <w:ilvl w:val="1"/>
          <w:numId w:val="597"/>
        </w:numPr>
        <w:rPr>
          <w:rFonts w:ascii="Arial" w:cs="Arial" w:eastAsia="Arial" w:hAnsi="Arial"/>
          <w:sz w:val="14"/>
          <w:szCs w:val="14"/>
          <w:color w:val="auto"/>
        </w:rPr>
      </w:pPr>
      <w:r>
        <w:rPr>
          <w:rFonts w:ascii="Arial" w:cs="Arial" w:eastAsia="Arial" w:hAnsi="Arial"/>
          <w:sz w:val="14"/>
          <w:szCs w:val="14"/>
          <w:u w:val="single" w:color="auto"/>
          <w:color w:val="auto"/>
        </w:rPr>
        <w:t>Amendments and Supplements</w:t>
      </w:r>
      <w:r>
        <w:rPr>
          <w:rFonts w:ascii="Arial" w:cs="Arial" w:eastAsia="Arial" w:hAnsi="Arial"/>
          <w:sz w:val="14"/>
          <w:szCs w:val="14"/>
          <w:color w:val="auto"/>
        </w:rPr>
        <w:t>. This Agreement may not be altered, changed or amended, except by an instrument in writing signed by the parties hereto.</w:t>
      </w:r>
    </w:p>
    <w:p>
      <w:pPr>
        <w:spacing w:after="0" w:line="209" w:lineRule="exact"/>
        <w:rPr>
          <w:rFonts w:ascii="Arial" w:cs="Arial" w:eastAsia="Arial" w:hAnsi="Arial"/>
          <w:sz w:val="14"/>
          <w:szCs w:val="14"/>
          <w:color w:val="auto"/>
        </w:rPr>
      </w:pPr>
    </w:p>
    <w:p>
      <w:pPr>
        <w:ind w:left="1660" w:hanging="556"/>
        <w:spacing w:after="0"/>
        <w:tabs>
          <w:tab w:leader="none" w:pos="1660" w:val="left"/>
        </w:tabs>
        <w:numPr>
          <w:ilvl w:val="1"/>
          <w:numId w:val="597"/>
        </w:numPr>
        <w:rPr>
          <w:rFonts w:ascii="Arial" w:cs="Arial" w:eastAsia="Arial" w:hAnsi="Arial"/>
          <w:sz w:val="14"/>
          <w:szCs w:val="14"/>
          <w:color w:val="auto"/>
        </w:rPr>
      </w:pPr>
      <w:r>
        <w:rPr>
          <w:rFonts w:ascii="Arial" w:cs="Arial" w:eastAsia="Arial" w:hAnsi="Arial"/>
          <w:sz w:val="14"/>
          <w:szCs w:val="14"/>
          <w:u w:val="single" w:color="auto"/>
          <w:color w:val="auto"/>
        </w:rPr>
        <w:t>No Waiver</w:t>
      </w:r>
      <w:r>
        <w:rPr>
          <w:rFonts w:ascii="Arial" w:cs="Arial" w:eastAsia="Arial" w:hAnsi="Arial"/>
          <w:sz w:val="14"/>
          <w:szCs w:val="14"/>
          <w:color w:val="auto"/>
        </w:rPr>
        <w:t>. The terms and conditions of this Agreement may be waived only by a written instrument signed by the party waiving compliance. The failure of</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any party</w:t>
      </w:r>
    </w:p>
    <w:p>
      <w:pPr>
        <w:sectPr>
          <w:pgSz w:w="11900" w:h="16838" w:orient="portrait"/>
          <w:cols w:equalWidth="0" w:num="1">
            <w:col w:w="11440"/>
          </w:cols>
          <w:pgMar w:left="240" w:top="129" w:right="21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5990" cy="2730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129" w:right="219" w:bottom="0" w:gutter="0" w:footer="0" w:header="0"/>
          <w:type w:val="continuous"/>
        </w:sectPr>
      </w:pPr>
    </w:p>
    <w:bookmarkStart w:id="433" w:name="page434"/>
    <w:bookmarkEnd w:id="433"/>
    <w:p>
      <w:pPr>
        <w:ind w:right="80"/>
        <w:spacing w:after="0" w:line="273" w:lineRule="auto"/>
        <w:rPr>
          <w:sz w:val="20"/>
          <w:szCs w:val="20"/>
          <w:color w:val="auto"/>
        </w:rPr>
      </w:pPr>
      <w:r>
        <w:rPr>
          <w:rFonts w:ascii="Arial" w:cs="Arial" w:eastAsia="Arial" w:hAnsi="Arial"/>
          <w:sz w:val="15"/>
          <w:szCs w:val="15"/>
          <w:color w:val="auto"/>
        </w:rPr>
        <w:t>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w:t>
      </w:r>
    </w:p>
    <w:p>
      <w:pPr>
        <w:spacing w:after="0" w:line="153" w:lineRule="exact"/>
        <w:rPr>
          <w:sz w:val="20"/>
          <w:szCs w:val="20"/>
          <w:color w:val="auto"/>
        </w:rPr>
      </w:pPr>
    </w:p>
    <w:p>
      <w:pPr>
        <w:ind w:right="480" w:firstLine="1104"/>
        <w:spacing w:after="0" w:line="289" w:lineRule="auto"/>
        <w:tabs>
          <w:tab w:leader="none" w:pos="1677" w:val="left"/>
        </w:tabs>
        <w:numPr>
          <w:ilvl w:val="0"/>
          <w:numId w:val="598"/>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and enforced in accordance with, the substantive laws of The Commonwealth of Massachusetts, without regard to its principles of conflicts of laws.</w:t>
      </w:r>
    </w:p>
    <w:p>
      <w:pPr>
        <w:spacing w:after="0" w:line="140" w:lineRule="exact"/>
        <w:rPr>
          <w:rFonts w:ascii="Arial" w:cs="Arial" w:eastAsia="Arial" w:hAnsi="Arial"/>
          <w:sz w:val="15"/>
          <w:szCs w:val="15"/>
          <w:color w:val="auto"/>
        </w:rPr>
      </w:pPr>
    </w:p>
    <w:p>
      <w:pPr>
        <w:jc w:val="both"/>
        <w:ind w:right="180" w:firstLine="1104"/>
        <w:spacing w:after="0" w:line="268" w:lineRule="auto"/>
        <w:tabs>
          <w:tab w:leader="none" w:pos="1671" w:val="left"/>
        </w:tabs>
        <w:numPr>
          <w:ilvl w:val="0"/>
          <w:numId w:val="598"/>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All notices and other communications hereunder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 the Company:</w:t>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Selecta Biosciences,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480 Arsenal Street, Building One</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Watertown, MA 02472</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Tel: 1.617.923.1400</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Fax: 1.617.924.3454</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Attention: President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 the Consultant:</w:t>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George R. Siber, M.D.</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w:t>
      </w:r>
    </w:p>
    <w:p>
      <w:pPr>
        <w:spacing w:after="0" w:line="188" w:lineRule="exact"/>
        <w:rPr>
          <w:sz w:val="20"/>
          <w:szCs w:val="20"/>
          <w:color w:val="auto"/>
        </w:rPr>
      </w:pPr>
    </w:p>
    <w:p>
      <w:pPr>
        <w:ind w:right="80" w:firstLine="1104"/>
        <w:spacing w:after="0" w:line="268" w:lineRule="auto"/>
        <w:tabs>
          <w:tab w:leader="none" w:pos="1686" w:val="left"/>
        </w:tabs>
        <w:numPr>
          <w:ilvl w:val="0"/>
          <w:numId w:val="599"/>
        </w:numPr>
        <w:rPr>
          <w:rFonts w:ascii="Arial" w:cs="Arial" w:eastAsia="Arial" w:hAnsi="Arial"/>
          <w:sz w:val="15"/>
          <w:szCs w:val="15"/>
          <w:color w:val="auto"/>
        </w:rPr>
      </w:pPr>
      <w:r>
        <w:rPr>
          <w:rFonts w:ascii="Arial" w:cs="Arial" w:eastAsia="Arial" w:hAnsi="Arial"/>
          <w:sz w:val="15"/>
          <w:szCs w:val="15"/>
          <w:u w:val="single" w:color="auto"/>
          <w:color w:val="auto"/>
        </w:rPr>
        <w:t>Remedies</w:t>
      </w:r>
      <w:r>
        <w:rPr>
          <w:rFonts w:ascii="Arial" w:cs="Arial" w:eastAsia="Arial" w:hAnsi="Arial"/>
          <w:sz w:val="15"/>
          <w:szCs w:val="15"/>
          <w:color w:val="auto"/>
        </w:rPr>
        <w:t>. The Consultant recognizes that money damages alone would not adequately compensate the Company in the event of breach by the Consultant of his obligations set forth in Sections 6, 7, 8, 9, 11, 12 and 13, and the Consultant therefore agrees that, in addition to all other remedies available to the Company at law, in equity or otherwise, the Company shall be entitled to injunctive relief for the enforcement thereof. All rights and remedies hereunder are cumulative and are in addition to and not exclusive of any other rights and remedies available at law, in equity, by agreement or otherwise.</w:t>
      </w:r>
    </w:p>
    <w:p>
      <w:pPr>
        <w:spacing w:after="0" w:line="156" w:lineRule="exact"/>
        <w:rPr>
          <w:rFonts w:ascii="Arial" w:cs="Arial" w:eastAsia="Arial" w:hAnsi="Arial"/>
          <w:sz w:val="15"/>
          <w:szCs w:val="15"/>
          <w:color w:val="auto"/>
        </w:rPr>
      </w:pPr>
    </w:p>
    <w:p>
      <w:pPr>
        <w:ind w:right="380" w:firstLine="1104"/>
        <w:spacing w:after="0" w:line="289" w:lineRule="auto"/>
        <w:tabs>
          <w:tab w:leader="none" w:pos="1674" w:val="left"/>
        </w:tabs>
        <w:numPr>
          <w:ilvl w:val="0"/>
          <w:numId w:val="599"/>
        </w:numPr>
        <w:rPr>
          <w:rFonts w:ascii="Arial" w:cs="Arial" w:eastAsia="Arial" w:hAnsi="Arial"/>
          <w:sz w:val="15"/>
          <w:szCs w:val="15"/>
          <w:color w:val="auto"/>
        </w:rPr>
      </w:pPr>
      <w:r>
        <w:rPr>
          <w:rFonts w:ascii="Arial" w:cs="Arial" w:eastAsia="Arial" w:hAnsi="Arial"/>
          <w:sz w:val="15"/>
          <w:szCs w:val="15"/>
          <w:u w:val="single" w:color="auto"/>
          <w:color w:val="auto"/>
        </w:rPr>
        <w:t>Survival; Validity</w:t>
      </w:r>
      <w:r>
        <w:rPr>
          <w:rFonts w:ascii="Arial" w:cs="Arial" w:eastAsia="Arial" w:hAnsi="Arial"/>
          <w:sz w:val="15"/>
          <w:szCs w:val="15"/>
          <w:color w:val="auto"/>
        </w:rPr>
        <w:t>. Notwithstanding the termination of the Consultant’s relationship with the Company (whether pursuant to Section 4 or otherwise), the Consultant’s covenants and obligations set forth in Sections 6, 7, 9, 11, 12 and 13 shall remain in effect and be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fully enforceable in accordance with the provisions thereof.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 otherwise provided in this Section 14(h), any invalid, illegal or unenforceable provision of this Agreement shall be severable, and after any such severance, all other provisions hereof shall remain in full force and effect.</w:t>
      </w:r>
    </w:p>
    <w:p>
      <w:pPr>
        <w:spacing w:after="0" w:line="159" w:lineRule="exact"/>
        <w:rPr>
          <w:sz w:val="20"/>
          <w:szCs w:val="20"/>
          <w:color w:val="auto"/>
        </w:rPr>
      </w:pPr>
    </w:p>
    <w:p>
      <w:pPr>
        <w:ind w:right="120" w:firstLine="1104"/>
        <w:spacing w:after="0" w:line="293" w:lineRule="auto"/>
        <w:tabs>
          <w:tab w:leader="none" w:pos="1686" w:val="left"/>
        </w:tabs>
        <w:numPr>
          <w:ilvl w:val="0"/>
          <w:numId w:val="600"/>
        </w:numPr>
        <w:rPr>
          <w:rFonts w:ascii="Arial" w:cs="Arial" w:eastAsia="Arial" w:hAnsi="Arial"/>
          <w:sz w:val="14"/>
          <w:szCs w:val="14"/>
          <w:color w:val="auto"/>
        </w:rPr>
      </w:pPr>
      <w:r>
        <w:rPr>
          <w:rFonts w:ascii="Arial" w:cs="Arial" w:eastAsia="Arial" w:hAnsi="Arial"/>
          <w:sz w:val="14"/>
          <w:szCs w:val="14"/>
          <w:u w:val="single" w:color="auto"/>
          <w:color w:val="auto"/>
        </w:rPr>
        <w:t>Construction</w:t>
      </w:r>
      <w:r>
        <w:rPr>
          <w:rFonts w:ascii="Arial" w:cs="Arial" w:eastAsia="Arial" w:hAnsi="Arial"/>
          <w:sz w:val="14"/>
          <w:szCs w:val="14"/>
          <w:color w:val="auto"/>
        </w:rPr>
        <w:t>. A reference to a Section or a Schedule shall mean a Section in or Schedule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 Whenever the context may require, any pronouns used herein shall include the corresponding masculine, feminine or neuter forms, and the singular form of names and pronouns shall include the plural and vice-versa.</w:t>
      </w:r>
    </w:p>
    <w:p>
      <w:pPr>
        <w:spacing w:after="0" w:line="140" w:lineRule="exact"/>
        <w:rPr>
          <w:rFonts w:ascii="Arial" w:cs="Arial" w:eastAsia="Arial" w:hAnsi="Arial"/>
          <w:sz w:val="14"/>
          <w:szCs w:val="14"/>
          <w:color w:val="auto"/>
        </w:rPr>
      </w:pPr>
    </w:p>
    <w:p>
      <w:pPr>
        <w:ind w:left="1660" w:hanging="556"/>
        <w:spacing w:after="0"/>
        <w:tabs>
          <w:tab w:leader="none" w:pos="1660" w:val="left"/>
        </w:tabs>
        <w:numPr>
          <w:ilvl w:val="0"/>
          <w:numId w:val="600"/>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w:t>
      </w:r>
    </w:p>
    <w:p>
      <w:pPr>
        <w:spacing w:after="0" w:line="198" w:lineRule="exact"/>
        <w:rPr>
          <w:sz w:val="20"/>
          <w:szCs w:val="20"/>
          <w:color w:val="auto"/>
        </w:rPr>
      </w:pPr>
    </w:p>
    <w:p>
      <w:pPr>
        <w:ind w:right="240" w:firstLine="556"/>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Field of Interest</w:t>
      </w:r>
      <w:r>
        <w:rPr>
          <w:rFonts w:ascii="Arial" w:cs="Arial" w:eastAsia="Arial" w:hAnsi="Arial"/>
          <w:sz w:val="15"/>
          <w:szCs w:val="15"/>
          <w:color w:val="auto"/>
        </w:rPr>
        <w:t>” shall mean immunomodulatory polymeric nanoparticles, liposomal nanoparticles, and lipid/polymer hybrid nanoparticles for prophylactic and therapeutic applications.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shall mean an individual, a corporation, an association, a partnership, an estate, a trust and any other entity or organization.</w:t>
      </w:r>
    </w:p>
    <w:p>
      <w:pPr>
        <w:spacing w:after="0" w:line="198" w:lineRule="exact"/>
        <w:rPr>
          <w:sz w:val="20"/>
          <w:szCs w:val="20"/>
          <w:color w:val="auto"/>
        </w:rPr>
      </w:pPr>
    </w:p>
    <w:p>
      <w:pPr>
        <w:ind w:left="1660" w:hanging="556"/>
        <w:spacing w:after="0"/>
        <w:tabs>
          <w:tab w:leader="none" w:pos="1660" w:val="left"/>
        </w:tabs>
        <w:numPr>
          <w:ilvl w:val="0"/>
          <w:numId w:val="601"/>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one or more counterparts, all of which together shall constitute one and the same agreement.</w:t>
      </w:r>
    </w:p>
    <w:p>
      <w:pPr>
        <w:spacing w:after="0" w:line="192" w:lineRule="exact"/>
        <w:rPr>
          <w:rFonts w:ascii="Arial" w:cs="Arial" w:eastAsia="Arial" w:hAnsi="Arial"/>
          <w:sz w:val="15"/>
          <w:szCs w:val="15"/>
          <w:color w:val="auto"/>
        </w:rPr>
      </w:pPr>
    </w:p>
    <w:p>
      <w:pPr>
        <w:ind w:left="5520"/>
        <w:spacing w:after="0"/>
        <w:rPr>
          <w:rFonts w:ascii="Arial" w:cs="Arial" w:eastAsia="Arial" w:hAnsi="Arial"/>
          <w:sz w:val="15"/>
          <w:szCs w:val="15"/>
          <w:color w:val="auto"/>
        </w:rPr>
      </w:pPr>
      <w:r>
        <w:rPr>
          <w:rFonts w:ascii="Arial" w:cs="Arial" w:eastAsia="Arial" w:hAnsi="Arial"/>
          <w:sz w:val="15"/>
          <w:szCs w:val="15"/>
          <w:b w:val="1"/>
          <w:bCs w:val="1"/>
          <w:color w:val="auto"/>
        </w:rPr>
        <w:t>*****</w:t>
      </w:r>
    </w:p>
    <w:p>
      <w:pPr>
        <w:spacing w:after="0" w:line="204" w:lineRule="exact"/>
        <w:rPr>
          <w:rFonts w:ascii="Arial" w:cs="Arial" w:eastAsia="Arial" w:hAnsi="Arial"/>
          <w:sz w:val="15"/>
          <w:szCs w:val="15"/>
          <w:color w:val="auto"/>
        </w:rPr>
      </w:pPr>
    </w:p>
    <w:p>
      <w:pPr>
        <w:ind w:left="5680"/>
        <w:spacing w:after="0"/>
        <w:rPr>
          <w:rFonts w:ascii="Arial" w:cs="Arial" w:eastAsia="Arial" w:hAnsi="Arial"/>
          <w:sz w:val="15"/>
          <w:szCs w:val="15"/>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WITNESS WHEREOF, the parties have caused this Independent Director Consulting Agreement to be executed as an agreement under seal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above.</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tbl>
      <w:tblPr>
        <w:tblLayout w:type="fixed"/>
        <w:tblInd w:w="5720" w:type="dxa"/>
        <w:tblCellMar>
          <w:top w:w="0" w:type="dxa"/>
          <w:left w:w="0" w:type="dxa"/>
          <w:bottom w:w="0" w:type="dxa"/>
          <w:right w:w="0" w:type="dxa"/>
        </w:tblCellMar>
      </w:tblPr>
      <w:tr>
        <w:trPr>
          <w:trHeight w:val="196"/>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5260" w:type="dxa"/>
            <w:vAlign w:val="bottom"/>
            <w:gridSpan w:val="2"/>
          </w:tcPr>
          <w:p>
            <w:pPr>
              <w:ind w:left="40"/>
              <w:spacing w:after="0"/>
              <w:rPr>
                <w:sz w:val="20"/>
                <w:szCs w:val="20"/>
                <w:color w:val="auto"/>
              </w:rPr>
            </w:pPr>
            <w:r>
              <w:rPr>
                <w:rFonts w:ascii="Arial" w:cs="Arial" w:eastAsia="Arial" w:hAnsi="Arial"/>
                <w:sz w:val="15"/>
                <w:szCs w:val="15"/>
                <w:color w:val="auto"/>
              </w:rPr>
              <w:t>/s/ Robert Bratzler</w:t>
            </w:r>
          </w:p>
        </w:tc>
      </w:tr>
      <w:tr>
        <w:trPr>
          <w:trHeight w:val="155"/>
        </w:trPr>
        <w:tc>
          <w:tcPr>
            <w:tcW w:w="460" w:type="dxa"/>
            <w:vAlign w:val="bottom"/>
          </w:tcPr>
          <w:p>
            <w:pPr>
              <w:spacing w:after="0" w:line="155" w:lineRule="exact"/>
              <w:rPr>
                <w:sz w:val="20"/>
                <w:szCs w:val="20"/>
                <w:color w:val="auto"/>
              </w:rPr>
            </w:pPr>
            <w:r>
              <w:rPr>
                <w:rFonts w:ascii="Arial" w:cs="Arial" w:eastAsia="Arial" w:hAnsi="Arial"/>
                <w:sz w:val="15"/>
                <w:szCs w:val="15"/>
                <w:color w:val="auto"/>
                <w:w w:val="99"/>
              </w:rPr>
              <w:t>Name:</w:t>
            </w:r>
          </w:p>
        </w:tc>
        <w:tc>
          <w:tcPr>
            <w:tcW w:w="40" w:type="dxa"/>
            <w:vAlign w:val="bottom"/>
          </w:tcPr>
          <w:p>
            <w:pPr>
              <w:spacing w:after="0"/>
              <w:rPr>
                <w:sz w:val="13"/>
                <w:szCs w:val="13"/>
                <w:color w:val="auto"/>
              </w:rPr>
            </w:pPr>
          </w:p>
        </w:tc>
        <w:tc>
          <w:tcPr>
            <w:tcW w:w="5220" w:type="dxa"/>
            <w:vAlign w:val="bottom"/>
            <w:tcBorders>
              <w:top w:val="single" w:sz="8" w:color="auto"/>
            </w:tcBorders>
          </w:tcPr>
          <w:p>
            <w:pPr>
              <w:spacing w:after="0" w:line="155" w:lineRule="exact"/>
              <w:rPr>
                <w:sz w:val="20"/>
                <w:szCs w:val="20"/>
                <w:color w:val="auto"/>
              </w:rPr>
            </w:pPr>
            <w:r>
              <w:rPr>
                <w:rFonts w:ascii="Arial" w:cs="Arial" w:eastAsia="Arial" w:hAnsi="Arial"/>
                <w:sz w:val="15"/>
                <w:szCs w:val="15"/>
                <w:color w:val="auto"/>
              </w:rPr>
              <w:t>Robert Bratzler</w:t>
            </w:r>
          </w:p>
        </w:tc>
      </w:tr>
      <w:tr>
        <w:trPr>
          <w:trHeight w:val="196"/>
        </w:trPr>
        <w:tc>
          <w:tcPr>
            <w:tcW w:w="460" w:type="dxa"/>
            <w:vAlign w:val="bottom"/>
          </w:tcPr>
          <w:p>
            <w:pPr>
              <w:spacing w:after="0"/>
              <w:rPr>
                <w:sz w:val="20"/>
                <w:szCs w:val="20"/>
                <w:color w:val="auto"/>
              </w:rPr>
            </w:pPr>
            <w:r>
              <w:rPr>
                <w:rFonts w:ascii="Arial" w:cs="Arial" w:eastAsia="Arial" w:hAnsi="Arial"/>
                <w:sz w:val="15"/>
                <w:szCs w:val="15"/>
                <w:color w:val="auto"/>
              </w:rPr>
              <w:t>Title:</w:t>
            </w:r>
          </w:p>
        </w:tc>
        <w:tc>
          <w:tcPr>
            <w:tcW w:w="5260" w:type="dxa"/>
            <w:vAlign w:val="bottom"/>
            <w:gridSpan w:val="2"/>
          </w:tcPr>
          <w:p>
            <w:pPr>
              <w:ind w:left="20"/>
              <w:spacing w:after="0"/>
              <w:rPr>
                <w:sz w:val="20"/>
                <w:szCs w:val="20"/>
                <w:color w:val="auto"/>
              </w:rPr>
            </w:pPr>
            <w:r>
              <w:rPr>
                <w:rFonts w:ascii="Arial" w:cs="Arial" w:eastAsia="Arial" w:hAnsi="Arial"/>
                <w:sz w:val="15"/>
                <w:szCs w:val="15"/>
                <w:color w:val="auto"/>
              </w:rPr>
              <w:t>Executive Chairman</w:t>
            </w:r>
          </w:p>
        </w:tc>
      </w:tr>
    </w:tbl>
    <w:p>
      <w:pPr>
        <w:spacing w:after="0" w:line="36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CONSULTANT:</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George R. Siber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14605</wp:posOffset>
            </wp:positionV>
            <wp:extent cx="3625850" cy="762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George R. Siber, M.D.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Schedule A</w:t>
      </w:r>
    </w:p>
    <w:p>
      <w:pPr>
        <w:sectPr>
          <w:pgSz w:w="11900" w:h="16838" w:orient="portrait"/>
          <w:cols w:equalWidth="0" w:num="1">
            <w:col w:w="11440"/>
          </w:cols>
          <w:pgMar w:left="240" w:top="523" w:right="219" w:bottom="0" w:gutter="0" w:footer="0" w:header="0"/>
        </w:sectPr>
      </w:pPr>
    </w:p>
    <w:bookmarkStart w:id="434" w:name="page435"/>
    <w:bookmarkEnd w:id="434"/>
    <w:p>
      <w:pPr>
        <w:ind w:left="547" w:hanging="547"/>
        <w:spacing w:after="0"/>
        <w:tabs>
          <w:tab w:leader="none" w:pos="547" w:val="left"/>
        </w:tabs>
        <w:numPr>
          <w:ilvl w:val="0"/>
          <w:numId w:val="602"/>
        </w:numPr>
        <w:rPr>
          <w:rFonts w:ascii="Arial" w:cs="Arial" w:eastAsia="Arial" w:hAnsi="Arial"/>
          <w:sz w:val="15"/>
          <w:szCs w:val="15"/>
          <w:color w:val="auto"/>
        </w:rPr>
      </w:pPr>
      <w:r>
        <w:rPr>
          <w:rFonts w:ascii="Arial" w:cs="Arial" w:eastAsia="Arial" w:hAnsi="Arial"/>
          <w:sz w:val="15"/>
          <w:szCs w:val="15"/>
          <w:u w:val="single" w:color="auto"/>
          <w:color w:val="auto"/>
        </w:rPr>
        <w:t>Description of the Consulting Services</w:t>
      </w:r>
      <w:r>
        <w:rPr>
          <w:rFonts w:ascii="Arial" w:cs="Arial" w:eastAsia="Arial" w:hAnsi="Arial"/>
          <w:sz w:val="15"/>
          <w:szCs w:val="15"/>
          <w:color w:val="auto"/>
        </w:rPr>
        <w:t>. The Consultant shall:</w:t>
      </w:r>
    </w:p>
    <w:p>
      <w:pPr>
        <w:spacing w:after="0" w:line="198" w:lineRule="exact"/>
        <w:rPr>
          <w:rFonts w:ascii="Arial" w:cs="Arial" w:eastAsia="Arial" w:hAnsi="Arial"/>
          <w:sz w:val="15"/>
          <w:szCs w:val="15"/>
          <w:color w:val="auto"/>
        </w:rPr>
      </w:pPr>
    </w:p>
    <w:p>
      <w:pPr>
        <w:ind w:left="7" w:right="20" w:firstLine="549"/>
        <w:spacing w:after="0" w:line="289" w:lineRule="auto"/>
        <w:tabs>
          <w:tab w:leader="none" w:pos="1117" w:val="left"/>
        </w:tabs>
        <w:numPr>
          <w:ilvl w:val="1"/>
          <w:numId w:val="602"/>
        </w:numPr>
        <w:rPr>
          <w:rFonts w:ascii="Arial" w:cs="Arial" w:eastAsia="Arial" w:hAnsi="Arial"/>
          <w:sz w:val="15"/>
          <w:szCs w:val="15"/>
          <w:color w:val="auto"/>
        </w:rPr>
      </w:pPr>
      <w:r>
        <w:rPr>
          <w:rFonts w:ascii="Arial" w:cs="Arial" w:eastAsia="Arial" w:hAnsi="Arial"/>
          <w:sz w:val="15"/>
          <w:szCs w:val="15"/>
          <w:color w:val="auto"/>
        </w:rPr>
        <w:t>Serve as a member of the Board of Directors, including attendance at meetings of the Board of Directors. The Company’s Board of Directors currently meets in person approximately six time per year, however, this rate may vary as determined by the Board of Directors.</w:t>
      </w:r>
    </w:p>
    <w:p>
      <w:pPr>
        <w:spacing w:after="0" w:line="140" w:lineRule="exact"/>
        <w:rPr>
          <w:rFonts w:ascii="Arial" w:cs="Arial" w:eastAsia="Arial" w:hAnsi="Arial"/>
          <w:sz w:val="15"/>
          <w:szCs w:val="15"/>
          <w:color w:val="auto"/>
        </w:rPr>
      </w:pPr>
    </w:p>
    <w:p>
      <w:pPr>
        <w:ind w:left="7" w:right="160" w:firstLine="549"/>
        <w:spacing w:after="0" w:line="289" w:lineRule="auto"/>
        <w:tabs>
          <w:tab w:leader="none" w:pos="1125" w:val="left"/>
        </w:tabs>
        <w:numPr>
          <w:ilvl w:val="1"/>
          <w:numId w:val="602"/>
        </w:numPr>
        <w:rPr>
          <w:rFonts w:ascii="Arial" w:cs="Arial" w:eastAsia="Arial" w:hAnsi="Arial"/>
          <w:sz w:val="15"/>
          <w:szCs w:val="15"/>
          <w:color w:val="auto"/>
        </w:rPr>
      </w:pPr>
      <w:r>
        <w:rPr>
          <w:rFonts w:ascii="Arial" w:cs="Arial" w:eastAsia="Arial" w:hAnsi="Arial"/>
          <w:sz w:val="15"/>
          <w:szCs w:val="15"/>
          <w:color w:val="auto"/>
        </w:rPr>
        <w:t>Provide guidance on preclinical and clinical research and development plans, regulatory strategy, competitive therapies and technologies, and business development, the provision of which shall involve:</w:t>
      </w:r>
    </w:p>
    <w:p>
      <w:pPr>
        <w:spacing w:after="0" w:line="140" w:lineRule="exact"/>
        <w:rPr>
          <w:rFonts w:ascii="Arial" w:cs="Arial" w:eastAsia="Arial" w:hAnsi="Arial"/>
          <w:sz w:val="15"/>
          <w:szCs w:val="15"/>
          <w:color w:val="auto"/>
        </w:rPr>
      </w:pPr>
    </w:p>
    <w:p>
      <w:pPr>
        <w:ind w:left="1407" w:hanging="296"/>
        <w:spacing w:after="0"/>
        <w:tabs>
          <w:tab w:leader="none" w:pos="1407" w:val="left"/>
        </w:tabs>
        <w:numPr>
          <w:ilvl w:val="2"/>
          <w:numId w:val="602"/>
        </w:numPr>
        <w:rPr>
          <w:rFonts w:ascii="Arial" w:cs="Arial" w:eastAsia="Arial" w:hAnsi="Arial"/>
          <w:sz w:val="15"/>
          <w:szCs w:val="15"/>
          <w:color w:val="auto"/>
        </w:rPr>
      </w:pPr>
      <w:r>
        <w:rPr>
          <w:rFonts w:ascii="Arial" w:cs="Arial" w:eastAsia="Arial" w:hAnsi="Arial"/>
          <w:sz w:val="15"/>
          <w:szCs w:val="15"/>
          <w:color w:val="auto"/>
        </w:rPr>
        <w:t>Up to four hours per week on telephone calls, email communications and other Company business; and</w:t>
      </w:r>
    </w:p>
    <w:p>
      <w:pPr>
        <w:spacing w:after="0" w:line="198" w:lineRule="exact"/>
        <w:rPr>
          <w:rFonts w:ascii="Arial" w:cs="Arial" w:eastAsia="Arial" w:hAnsi="Arial"/>
          <w:sz w:val="15"/>
          <w:szCs w:val="15"/>
          <w:color w:val="auto"/>
        </w:rPr>
      </w:pPr>
    </w:p>
    <w:p>
      <w:pPr>
        <w:ind w:left="1387" w:right="60" w:hanging="276"/>
        <w:spacing w:after="0" w:line="289" w:lineRule="auto"/>
        <w:tabs>
          <w:tab w:leader="none" w:pos="1408" w:val="left"/>
        </w:tabs>
        <w:numPr>
          <w:ilvl w:val="2"/>
          <w:numId w:val="602"/>
        </w:numPr>
        <w:rPr>
          <w:rFonts w:ascii="Arial" w:cs="Arial" w:eastAsia="Arial" w:hAnsi="Arial"/>
          <w:sz w:val="15"/>
          <w:szCs w:val="15"/>
          <w:color w:val="auto"/>
        </w:rPr>
      </w:pPr>
      <w:r>
        <w:rPr>
          <w:rFonts w:ascii="Arial" w:cs="Arial" w:eastAsia="Arial" w:hAnsi="Arial"/>
          <w:sz w:val="15"/>
          <w:szCs w:val="15"/>
          <w:color w:val="auto"/>
        </w:rPr>
        <w:t>One day per month at the offices of the Company, or at external meetings on behalf of the Company for purposes of business development, securing financing, or other purposes requested by the Company.</w:t>
      </w:r>
    </w:p>
    <w:p>
      <w:pPr>
        <w:spacing w:after="0" w:line="141" w:lineRule="exact"/>
        <w:rPr>
          <w:sz w:val="20"/>
          <w:szCs w:val="20"/>
          <w:color w:val="auto"/>
        </w:rPr>
      </w:pPr>
    </w:p>
    <w:p>
      <w:pPr>
        <w:ind w:left="7" w:right="540" w:firstLine="556"/>
        <w:spacing w:after="0" w:line="289" w:lineRule="auto"/>
        <w:rPr>
          <w:sz w:val="20"/>
          <w:szCs w:val="20"/>
          <w:color w:val="auto"/>
        </w:rPr>
      </w:pPr>
      <w:r>
        <w:rPr>
          <w:rFonts w:ascii="Arial" w:cs="Arial" w:eastAsia="Arial" w:hAnsi="Arial"/>
          <w:sz w:val="15"/>
          <w:szCs w:val="15"/>
          <w:color w:val="auto"/>
        </w:rPr>
        <w:t>The Consultant and the Company will be flexible regarding these commitments in light of the Company’s needs and the Consultant’s other professional obligations and commitments.</w:t>
      </w:r>
    </w:p>
    <w:p>
      <w:pPr>
        <w:spacing w:after="0" w:line="141" w:lineRule="exact"/>
        <w:rPr>
          <w:sz w:val="20"/>
          <w:szCs w:val="20"/>
          <w:color w:val="auto"/>
        </w:rPr>
      </w:pPr>
    </w:p>
    <w:p>
      <w:pPr>
        <w:ind w:left="547" w:hanging="547"/>
        <w:spacing w:after="0"/>
        <w:tabs>
          <w:tab w:leader="none" w:pos="547" w:val="left"/>
        </w:tabs>
        <w:numPr>
          <w:ilvl w:val="0"/>
          <w:numId w:val="603"/>
        </w:numPr>
        <w:rPr>
          <w:rFonts w:ascii="Arial" w:cs="Arial" w:eastAsia="Arial" w:hAnsi="Arial"/>
          <w:sz w:val="15"/>
          <w:szCs w:val="15"/>
          <w:color w:val="auto"/>
        </w:rPr>
      </w:pPr>
      <w:r>
        <w:rPr>
          <w:rFonts w:ascii="Arial" w:cs="Arial" w:eastAsia="Arial" w:hAnsi="Arial"/>
          <w:sz w:val="15"/>
          <w:szCs w:val="15"/>
          <w:u w:val="single" w:color="auto"/>
          <w:color w:val="auto"/>
        </w:rPr>
        <w:t>Compensation</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1107" w:hanging="551"/>
        <w:spacing w:after="0"/>
        <w:tabs>
          <w:tab w:leader="none" w:pos="1107" w:val="left"/>
        </w:tabs>
        <w:numPr>
          <w:ilvl w:val="1"/>
          <w:numId w:val="603"/>
        </w:numPr>
        <w:rPr>
          <w:rFonts w:ascii="Arial" w:cs="Arial" w:eastAsia="Arial" w:hAnsi="Arial"/>
          <w:sz w:val="15"/>
          <w:szCs w:val="15"/>
          <w:color w:val="auto"/>
        </w:rPr>
      </w:pPr>
      <w:r>
        <w:rPr>
          <w:rFonts w:ascii="Arial" w:cs="Arial" w:eastAsia="Arial" w:hAnsi="Arial"/>
          <w:sz w:val="15"/>
          <w:szCs w:val="15"/>
          <w:color w:val="auto"/>
        </w:rPr>
        <w:t>The Company shall pay the Consultant a fee at the rate of $3,000 per month for the Consulting Services described in paragraph 1(b) above.</w:t>
      </w:r>
    </w:p>
    <w:p>
      <w:pPr>
        <w:spacing w:after="0" w:line="198" w:lineRule="exact"/>
        <w:rPr>
          <w:rFonts w:ascii="Arial" w:cs="Arial" w:eastAsia="Arial" w:hAnsi="Arial"/>
          <w:sz w:val="15"/>
          <w:szCs w:val="15"/>
          <w:color w:val="auto"/>
        </w:rPr>
      </w:pPr>
    </w:p>
    <w:p>
      <w:pPr>
        <w:ind w:left="7" w:right="20" w:firstLine="549"/>
        <w:spacing w:after="0" w:line="273" w:lineRule="auto"/>
        <w:tabs>
          <w:tab w:leader="none" w:pos="1125" w:val="left"/>
        </w:tabs>
        <w:numPr>
          <w:ilvl w:val="1"/>
          <w:numId w:val="603"/>
        </w:numPr>
        <w:rPr>
          <w:rFonts w:ascii="Arial" w:cs="Arial" w:eastAsia="Arial" w:hAnsi="Arial"/>
          <w:sz w:val="15"/>
          <w:szCs w:val="15"/>
          <w:color w:val="auto"/>
        </w:rPr>
      </w:pPr>
      <w:r>
        <w:rPr>
          <w:rFonts w:ascii="Arial" w:cs="Arial" w:eastAsia="Arial" w:hAnsi="Arial"/>
          <w:sz w:val="15"/>
          <w:szCs w:val="15"/>
          <w:color w:val="auto"/>
        </w:rPr>
        <w:t>Within 50 days after the Effective Date, the Company shall grant to the Consultant two nonstatutory stock options (the “</w:t>
      </w:r>
      <w:r>
        <w:rPr>
          <w:rFonts w:ascii="Arial" w:cs="Arial" w:eastAsia="Arial" w:hAnsi="Arial"/>
          <w:sz w:val="15"/>
          <w:szCs w:val="15"/>
          <w:u w:val="single" w:color="auto"/>
          <w:color w:val="auto"/>
        </w:rPr>
        <w:t>Options</w:t>
      </w:r>
      <w:r>
        <w:rPr>
          <w:rFonts w:ascii="Arial" w:cs="Arial" w:eastAsia="Arial" w:hAnsi="Arial"/>
          <w:sz w:val="15"/>
          <w:szCs w:val="15"/>
          <w:color w:val="auto"/>
        </w:rPr>
        <w:t>”) to purchase an aggregate of 123,140 shares (the “</w:t>
      </w:r>
      <w:r>
        <w:rPr>
          <w:rFonts w:ascii="Arial" w:cs="Arial" w:eastAsia="Arial" w:hAnsi="Arial"/>
          <w:sz w:val="15"/>
          <w:szCs w:val="15"/>
          <w:u w:val="single" w:color="auto"/>
          <w:color w:val="auto"/>
        </w:rPr>
        <w:t>Option Shares</w:t>
      </w:r>
      <w:r>
        <w:rPr>
          <w:rFonts w:ascii="Arial" w:cs="Arial" w:eastAsia="Arial" w:hAnsi="Arial"/>
          <w:sz w:val="15"/>
          <w:szCs w:val="15"/>
          <w:color w:val="auto"/>
        </w:rPr>
        <w:t>”) of common stock of the Company, $.0001 par value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at a purchase price equal to the fair market value (as determined by the Board of Directors) on the date of the grant:</w:t>
      </w:r>
    </w:p>
    <w:p>
      <w:pPr>
        <w:spacing w:after="0" w:line="152" w:lineRule="exact"/>
        <w:rPr>
          <w:rFonts w:ascii="Arial" w:cs="Arial" w:eastAsia="Arial" w:hAnsi="Arial"/>
          <w:sz w:val="15"/>
          <w:szCs w:val="15"/>
          <w:color w:val="auto"/>
        </w:rPr>
      </w:pPr>
    </w:p>
    <w:p>
      <w:pPr>
        <w:ind w:left="1387" w:right="220" w:hanging="276"/>
        <w:spacing w:after="0" w:line="289" w:lineRule="auto"/>
        <w:tabs>
          <w:tab w:leader="none" w:pos="1399" w:val="left"/>
        </w:tabs>
        <w:numPr>
          <w:ilvl w:val="2"/>
          <w:numId w:val="603"/>
        </w:numPr>
        <w:rPr>
          <w:rFonts w:ascii="Arial" w:cs="Arial" w:eastAsia="Arial" w:hAnsi="Arial"/>
          <w:sz w:val="15"/>
          <w:szCs w:val="15"/>
          <w:color w:val="auto"/>
        </w:rPr>
      </w:pPr>
      <w:r>
        <w:rPr>
          <w:rFonts w:ascii="Arial" w:cs="Arial" w:eastAsia="Arial" w:hAnsi="Arial"/>
          <w:sz w:val="15"/>
          <w:szCs w:val="15"/>
          <w:color w:val="auto"/>
        </w:rPr>
        <w:t>Board Service Option: The Company shall grant the Consultant 87,957 Option Shares as consideration for the Consultant’s service on the Board as provided in paragraph 1(a) above (the “</w:t>
      </w:r>
      <w:r>
        <w:rPr>
          <w:rFonts w:ascii="Arial" w:cs="Arial" w:eastAsia="Arial" w:hAnsi="Arial"/>
          <w:sz w:val="15"/>
          <w:szCs w:val="15"/>
          <w:u w:val="single" w:color="auto"/>
          <w:color w:val="auto"/>
        </w:rPr>
        <w:t>Board Service Option</w:t>
      </w:r>
      <w:r>
        <w:rPr>
          <w:rFonts w:ascii="Arial" w:cs="Arial" w:eastAsia="Arial" w:hAnsi="Arial"/>
          <w:sz w:val="15"/>
          <w:szCs w:val="15"/>
          <w:color w:val="auto"/>
        </w:rPr>
        <w:t>”); and</w:t>
      </w:r>
    </w:p>
    <w:p>
      <w:pPr>
        <w:spacing w:after="0" w:line="140" w:lineRule="exact"/>
        <w:rPr>
          <w:rFonts w:ascii="Arial" w:cs="Arial" w:eastAsia="Arial" w:hAnsi="Arial"/>
          <w:sz w:val="15"/>
          <w:szCs w:val="15"/>
          <w:color w:val="auto"/>
        </w:rPr>
      </w:pPr>
    </w:p>
    <w:p>
      <w:pPr>
        <w:ind w:left="1387" w:right="260" w:hanging="276"/>
        <w:spacing w:after="0" w:line="289" w:lineRule="auto"/>
        <w:tabs>
          <w:tab w:leader="none" w:pos="1408" w:val="left"/>
        </w:tabs>
        <w:numPr>
          <w:ilvl w:val="2"/>
          <w:numId w:val="603"/>
        </w:numPr>
        <w:rPr>
          <w:rFonts w:ascii="Arial" w:cs="Arial" w:eastAsia="Arial" w:hAnsi="Arial"/>
          <w:sz w:val="15"/>
          <w:szCs w:val="15"/>
          <w:color w:val="auto"/>
        </w:rPr>
      </w:pPr>
      <w:r>
        <w:rPr>
          <w:rFonts w:ascii="Arial" w:cs="Arial" w:eastAsia="Arial" w:hAnsi="Arial"/>
          <w:sz w:val="15"/>
          <w:szCs w:val="15"/>
          <w:color w:val="auto"/>
        </w:rPr>
        <w:t>Consulting Option: The Company shall grant the Consultant 35,183 Option Shares as partial compensation for the Consulting Services described in paragraph 1(b) above (the “</w:t>
      </w:r>
      <w:r>
        <w:rPr>
          <w:rFonts w:ascii="Arial" w:cs="Arial" w:eastAsia="Arial" w:hAnsi="Arial"/>
          <w:sz w:val="15"/>
          <w:szCs w:val="15"/>
          <w:u w:val="single" w:color="auto"/>
          <w:color w:val="auto"/>
        </w:rPr>
        <w:t>Consulting Option</w:t>
      </w:r>
      <w:r>
        <w:rPr>
          <w:rFonts w:ascii="Arial" w:cs="Arial" w:eastAsia="Arial" w:hAnsi="Arial"/>
          <w:sz w:val="15"/>
          <w:szCs w:val="15"/>
          <w:color w:val="auto"/>
        </w:rPr>
        <w:t>”).</w:t>
      </w:r>
    </w:p>
    <w:p>
      <w:pPr>
        <w:spacing w:after="0" w:line="141" w:lineRule="exact"/>
        <w:rPr>
          <w:sz w:val="20"/>
          <w:szCs w:val="20"/>
          <w:color w:val="auto"/>
        </w:rPr>
      </w:pPr>
    </w:p>
    <w:p>
      <w:pPr>
        <w:ind w:left="7" w:right="60" w:firstLine="556"/>
        <w:spacing w:after="0" w:line="273" w:lineRule="auto"/>
        <w:rPr>
          <w:sz w:val="20"/>
          <w:szCs w:val="20"/>
          <w:color w:val="auto"/>
        </w:rPr>
      </w:pPr>
      <w:r>
        <w:rPr>
          <w:rFonts w:ascii="Arial" w:cs="Arial" w:eastAsia="Arial" w:hAnsi="Arial"/>
          <w:sz w:val="15"/>
          <w:szCs w:val="15"/>
          <w:color w:val="auto"/>
        </w:rPr>
        <w:t>Each of the Options shall be subject to the terms of a separate nonstatutory stock option agreement, which shall provide, inter alia, for vesting such that 25% of the Option Shares shall vest on the first anniversary of the Effective Date, and an additional 2.0833% of the Option Shares shall vest at the end of each month thereafter so that 100% of the Option Shares shall be fully vested on or before the fourth anniversary of the Effective Date.</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 w:right="400" w:firstLine="549"/>
        <w:spacing w:after="0" w:line="273" w:lineRule="auto"/>
        <w:tabs>
          <w:tab w:leader="none" w:pos="1128" w:val="left"/>
        </w:tabs>
        <w:numPr>
          <w:ilvl w:val="0"/>
          <w:numId w:val="604"/>
        </w:numPr>
        <w:rPr>
          <w:rFonts w:ascii="Arial" w:cs="Arial" w:eastAsia="Arial" w:hAnsi="Arial"/>
          <w:sz w:val="15"/>
          <w:szCs w:val="15"/>
          <w:color w:val="auto"/>
        </w:rPr>
      </w:pPr>
      <w:r>
        <w:rPr>
          <w:rFonts w:ascii="Arial" w:cs="Arial" w:eastAsia="Arial" w:hAnsi="Arial"/>
          <w:sz w:val="15"/>
          <w:szCs w:val="15"/>
          <w:color w:val="auto"/>
        </w:rPr>
        <w:t xml:space="preserve">In the event that the Consultant ceases to provide the Consulting Services described in paragraph 1(b) above, but continues to serve as a member of the Board of Directors, the cash compensation provided in paragraph 2(a) above shall cease, and all vesting of the Consulting Option shall terminate;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Board Service Option shall continue to vest according to its original terms until such time as the Consultant no longer serves on the Board.</w:t>
      </w:r>
    </w:p>
    <w:p>
      <w:pPr>
        <w:spacing w:after="0" w:line="152" w:lineRule="exact"/>
        <w:rPr>
          <w:rFonts w:ascii="Arial" w:cs="Arial" w:eastAsia="Arial" w:hAnsi="Arial"/>
          <w:sz w:val="15"/>
          <w:szCs w:val="15"/>
          <w:color w:val="auto"/>
        </w:rPr>
      </w:pPr>
    </w:p>
    <w:p>
      <w:pPr>
        <w:ind w:left="7" w:firstLine="549"/>
        <w:spacing w:after="0" w:line="265" w:lineRule="auto"/>
        <w:tabs>
          <w:tab w:leader="none" w:pos="1125" w:val="left"/>
        </w:tabs>
        <w:numPr>
          <w:ilvl w:val="0"/>
          <w:numId w:val="604"/>
        </w:numPr>
        <w:rPr>
          <w:rFonts w:ascii="Arial" w:cs="Arial" w:eastAsia="Arial" w:hAnsi="Arial"/>
          <w:sz w:val="15"/>
          <w:szCs w:val="15"/>
          <w:color w:val="auto"/>
        </w:rPr>
      </w:pPr>
      <w:r>
        <w:rPr>
          <w:rFonts w:ascii="Arial" w:cs="Arial" w:eastAsia="Arial" w:hAnsi="Arial"/>
          <w:sz w:val="15"/>
          <w:szCs w:val="15"/>
          <w:color w:val="auto"/>
        </w:rPr>
        <w:t>The Consultant shall be reimbursed for all reasonable, appropriate or necessary travel and other out-of-pocket expenses incurred in the performance of his duties hereunder upon submission and approval of written statements and bills in accordance with the then regular reimbursement procedures of the Company, including, without limitation, travel and lodging expenses incurred in traveling to and from the Company’s offices to render the Consulting Services and to attend meetings of the Board of Directors. In the event that the Consultant performs services on behalf of Other Clients during a trip in which he also provides Consulting Services on behalf of the Company, he shall equitably allocate the costs of such trip among the Company and such Other Clients.</w:t>
      </w:r>
    </w:p>
    <w:p>
      <w:pPr>
        <w:spacing w:after="0" w:line="16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Schedule B</w:t>
      </w:r>
    </w:p>
    <w:p>
      <w:pPr>
        <w:spacing w:after="0" w:line="204" w:lineRule="exact"/>
        <w:rPr>
          <w:sz w:val="20"/>
          <w:szCs w:val="20"/>
          <w:color w:val="auto"/>
        </w:rPr>
      </w:pPr>
    </w:p>
    <w:p>
      <w:pPr>
        <w:ind w:left="547" w:hanging="547"/>
        <w:spacing w:after="0"/>
        <w:tabs>
          <w:tab w:leader="none" w:pos="547" w:val="left"/>
        </w:tabs>
        <w:numPr>
          <w:ilvl w:val="0"/>
          <w:numId w:val="605"/>
        </w:numPr>
        <w:rPr>
          <w:rFonts w:ascii="Arial" w:cs="Arial" w:eastAsia="Arial" w:hAnsi="Arial"/>
          <w:sz w:val="15"/>
          <w:szCs w:val="15"/>
          <w:color w:val="auto"/>
        </w:rPr>
      </w:pPr>
      <w:r>
        <w:rPr>
          <w:rFonts w:ascii="Arial" w:cs="Arial" w:eastAsia="Arial" w:hAnsi="Arial"/>
          <w:sz w:val="15"/>
          <w:szCs w:val="15"/>
          <w:color w:val="auto"/>
        </w:rPr>
        <w:t>List of employers as of the Effective Date: None</w:t>
      </w:r>
    </w:p>
    <w:p>
      <w:pPr>
        <w:spacing w:after="0" w:line="198" w:lineRule="exact"/>
        <w:rPr>
          <w:rFonts w:ascii="Arial" w:cs="Arial" w:eastAsia="Arial" w:hAnsi="Arial"/>
          <w:sz w:val="15"/>
          <w:szCs w:val="15"/>
          <w:color w:val="auto"/>
        </w:rPr>
      </w:pPr>
    </w:p>
    <w:p>
      <w:pPr>
        <w:ind w:left="547" w:hanging="547"/>
        <w:spacing w:after="0"/>
        <w:tabs>
          <w:tab w:leader="none" w:pos="547" w:val="left"/>
        </w:tabs>
        <w:numPr>
          <w:ilvl w:val="0"/>
          <w:numId w:val="605"/>
        </w:numPr>
        <w:rPr>
          <w:rFonts w:ascii="Arial" w:cs="Arial" w:eastAsia="Arial" w:hAnsi="Arial"/>
          <w:sz w:val="15"/>
          <w:szCs w:val="15"/>
          <w:color w:val="auto"/>
        </w:rPr>
      </w:pPr>
      <w:r>
        <w:rPr>
          <w:rFonts w:ascii="Arial" w:cs="Arial" w:eastAsia="Arial" w:hAnsi="Arial"/>
          <w:sz w:val="15"/>
          <w:szCs w:val="15"/>
          <w:color w:val="auto"/>
        </w:rPr>
        <w:t>List of the Other Clients as of the Effective Date:</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Commercial:</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5"/>
          <w:szCs w:val="15"/>
          <w:color w:val="auto"/>
        </w:rPr>
        <w:t>Genocea Biosciences</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Wyeth Vaccines</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Novartis Vaccines and Diagnostics</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Ligocyte Pharmaceuticals, Inc.</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Variation Biotechnologies</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Vaccine Technology Institute (VTI)</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Matrivax Research &amp; Development Corp.</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Non-Commercial:</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5"/>
          <w:szCs w:val="15"/>
          <w:color w:val="auto"/>
        </w:rPr>
        <w:t>Massachusetts Biologic Laboratories</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National Institute of Allergy and Infectious Diseases</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Vaccine Research Institute - NIAID - Council</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PATH - Pneumococcal Advisory Committee</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PATH - Malaria Vaccine Advisory Committee</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Gates Foundation - Maternal Immunization</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5"/>
          <w:szCs w:val="15"/>
          <w:color w:val="auto"/>
        </w:rPr>
        <w:t>World Health Organization — Pneumococcal Vaccines</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FIRST AMENDMENT</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TO</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INDEPENDENT DIRECTOR CONSULTING AGREEMENT</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(George R. Siber, M.D.)</w:t>
      </w:r>
    </w:p>
    <w:p>
      <w:pPr>
        <w:sectPr>
          <w:pgSz w:w="11900" w:h="16838" w:orient="portrait"/>
          <w:cols w:equalWidth="0" w:num="1">
            <w:col w:w="11447"/>
          </w:cols>
          <w:pgMar w:left="233" w:top="314" w:right="219" w:bottom="0" w:gutter="0" w:footer="0" w:header="0"/>
        </w:sectPr>
      </w:pPr>
    </w:p>
    <w:bookmarkStart w:id="435" w:name="page436"/>
    <w:bookmarkEnd w:id="435"/>
    <w:p>
      <w:pPr>
        <w:ind w:right="60" w:firstLine="556"/>
        <w:spacing w:after="0" w:line="289" w:lineRule="auto"/>
        <w:rPr>
          <w:sz w:val="20"/>
          <w:szCs w:val="20"/>
          <w:color w:val="auto"/>
        </w:rPr>
      </w:pPr>
      <w:r>
        <w:rPr>
          <w:rFonts w:ascii="Arial" w:cs="Arial" w:eastAsia="Arial" w:hAnsi="Arial"/>
          <w:sz w:val="15"/>
          <w:szCs w:val="15"/>
          <w:color w:val="auto"/>
        </w:rPr>
        <w:t>This First Amendment to Independent Director Consulting Agreement dated as of July 22, 2009 (this “</w:t>
      </w:r>
      <w:r>
        <w:rPr>
          <w:rFonts w:ascii="Arial" w:cs="Arial" w:eastAsia="Arial" w:hAnsi="Arial"/>
          <w:sz w:val="15"/>
          <w:szCs w:val="15"/>
          <w:u w:val="single" w:color="auto"/>
          <w:color w:val="auto"/>
        </w:rPr>
        <w:t>First Amendment</w:t>
      </w:r>
      <w:r>
        <w:rPr>
          <w:rFonts w:ascii="Arial" w:cs="Arial" w:eastAsia="Arial" w:hAnsi="Arial"/>
          <w:sz w:val="15"/>
          <w:szCs w:val="15"/>
          <w:color w:val="auto"/>
        </w:rPr>
        <w:t>”), is made by and between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George R. Siber, M.D. (“</w:t>
      </w:r>
      <w:r>
        <w:rPr>
          <w:rFonts w:ascii="Arial" w:cs="Arial" w:eastAsia="Arial" w:hAnsi="Arial"/>
          <w:sz w:val="15"/>
          <w:szCs w:val="15"/>
          <w:u w:val="single" w:color="auto"/>
          <w:color w:val="auto"/>
        </w:rPr>
        <w:t>Consultant</w:t>
      </w:r>
      <w:r>
        <w:rPr>
          <w:rFonts w:ascii="Arial" w:cs="Arial" w:eastAsia="Arial" w:hAnsi="Arial"/>
          <w:sz w:val="15"/>
          <w:szCs w:val="15"/>
          <w:color w:val="auto"/>
        </w:rPr>
        <w:t>”).</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the Company and Consultant are parties to an Independent Director Consulting Agreement dated as of May 5, 2009 (the “</w:t>
      </w:r>
      <w:r>
        <w:rPr>
          <w:rFonts w:ascii="Arial" w:cs="Arial" w:eastAsia="Arial" w:hAnsi="Arial"/>
          <w:sz w:val="15"/>
          <w:szCs w:val="15"/>
          <w:u w:val="single" w:color="auto"/>
          <w:color w:val="auto"/>
        </w:rPr>
        <w:t>Original Agreement</w:t>
      </w:r>
      <w:r>
        <w:rPr>
          <w:rFonts w:ascii="Arial" w:cs="Arial" w:eastAsia="Arial" w:hAnsi="Arial"/>
          <w:sz w:val="15"/>
          <w:szCs w:val="15"/>
          <w:color w:val="auto"/>
        </w:rPr>
        <w:t>”); and</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the parties desire to amend certain provisions of the Original Agreement in the manner set forth herein.</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NOW, THEREFORE, in consideration of the premises and the covenants set forth herein and in the Original Agreement, the parties hereby agree as follows:</w:t>
      </w:r>
    </w:p>
    <w:p>
      <w:pPr>
        <w:spacing w:after="0" w:line="198" w:lineRule="exact"/>
        <w:rPr>
          <w:sz w:val="20"/>
          <w:szCs w:val="20"/>
          <w:color w:val="auto"/>
        </w:rPr>
      </w:pPr>
    </w:p>
    <w:p>
      <w:pPr>
        <w:ind w:left="1100" w:hanging="551"/>
        <w:spacing w:after="0"/>
        <w:tabs>
          <w:tab w:leader="none" w:pos="1100" w:val="left"/>
        </w:tabs>
        <w:numPr>
          <w:ilvl w:val="0"/>
          <w:numId w:val="606"/>
        </w:numPr>
        <w:rPr>
          <w:rFonts w:ascii="Arial" w:cs="Arial" w:eastAsia="Arial" w:hAnsi="Arial"/>
          <w:sz w:val="15"/>
          <w:szCs w:val="15"/>
          <w:color w:val="auto"/>
        </w:rPr>
      </w:pPr>
      <w:r>
        <w:rPr>
          <w:rFonts w:ascii="Arial" w:cs="Arial" w:eastAsia="Arial" w:hAnsi="Arial"/>
          <w:sz w:val="15"/>
          <w:szCs w:val="15"/>
          <w:u w:val="single" w:color="auto"/>
          <w:color w:val="auto"/>
        </w:rPr>
        <w:t>Defined Terms</w:t>
      </w:r>
      <w:r>
        <w:rPr>
          <w:rFonts w:ascii="Arial" w:cs="Arial" w:eastAsia="Arial" w:hAnsi="Arial"/>
          <w:sz w:val="15"/>
          <w:szCs w:val="15"/>
          <w:color w:val="auto"/>
        </w:rPr>
        <w:t>. Capitalized terms used, but not defined, herein shall have the meanings ascribed to them in the Original Agreement.</w:t>
      </w:r>
    </w:p>
    <w:p>
      <w:pPr>
        <w:spacing w:after="0" w:line="198" w:lineRule="exact"/>
        <w:rPr>
          <w:rFonts w:ascii="Arial" w:cs="Arial" w:eastAsia="Arial" w:hAnsi="Arial"/>
          <w:sz w:val="15"/>
          <w:szCs w:val="15"/>
          <w:color w:val="auto"/>
        </w:rPr>
      </w:pPr>
    </w:p>
    <w:p>
      <w:pPr>
        <w:ind w:right="360" w:firstLine="549"/>
        <w:spacing w:after="0" w:line="289" w:lineRule="auto"/>
        <w:tabs>
          <w:tab w:leader="none" w:pos="1112" w:val="left"/>
        </w:tabs>
        <w:numPr>
          <w:ilvl w:val="0"/>
          <w:numId w:val="606"/>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The first sentence of Section 6 of the Original Agreement (Confidential Information) is hereby amended to delete the words “five years thereafter” and to insert in place thereof the words “ten years thereafter.”</w:t>
      </w:r>
    </w:p>
    <w:p>
      <w:pPr>
        <w:spacing w:after="0" w:line="140" w:lineRule="exact"/>
        <w:rPr>
          <w:rFonts w:ascii="Arial" w:cs="Arial" w:eastAsia="Arial" w:hAnsi="Arial"/>
          <w:sz w:val="15"/>
          <w:szCs w:val="15"/>
          <w:color w:val="auto"/>
        </w:rPr>
      </w:pPr>
    </w:p>
    <w:p>
      <w:pPr>
        <w:ind w:left="1100" w:hanging="551"/>
        <w:spacing w:after="0"/>
        <w:tabs>
          <w:tab w:leader="none" w:pos="1100" w:val="left"/>
        </w:tabs>
        <w:numPr>
          <w:ilvl w:val="0"/>
          <w:numId w:val="606"/>
        </w:numPr>
        <w:rPr>
          <w:rFonts w:ascii="Arial" w:cs="Arial" w:eastAsia="Arial" w:hAnsi="Arial"/>
          <w:sz w:val="15"/>
          <w:szCs w:val="15"/>
          <w:color w:val="auto"/>
        </w:rPr>
      </w:pPr>
      <w:r>
        <w:rPr>
          <w:rFonts w:ascii="Arial" w:cs="Arial" w:eastAsia="Arial" w:hAnsi="Arial"/>
          <w:sz w:val="15"/>
          <w:szCs w:val="15"/>
          <w:u w:val="single" w:color="auto"/>
          <w:color w:val="auto"/>
        </w:rPr>
        <w:t>Noncompetition</w:t>
      </w:r>
      <w:r>
        <w:rPr>
          <w:rFonts w:ascii="Arial" w:cs="Arial" w:eastAsia="Arial" w:hAnsi="Arial"/>
          <w:sz w:val="15"/>
          <w:szCs w:val="15"/>
          <w:color w:val="auto"/>
        </w:rPr>
        <w:t>. The Original Agreement is hereby amended to delete Section 11 (Noncompetition) in its entirety and to insert the following in its place:</w:t>
      </w:r>
    </w:p>
    <w:p>
      <w:pPr>
        <w:spacing w:after="0" w:line="198" w:lineRule="exact"/>
        <w:rPr>
          <w:rFonts w:ascii="Arial" w:cs="Arial" w:eastAsia="Arial" w:hAnsi="Arial"/>
          <w:sz w:val="15"/>
          <w:szCs w:val="15"/>
          <w:color w:val="auto"/>
        </w:rPr>
      </w:pPr>
    </w:p>
    <w:p>
      <w:pPr>
        <w:ind w:left="540" w:right="60" w:firstLine="564"/>
        <w:spacing w:after="0" w:line="268" w:lineRule="auto"/>
        <w:tabs>
          <w:tab w:leader="none" w:pos="1642" w:val="left"/>
        </w:tabs>
        <w:numPr>
          <w:ilvl w:val="1"/>
          <w:numId w:val="606"/>
        </w:numPr>
        <w:rPr>
          <w:rFonts w:ascii="Arial" w:cs="Arial" w:eastAsia="Arial" w:hAnsi="Arial"/>
          <w:sz w:val="15"/>
          <w:szCs w:val="15"/>
          <w:color w:val="auto"/>
        </w:rPr>
      </w:pPr>
      <w:r>
        <w:rPr>
          <w:rFonts w:ascii="Arial" w:cs="Arial" w:eastAsia="Arial" w:hAnsi="Arial"/>
          <w:sz w:val="15"/>
          <w:szCs w:val="15"/>
          <w:u w:val="single" w:color="auto"/>
          <w:color w:val="auto"/>
        </w:rPr>
        <w:t>Noncompetition</w:t>
      </w:r>
      <w:r>
        <w:rPr>
          <w:rFonts w:ascii="Arial" w:cs="Arial" w:eastAsia="Arial" w:hAnsi="Arial"/>
          <w:sz w:val="15"/>
          <w:szCs w:val="15"/>
          <w:color w:val="auto"/>
        </w:rPr>
        <w:t>. Subject to written waivers that may be provided by the Company upon request, which shall not be unreasonably withheld or delayed, the Consultant agrees that, during the term of this Agreement, the Consultant shall not directly or indirectly (i) provide any services in the Field of Interest to any Person other than the Company, or (ii) become an owner, partner, shareholder, consultant, agent, employee or co-venturer of any Person that has committed, or intends to commit, significant resources to the Field of Interest.</w:t>
      </w:r>
    </w:p>
    <w:p>
      <w:pPr>
        <w:spacing w:after="0" w:line="156" w:lineRule="exact"/>
        <w:rPr>
          <w:sz w:val="20"/>
          <w:szCs w:val="20"/>
          <w:color w:val="auto"/>
        </w:rPr>
      </w:pPr>
    </w:p>
    <w:p>
      <w:pPr>
        <w:jc w:val="both"/>
        <w:ind w:left="540" w:right="320" w:firstLine="556"/>
        <w:spacing w:after="0" w:line="273" w:lineRule="auto"/>
        <w:rPr>
          <w:sz w:val="20"/>
          <w:szCs w:val="20"/>
          <w:color w:val="auto"/>
        </w:rPr>
      </w:pPr>
      <w:r>
        <w:rPr>
          <w:rFonts w:ascii="Arial" w:cs="Arial" w:eastAsia="Arial" w:hAnsi="Arial"/>
          <w:sz w:val="15"/>
          <w:szCs w:val="15"/>
          <w:color w:val="auto"/>
        </w:rPr>
        <w:t>Notwithstanding anything to the contrary contained in Section 11(ii), the Consultant may purchase as a passive investment up to one percent (1%) of any class or series of outstanding voting securities of any Person that has committed significant resources to the Field of Interest if such class or series is listed on a national or regional securities exchange or publicly traded in the “over-the-counter” market.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firstLine="549"/>
        <w:spacing w:after="0" w:line="289" w:lineRule="auto"/>
        <w:tabs>
          <w:tab w:leader="none" w:pos="1112" w:val="left"/>
        </w:tabs>
        <w:numPr>
          <w:ilvl w:val="0"/>
          <w:numId w:val="607"/>
        </w:numPr>
        <w:rPr>
          <w:rFonts w:ascii="Arial" w:cs="Arial" w:eastAsia="Arial" w:hAnsi="Arial"/>
          <w:sz w:val="15"/>
          <w:szCs w:val="15"/>
          <w:color w:val="auto"/>
        </w:rPr>
      </w:pPr>
      <w:r>
        <w:rPr>
          <w:rFonts w:ascii="Arial" w:cs="Arial" w:eastAsia="Arial" w:hAnsi="Arial"/>
          <w:sz w:val="15"/>
          <w:szCs w:val="15"/>
          <w:u w:val="single" w:color="auto"/>
          <w:color w:val="auto"/>
        </w:rPr>
        <w:t>Field of Interest</w:t>
      </w:r>
      <w:r>
        <w:rPr>
          <w:rFonts w:ascii="Arial" w:cs="Arial" w:eastAsia="Arial" w:hAnsi="Arial"/>
          <w:sz w:val="15"/>
          <w:szCs w:val="15"/>
          <w:color w:val="auto"/>
        </w:rPr>
        <w:t>. Section 14(j) of the Original Agreement (Miscellaneous) is hereby amended to delete the definition of Field of Interest in its entirety and to insert the following in its place:</w:t>
      </w:r>
    </w:p>
    <w:p>
      <w:pPr>
        <w:spacing w:after="0" w:line="141" w:lineRule="exact"/>
        <w:rPr>
          <w:sz w:val="20"/>
          <w:szCs w:val="20"/>
          <w:color w:val="auto"/>
        </w:rPr>
      </w:pPr>
    </w:p>
    <w:p>
      <w:pPr>
        <w:ind w:left="540" w:right="60" w:firstLine="556"/>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Field of Interest</w:t>
      </w:r>
      <w:r>
        <w:rPr>
          <w:rFonts w:ascii="Arial" w:cs="Arial" w:eastAsia="Arial" w:hAnsi="Arial"/>
          <w:sz w:val="15"/>
          <w:szCs w:val="15"/>
          <w:color w:val="auto"/>
        </w:rPr>
        <w:t>” shall mean (i) immunomodulatory polymeric nanoparticles for prophylactic and therapeutic applications, and (ii) immunomodulatory lipid/polymer hybrid nanoparticles for prophylactic and therapeutic applications, provided that not less than ten percent (10%) of the weight of the particle is composed of polymers. Immunomodulatory nanoparticles shall mean nanoparticles into which immunological adjuvant(s) have been incorporated.</w:t>
      </w:r>
    </w:p>
    <w:p>
      <w:pPr>
        <w:spacing w:after="0" w:line="153" w:lineRule="exact"/>
        <w:rPr>
          <w:sz w:val="20"/>
          <w:szCs w:val="20"/>
          <w:color w:val="auto"/>
        </w:rPr>
      </w:pPr>
    </w:p>
    <w:p>
      <w:pPr>
        <w:ind w:right="380" w:firstLine="549"/>
        <w:spacing w:after="0" w:line="289" w:lineRule="auto"/>
        <w:tabs>
          <w:tab w:leader="none" w:pos="1112" w:val="left"/>
        </w:tabs>
        <w:numPr>
          <w:ilvl w:val="0"/>
          <w:numId w:val="608"/>
        </w:numPr>
        <w:rPr>
          <w:rFonts w:ascii="Arial" w:cs="Arial" w:eastAsia="Arial" w:hAnsi="Arial"/>
          <w:sz w:val="15"/>
          <w:szCs w:val="15"/>
          <w:color w:val="auto"/>
        </w:rPr>
      </w:pPr>
      <w:r>
        <w:rPr>
          <w:rFonts w:ascii="Arial" w:cs="Arial" w:eastAsia="Arial" w:hAnsi="Arial"/>
          <w:sz w:val="15"/>
          <w:szCs w:val="15"/>
          <w:u w:val="single" w:color="auto"/>
          <w:color w:val="auto"/>
        </w:rPr>
        <w:t>Ratification</w:t>
      </w:r>
      <w:r>
        <w:rPr>
          <w:rFonts w:ascii="Arial" w:cs="Arial" w:eastAsia="Arial" w:hAnsi="Arial"/>
          <w:sz w:val="15"/>
          <w:szCs w:val="15"/>
          <w:color w:val="auto"/>
        </w:rPr>
        <w:t>. The Original Agreement, as amended hereby, is hereby ratified and confirmed in all respects and shall continue in full force and effect. The Original Agreement shall, together with this First Amendment, be read and construed as a single agreement.</w:t>
      </w:r>
    </w:p>
    <w:p>
      <w:pPr>
        <w:spacing w:after="0" w:line="140" w:lineRule="exact"/>
        <w:rPr>
          <w:rFonts w:ascii="Arial" w:cs="Arial" w:eastAsia="Arial" w:hAnsi="Arial"/>
          <w:sz w:val="15"/>
          <w:szCs w:val="15"/>
          <w:color w:val="auto"/>
        </w:rPr>
      </w:pPr>
    </w:p>
    <w:p>
      <w:pPr>
        <w:ind w:right="640" w:firstLine="549"/>
        <w:spacing w:after="0" w:line="289" w:lineRule="auto"/>
        <w:tabs>
          <w:tab w:leader="none" w:pos="1112" w:val="left"/>
        </w:tabs>
        <w:numPr>
          <w:ilvl w:val="0"/>
          <w:numId w:val="608"/>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First Amendment shall be governed by, and construed and enforced in accordance with, the substantive laws of The Commonwealth of Massachusetts, without regard to its principles of conflicts of laws.</w:t>
      </w:r>
    </w:p>
    <w:p>
      <w:pPr>
        <w:spacing w:after="0" w:line="140" w:lineRule="exact"/>
        <w:rPr>
          <w:rFonts w:ascii="Arial" w:cs="Arial" w:eastAsia="Arial" w:hAnsi="Arial"/>
          <w:sz w:val="15"/>
          <w:szCs w:val="15"/>
          <w:color w:val="auto"/>
        </w:rPr>
      </w:pPr>
    </w:p>
    <w:p>
      <w:pPr>
        <w:ind w:right="640" w:firstLine="549"/>
        <w:spacing w:after="0" w:line="289" w:lineRule="auto"/>
        <w:tabs>
          <w:tab w:leader="none" w:pos="1112" w:val="left"/>
        </w:tabs>
        <w:numPr>
          <w:ilvl w:val="0"/>
          <w:numId w:val="608"/>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First Amendment may be executed in two or more counterparts, each of which shall be deemed an original, but all of which together shall constitute one and the same instrument.</w:t>
      </w:r>
    </w:p>
    <w:p>
      <w:pPr>
        <w:spacing w:after="0" w:line="141" w:lineRule="exact"/>
        <w:rPr>
          <w:sz w:val="20"/>
          <w:szCs w:val="20"/>
          <w:color w:val="auto"/>
        </w:rPr>
      </w:pPr>
    </w:p>
    <w:p>
      <w:pPr>
        <w:ind w:right="420" w:firstLine="556"/>
        <w:spacing w:after="0" w:line="289" w:lineRule="auto"/>
        <w:rPr>
          <w:sz w:val="20"/>
          <w:szCs w:val="20"/>
          <w:color w:val="auto"/>
        </w:rPr>
      </w:pPr>
      <w:r>
        <w:rPr>
          <w:rFonts w:ascii="Arial" w:cs="Arial" w:eastAsia="Arial" w:hAnsi="Arial"/>
          <w:sz w:val="15"/>
          <w:szCs w:val="15"/>
          <w:color w:val="auto"/>
        </w:rPr>
        <w:t>IN WITNESS WHEREOF, the parties have executed this First Amendment to Independent Director Consulting Agreement as an instrument under seal as of the date first written above.</w:t>
      </w: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tbl>
      <w:tblPr>
        <w:tblLayout w:type="fixed"/>
        <w:tblInd w:w="5720" w:type="dxa"/>
        <w:tblCellMar>
          <w:top w:w="0" w:type="dxa"/>
          <w:left w:w="0" w:type="dxa"/>
          <w:bottom w:w="0" w:type="dxa"/>
          <w:right w:w="0" w:type="dxa"/>
        </w:tblCellMar>
      </w:tblPr>
      <w:tr>
        <w:trPr>
          <w:trHeight w:val="196"/>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Robert Bratzler</w:t>
            </w:r>
          </w:p>
        </w:tc>
      </w:tr>
      <w:tr>
        <w:trPr>
          <w:trHeight w:val="166"/>
        </w:trPr>
        <w:tc>
          <w:tcPr>
            <w:tcW w:w="520" w:type="dxa"/>
            <w:vAlign w:val="bottom"/>
          </w:tcPr>
          <w:p>
            <w:pPr>
              <w:spacing w:after="0"/>
              <w:rPr>
                <w:sz w:val="14"/>
                <w:szCs w:val="14"/>
                <w:color w:val="auto"/>
              </w:rPr>
            </w:pPr>
          </w:p>
        </w:tc>
        <w:tc>
          <w:tcPr>
            <w:tcW w:w="5200" w:type="dxa"/>
            <w:vAlign w:val="bottom"/>
          </w:tcPr>
          <w:p>
            <w:pPr>
              <w:spacing w:after="0" w:line="167" w:lineRule="exact"/>
              <w:rPr>
                <w:sz w:val="20"/>
                <w:szCs w:val="20"/>
                <w:color w:val="auto"/>
              </w:rPr>
            </w:pPr>
            <w:r>
              <w:rPr>
                <w:rFonts w:ascii="Arial" w:cs="Arial" w:eastAsia="Arial" w:hAnsi="Arial"/>
                <w:sz w:val="15"/>
                <w:szCs w:val="15"/>
                <w:color w:val="auto"/>
              </w:rPr>
              <w:t>Robert Bratzler</w:t>
            </w:r>
          </w:p>
        </w:tc>
      </w:tr>
      <w:tr>
        <w:trPr>
          <w:trHeight w:val="196"/>
        </w:trPr>
        <w:tc>
          <w:tcPr>
            <w:tcW w:w="5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Executive Chairman</w:t>
            </w:r>
          </w:p>
        </w:tc>
      </w:tr>
    </w:tbl>
    <w:p>
      <w:pPr>
        <w:spacing w:after="0" w:line="36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CONSULTANT:</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George R. Siber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14605</wp:posOffset>
            </wp:positionV>
            <wp:extent cx="3625850" cy="762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George R. Siber, M.D.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728599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404495</wp:posOffset>
            </wp:positionV>
            <wp:extent cx="1713865" cy="51498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713865" cy="51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5060" w:type="dxa"/>
        <w:tblCellMar>
          <w:top w:w="0" w:type="dxa"/>
          <w:left w:w="0" w:type="dxa"/>
          <w:bottom w:w="0" w:type="dxa"/>
          <w:right w:w="0" w:type="dxa"/>
        </w:tblCellMar>
      </w:tblPr>
      <w:tr>
        <w:trPr>
          <w:trHeight w:val="202"/>
        </w:trPr>
        <w:tc>
          <w:tcPr>
            <w:tcW w:w="3480" w:type="dxa"/>
            <w:vAlign w:val="bottom"/>
          </w:tcPr>
          <w:p>
            <w:pPr>
              <w:spacing w:after="0"/>
              <w:rPr>
                <w:sz w:val="20"/>
                <w:szCs w:val="20"/>
                <w:color w:val="auto"/>
              </w:rPr>
            </w:pPr>
            <w:r>
              <w:rPr>
                <w:rFonts w:ascii="Arial" w:cs="Arial" w:eastAsia="Arial" w:hAnsi="Arial"/>
                <w:sz w:val="15"/>
                <w:szCs w:val="15"/>
                <w:b w:val="1"/>
                <w:bCs w:val="1"/>
                <w:color w:val="auto"/>
              </w:rPr>
              <w:t>Selecta Biosciences, Inc.</w:t>
            </w:r>
          </w:p>
        </w:tc>
        <w:tc>
          <w:tcPr>
            <w:tcW w:w="2900" w:type="dxa"/>
            <w:vAlign w:val="bottom"/>
          </w:tcPr>
          <w:p>
            <w:pPr>
              <w:jc w:val="right"/>
              <w:spacing w:after="0"/>
              <w:rPr>
                <w:sz w:val="20"/>
                <w:szCs w:val="20"/>
                <w:color w:val="auto"/>
              </w:rPr>
            </w:pPr>
            <w:r>
              <w:rPr>
                <w:rFonts w:ascii="Arial" w:cs="Arial" w:eastAsia="Arial" w:hAnsi="Arial"/>
                <w:sz w:val="15"/>
                <w:szCs w:val="15"/>
                <w:color w:val="auto"/>
              </w:rPr>
              <w:t>www.selectabio.com</w:t>
            </w:r>
          </w:p>
        </w:tc>
      </w:tr>
      <w:tr>
        <w:trPr>
          <w:trHeight w:val="371"/>
        </w:trPr>
        <w:tc>
          <w:tcPr>
            <w:tcW w:w="3480" w:type="dxa"/>
            <w:vAlign w:val="bottom"/>
          </w:tcPr>
          <w:p>
            <w:pPr>
              <w:spacing w:after="0"/>
              <w:rPr>
                <w:sz w:val="20"/>
                <w:szCs w:val="20"/>
                <w:color w:val="auto"/>
              </w:rPr>
            </w:pPr>
            <w:r>
              <w:rPr>
                <w:rFonts w:ascii="Arial" w:cs="Arial" w:eastAsia="Arial" w:hAnsi="Arial"/>
                <w:sz w:val="15"/>
                <w:szCs w:val="15"/>
                <w:color w:val="auto"/>
              </w:rPr>
              <w:t>480 Arsenal St., Building One</w:t>
            </w:r>
          </w:p>
        </w:tc>
        <w:tc>
          <w:tcPr>
            <w:tcW w:w="2900" w:type="dxa"/>
            <w:vAlign w:val="bottom"/>
          </w:tcPr>
          <w:p>
            <w:pPr>
              <w:jc w:val="right"/>
              <w:spacing w:after="0"/>
              <w:rPr>
                <w:sz w:val="20"/>
                <w:szCs w:val="20"/>
                <w:color w:val="auto"/>
              </w:rPr>
            </w:pPr>
            <w:r>
              <w:rPr>
                <w:rFonts w:ascii="Arial" w:cs="Arial" w:eastAsia="Arial" w:hAnsi="Arial"/>
                <w:sz w:val="15"/>
                <w:szCs w:val="15"/>
                <w:color w:val="auto"/>
              </w:rPr>
              <w:t>phone 617.923.1400</w:t>
            </w:r>
          </w:p>
        </w:tc>
      </w:tr>
      <w:tr>
        <w:trPr>
          <w:trHeight w:val="371"/>
        </w:trPr>
        <w:tc>
          <w:tcPr>
            <w:tcW w:w="3480" w:type="dxa"/>
            <w:vAlign w:val="bottom"/>
          </w:tcPr>
          <w:p>
            <w:pPr>
              <w:spacing w:after="0"/>
              <w:rPr>
                <w:sz w:val="20"/>
                <w:szCs w:val="20"/>
                <w:color w:val="auto"/>
              </w:rPr>
            </w:pPr>
            <w:r>
              <w:rPr>
                <w:rFonts w:ascii="Arial" w:cs="Arial" w:eastAsia="Arial" w:hAnsi="Arial"/>
                <w:sz w:val="15"/>
                <w:szCs w:val="15"/>
                <w:color w:val="auto"/>
              </w:rPr>
              <w:t>Watertown, MA 02472</w:t>
            </w:r>
          </w:p>
        </w:tc>
        <w:tc>
          <w:tcPr>
            <w:tcW w:w="2900" w:type="dxa"/>
            <w:vAlign w:val="bottom"/>
          </w:tcPr>
          <w:p>
            <w:pPr>
              <w:jc w:val="right"/>
              <w:spacing w:after="0"/>
              <w:rPr>
                <w:sz w:val="20"/>
                <w:szCs w:val="20"/>
                <w:color w:val="auto"/>
              </w:rPr>
            </w:pPr>
            <w:r>
              <w:rPr>
                <w:rFonts w:ascii="Arial" w:cs="Arial" w:eastAsia="Arial" w:hAnsi="Arial"/>
                <w:sz w:val="15"/>
                <w:szCs w:val="15"/>
                <w:color w:val="auto"/>
              </w:rPr>
              <w:t>fax 617.924.3454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June 1, 2016</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George Siber, M.D.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Dear George,</w:t>
      </w:r>
    </w:p>
    <w:p>
      <w:pPr>
        <w:spacing w:after="0" w:line="198" w:lineRule="exact"/>
        <w:rPr>
          <w:sz w:val="20"/>
          <w:szCs w:val="20"/>
          <w:color w:val="auto"/>
        </w:rPr>
      </w:pPr>
    </w:p>
    <w:p>
      <w:pPr>
        <w:ind w:right="480"/>
        <w:spacing w:after="0" w:line="327" w:lineRule="auto"/>
        <w:rPr>
          <w:sz w:val="20"/>
          <w:szCs w:val="20"/>
          <w:color w:val="auto"/>
        </w:rPr>
      </w:pPr>
      <w:r>
        <w:rPr>
          <w:rFonts w:ascii="Arial" w:cs="Arial" w:eastAsia="Arial" w:hAnsi="Arial"/>
          <w:sz w:val="14"/>
          <w:szCs w:val="14"/>
          <w:color w:val="auto"/>
        </w:rPr>
        <w:t>Reference is made to that certain Independent Director Consulting Agreement, dated as of May 5, 2009, as amended by the First Amendment to Independent Director Consulting Agreement, dated as of July 22, 2009, by and between Selecta Biosciences, Inc. (the “Company”) and you (as amended, the “Consulting Agreement”).</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4"/>
          <w:szCs w:val="14"/>
          <w:color w:val="auto"/>
        </w:rPr>
        <w:t>The Company hereby notifies you of the termination of the Consulting Agreement effective upon the closing of the initial public offering of the Company’s common stock pursuant to the Registration Statement on Form S-1 (File No. 333-211555) (the “Termination Date”). For services prior to the Termination Date, the Company shall pay you (i) for any unpaid services rendered under the Consulting Agreement prior to the Termination Date and (ii) an amount equal to the consulting fee paid to you during the 30 days preceding the date of the Termination Date. Such payment will fulfill the Company’s obligations to you under the Consulting Agreement in their entirety. We remind you of your continuing obligations under</w:t>
      </w:r>
    </w:p>
    <w:p>
      <w:pPr>
        <w:sectPr>
          <w:pgSz w:w="11900" w:h="16838" w:orient="portrait"/>
          <w:cols w:equalWidth="0" w:num="1">
            <w:col w:w="11440"/>
          </w:cols>
          <w:pgMar w:left="240" w:top="129" w:right="219" w:bottom="0" w:gutter="0" w:footer="0" w:header="0"/>
        </w:sectPr>
      </w:pPr>
    </w:p>
    <w:bookmarkStart w:id="436" w:name="page437"/>
    <w:bookmarkEnd w:id="436"/>
    <w:p>
      <w:pPr>
        <w:ind w:right="420"/>
        <w:spacing w:after="0" w:line="289" w:lineRule="auto"/>
        <w:rPr>
          <w:sz w:val="20"/>
          <w:szCs w:val="20"/>
          <w:color w:val="auto"/>
        </w:rPr>
      </w:pPr>
      <w:r>
        <w:rPr>
          <w:rFonts w:ascii="Arial" w:cs="Arial" w:eastAsia="Arial" w:hAnsi="Arial"/>
          <w:sz w:val="15"/>
          <w:szCs w:val="15"/>
          <w:color w:val="auto"/>
        </w:rPr>
        <w:t>the Consulting Agreement regarding Confidential Information, Inventions, Obligation to Cooperate, Noncompetition, Nonsolicitation, Return of Property, and other matters in accordance with Section 14(h) thereof.</w:t>
      </w:r>
    </w:p>
    <w:p>
      <w:pPr>
        <w:spacing w:after="0" w:line="141"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By signing below, you hereby acknowledge and agree that the Consulting Agreement shall terminate effective upon the Termination Date, and waive the thirty (30) day notice period pursuant to Section 4 of the Consulting Agreement.</w:t>
      </w: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Sincerely,</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14605</wp:posOffset>
            </wp:positionV>
            <wp:extent cx="3632835" cy="762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Werner Cautreels, Ph.D.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President and 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Acknowledged and agreed:</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/s/ George Siber,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632835" cy="762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George Siber,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200"/>
          </w:cols>
          <w:pgMar w:left="240" w:top="129" w:right="459" w:bottom="1440" w:gutter="0" w:footer="0" w:header="0"/>
        </w:sectPr>
      </w:pPr>
    </w:p>
    <w:bookmarkStart w:id="437" w:name="page438"/>
    <w:bookmarkEnd w:id="437"/>
    <w:p>
      <w:pPr>
        <w:jc w:val="right"/>
        <w:spacing w:after="0"/>
        <w:rPr>
          <w:sz w:val="20"/>
          <w:szCs w:val="20"/>
          <w:color w:val="auto"/>
        </w:rPr>
      </w:pPr>
      <w:r>
        <w:rPr>
          <w:rFonts w:ascii="Arial" w:cs="Arial" w:eastAsia="Arial" w:hAnsi="Arial"/>
          <w:sz w:val="15"/>
          <w:szCs w:val="15"/>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04" w:lineRule="exact"/>
        <w:rPr>
          <w:sz w:val="20"/>
          <w:szCs w:val="20"/>
          <w:color w:val="auto"/>
        </w:rPr>
      </w:pPr>
    </w:p>
    <w:p>
      <w:pPr>
        <w:ind w:right="80"/>
        <w:spacing w:after="0" w:line="327" w:lineRule="auto"/>
        <w:rPr>
          <w:sz w:val="20"/>
          <w:szCs w:val="20"/>
          <w:color w:val="auto"/>
        </w:rPr>
      </w:pPr>
      <w:r>
        <w:rPr>
          <w:rFonts w:ascii="Arial" w:cs="Arial" w:eastAsia="Arial" w:hAnsi="Arial"/>
          <w:sz w:val="14"/>
          <w:szCs w:val="14"/>
          <w:color w:val="auto"/>
        </w:rPr>
        <w:t>We consent to the reference to our firm under the caption “Experts” and to the use of our report dated March 30, 2016 (except for Note 17(b) as to which the date is June 8, 2016) in the Amendment No. 1 to the Registration Statement (Form S-1 No. 333-211555) and related Prospectus of Selecta Biosciences, Inc. for the registration of its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June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sectPr>
      <w:pgSz w:w="11900" w:h="16838" w:orient="portrait"/>
      <w:cols w:equalWidth="0" w:num="1">
        <w:col w:w="11440"/>
      </w:cols>
      <w:pgMar w:left="240" w:top="3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2DD275"/>
    <w:multiLevelType w:val="hybridMultilevel"/>
    <w:lvl w:ilvl="0">
      <w:lvlJc w:val="left"/>
      <w:lvlText w:val="(%1)"/>
      <w:numFmt w:val="decimal"/>
      <w:start w:val="1"/>
    </w:lvl>
  </w:abstractNum>
  <w:abstractNum w:abstractNumId="1">
    <w:nsid w:val="2E17ECA7"/>
    <w:multiLevelType w:val="hybridMultilevel"/>
    <w:lvl w:ilvl="0">
      <w:lvlJc w:val="left"/>
      <w:lvlText w:val="(%1)"/>
      <w:numFmt w:val="decimal"/>
      <w:start w:val="2"/>
    </w:lvl>
  </w:abstractNum>
  <w:abstractNum w:abstractNumId="2">
    <w:nsid w:val="53B2564F"/>
    <w:multiLevelType w:val="hybridMultilevel"/>
    <w:lvl w:ilvl="0">
      <w:lvlJc w:val="left"/>
      <w:lvlText w:val="(%1)"/>
      <w:numFmt w:val="decimal"/>
      <w:start w:val="1"/>
    </w:lvl>
  </w:abstractNum>
  <w:abstractNum w:abstractNumId="3">
    <w:nsid w:val="75509D76"/>
    <w:multiLevelType w:val="hybridMultilevel"/>
    <w:lvl w:ilvl="0">
      <w:lvlJc w:val="left"/>
      <w:lvlText w:val="•"/>
      <w:numFmt w:val="bullet"/>
      <w:start w:val="1"/>
    </w:lvl>
  </w:abstractNum>
  <w:abstractNum w:abstractNumId="4">
    <w:nsid w:val="1AF7F0EA"/>
    <w:multiLevelType w:val="hybridMultilevel"/>
    <w:lvl w:ilvl="0">
      <w:lvlJc w:val="left"/>
      <w:lvlText w:val="•"/>
      <w:numFmt w:val="bullet"/>
      <w:start w:val="1"/>
    </w:lvl>
  </w:abstractNum>
  <w:abstractNum w:abstractNumId="5">
    <w:nsid w:val="4DA32C7E"/>
    <w:multiLevelType w:val="hybridMultilevel"/>
    <w:lvl w:ilvl="0">
      <w:lvlJc w:val="left"/>
      <w:lvlText w:val="•"/>
      <w:numFmt w:val="bullet"/>
      <w:start w:val="1"/>
    </w:lvl>
  </w:abstractNum>
  <w:abstractNum w:abstractNumId="6">
    <w:nsid w:val="6EC68664"/>
    <w:multiLevelType w:val="hybridMultilevel"/>
    <w:lvl w:ilvl="0">
      <w:lvlJc w:val="left"/>
      <w:lvlText w:val="•"/>
      <w:numFmt w:val="bullet"/>
      <w:start w:val="1"/>
    </w:lvl>
  </w:abstractNum>
  <w:abstractNum w:abstractNumId="7">
    <w:nsid w:val="E0D31FF"/>
    <w:multiLevelType w:val="hybridMultilevel"/>
    <w:lvl w:ilvl="0">
      <w:lvlJc w:val="left"/>
      <w:lvlText w:val="•"/>
      <w:numFmt w:val="bullet"/>
      <w:start w:val="1"/>
    </w:lvl>
  </w:abstractNum>
  <w:abstractNum w:abstractNumId="8">
    <w:nsid w:val="2FD0AD81"/>
    <w:multiLevelType w:val="hybridMultilevel"/>
    <w:lvl w:ilvl="0">
      <w:lvlJc w:val="left"/>
      <w:lvlText w:val="•"/>
      <w:numFmt w:val="bullet"/>
      <w:start w:val="1"/>
    </w:lvl>
  </w:abstractNum>
  <w:abstractNum w:abstractNumId="9">
    <w:nsid w:val="1978EBEB"/>
    <w:multiLevelType w:val="hybridMultilevel"/>
    <w:lvl w:ilvl="0">
      <w:lvlJc w:val="left"/>
      <w:lvlText w:val="•"/>
      <w:numFmt w:val="bullet"/>
      <w:start w:val="1"/>
    </w:lvl>
  </w:abstractNum>
  <w:abstractNum w:abstractNumId="10">
    <w:nsid w:val="52C12C61"/>
    <w:multiLevelType w:val="hybridMultilevel"/>
    <w:lvl w:ilvl="0">
      <w:lvlJc w:val="left"/>
      <w:lvlText w:val="•"/>
      <w:numFmt w:val="bullet"/>
      <w:start w:val="1"/>
    </w:lvl>
  </w:abstractNum>
  <w:abstractNum w:abstractNumId="11">
    <w:nsid w:val="4BDD53FD"/>
    <w:multiLevelType w:val="hybridMultilevel"/>
    <w:lvl w:ilvl="0">
      <w:lvlJc w:val="left"/>
      <w:lvlText w:val="•"/>
      <w:numFmt w:val="bullet"/>
      <w:start w:val="1"/>
    </w:lvl>
  </w:abstractNum>
  <w:abstractNum w:abstractNumId="12">
    <w:nsid w:val="569951FE"/>
    <w:multiLevelType w:val="hybridMultilevel"/>
    <w:lvl w:ilvl="0">
      <w:lvlJc w:val="left"/>
      <w:lvlText w:val="•"/>
      <w:numFmt w:val="bullet"/>
      <w:start w:val="1"/>
    </w:lvl>
  </w:abstractNum>
  <w:abstractNum w:abstractNumId="13">
    <w:nsid w:val="4C54E2C3"/>
    <w:multiLevelType w:val="hybridMultilevel"/>
    <w:lvl w:ilvl="0">
      <w:lvlJc w:val="left"/>
      <w:lvlText w:val="(%1)"/>
      <w:numFmt w:val="decimal"/>
      <w:start w:val="1"/>
    </w:lvl>
  </w:abstractNum>
  <w:abstractNum w:abstractNumId="14">
    <w:nsid w:val="788BD9B"/>
    <w:multiLevelType w:val="hybridMultilevel"/>
    <w:lvl w:ilvl="0">
      <w:lvlJc w:val="left"/>
      <w:lvlText w:val="(%1)"/>
      <w:numFmt w:val="decimal"/>
      <w:start w:val="1"/>
    </w:lvl>
  </w:abstractNum>
  <w:abstractNum w:abstractNumId="15">
    <w:nsid w:val="47CAA567"/>
    <w:multiLevelType w:val="hybridMultilevel"/>
    <w:lvl w:ilvl="0">
      <w:lvlJc w:val="left"/>
      <w:lvlText w:val="•"/>
      <w:numFmt w:val="bullet"/>
      <w:start w:val="1"/>
    </w:lvl>
  </w:abstractNum>
  <w:abstractNum w:abstractNumId="16">
    <w:nsid w:val="48249DBF"/>
    <w:multiLevelType w:val="hybridMultilevel"/>
    <w:lvl w:ilvl="0">
      <w:lvlJc w:val="left"/>
      <w:lvlText w:val="•"/>
      <w:numFmt w:val="bullet"/>
      <w:start w:val="1"/>
    </w:lvl>
  </w:abstractNum>
  <w:abstractNum w:abstractNumId="17">
    <w:nsid w:val="1F0E5D0D"/>
    <w:multiLevelType w:val="hybridMultilevel"/>
    <w:lvl w:ilvl="0">
      <w:lvlJc w:val="left"/>
      <w:lvlText w:val="•"/>
      <w:numFmt w:val="bullet"/>
      <w:start w:val="1"/>
    </w:lvl>
  </w:abstractNum>
  <w:abstractNum w:abstractNumId="18">
    <w:nsid w:val="26BAAE9"/>
    <w:multiLevelType w:val="hybridMultilevel"/>
    <w:lvl w:ilvl="0">
      <w:lvlJc w:val="left"/>
      <w:lvlText w:val="•"/>
      <w:numFmt w:val="bullet"/>
      <w:start w:val="1"/>
    </w:lvl>
  </w:abstractNum>
  <w:abstractNum w:abstractNumId="19">
    <w:nsid w:val="2C02FE8C"/>
    <w:multiLevelType w:val="hybridMultilevel"/>
    <w:lvl w:ilvl="0">
      <w:lvlJc w:val="left"/>
      <w:lvlText w:val="•"/>
      <w:numFmt w:val="bullet"/>
      <w:start w:val="1"/>
    </w:lvl>
  </w:abstractNum>
  <w:abstractNum w:abstractNumId="20">
    <w:nsid w:val="129517E"/>
    <w:multiLevelType w:val="hybridMultilevel"/>
    <w:lvl w:ilvl="0">
      <w:lvlJc w:val="left"/>
      <w:lvlText w:val="•"/>
      <w:numFmt w:val="bullet"/>
      <w:start w:val="1"/>
    </w:lvl>
  </w:abstractNum>
  <w:abstractNum w:abstractNumId="21">
    <w:nsid w:val="763B8C4E"/>
    <w:multiLevelType w:val="hybridMultilevel"/>
    <w:lvl w:ilvl="0">
      <w:lvlJc w:val="left"/>
      <w:lvlText w:val="•"/>
      <w:numFmt w:val="bullet"/>
      <w:start w:val="1"/>
    </w:lvl>
  </w:abstractNum>
  <w:abstractNum w:abstractNumId="22">
    <w:nsid w:val="4CFB8D32"/>
    <w:multiLevelType w:val="hybridMultilevel"/>
    <w:lvl w:ilvl="0">
      <w:lvlJc w:val="left"/>
      <w:lvlText w:val="•"/>
      <w:numFmt w:val="bullet"/>
      <w:start w:val="1"/>
    </w:lvl>
  </w:abstractNum>
  <w:abstractNum w:abstractNumId="23">
    <w:nsid w:val="62A5D5BD"/>
    <w:multiLevelType w:val="hybridMultilevel"/>
    <w:lvl w:ilvl="0">
      <w:lvlJc w:val="left"/>
      <w:lvlText w:val="•"/>
      <w:numFmt w:val="bullet"/>
      <w:start w:val="1"/>
    </w:lvl>
  </w:abstractNum>
  <w:abstractNum w:abstractNumId="24">
    <w:nsid w:val="718FABF9"/>
    <w:multiLevelType w:val="hybridMultilevel"/>
    <w:lvl w:ilvl="0">
      <w:lvlJc w:val="left"/>
      <w:lvlText w:val="•"/>
      <w:numFmt w:val="bullet"/>
      <w:start w:val="1"/>
    </w:lvl>
  </w:abstractNum>
  <w:abstractNum w:abstractNumId="25">
    <w:nsid w:val="7775797C"/>
    <w:multiLevelType w:val="hybridMultilevel"/>
    <w:lvl w:ilvl="0">
      <w:lvlJc w:val="left"/>
      <w:lvlText w:val="•"/>
      <w:numFmt w:val="bullet"/>
      <w:start w:val="1"/>
    </w:lvl>
  </w:abstractNum>
  <w:abstractNum w:abstractNumId="26">
    <w:nsid w:val="1626FB8C"/>
    <w:multiLevelType w:val="hybridMultilevel"/>
    <w:lvl w:ilvl="0">
      <w:lvlJc w:val="left"/>
      <w:lvlText w:val="•"/>
      <w:numFmt w:val="bullet"/>
      <w:start w:val="1"/>
    </w:lvl>
  </w:abstractNum>
  <w:abstractNum w:abstractNumId="27">
    <w:nsid w:val="3957756A"/>
    <w:multiLevelType w:val="hybridMultilevel"/>
    <w:lvl w:ilvl="0">
      <w:lvlJc w:val="left"/>
      <w:lvlText w:val="•"/>
      <w:numFmt w:val="bullet"/>
      <w:start w:val="1"/>
    </w:lvl>
  </w:abstractNum>
  <w:abstractNum w:abstractNumId="28">
    <w:nsid w:val="3E6DA1C7"/>
    <w:multiLevelType w:val="hybridMultilevel"/>
    <w:lvl w:ilvl="0">
      <w:lvlJc w:val="left"/>
      <w:lvlText w:val="•"/>
      <w:numFmt w:val="bullet"/>
      <w:start w:val="1"/>
    </w:lvl>
  </w:abstractNum>
  <w:abstractNum w:abstractNumId="29">
    <w:nsid w:val="65CA235B"/>
    <w:multiLevelType w:val="hybridMultilevel"/>
    <w:lvl w:ilvl="0">
      <w:lvlJc w:val="left"/>
      <w:lvlText w:val="•"/>
      <w:numFmt w:val="bullet"/>
      <w:start w:val="1"/>
    </w:lvl>
  </w:abstractNum>
  <w:abstractNum w:abstractNumId="30">
    <w:nsid w:val="51CB0DA4"/>
    <w:multiLevelType w:val="hybridMultilevel"/>
    <w:lvl w:ilvl="0">
      <w:lvlJc w:val="left"/>
      <w:lvlText w:val="•"/>
      <w:numFmt w:val="bullet"/>
      <w:start w:val="1"/>
    </w:lvl>
  </w:abstractNum>
  <w:abstractNum w:abstractNumId="31">
    <w:nsid w:val="7B9B743C"/>
    <w:multiLevelType w:val="hybridMultilevel"/>
    <w:lvl w:ilvl="0">
      <w:lvlJc w:val="left"/>
      <w:lvlText w:val="•"/>
      <w:numFmt w:val="bullet"/>
      <w:start w:val="1"/>
    </w:lvl>
  </w:abstractNum>
  <w:abstractNum w:abstractNumId="32">
    <w:nsid w:val="13E21002"/>
    <w:multiLevelType w:val="hybridMultilevel"/>
    <w:lvl w:ilvl="0">
      <w:lvlJc w:val="left"/>
      <w:lvlText w:val="•"/>
      <w:numFmt w:val="bullet"/>
      <w:start w:val="1"/>
    </w:lvl>
  </w:abstractNum>
  <w:abstractNum w:abstractNumId="33">
    <w:nsid w:val="257D63F4"/>
    <w:multiLevelType w:val="hybridMultilevel"/>
    <w:lvl w:ilvl="0">
      <w:lvlJc w:val="left"/>
      <w:lvlText w:val="•"/>
      <w:numFmt w:val="bullet"/>
      <w:start w:val="1"/>
    </w:lvl>
  </w:abstractNum>
  <w:abstractNum w:abstractNumId="34">
    <w:nsid w:val="70EC11B2"/>
    <w:multiLevelType w:val="hybridMultilevel"/>
    <w:lvl w:ilvl="0">
      <w:lvlJc w:val="left"/>
      <w:lvlText w:val="•"/>
      <w:numFmt w:val="bullet"/>
      <w:start w:val="1"/>
    </w:lvl>
  </w:abstractNum>
  <w:abstractNum w:abstractNumId="35">
    <w:nsid w:val="2EDA00ED"/>
    <w:multiLevelType w:val="hybridMultilevel"/>
    <w:lvl w:ilvl="0">
      <w:lvlJc w:val="left"/>
      <w:lvlText w:val="•"/>
      <w:numFmt w:val="bullet"/>
      <w:start w:val="1"/>
    </w:lvl>
  </w:abstractNum>
  <w:abstractNum w:abstractNumId="36">
    <w:nsid w:val="73209072"/>
    <w:multiLevelType w:val="hybridMultilevel"/>
    <w:lvl w:ilvl="0">
      <w:lvlJc w:val="left"/>
      <w:lvlText w:val="•"/>
      <w:numFmt w:val="bullet"/>
      <w:start w:val="1"/>
    </w:lvl>
  </w:abstractNum>
  <w:abstractNum w:abstractNumId="37">
    <w:nsid w:val="5FB29816"/>
    <w:multiLevelType w:val="hybridMultilevel"/>
    <w:lvl w:ilvl="0">
      <w:lvlJc w:val="left"/>
      <w:lvlText w:val="•"/>
      <w:numFmt w:val="bullet"/>
      <w:start w:val="1"/>
    </w:lvl>
  </w:abstractNum>
  <w:abstractNum w:abstractNumId="38">
    <w:nsid w:val="3CE732EC"/>
    <w:multiLevelType w:val="hybridMultilevel"/>
    <w:lvl w:ilvl="0">
      <w:lvlJc w:val="left"/>
      <w:lvlText w:val="•"/>
      <w:numFmt w:val="bullet"/>
      <w:start w:val="1"/>
    </w:lvl>
  </w:abstractNum>
  <w:abstractNum w:abstractNumId="39">
    <w:nsid w:val="22F13DF3"/>
    <w:multiLevelType w:val="hybridMultilevel"/>
    <w:lvl w:ilvl="0">
      <w:lvlJc w:val="left"/>
      <w:lvlText w:val="•"/>
      <w:numFmt w:val="bullet"/>
      <w:start w:val="1"/>
    </w:lvl>
  </w:abstractNum>
  <w:abstractNum w:abstractNumId="40">
    <w:nsid w:val="792B8401"/>
    <w:multiLevelType w:val="hybridMultilevel"/>
    <w:lvl w:ilvl="0">
      <w:lvlJc w:val="left"/>
      <w:lvlText w:val="•"/>
      <w:numFmt w:val="bullet"/>
      <w:start w:val="1"/>
    </w:lvl>
  </w:abstractNum>
  <w:abstractNum w:abstractNumId="41">
    <w:nsid w:val="FA85F4D"/>
    <w:multiLevelType w:val="hybridMultilevel"/>
    <w:lvl w:ilvl="0">
      <w:lvlJc w:val="left"/>
      <w:lvlText w:val="•"/>
      <w:numFmt w:val="bullet"/>
      <w:start w:val="1"/>
    </w:lvl>
  </w:abstractNum>
  <w:abstractNum w:abstractNumId="42">
    <w:nsid w:val="6ECE91F0"/>
    <w:multiLevelType w:val="hybridMultilevel"/>
    <w:lvl w:ilvl="0">
      <w:lvlJc w:val="left"/>
      <w:lvlText w:val="•"/>
      <w:numFmt w:val="bullet"/>
      <w:start w:val="1"/>
    </w:lvl>
  </w:abstractNum>
  <w:abstractNum w:abstractNumId="43">
    <w:nsid w:val="4FC4D600"/>
    <w:multiLevelType w:val="hybridMultilevel"/>
    <w:lvl w:ilvl="0">
      <w:lvlJc w:val="left"/>
      <w:lvlText w:val="•"/>
      <w:numFmt w:val="bullet"/>
      <w:start w:val="1"/>
    </w:lvl>
  </w:abstractNum>
  <w:abstractNum w:abstractNumId="44">
    <w:nsid w:val="5BFD4210"/>
    <w:multiLevelType w:val="hybridMultilevel"/>
    <w:lvl w:ilvl="0">
      <w:lvlJc w:val="left"/>
      <w:lvlText w:val="•"/>
      <w:numFmt w:val="bullet"/>
      <w:start w:val="1"/>
    </w:lvl>
  </w:abstractNum>
  <w:abstractNum w:abstractNumId="45">
    <w:nsid w:val="76574F8B"/>
    <w:multiLevelType w:val="hybridMultilevel"/>
    <w:lvl w:ilvl="0">
      <w:lvlJc w:val="left"/>
      <w:lvlText w:val="•"/>
      <w:numFmt w:val="bullet"/>
      <w:start w:val="1"/>
    </w:lvl>
  </w:abstractNum>
  <w:abstractNum w:abstractNumId="46">
    <w:nsid w:val="178F7B67"/>
    <w:multiLevelType w:val="hybridMultilevel"/>
    <w:lvl w:ilvl="0">
      <w:lvlJc w:val="left"/>
      <w:lvlText w:val="(%1)"/>
      <w:numFmt w:val="decimal"/>
      <w:start w:val="4"/>
    </w:lvl>
  </w:abstractNum>
  <w:abstractNum w:abstractNumId="47">
    <w:nsid w:val="2421DFCF"/>
    <w:multiLevelType w:val="hybridMultilevel"/>
    <w:lvl w:ilvl="0">
      <w:lvlJc w:val="left"/>
      <w:lvlText w:val="•"/>
      <w:numFmt w:val="bullet"/>
      <w:start w:val="1"/>
    </w:lvl>
  </w:abstractNum>
  <w:abstractNum w:abstractNumId="48">
    <w:nsid w:val="1565AC99"/>
    <w:multiLevelType w:val="hybridMultilevel"/>
    <w:lvl w:ilvl="0">
      <w:lvlJc w:val="left"/>
      <w:lvlText w:val="•"/>
      <w:numFmt w:val="bullet"/>
      <w:start w:val="1"/>
    </w:lvl>
  </w:abstractNum>
  <w:abstractNum w:abstractNumId="49">
    <w:nsid w:val="19FB2650"/>
    <w:multiLevelType w:val="hybridMultilevel"/>
    <w:lvl w:ilvl="0">
      <w:lvlJc w:val="left"/>
      <w:lvlText w:val="•"/>
      <w:numFmt w:val="bullet"/>
      <w:start w:val="1"/>
    </w:lvl>
  </w:abstractNum>
  <w:abstractNum w:abstractNumId="50">
    <w:nsid w:val="5024DE5B"/>
    <w:multiLevelType w:val="hybridMultilevel"/>
    <w:lvl w:ilvl="0">
      <w:lvlJc w:val="left"/>
      <w:lvlText w:val="•"/>
      <w:numFmt w:val="bullet"/>
      <w:start w:val="1"/>
    </w:lvl>
  </w:abstractNum>
  <w:abstractNum w:abstractNumId="51">
    <w:nsid w:val="168EFE17"/>
    <w:multiLevelType w:val="hybridMultilevel"/>
    <w:lvl w:ilvl="0">
      <w:lvlJc w:val="left"/>
      <w:lvlText w:val="•"/>
      <w:numFmt w:val="bullet"/>
      <w:start w:val="1"/>
    </w:lvl>
  </w:abstractNum>
  <w:abstractNum w:abstractNumId="52">
    <w:nsid w:val="1036B29F"/>
    <w:multiLevelType w:val="hybridMultilevel"/>
    <w:lvl w:ilvl="0">
      <w:lvlJc w:val="left"/>
      <w:lvlText w:val="•"/>
      <w:numFmt w:val="bullet"/>
      <w:start w:val="1"/>
    </w:lvl>
  </w:abstractNum>
  <w:abstractNum w:abstractNumId="53">
    <w:nsid w:val="1D206B8E"/>
    <w:multiLevelType w:val="hybridMultilevel"/>
    <w:lvl w:ilvl="0">
      <w:lvlJc w:val="left"/>
      <w:lvlText w:val="•"/>
      <w:numFmt w:val="bullet"/>
      <w:start w:val="1"/>
    </w:lvl>
  </w:abstractNum>
  <w:abstractNum w:abstractNumId="54">
    <w:nsid w:val="7934D3D4"/>
    <w:multiLevelType w:val="hybridMultilevel"/>
    <w:lvl w:ilvl="0">
      <w:lvlJc w:val="left"/>
      <w:lvlText w:val="•"/>
      <w:numFmt w:val="bullet"/>
      <w:start w:val="1"/>
    </w:lvl>
  </w:abstractNum>
  <w:abstractNum w:abstractNumId="55">
    <w:nsid w:val="1C65E98"/>
    <w:multiLevelType w:val="hybridMultilevel"/>
    <w:lvl w:ilvl="0">
      <w:lvlJc w:val="left"/>
      <w:lvlText w:val="(%1)"/>
      <w:numFmt w:val="decimal"/>
      <w:start w:val="1"/>
    </w:lvl>
  </w:abstractNum>
  <w:abstractNum w:abstractNumId="56">
    <w:nsid w:val="1495E50A"/>
    <w:multiLevelType w:val="hybridMultilevel"/>
    <w:lvl w:ilvl="0">
      <w:lvlJc w:val="left"/>
      <w:lvlText w:val="•"/>
      <w:numFmt w:val="bullet"/>
      <w:start w:val="1"/>
    </w:lvl>
  </w:abstractNum>
  <w:abstractNum w:abstractNumId="57">
    <w:nsid w:val="F5BCF61"/>
    <w:multiLevelType w:val="hybridMultilevel"/>
    <w:lvl w:ilvl="0">
      <w:lvlJc w:val="left"/>
      <w:lvlText w:val="•"/>
      <w:numFmt w:val="bullet"/>
      <w:start w:val="1"/>
    </w:lvl>
  </w:abstractNum>
  <w:abstractNum w:abstractNumId="58">
    <w:nsid w:val="3B1DD403"/>
    <w:multiLevelType w:val="hybridMultilevel"/>
    <w:lvl w:ilvl="0">
      <w:lvlJc w:val="left"/>
      <w:lvlText w:val="(%1)"/>
      <w:numFmt w:val="decimal"/>
      <w:start w:val="1"/>
    </w:lvl>
  </w:abstractNum>
  <w:abstractNum w:abstractNumId="59">
    <w:nsid w:val="530386D1"/>
    <w:multiLevelType w:val="hybridMultilevel"/>
    <w:lvl w:ilvl="0">
      <w:lvlJc w:val="left"/>
      <w:lvlText w:val="•"/>
      <w:numFmt w:val="bullet"/>
      <w:start w:val="1"/>
    </w:lvl>
  </w:abstractNum>
  <w:abstractNum w:abstractNumId="60">
    <w:nsid w:val="7525F2BC"/>
    <w:multiLevelType w:val="hybridMultilevel"/>
    <w:lvl w:ilvl="0">
      <w:lvlJc w:val="left"/>
      <w:lvlText w:val="•"/>
      <w:numFmt w:val="bullet"/>
      <w:start w:val="1"/>
    </w:lvl>
  </w:abstractNum>
  <w:abstractNum w:abstractNumId="61">
    <w:nsid w:val="CE8E1A7"/>
    <w:multiLevelType w:val="hybridMultilevel"/>
    <w:lvl w:ilvl="0">
      <w:lvlJc w:val="left"/>
      <w:lvlText w:val="•"/>
      <w:numFmt w:val="bullet"/>
      <w:start w:val="1"/>
    </w:lvl>
  </w:abstractNum>
  <w:abstractNum w:abstractNumId="62">
    <w:nsid w:val="4E9EFB0D"/>
    <w:multiLevelType w:val="hybridMultilevel"/>
    <w:lvl w:ilvl="0">
      <w:lvlJc w:val="left"/>
      <w:lvlText w:val="(%1)"/>
      <w:numFmt w:val="lowerRoman"/>
      <w:start w:val="4"/>
    </w:lvl>
  </w:abstractNum>
  <w:abstractNum w:abstractNumId="63">
    <w:nsid w:val="90802BE"/>
    <w:multiLevelType w:val="hybridMultilevel"/>
    <w:lvl w:ilvl="0">
      <w:lvlJc w:val="left"/>
      <w:lvlText w:val="(%1)"/>
      <w:numFmt w:val="decimal"/>
      <w:start w:val="1"/>
    </w:lvl>
  </w:abstractNum>
  <w:abstractNum w:abstractNumId="64">
    <w:nsid w:val="3266459B"/>
    <w:multiLevelType w:val="hybridMultilevel"/>
    <w:lvl w:ilvl="0">
      <w:lvlJc w:val="left"/>
      <w:lvlText w:val="•"/>
      <w:numFmt w:val="bullet"/>
      <w:start w:val="1"/>
    </w:lvl>
  </w:abstractNum>
  <w:abstractNum w:abstractNumId="65">
    <w:nsid w:val="3F8B0CBF"/>
    <w:multiLevelType w:val="hybridMultilevel"/>
    <w:lvl w:ilvl="0">
      <w:lvlJc w:val="left"/>
      <w:lvlText w:val="•"/>
      <w:numFmt w:val="bullet"/>
      <w:start w:val="1"/>
    </w:lvl>
  </w:abstractNum>
  <w:abstractNum w:abstractNumId="66">
    <w:nsid w:val="37E203AB"/>
    <w:multiLevelType w:val="hybridMultilevel"/>
    <w:lvl w:ilvl="0">
      <w:lvlJc w:val="left"/>
      <w:lvlText w:val="(%1)"/>
      <w:numFmt w:val="decimal"/>
      <w:start w:val="1"/>
    </w:lvl>
  </w:abstractNum>
  <w:abstractNum w:abstractNumId="67">
    <w:nsid w:val="2586D60E"/>
    <w:multiLevelType w:val="hybridMultilevel"/>
    <w:lvl w:ilvl="0">
      <w:lvlJc w:val="left"/>
      <w:lvlText w:val="•"/>
      <w:numFmt w:val="bullet"/>
      <w:start w:val="1"/>
    </w:lvl>
  </w:abstractNum>
  <w:abstractNum w:abstractNumId="68">
    <w:nsid w:val="1F3DA4D5"/>
    <w:multiLevelType w:val="hybridMultilevel"/>
    <w:lvl w:ilvl="0">
      <w:lvlJc w:val="left"/>
      <w:lvlText w:val="(%1)"/>
      <w:numFmt w:val="lowerRoman"/>
      <w:start w:val="1"/>
    </w:lvl>
  </w:abstractNum>
  <w:abstractNum w:abstractNumId="69">
    <w:nsid w:val="74C93698"/>
    <w:multiLevelType w:val="hybridMultilevel"/>
    <w:lvl w:ilvl="0">
      <w:lvlJc w:val="left"/>
      <w:lvlText w:val="•"/>
      <w:numFmt w:val="bullet"/>
      <w:start w:val="1"/>
    </w:lvl>
  </w:abstractNum>
  <w:abstractNum w:abstractNumId="70">
    <w:nsid w:val="48781401"/>
    <w:multiLevelType w:val="hybridMultilevel"/>
    <w:lvl w:ilvl="0">
      <w:lvlJc w:val="left"/>
      <w:lvlText w:val="•"/>
      <w:numFmt w:val="bullet"/>
      <w:start w:val="1"/>
    </w:lvl>
  </w:abstractNum>
  <w:abstractNum w:abstractNumId="71">
    <w:nsid w:val="186928D6"/>
    <w:multiLevelType w:val="hybridMultilevel"/>
    <w:lvl w:ilvl="0">
      <w:lvlJc w:val="left"/>
      <w:lvlText w:val="•"/>
      <w:numFmt w:val="bullet"/>
      <w:start w:val="1"/>
    </w:lvl>
  </w:abstractNum>
  <w:abstractNum w:abstractNumId="72">
    <w:nsid w:val="47195E5"/>
    <w:multiLevelType w:val="hybridMultilevel"/>
    <w:lvl w:ilvl="0">
      <w:lvlJc w:val="left"/>
      <w:lvlText w:val="•"/>
      <w:numFmt w:val="bullet"/>
      <w:start w:val="1"/>
    </w:lvl>
  </w:abstractNum>
  <w:abstractNum w:abstractNumId="73">
    <w:nsid w:val="3746A5F2"/>
    <w:multiLevelType w:val="hybridMultilevel"/>
    <w:lvl w:ilvl="0">
      <w:lvlJc w:val="left"/>
      <w:lvlText w:val="•"/>
      <w:numFmt w:val="bullet"/>
      <w:start w:val="1"/>
    </w:lvl>
  </w:abstractNum>
  <w:abstractNum w:abstractNumId="74">
    <w:nsid w:val="682DFED6"/>
    <w:multiLevelType w:val="hybridMultilevel"/>
    <w:lvl w:ilvl="0">
      <w:lvlJc w:val="left"/>
      <w:lvlText w:val="•"/>
      <w:numFmt w:val="bullet"/>
      <w:start w:val="1"/>
    </w:lvl>
  </w:abstractNum>
  <w:abstractNum w:abstractNumId="75">
    <w:nsid w:val="606ED7F6"/>
    <w:multiLevelType w:val="hybridMultilevel"/>
    <w:lvl w:ilvl="0">
      <w:lvlJc w:val="left"/>
      <w:lvlText w:val="•"/>
      <w:numFmt w:val="bullet"/>
      <w:start w:val="1"/>
    </w:lvl>
  </w:abstractNum>
  <w:abstractNum w:abstractNumId="76">
    <w:nsid w:val="2D9DF57D"/>
    <w:multiLevelType w:val="hybridMultilevel"/>
    <w:lvl w:ilvl="0">
      <w:lvlJc w:val="left"/>
      <w:lvlText w:val="•"/>
      <w:numFmt w:val="bullet"/>
      <w:start w:val="1"/>
    </w:lvl>
  </w:abstractNum>
  <w:abstractNum w:abstractNumId="77">
    <w:nsid w:val="7FBD7A3E"/>
    <w:multiLevelType w:val="hybridMultilevel"/>
    <w:lvl w:ilvl="0">
      <w:lvlJc w:val="left"/>
      <w:lvlText w:val="•"/>
      <w:numFmt w:val="bullet"/>
      <w:start w:val="1"/>
    </w:lvl>
  </w:abstractNum>
  <w:abstractNum w:abstractNumId="78">
    <w:nsid w:val="490B7C5"/>
    <w:multiLevelType w:val="hybridMultilevel"/>
    <w:lvl w:ilvl="0">
      <w:lvlJc w:val="left"/>
      <w:lvlText w:val="•"/>
      <w:numFmt w:val="bullet"/>
      <w:start w:val="1"/>
    </w:lvl>
  </w:abstractNum>
  <w:abstractNum w:abstractNumId="79">
    <w:nsid w:val="4303A216"/>
    <w:multiLevelType w:val="hybridMultilevel"/>
    <w:lvl w:ilvl="0">
      <w:lvlJc w:val="left"/>
      <w:lvlText w:val="•"/>
      <w:numFmt w:val="bullet"/>
      <w:start w:val="1"/>
    </w:lvl>
  </w:abstractNum>
  <w:abstractNum w:abstractNumId="80">
    <w:nsid w:val="19B8A08E"/>
    <w:multiLevelType w:val="hybridMultilevel"/>
    <w:lvl w:ilvl="0">
      <w:lvlJc w:val="left"/>
      <w:lvlText w:val="•"/>
      <w:numFmt w:val="bullet"/>
      <w:start w:val="1"/>
    </w:lvl>
  </w:abstractNum>
  <w:abstractNum w:abstractNumId="81">
    <w:nsid w:val="54B59621"/>
    <w:multiLevelType w:val="hybridMultilevel"/>
    <w:lvl w:ilvl="0">
      <w:lvlJc w:val="left"/>
      <w:lvlText w:val="•"/>
      <w:numFmt w:val="bullet"/>
      <w:start w:val="1"/>
    </w:lvl>
  </w:abstractNum>
  <w:abstractNum w:abstractNumId="82">
    <w:nsid w:val="5992A02E"/>
    <w:multiLevelType w:val="hybridMultilevel"/>
    <w:lvl w:ilvl="0">
      <w:lvlJc w:val="left"/>
      <w:lvlText w:val="•"/>
      <w:numFmt w:val="bullet"/>
      <w:start w:val="1"/>
    </w:lvl>
  </w:abstractNum>
  <w:abstractNum w:abstractNumId="83">
    <w:nsid w:val="29EF532D"/>
    <w:multiLevelType w:val="hybridMultilevel"/>
    <w:lvl w:ilvl="0">
      <w:lvlJc w:val="left"/>
      <w:lvlText w:val="•"/>
      <w:numFmt w:val="bullet"/>
      <w:start w:val="1"/>
    </w:lvl>
  </w:abstractNum>
  <w:abstractNum w:abstractNumId="84">
    <w:nsid w:val="71D601AF"/>
    <w:multiLevelType w:val="hybridMultilevel"/>
    <w:lvl w:ilvl="0">
      <w:lvlJc w:val="left"/>
      <w:lvlText w:val="•"/>
      <w:numFmt w:val="bullet"/>
      <w:start w:val="1"/>
    </w:lvl>
  </w:abstractNum>
  <w:abstractNum w:abstractNumId="85">
    <w:nsid w:val="52C77402"/>
    <w:multiLevelType w:val="hybridMultilevel"/>
    <w:lvl w:ilvl="0">
      <w:lvlJc w:val="left"/>
      <w:lvlText w:val="•"/>
      <w:numFmt w:val="bullet"/>
      <w:start w:val="1"/>
    </w:lvl>
  </w:abstractNum>
  <w:abstractNum w:abstractNumId="86">
    <w:nsid w:val="2BB5B1C6"/>
    <w:multiLevelType w:val="hybridMultilevel"/>
    <w:lvl w:ilvl="0">
      <w:lvlJc w:val="left"/>
      <w:lvlText w:val="•"/>
      <w:numFmt w:val="bullet"/>
      <w:start w:val="1"/>
    </w:lvl>
  </w:abstractNum>
  <w:abstractNum w:abstractNumId="87">
    <w:nsid w:val="66BE6B9"/>
    <w:multiLevelType w:val="hybridMultilevel"/>
    <w:lvl w:ilvl="0">
      <w:lvlJc w:val="left"/>
      <w:lvlText w:val="•"/>
      <w:numFmt w:val="bullet"/>
      <w:start w:val="1"/>
    </w:lvl>
  </w:abstractNum>
  <w:abstractNum w:abstractNumId="88">
    <w:nsid w:val="62234363"/>
    <w:multiLevelType w:val="hybridMultilevel"/>
    <w:lvl w:ilvl="0">
      <w:lvlJc w:val="left"/>
      <w:lvlText w:val="•"/>
      <w:numFmt w:val="bullet"/>
      <w:start w:val="1"/>
    </w:lvl>
  </w:abstractNum>
  <w:abstractNum w:abstractNumId="89">
    <w:nsid w:val="66D385C9"/>
    <w:multiLevelType w:val="hybridMultilevel"/>
    <w:lvl w:ilvl="0">
      <w:lvlJc w:val="left"/>
      <w:lvlText w:val="•"/>
      <w:numFmt w:val="bullet"/>
      <w:start w:val="1"/>
    </w:lvl>
  </w:abstractNum>
  <w:abstractNum w:abstractNumId="90">
    <w:nsid w:val="596F6D8A"/>
    <w:multiLevelType w:val="hybridMultilevel"/>
    <w:lvl w:ilvl="0">
      <w:lvlJc w:val="left"/>
      <w:lvlText w:val="•"/>
      <w:numFmt w:val="bullet"/>
      <w:start w:val="1"/>
    </w:lvl>
  </w:abstractNum>
  <w:abstractNum w:abstractNumId="91">
    <w:nsid w:val="5749361F"/>
    <w:multiLevelType w:val="hybridMultilevel"/>
    <w:lvl w:ilvl="0">
      <w:lvlJc w:val="left"/>
      <w:lvlText w:val="•"/>
      <w:numFmt w:val="bullet"/>
      <w:start w:val="1"/>
    </w:lvl>
    <w:lvl w:ilvl="1">
      <w:lvlJc w:val="left"/>
      <w:lvlText w:val="•"/>
      <w:numFmt w:val="bullet"/>
      <w:start w:val="1"/>
    </w:lvl>
  </w:abstractNum>
  <w:abstractNum w:abstractNumId="92">
    <w:nsid w:val="73BC6770"/>
    <w:multiLevelType w:val="hybridMultilevel"/>
    <w:lvl w:ilvl="0">
      <w:lvlJc w:val="left"/>
      <w:lvlText w:val="(%1)"/>
      <w:numFmt w:val="decimal"/>
      <w:start w:val="1"/>
    </w:lvl>
  </w:abstractNum>
  <w:abstractNum w:abstractNumId="93">
    <w:nsid w:val="280E6897"/>
    <w:multiLevelType w:val="hybridMultilevel"/>
    <w:lvl w:ilvl="0">
      <w:lvlJc w:val="left"/>
      <w:lvlText w:val="•"/>
      <w:numFmt w:val="bullet"/>
      <w:start w:val="1"/>
    </w:lvl>
  </w:abstractNum>
  <w:abstractNum w:abstractNumId="94">
    <w:nsid w:val="605138DE"/>
    <w:multiLevelType w:val="hybridMultilevel"/>
    <w:lvl w:ilvl="0">
      <w:lvlJc w:val="left"/>
      <w:lvlText w:val="•"/>
      <w:numFmt w:val="bullet"/>
      <w:start w:val="1"/>
    </w:lvl>
  </w:abstractNum>
  <w:abstractNum w:abstractNumId="95">
    <w:nsid w:val="2622AD0C"/>
    <w:multiLevelType w:val="hybridMultilevel"/>
    <w:lvl w:ilvl="0">
      <w:lvlJc w:val="left"/>
      <w:lvlText w:val="•"/>
      <w:numFmt w:val="bullet"/>
      <w:start w:val="1"/>
    </w:lvl>
  </w:abstractNum>
  <w:abstractNum w:abstractNumId="96">
    <w:nsid w:val="67997556"/>
    <w:multiLevelType w:val="hybridMultilevel"/>
    <w:lvl w:ilvl="0">
      <w:lvlJc w:val="left"/>
      <w:lvlText w:val="•"/>
      <w:numFmt w:val="bullet"/>
      <w:start w:val="1"/>
    </w:lvl>
  </w:abstractNum>
  <w:abstractNum w:abstractNumId="97">
    <w:nsid w:val="18333C89"/>
    <w:multiLevelType w:val="hybridMultilevel"/>
    <w:lvl w:ilvl="0">
      <w:lvlJc w:val="left"/>
      <w:lvlText w:val="(%1)"/>
      <w:numFmt w:val="lowerLetter"/>
      <w:start w:val="2"/>
    </w:lvl>
  </w:abstractNum>
  <w:abstractNum w:abstractNumId="98">
    <w:nsid w:val="4BA9831A"/>
    <w:multiLevelType w:val="hybridMultilevel"/>
    <w:lvl w:ilvl="0">
      <w:lvlJc w:val="left"/>
      <w:lvlText w:val="•"/>
      <w:numFmt w:val="bullet"/>
      <w:start w:val="1"/>
    </w:lvl>
  </w:abstractNum>
  <w:abstractNum w:abstractNumId="99">
    <w:nsid w:val="6D71A2B"/>
    <w:multiLevelType w:val="hybridMultilevel"/>
    <w:lvl w:ilvl="0">
      <w:lvlJc w:val="left"/>
      <w:lvlText w:val="(%1)"/>
      <w:numFmt w:val="decimal"/>
      <w:start w:val="1"/>
    </w:lvl>
  </w:abstractNum>
  <w:abstractNum w:abstractNumId="100">
    <w:nsid w:val="CFC7321"/>
    <w:multiLevelType w:val="hybridMultilevel"/>
    <w:lvl w:ilvl="0">
      <w:lvlJc w:val="left"/>
      <w:lvlText w:val="•"/>
      <w:numFmt w:val="bullet"/>
      <w:start w:val="1"/>
    </w:lvl>
  </w:abstractNum>
  <w:abstractNum w:abstractNumId="101">
    <w:nsid w:val="1421971B"/>
    <w:multiLevelType w:val="hybridMultilevel"/>
    <w:lvl w:ilvl="0">
      <w:lvlJc w:val="left"/>
      <w:lvlText w:val="•"/>
      <w:numFmt w:val="bullet"/>
      <w:start w:val="1"/>
    </w:lvl>
  </w:abstractNum>
  <w:abstractNum w:abstractNumId="102">
    <w:nsid w:val="1F404301"/>
    <w:multiLevelType w:val="hybridMultilevel"/>
    <w:lvl w:ilvl="0">
      <w:lvlJc w:val="left"/>
      <w:lvlText w:val="•"/>
      <w:numFmt w:val="bullet"/>
      <w:start w:val="1"/>
    </w:lvl>
  </w:abstractNum>
  <w:abstractNum w:abstractNumId="103">
    <w:nsid w:val="116E0907"/>
    <w:multiLevelType w:val="hybridMultilevel"/>
    <w:lvl w:ilvl="0">
      <w:lvlJc w:val="left"/>
      <w:lvlText w:val="•"/>
      <w:numFmt w:val="bullet"/>
      <w:start w:val="1"/>
    </w:lvl>
  </w:abstractNum>
  <w:abstractNum w:abstractNumId="104">
    <w:nsid w:val="4B683D0D"/>
    <w:multiLevelType w:val="hybridMultilevel"/>
    <w:lvl w:ilvl="0">
      <w:lvlJc w:val="left"/>
      <w:lvlText w:val="•"/>
      <w:numFmt w:val="bullet"/>
      <w:start w:val="1"/>
    </w:lvl>
  </w:abstractNum>
  <w:abstractNum w:abstractNumId="105">
    <w:nsid w:val="76E41D8"/>
    <w:multiLevelType w:val="hybridMultilevel"/>
    <w:lvl w:ilvl="0">
      <w:lvlJc w:val="left"/>
      <w:lvlText w:val="•"/>
      <w:numFmt w:val="bullet"/>
      <w:start w:val="1"/>
    </w:lvl>
  </w:abstractNum>
  <w:abstractNum w:abstractNumId="106">
    <w:nsid w:val="71DCE0FD"/>
    <w:multiLevelType w:val="hybridMultilevel"/>
    <w:lvl w:ilvl="0">
      <w:lvlJc w:val="left"/>
      <w:lvlText w:val="(%1)"/>
      <w:numFmt w:val="decimal"/>
      <w:start w:val="1"/>
    </w:lvl>
  </w:abstractNum>
  <w:abstractNum w:abstractNumId="107">
    <w:nsid w:val="7906328B"/>
    <w:multiLevelType w:val="hybridMultilevel"/>
    <w:lvl w:ilvl="0">
      <w:lvlJc w:val="left"/>
      <w:lvlText w:val="(%1)"/>
      <w:numFmt w:val="decimal"/>
      <w:start w:val="1"/>
    </w:lvl>
  </w:abstractNum>
  <w:abstractNum w:abstractNumId="108">
    <w:nsid w:val="72BBC16"/>
    <w:multiLevelType w:val="hybridMultilevel"/>
    <w:lvl w:ilvl="0">
      <w:lvlJc w:val="left"/>
      <w:lvlText w:val="•"/>
      <w:numFmt w:val="bullet"/>
      <w:start w:val="1"/>
    </w:lvl>
  </w:abstractNum>
  <w:abstractNum w:abstractNumId="109">
    <w:nsid w:val="766D98C2"/>
    <w:multiLevelType w:val="hybridMultilevel"/>
    <w:lvl w:ilvl="0">
      <w:lvlJc w:val="left"/>
      <w:lvlText w:val="•"/>
      <w:numFmt w:val="bullet"/>
      <w:start w:val="1"/>
    </w:lvl>
  </w:abstractNum>
  <w:abstractNum w:abstractNumId="110">
    <w:nsid w:val="3C09D4A1"/>
    <w:multiLevelType w:val="hybridMultilevel"/>
    <w:lvl w:ilvl="0">
      <w:lvlJc w:val="left"/>
      <w:lvlText w:val="(%1)"/>
      <w:numFmt w:val="decimal"/>
      <w:start w:val="4"/>
    </w:lvl>
  </w:abstractNum>
  <w:abstractNum w:abstractNumId="111">
    <w:nsid w:val="20E45CA4"/>
    <w:multiLevelType w:val="hybridMultilevel"/>
    <w:lvl w:ilvl="0">
      <w:lvlJc w:val="left"/>
      <w:lvlText w:val="(%1)"/>
      <w:numFmt w:val="decimal"/>
      <w:start w:val="1"/>
    </w:lvl>
  </w:abstractNum>
  <w:abstractNum w:abstractNumId="112">
    <w:nsid w:val="4B232EE3"/>
    <w:multiLevelType w:val="hybridMultilevel"/>
    <w:lvl w:ilvl="0">
      <w:lvlJc w:val="left"/>
      <w:lvlText w:val="(%1)"/>
      <w:numFmt w:val="decimal"/>
      <w:start w:val="1"/>
    </w:lvl>
  </w:abstractNum>
  <w:abstractNum w:abstractNumId="113">
    <w:nsid w:val="159C74CF"/>
    <w:multiLevelType w:val="hybridMultilevel"/>
    <w:lvl w:ilvl="0">
      <w:lvlJc w:val="left"/>
      <w:lvlText w:val="•"/>
      <w:numFmt w:val="bullet"/>
      <w:start w:val="1"/>
    </w:lvl>
    <w:lvl w:ilvl="1">
      <w:lvlJc w:val="left"/>
      <w:lvlText w:val="•"/>
      <w:numFmt w:val="bullet"/>
      <w:start w:val="1"/>
    </w:lvl>
  </w:abstractNum>
  <w:abstractNum w:abstractNumId="114">
    <w:nsid w:val="4AD3AFD2"/>
    <w:multiLevelType w:val="hybridMultilevel"/>
    <w:lvl w:ilvl="0">
      <w:lvlJc w:val="left"/>
      <w:lvlText w:val="(%1)"/>
      <w:numFmt w:val="decimal"/>
      <w:start w:val="1"/>
    </w:lvl>
  </w:abstractNum>
  <w:abstractNum w:abstractNumId="115">
    <w:nsid w:val="3CF93092"/>
    <w:multiLevelType w:val="hybridMultilevel"/>
    <w:lvl w:ilvl="0">
      <w:lvlJc w:val="left"/>
      <w:lvlText w:val="(%1)"/>
      <w:numFmt w:val="decimal"/>
      <w:start w:val="2"/>
    </w:lvl>
  </w:abstractNum>
  <w:abstractNum w:abstractNumId="116">
    <w:nsid w:val="6863E8D2"/>
    <w:multiLevelType w:val="hybridMultilevel"/>
    <w:lvl w:ilvl="0">
      <w:lvlJc w:val="left"/>
      <w:lvlText w:val="(%1)"/>
      <w:numFmt w:val="decimal"/>
      <w:start w:val="1"/>
    </w:lvl>
  </w:abstractNum>
  <w:abstractNum w:abstractNumId="117">
    <w:nsid w:val="76896198"/>
    <w:multiLevelType w:val="hybridMultilevel"/>
    <w:lvl w:ilvl="0">
      <w:lvlJc w:val="left"/>
      <w:lvlText w:val="•"/>
      <w:numFmt w:val="bullet"/>
      <w:start w:val="1"/>
    </w:lvl>
  </w:abstractNum>
  <w:abstractNum w:abstractNumId="118">
    <w:nsid w:val="4365174B"/>
    <w:multiLevelType w:val="hybridMultilevel"/>
    <w:lvl w:ilvl="0">
      <w:lvlJc w:val="left"/>
      <w:lvlText w:val="*"/>
      <w:numFmt w:val="bullet"/>
      <w:start w:val="1"/>
    </w:lvl>
  </w:abstractNum>
  <w:abstractNum w:abstractNumId="119">
    <w:nsid w:val="4A872C35"/>
    <w:multiLevelType w:val="hybridMultilevel"/>
    <w:lvl w:ilvl="0">
      <w:lvlJc w:val="left"/>
      <w:lvlText w:val="(%1)"/>
      <w:numFmt w:val="decimal"/>
      <w:start w:val="1"/>
    </w:lvl>
  </w:abstractNum>
  <w:abstractNum w:abstractNumId="120">
    <w:nsid w:val="5D5CE761"/>
    <w:multiLevelType w:val="hybridMultilevel"/>
    <w:lvl w:ilvl="0">
      <w:lvlJc w:val="left"/>
      <w:lvlText w:val="(%1)"/>
      <w:numFmt w:val="decimal"/>
      <w:start w:val="3"/>
    </w:lvl>
  </w:abstractNum>
  <w:abstractNum w:abstractNumId="121">
    <w:nsid w:val="1CD484D5"/>
    <w:multiLevelType w:val="hybridMultilevel"/>
    <w:lvl w:ilvl="0">
      <w:lvlJc w:val="left"/>
      <w:lvlText w:val="•"/>
      <w:numFmt w:val="bullet"/>
      <w:start w:val="1"/>
    </w:lvl>
  </w:abstractNum>
  <w:abstractNum w:abstractNumId="122">
    <w:nsid w:val="21D06255"/>
    <w:multiLevelType w:val="hybridMultilevel"/>
    <w:lvl w:ilvl="0">
      <w:lvlJc w:val="left"/>
      <w:lvlText w:val="•"/>
      <w:numFmt w:val="bullet"/>
      <w:start w:val="1"/>
    </w:lvl>
  </w:abstractNum>
  <w:abstractNum w:abstractNumId="123">
    <w:nsid w:val="51194ED1"/>
    <w:multiLevelType w:val="hybridMultilevel"/>
    <w:lvl w:ilvl="0">
      <w:lvlJc w:val="left"/>
      <w:lvlText w:val="•"/>
      <w:numFmt w:val="bullet"/>
      <w:start w:val="1"/>
    </w:lvl>
  </w:abstractNum>
  <w:abstractNum w:abstractNumId="124">
    <w:nsid w:val="44E2ED6C"/>
    <w:multiLevelType w:val="hybridMultilevel"/>
    <w:lvl w:ilvl="0">
      <w:lvlJc w:val="left"/>
      <w:lvlText w:val="•"/>
      <w:numFmt w:val="bullet"/>
      <w:start w:val="1"/>
    </w:lvl>
  </w:abstractNum>
  <w:abstractNum w:abstractNumId="125">
    <w:nsid w:val="2219B33"/>
    <w:multiLevelType w:val="hybridMultilevel"/>
    <w:lvl w:ilvl="0">
      <w:lvlJc w:val="left"/>
      <w:lvlText w:val="•"/>
      <w:numFmt w:val="bullet"/>
      <w:start w:val="1"/>
    </w:lvl>
  </w:abstractNum>
  <w:abstractNum w:abstractNumId="126">
    <w:nsid w:val="773BFBDD"/>
    <w:multiLevelType w:val="hybridMultilevel"/>
    <w:lvl w:ilvl="0">
      <w:lvlJc w:val="left"/>
      <w:lvlText w:val="(%1)"/>
      <w:numFmt w:val="lowerRoman"/>
      <w:start w:val="2"/>
    </w:lvl>
  </w:abstractNum>
  <w:abstractNum w:abstractNumId="127">
    <w:nsid w:val="2C7C62C2"/>
    <w:multiLevelType w:val="hybridMultilevel"/>
    <w:lvl w:ilvl="0">
      <w:lvlJc w:val="left"/>
      <w:lvlText w:val="•"/>
      <w:numFmt w:val="bullet"/>
      <w:start w:val="1"/>
    </w:lvl>
  </w:abstractNum>
  <w:abstractNum w:abstractNumId="128">
    <w:nsid w:val="1A54D7BC"/>
    <w:multiLevelType w:val="hybridMultilevel"/>
    <w:lvl w:ilvl="0">
      <w:lvlJc w:val="left"/>
      <w:lvlText w:val="•"/>
      <w:numFmt w:val="bullet"/>
      <w:start w:val="1"/>
    </w:lvl>
  </w:abstractNum>
  <w:abstractNum w:abstractNumId="129">
    <w:nsid w:val="42E57EF7"/>
    <w:multiLevelType w:val="hybridMultilevel"/>
    <w:lvl w:ilvl="0">
      <w:lvlJc w:val="left"/>
      <w:lvlText w:val="•"/>
      <w:numFmt w:val="bullet"/>
      <w:start w:val="1"/>
    </w:lvl>
  </w:abstractNum>
  <w:abstractNum w:abstractNumId="130">
    <w:nsid w:val="33537CED"/>
    <w:multiLevelType w:val="hybridMultilevel"/>
    <w:lvl w:ilvl="0">
      <w:lvlJc w:val="left"/>
      <w:lvlText w:val="•"/>
      <w:numFmt w:val="bullet"/>
      <w:start w:val="1"/>
    </w:lvl>
  </w:abstractNum>
  <w:abstractNum w:abstractNumId="131">
    <w:nsid w:val="27514ADE"/>
    <w:multiLevelType w:val="hybridMultilevel"/>
    <w:lvl w:ilvl="0">
      <w:lvlJc w:val="left"/>
      <w:lvlText w:val="(%1)"/>
      <w:numFmt w:val="lowerLetter"/>
      <w:start w:val="1"/>
    </w:lvl>
  </w:abstractNum>
  <w:abstractNum w:abstractNumId="132">
    <w:nsid w:val="57071613"/>
    <w:multiLevelType w:val="hybridMultilevel"/>
    <w:lvl w:ilvl="0">
      <w:lvlJc w:val="left"/>
      <w:lvlText w:val="(%1)"/>
      <w:numFmt w:val="lowerLetter"/>
      <w:start w:val="1"/>
    </w:lvl>
    <w:lvl w:ilvl="1">
      <w:lvlJc w:val="left"/>
      <w:lvlText w:val="(%2)"/>
      <w:numFmt w:val="decimal"/>
      <w:start w:val="1"/>
    </w:lvl>
  </w:abstractNum>
  <w:abstractNum w:abstractNumId="133">
    <w:nsid w:val="5293BFEF"/>
    <w:multiLevelType w:val="hybridMultilevel"/>
    <w:lvl w:ilvl="0">
      <w:lvlJc w:val="left"/>
      <w:lvlText w:val="%1."/>
      <w:numFmt w:val="decimal"/>
      <w:start w:val="2"/>
    </w:lvl>
  </w:abstractNum>
  <w:abstractNum w:abstractNumId="134">
    <w:nsid w:val="38BF53E5"/>
    <w:multiLevelType w:val="hybridMultilevel"/>
    <w:lvl w:ilvl="0">
      <w:lvlJc w:val="left"/>
      <w:lvlText w:val="•"/>
      <w:numFmt w:val="bullet"/>
      <w:start w:val="1"/>
    </w:lvl>
  </w:abstractNum>
  <w:abstractNum w:abstractNumId="135">
    <w:nsid w:val="226F5320"/>
    <w:multiLevelType w:val="hybridMultilevel"/>
    <w:lvl w:ilvl="0">
      <w:lvlJc w:val="left"/>
      <w:lvlText w:val="(%1)"/>
      <w:numFmt w:val="lowerRoman"/>
      <w:start w:val="2"/>
    </w:lvl>
  </w:abstractNum>
  <w:abstractNum w:abstractNumId="136">
    <w:nsid w:val="5A0201C7"/>
    <w:multiLevelType w:val="hybridMultilevel"/>
    <w:lvl w:ilvl="0">
      <w:lvlJc w:val="left"/>
      <w:lvlText w:val="(%1)"/>
      <w:numFmt w:val="lowerLetter"/>
      <w:start w:val="1"/>
    </w:lvl>
  </w:abstractNum>
  <w:abstractNum w:abstractNumId="137">
    <w:nsid w:val="2A9C34E2"/>
    <w:multiLevelType w:val="hybridMultilevel"/>
    <w:lvl w:ilvl="0">
      <w:lvlJc w:val="left"/>
      <w:lvlText w:val="%1."/>
      <w:numFmt w:val="decimal"/>
      <w:start w:val="12"/>
    </w:lvl>
  </w:abstractNum>
  <w:abstractNum w:abstractNumId="138">
    <w:nsid w:val="1B7585AB"/>
    <w:multiLevelType w:val="hybridMultilevel"/>
    <w:lvl w:ilvl="0">
      <w:lvlJc w:val="left"/>
      <w:lvlText w:val="(%1)"/>
      <w:numFmt w:val="lowerRoman"/>
      <w:start w:val="2"/>
    </w:lvl>
  </w:abstractNum>
  <w:abstractNum w:abstractNumId="139">
    <w:nsid w:val="612DBDDD"/>
    <w:multiLevelType w:val="hybridMultilevel"/>
    <w:lvl w:ilvl="0">
      <w:lvlJc w:val="left"/>
      <w:lvlText w:val="%1)"/>
      <w:numFmt w:val="lowerLetter"/>
      <w:start w:val="3"/>
    </w:lvl>
  </w:abstractNum>
  <w:abstractNum w:abstractNumId="140">
    <w:nsid w:val="2109CDA4"/>
    <w:multiLevelType w:val="hybridMultilevel"/>
    <w:lvl w:ilvl="0">
      <w:lvlJc w:val="left"/>
      <w:lvlText w:val="*"/>
      <w:numFmt w:val="bullet"/>
      <w:start w:val="1"/>
    </w:lvl>
  </w:abstractNum>
  <w:abstractNum w:abstractNumId="141">
    <w:nsid w:val="577F5A4D"/>
    <w:multiLevelType w:val="hybridMultilevel"/>
    <w:lvl w:ilvl="0">
      <w:lvlJc w:val="left"/>
      <w:lvlText w:val="*"/>
      <w:numFmt w:val="bullet"/>
      <w:start w:val="1"/>
    </w:lvl>
  </w:abstractNum>
  <w:abstractNum w:abstractNumId="142">
    <w:nsid w:val="2121A81"/>
    <w:multiLevelType w:val="hybridMultilevel"/>
    <w:lvl w:ilvl="0">
      <w:lvlJc w:val="left"/>
      <w:lvlText w:val="(%1)"/>
      <w:numFmt w:val="lowerLetter"/>
      <w:start w:val="1"/>
    </w:lvl>
    <w:lvl w:ilvl="1">
      <w:lvlJc w:val="left"/>
      <w:lvlText w:val="†"/>
      <w:numFmt w:val="bullet"/>
      <w:start w:val="1"/>
    </w:lvl>
  </w:abstractNum>
  <w:abstractNum w:abstractNumId="143">
    <w:nsid w:val="6C2CFC88"/>
    <w:multiLevelType w:val="hybridMultilevel"/>
    <w:lvl w:ilvl="0">
      <w:lvlJc w:val="left"/>
      <w:lvlText w:val="(%1)"/>
      <w:numFmt w:val="decimal"/>
      <w:start w:val="1"/>
    </w:lvl>
  </w:abstractNum>
  <w:abstractNum w:abstractNumId="144">
    <w:nsid w:val="6D1BCF1C"/>
    <w:multiLevelType w:val="hybridMultilevel"/>
    <w:lvl w:ilvl="0">
      <w:lvlJc w:val="left"/>
      <w:lvlText w:val="*"/>
      <w:numFmt w:val="bullet"/>
      <w:start w:val="1"/>
    </w:lvl>
  </w:abstractNum>
  <w:abstractNum w:abstractNumId="145">
    <w:nsid w:val="4CE5CA53"/>
    <w:multiLevelType w:val="hybridMultilevel"/>
    <w:lvl w:ilvl="0">
      <w:lvlJc w:val="left"/>
      <w:lvlText w:val="†"/>
      <w:numFmt w:val="bullet"/>
      <w:start w:val="1"/>
    </w:lvl>
  </w:abstractNum>
  <w:abstractNum w:abstractNumId="146">
    <w:nsid w:val="29262D1A"/>
    <w:multiLevelType w:val="hybridMultilevel"/>
    <w:lvl w:ilvl="0">
      <w:lvlJc w:val="left"/>
      <w:lvlText w:val="%1."/>
      <w:numFmt w:val="decimal"/>
      <w:start w:val="1"/>
    </w:lvl>
  </w:abstractNum>
  <w:abstractNum w:abstractNumId="147">
    <w:nsid w:val="557FB7EE"/>
    <w:multiLevelType w:val="hybridMultilevel"/>
    <w:lvl w:ilvl="0">
      <w:lvlJc w:val="left"/>
      <w:lvlText w:val="%1."/>
      <w:numFmt w:val="decimal"/>
      <w:start w:val="2"/>
    </w:lvl>
  </w:abstractNum>
  <w:abstractNum w:abstractNumId="148">
    <w:nsid w:val="436F2BEB"/>
    <w:multiLevelType w:val="hybridMultilevel"/>
    <w:lvl w:ilvl="0">
      <w:lvlJc w:val="left"/>
      <w:lvlText w:val="%1."/>
      <w:numFmt w:val="decimal"/>
      <w:start w:val="3"/>
    </w:lvl>
    <w:lvl w:ilvl="1">
      <w:lvlJc w:val="left"/>
      <w:lvlText w:val="(%2)"/>
      <w:numFmt w:val="lowerLetter"/>
      <w:start w:val="1"/>
    </w:lvl>
  </w:abstractNum>
  <w:abstractNum w:abstractNumId="149">
    <w:nsid w:val="6C8B4466"/>
    <w:multiLevelType w:val="hybridMultilevel"/>
    <w:lvl w:ilvl="0">
      <w:lvlJc w:val="left"/>
      <w:lvlText w:val="(%1)"/>
      <w:numFmt w:val="lowerLetter"/>
      <w:start w:val="4"/>
    </w:lvl>
  </w:abstractNum>
  <w:abstractNum w:abstractNumId="150">
    <w:nsid w:val="2006E424"/>
    <w:multiLevelType w:val="hybridMultilevel"/>
    <w:lvl w:ilvl="0">
      <w:lvlJc w:val="left"/>
      <w:lvlText w:val="(%1)"/>
      <w:numFmt w:val="lowerLetter"/>
      <w:start w:val="9"/>
    </w:lvl>
  </w:abstractNum>
  <w:abstractNum w:abstractNumId="151">
    <w:nsid w:val="20CC134C"/>
    <w:multiLevelType w:val="hybridMultilevel"/>
    <w:lvl w:ilvl="0">
      <w:lvlJc w:val="left"/>
      <w:lvlText w:val="(%1)"/>
      <w:numFmt w:val="lowerLetter"/>
      <w:start w:val="12"/>
    </w:lvl>
  </w:abstractNum>
  <w:abstractNum w:abstractNumId="152">
    <w:nsid w:val="95FC93B"/>
    <w:multiLevelType w:val="hybridMultilevel"/>
    <w:lvl w:ilvl="0">
      <w:lvlJc w:val="left"/>
      <w:lvlText w:val="(%1)"/>
      <w:numFmt w:val="lowerLetter"/>
      <w:start w:val="13"/>
    </w:lvl>
  </w:abstractNum>
  <w:abstractNum w:abstractNumId="153">
    <w:nsid w:val="41D74679"/>
    <w:multiLevelType w:val="hybridMultilevel"/>
    <w:lvl w:ilvl="0">
      <w:lvlJc w:val="left"/>
      <w:lvlText w:val="(%1)"/>
      <w:numFmt w:val="lowerLetter"/>
      <w:start w:val="14"/>
    </w:lvl>
  </w:abstractNum>
  <w:abstractNum w:abstractNumId="154">
    <w:nsid w:val="71E5621E"/>
    <w:multiLevelType w:val="hybridMultilevel"/>
    <w:lvl w:ilvl="0">
      <w:lvlJc w:val="left"/>
      <w:lvlText w:val="%1"/>
      <w:numFmt w:val="lowerLetter"/>
      <w:start w:val="1"/>
    </w:lvl>
    <w:lvl w:ilvl="1">
      <w:lvlJc w:val="left"/>
      <w:lvlText w:val="(%2)"/>
      <w:numFmt w:val="lowerLetter"/>
      <w:start w:val="18"/>
    </w:lvl>
  </w:abstractNum>
  <w:abstractNum w:abstractNumId="155">
    <w:nsid w:val="4E42B6A8"/>
    <w:multiLevelType w:val="hybridMultilevel"/>
    <w:lvl w:ilvl="0">
      <w:lvlJc w:val="left"/>
      <w:lvlText w:val="(%1)"/>
      <w:numFmt w:val="lowerLetter"/>
      <w:start w:val="35"/>
    </w:lvl>
    <w:lvl w:ilvl="1">
      <w:lvlJc w:val="left"/>
      <w:lvlText w:val="(%2)"/>
      <w:numFmt w:val="lowerLetter"/>
      <w:start w:val="20"/>
    </w:lvl>
  </w:abstractNum>
  <w:abstractNum w:abstractNumId="156">
    <w:nsid w:val="43F8E1AC"/>
    <w:multiLevelType w:val="hybridMultilevel"/>
    <w:lvl w:ilvl="0">
      <w:lvlJc w:val="left"/>
      <w:lvlText w:val="(%1)"/>
      <w:numFmt w:val="lowerLetter"/>
      <w:start w:val="21"/>
    </w:lvl>
  </w:abstractNum>
  <w:abstractNum w:abstractNumId="157">
    <w:nsid w:val="69215DFB"/>
    <w:multiLevelType w:val="hybridMultilevel"/>
    <w:lvl w:ilvl="0">
      <w:lvlJc w:val="left"/>
      <w:lvlText w:val="(%1)"/>
      <w:numFmt w:val="lowerLetter"/>
      <w:start w:val="23"/>
    </w:lvl>
  </w:abstractNum>
  <w:abstractNum w:abstractNumId="158">
    <w:nsid w:val="7ABF196A"/>
    <w:multiLevelType w:val="hybridMultilevel"/>
    <w:lvl w:ilvl="0">
      <w:lvlJc w:val="left"/>
      <w:lvlText w:val="(%1)"/>
      <w:numFmt w:val="lowerLetter"/>
      <w:start w:val="24"/>
    </w:lvl>
  </w:abstractNum>
  <w:abstractNum w:abstractNumId="159">
    <w:nsid w:val="5E4DB968"/>
    <w:multiLevelType w:val="hybridMultilevel"/>
    <w:lvl w:ilvl="0">
      <w:lvlJc w:val="left"/>
      <w:lvlText w:val="(%1)"/>
      <w:numFmt w:val="lowerLetter"/>
      <w:start w:val="26"/>
    </w:lvl>
  </w:abstractNum>
  <w:abstractNum w:abstractNumId="160">
    <w:nsid w:val="2C06DCF3"/>
    <w:multiLevelType w:val="hybridMultilevel"/>
    <w:lvl w:ilvl="0">
      <w:lvlJc w:val="left"/>
      <w:lvlText w:val="(%1)"/>
      <w:numFmt w:val="lowerLetter"/>
      <w:start w:val="27"/>
    </w:lvl>
  </w:abstractNum>
  <w:abstractNum w:abstractNumId="161">
    <w:nsid w:val="2E129658"/>
    <w:multiLevelType w:val="hybridMultilevel"/>
    <w:lvl w:ilvl="0">
      <w:lvlJc w:val="left"/>
      <w:lvlText w:val="(%1)"/>
      <w:numFmt w:val="lowerLetter"/>
      <w:start w:val="30"/>
    </w:lvl>
  </w:abstractNum>
  <w:abstractNum w:abstractNumId="162">
    <w:nsid w:val="59F0446"/>
    <w:multiLevelType w:val="hybridMultilevel"/>
    <w:lvl w:ilvl="0">
      <w:lvlJc w:val="left"/>
      <w:lvlText w:val="(%1)"/>
      <w:numFmt w:val="lowerLetter"/>
      <w:start w:val="31"/>
    </w:lvl>
  </w:abstractNum>
  <w:abstractNum w:abstractNumId="163">
    <w:nsid w:val="30DF306"/>
    <w:multiLevelType w:val="hybridMultilevel"/>
    <w:lvl w:ilvl="0">
      <w:lvlJc w:val="left"/>
      <w:lvlText w:val="%1"/>
      <w:numFmt w:val="lowerLetter"/>
      <w:start w:val="1"/>
    </w:lvl>
    <w:lvl w:ilvl="1">
      <w:lvlJc w:val="left"/>
      <w:lvlText w:val="(%2)"/>
      <w:numFmt w:val="lowerLetter"/>
      <w:start w:val="34"/>
    </w:lvl>
  </w:abstractNum>
  <w:abstractNum w:abstractNumId="164">
    <w:nsid w:val="A65647"/>
    <w:multiLevelType w:val="hybridMultilevel"/>
    <w:lvl w:ilvl="0">
      <w:lvlJc w:val="left"/>
      <w:lvlText w:val="(%1)"/>
      <w:numFmt w:val="lowerLetter"/>
      <w:start w:val="61"/>
    </w:lvl>
    <w:lvl w:ilvl="1">
      <w:lvlJc w:val="left"/>
      <w:lvlText w:val="(%2)"/>
      <w:numFmt w:val="lowerLetter"/>
      <w:start w:val="36"/>
    </w:lvl>
  </w:abstractNum>
  <w:abstractNum w:abstractNumId="165">
    <w:nsid w:val="3E5E582B"/>
    <w:multiLevelType w:val="hybridMultilevel"/>
    <w:lvl w:ilvl="0">
      <w:lvlJc w:val="left"/>
      <w:lvlText w:val="(%1)"/>
      <w:numFmt w:val="lowerLetter"/>
      <w:start w:val="37"/>
    </w:lvl>
  </w:abstractNum>
  <w:abstractNum w:abstractNumId="166">
    <w:nsid w:val="257D4626"/>
    <w:multiLevelType w:val="hybridMultilevel"/>
    <w:lvl w:ilvl="0">
      <w:lvlJc w:val="left"/>
      <w:lvlText w:val="(%1)"/>
      <w:numFmt w:val="lowerLetter"/>
      <w:start w:val="42"/>
    </w:lvl>
  </w:abstractNum>
  <w:abstractNum w:abstractNumId="167">
    <w:nsid w:val="5AA8580E"/>
    <w:multiLevelType w:val="hybridMultilevel"/>
    <w:lvl w:ilvl="0">
      <w:lvlJc w:val="left"/>
      <w:lvlText w:val="(%1)"/>
      <w:numFmt w:val="lowerLetter"/>
      <w:start w:val="46"/>
    </w:lvl>
  </w:abstractNum>
  <w:abstractNum w:abstractNumId="168">
    <w:nsid w:val="68FA8D0D"/>
    <w:multiLevelType w:val="hybridMultilevel"/>
    <w:lvl w:ilvl="0">
      <w:lvlJc w:val="left"/>
      <w:lvlText w:val="(%1)"/>
      <w:numFmt w:val="lowerLetter"/>
      <w:start w:val="47"/>
    </w:lvl>
  </w:abstractNum>
  <w:abstractNum w:abstractNumId="169">
    <w:nsid w:val="40F2CBD2"/>
    <w:multiLevelType w:val="hybridMultilevel"/>
    <w:lvl w:ilvl="0">
      <w:lvlJc w:val="left"/>
      <w:lvlText w:val="(%1)"/>
      <w:numFmt w:val="lowerLetter"/>
      <w:start w:val="61"/>
    </w:lvl>
    <w:lvl w:ilvl="1">
      <w:lvlJc w:val="left"/>
      <w:lvlText w:val="(%2)"/>
      <w:numFmt w:val="lowerLetter"/>
      <w:start w:val="52"/>
    </w:lvl>
  </w:abstractNum>
  <w:abstractNum w:abstractNumId="170">
    <w:nsid w:val="3BD615EB"/>
    <w:multiLevelType w:val="hybridMultilevel"/>
    <w:lvl w:ilvl="0">
      <w:lvlJc w:val="left"/>
      <w:lvlText w:val="(%1)"/>
      <w:numFmt w:val="lowerLetter"/>
      <w:start w:val="53"/>
    </w:lvl>
  </w:abstractNum>
  <w:abstractNum w:abstractNumId="171">
    <w:nsid w:val="A045AB2"/>
    <w:multiLevelType w:val="hybridMultilevel"/>
    <w:lvl w:ilvl="0">
      <w:lvlJc w:val="left"/>
      <w:lvlText w:val="%1."/>
      <w:numFmt w:val="decimal"/>
      <w:start w:val="4"/>
    </w:lvl>
    <w:lvl w:ilvl="1">
      <w:lvlJc w:val="left"/>
      <w:lvlText w:val="(%2)"/>
      <w:numFmt w:val="lowerLetter"/>
      <w:start w:val="1"/>
    </w:lvl>
  </w:abstractNum>
  <w:abstractNum w:abstractNumId="172">
    <w:nsid w:val="1872261F"/>
    <w:multiLevelType w:val="hybridMultilevel"/>
    <w:lvl w:ilvl="0">
      <w:lvlJc w:val="left"/>
      <w:lvlText w:val="(%1)"/>
      <w:numFmt w:val="lowerLetter"/>
      <w:start w:val="2"/>
    </w:lvl>
  </w:abstractNum>
  <w:abstractNum w:abstractNumId="173">
    <w:nsid w:val="3DE8306C"/>
    <w:multiLevelType w:val="hybridMultilevel"/>
    <w:lvl w:ilvl="0">
      <w:lvlJc w:val="left"/>
      <w:lvlText w:val="(%1)"/>
      <w:numFmt w:val="lowerLetter"/>
      <w:start w:val="6"/>
    </w:lvl>
  </w:abstractNum>
  <w:abstractNum w:abstractNumId="174">
    <w:nsid w:val="7631573A"/>
    <w:multiLevelType w:val="hybridMultilevel"/>
    <w:lvl w:ilvl="0">
      <w:lvlJc w:val="left"/>
      <w:lvlText w:val="(%1)"/>
      <w:numFmt w:val="lowerLetter"/>
      <w:start w:val="11"/>
    </w:lvl>
  </w:abstractNum>
  <w:abstractNum w:abstractNumId="175">
    <w:nsid w:val="58DF53B"/>
    <w:multiLevelType w:val="hybridMultilevel"/>
    <w:lvl w:ilvl="0">
      <w:lvlJc w:val="left"/>
      <w:lvlText w:val="(%1)"/>
      <w:numFmt w:val="lowerLetter"/>
      <w:start w:val="14"/>
    </w:lvl>
  </w:abstractNum>
  <w:abstractNum w:abstractNumId="176">
    <w:nsid w:val="ACDFAC0"/>
    <w:multiLevelType w:val="hybridMultilevel"/>
    <w:lvl w:ilvl="0">
      <w:lvlJc w:val="left"/>
      <w:lvlText w:val="(%1)"/>
      <w:numFmt w:val="upperLetter"/>
      <w:start w:val="5"/>
    </w:lvl>
    <w:lvl w:ilvl="1">
      <w:lvlJc w:val="left"/>
      <w:lvlText w:val="(%2)"/>
      <w:numFmt w:val="lowerLetter"/>
      <w:start w:val="15"/>
    </w:lvl>
  </w:abstractNum>
  <w:abstractNum w:abstractNumId="177">
    <w:nsid w:val="1F578454"/>
    <w:multiLevelType w:val="hybridMultilevel"/>
    <w:lvl w:ilvl="0">
      <w:lvlJc w:val="left"/>
      <w:lvlText w:val="(%1)"/>
      <w:numFmt w:val="lowerLetter"/>
      <w:start w:val="16"/>
    </w:lvl>
  </w:abstractNum>
  <w:abstractNum w:abstractNumId="178">
    <w:nsid w:val="5B0DAD2A"/>
    <w:multiLevelType w:val="hybridMultilevel"/>
    <w:lvl w:ilvl="0">
      <w:lvlJc w:val="left"/>
      <w:lvlText w:val="%1."/>
      <w:numFmt w:val="decimal"/>
      <w:start w:val="5"/>
    </w:lvl>
    <w:lvl w:ilvl="1">
      <w:lvlJc w:val="left"/>
      <w:lvlText w:val="(%2)"/>
      <w:numFmt w:val="lowerLetter"/>
      <w:start w:val="1"/>
    </w:lvl>
  </w:abstractNum>
  <w:abstractNum w:abstractNumId="179">
    <w:nsid w:val="4E3D26AB"/>
    <w:multiLevelType w:val="hybridMultilevel"/>
    <w:lvl w:ilvl="0">
      <w:lvlJc w:val="left"/>
      <w:lvlText w:val="(%1)"/>
      <w:numFmt w:val="lowerLetter"/>
      <w:start w:val="5"/>
    </w:lvl>
  </w:abstractNum>
  <w:abstractNum w:abstractNumId="180">
    <w:nsid w:val="BE2C8BA"/>
    <w:multiLevelType w:val="hybridMultilevel"/>
    <w:lvl w:ilvl="0">
      <w:lvlJc w:val="left"/>
      <w:lvlText w:val="%1"/>
      <w:numFmt w:val="lowerLetter"/>
      <w:start w:val="1"/>
    </w:lvl>
    <w:lvl w:ilvl="1">
      <w:lvlJc w:val="left"/>
      <w:lvlText w:val="(%2)"/>
      <w:numFmt w:val="lowerLetter"/>
      <w:start w:val="7"/>
    </w:lvl>
    <w:lvl w:ilvl="2">
      <w:lvlJc w:val="left"/>
      <w:lvlText w:val="%3"/>
      <w:numFmt w:val="upperLetter"/>
      <w:start w:val="1"/>
    </w:lvl>
  </w:abstractNum>
  <w:abstractNum w:abstractNumId="181">
    <w:nsid w:val="7B14914E"/>
    <w:multiLevelType w:val="hybridMultilevel"/>
    <w:lvl w:ilvl="0">
      <w:lvlJc w:val="left"/>
      <w:lvlText w:val="(%1)"/>
      <w:numFmt w:val="lowerLetter"/>
      <w:start w:val="61"/>
    </w:lvl>
    <w:lvl w:ilvl="1">
      <w:lvlJc w:val="left"/>
      <w:lvlText w:val="(%2)"/>
      <w:numFmt w:val="lowerLetter"/>
      <w:start w:val="10"/>
    </w:lvl>
    <w:lvl w:ilvl="2">
      <w:lvlJc w:val="left"/>
      <w:lvlText w:val="(%3)"/>
      <w:numFmt w:val="upperLetter"/>
      <w:start w:val="1"/>
    </w:lvl>
  </w:abstractNum>
  <w:abstractNum w:abstractNumId="182">
    <w:nsid w:val="6F0939F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183">
    <w:nsid w:val="154291F6"/>
    <w:multiLevelType w:val="hybridMultilevel"/>
    <w:lvl w:ilvl="0">
      <w:lvlJc w:val="left"/>
      <w:lvlText w:val="%1"/>
      <w:numFmt w:val="decimal"/>
      <w:start w:val="1"/>
    </w:lvl>
    <w:lvl w:ilvl="1">
      <w:lvlJc w:val="left"/>
      <w:lvlText w:val="(%2)"/>
      <w:numFmt w:val="lowerLetter"/>
      <w:start w:val="11"/>
    </w:lvl>
    <w:lvl w:ilvl="2">
      <w:lvlJc w:val="left"/>
      <w:lvlText w:val="%3"/>
      <w:numFmt w:val="upperLetter"/>
      <w:start w:val="1"/>
    </w:lvl>
  </w:abstractNum>
  <w:abstractNum w:abstractNumId="184">
    <w:nsid w:val="3CEBD7C7"/>
    <w:multiLevelType w:val="hybridMultilevel"/>
    <w:lvl w:ilvl="0">
      <w:lvlJc w:val="left"/>
      <w:lvlText w:val="%1."/>
      <w:numFmt w:val="decimal"/>
      <w:start w:val="7"/>
    </w:lvl>
    <w:lvl w:ilvl="1">
      <w:lvlJc w:val="left"/>
      <w:lvlText w:val="%2"/>
      <w:numFmt w:val="lowerLetter"/>
      <w:start w:val="1"/>
    </w:lvl>
    <w:lvl w:ilvl="2">
      <w:lvlJc w:val="left"/>
      <w:lvlText w:val="%3"/>
      <w:numFmt w:val="upperLetter"/>
      <w:start w:val="1"/>
    </w:lvl>
  </w:abstractNum>
  <w:abstractNum w:abstractNumId="185">
    <w:nsid w:val="60EE9C16"/>
    <w:multiLevelType w:val="hybridMultilevel"/>
    <w:lvl w:ilvl="0">
      <w:lvlJc w:val="left"/>
      <w:lvlText w:val="%1."/>
      <w:numFmt w:val="decimal"/>
      <w:start w:val="8"/>
    </w:lvl>
  </w:abstractNum>
  <w:abstractNum w:abstractNumId="186">
    <w:nsid w:val="6385489E"/>
    <w:multiLevelType w:val="hybridMultilevel"/>
    <w:lvl w:ilvl="0">
      <w:lvlJc w:val="left"/>
      <w:lvlText w:val="%1."/>
      <w:numFmt w:val="decimal"/>
      <w:start w:val="9"/>
    </w:lvl>
    <w:lvl w:ilvl="1">
      <w:lvlJc w:val="left"/>
      <w:lvlText w:val="(%2)"/>
      <w:numFmt w:val="lowerLetter"/>
      <w:start w:val="1"/>
    </w:lvl>
  </w:abstractNum>
  <w:abstractNum w:abstractNumId="187">
    <w:nsid w:val="E4B973"/>
    <w:multiLevelType w:val="hybridMultilevel"/>
    <w:lvl w:ilvl="0">
      <w:lvlJc w:val="left"/>
      <w:lvlText w:val="(%1)"/>
      <w:numFmt w:val="lowerLetter"/>
      <w:start w:val="2"/>
    </w:lvl>
  </w:abstractNum>
  <w:abstractNum w:abstractNumId="188">
    <w:nsid w:val="4A0FFA11"/>
    <w:multiLevelType w:val="hybridMultilevel"/>
    <w:lvl w:ilvl="0">
      <w:lvlJc w:val="left"/>
      <w:lvlText w:val="(%1)"/>
      <w:numFmt w:val="lowerLetter"/>
      <w:start w:val="2"/>
    </w:lvl>
  </w:abstractNum>
  <w:abstractNum w:abstractNumId="189">
    <w:nsid w:val="5E446208"/>
    <w:multiLevelType w:val="hybridMultilevel"/>
    <w:lvl w:ilvl="0">
      <w:lvlJc w:val="left"/>
      <w:lvlText w:val="%1"/>
      <w:numFmt w:val="lowerLetter"/>
      <w:start w:val="1"/>
    </w:lvl>
    <w:lvl w:ilvl="1">
      <w:lvlJc w:val="left"/>
      <w:lvlText w:val="(%2)"/>
      <w:numFmt w:val="lowerLetter"/>
      <w:start w:val="3"/>
    </w:lvl>
  </w:abstractNum>
  <w:abstractNum w:abstractNumId="190">
    <w:nsid w:val="5F3272DB"/>
    <w:multiLevelType w:val="hybridMultilevel"/>
    <w:lvl w:ilvl="0">
      <w:lvlJc w:val="left"/>
      <w:lvlText w:val="(%1)"/>
      <w:numFmt w:val="lowerLetter"/>
      <w:start w:val="61"/>
    </w:lvl>
    <w:lvl w:ilvl="1">
      <w:lvlJc w:val="left"/>
      <w:lvlText w:val="%2"/>
      <w:numFmt w:val="lowerLetter"/>
      <w:start w:val="1"/>
    </w:lvl>
  </w:abstractNum>
  <w:abstractNum w:abstractNumId="191">
    <w:nsid w:val="7616D704"/>
    <w:multiLevelType w:val="hybridMultilevel"/>
    <w:lvl w:ilvl="0">
      <w:lvlJc w:val="left"/>
      <w:lvlText w:val="%1"/>
      <w:numFmt w:val="lowerLetter"/>
      <w:start w:val="1"/>
    </w:lvl>
    <w:lvl w:ilvl="1">
      <w:lvlJc w:val="left"/>
      <w:lvlText w:val="(%2)"/>
      <w:numFmt w:val="lowerLetter"/>
      <w:start w:val="4"/>
    </w:lvl>
  </w:abstractNum>
  <w:abstractNum w:abstractNumId="192">
    <w:nsid w:val="C56F860"/>
    <w:multiLevelType w:val="hybridMultilevel"/>
    <w:lvl w:ilvl="0">
      <w:lvlJc w:val="left"/>
      <w:lvlText w:val="(%1)"/>
      <w:numFmt w:val="lowerLetter"/>
      <w:start w:val="9"/>
    </w:lvl>
    <w:lvl w:ilvl="1">
      <w:lvlJc w:val="left"/>
      <w:lvlText w:val="(%2)"/>
      <w:numFmt w:val="lowerLetter"/>
      <w:start w:val="5"/>
    </w:lvl>
  </w:abstractNum>
  <w:abstractNum w:abstractNumId="193">
    <w:nsid w:val="64D17722"/>
    <w:multiLevelType w:val="hybridMultilevel"/>
    <w:lvl w:ilvl="0">
      <w:lvlJc w:val="left"/>
      <w:lvlText w:val="%1"/>
      <w:numFmt w:val="decimal"/>
      <w:start w:val="1"/>
    </w:lvl>
    <w:lvl w:ilvl="1">
      <w:lvlJc w:val="left"/>
      <w:lvlText w:val="(%2)"/>
      <w:numFmt w:val="lowerLetter"/>
      <w:start w:val="6"/>
    </w:lvl>
  </w:abstractNum>
  <w:abstractNum w:abstractNumId="194">
    <w:nsid w:val="7924CA0A"/>
    <w:multiLevelType w:val="hybridMultilevel"/>
    <w:lvl w:ilvl="0">
      <w:lvlJc w:val="left"/>
      <w:lvlText w:val="%1."/>
      <w:numFmt w:val="decimal"/>
      <w:start w:val="10"/>
    </w:lvl>
    <w:lvl w:ilvl="1">
      <w:lvlJc w:val="left"/>
      <w:lvlText w:val="%2"/>
      <w:numFmt w:val="lowerLetter"/>
      <w:start w:val="1"/>
    </w:lvl>
  </w:abstractNum>
  <w:abstractNum w:abstractNumId="195">
    <w:nsid w:val="CFD4EA7"/>
    <w:multiLevelType w:val="hybridMultilevel"/>
    <w:lvl w:ilvl="0">
      <w:lvlJc w:val="left"/>
      <w:lvlText w:val="%1."/>
      <w:numFmt w:val="decimal"/>
      <w:start w:val="12"/>
    </w:lvl>
  </w:abstractNum>
  <w:abstractNum w:abstractNumId="196">
    <w:nsid w:val="232FCF4D"/>
    <w:multiLevelType w:val="hybridMultilevel"/>
    <w:lvl w:ilvl="0">
      <w:lvlJc w:val="left"/>
      <w:lvlText w:val="%1."/>
      <w:numFmt w:val="decimal"/>
      <w:start w:val="13"/>
    </w:lvl>
  </w:abstractNum>
  <w:abstractNum w:abstractNumId="197">
    <w:nsid w:val="1EA21031"/>
    <w:multiLevelType w:val="hybridMultilevel"/>
    <w:lvl w:ilvl="0">
      <w:lvlJc w:val="left"/>
      <w:lvlText w:val="%1."/>
      <w:numFmt w:val="decimal"/>
      <w:start w:val="16"/>
    </w:lvl>
  </w:abstractNum>
  <w:abstractNum w:abstractNumId="198">
    <w:nsid w:val="67A5A6B5"/>
    <w:multiLevelType w:val="hybridMultilevel"/>
    <w:lvl w:ilvl="0">
      <w:lvlJc w:val="left"/>
      <w:lvlText w:val="%1."/>
      <w:numFmt w:val="decimal"/>
      <w:start w:val="17"/>
    </w:lvl>
  </w:abstractNum>
  <w:abstractNum w:abstractNumId="199">
    <w:nsid w:val="C2A5C5B"/>
    <w:multiLevelType w:val="hybridMultilevel"/>
    <w:lvl w:ilvl="0">
      <w:lvlJc w:val="left"/>
      <w:lvlText w:val="(%1)"/>
      <w:numFmt w:val="lowerLetter"/>
      <w:start w:val="1"/>
    </w:lvl>
  </w:abstractNum>
  <w:abstractNum w:abstractNumId="200">
    <w:nsid w:val="5F94DC03"/>
    <w:multiLevelType w:val="hybridMultilevel"/>
    <w:lvl w:ilvl="0">
      <w:lvlJc w:val="left"/>
      <w:lvlText w:val="%1."/>
      <w:numFmt w:val="decimal"/>
      <w:start w:val="1"/>
    </w:lvl>
  </w:abstractNum>
  <w:abstractNum w:abstractNumId="201">
    <w:nsid w:val="237BBCA0"/>
    <w:multiLevelType w:val="hybridMultilevel"/>
    <w:lvl w:ilvl="0">
      <w:lvlJc w:val="left"/>
      <w:lvlText w:val="(%1)"/>
      <w:numFmt w:val="lowerLetter"/>
      <w:start w:val="1"/>
    </w:lvl>
  </w:abstractNum>
  <w:abstractNum w:abstractNumId="202">
    <w:nsid w:val="162EB70D"/>
    <w:multiLevelType w:val="hybridMultilevel"/>
    <w:lvl w:ilvl="0">
      <w:lvlJc w:val="left"/>
      <w:lvlText w:val="%1"/>
      <w:numFmt w:val="lowerLetter"/>
      <w:start w:val="1"/>
    </w:lvl>
    <w:lvl w:ilvl="1">
      <w:lvlJc w:val="left"/>
      <w:lvlText w:val="(%2)"/>
      <w:numFmt w:val="lowerLetter"/>
      <w:start w:val="2"/>
    </w:lvl>
  </w:abstractNum>
  <w:abstractNum w:abstractNumId="203">
    <w:nsid w:val="78070222"/>
    <w:multiLevelType w:val="hybridMultilevel"/>
    <w:lvl w:ilvl="0">
      <w:lvlJc w:val="left"/>
      <w:lvlText w:val="(%1)"/>
      <w:numFmt w:val="lowerLetter"/>
      <w:start w:val="1"/>
    </w:lvl>
    <w:lvl w:ilvl="1">
      <w:lvlJc w:val="left"/>
      <w:lvlText w:val="%2"/>
      <w:numFmt w:val="lowerLetter"/>
      <w:start w:val="1"/>
    </w:lvl>
  </w:abstractNum>
  <w:abstractNum w:abstractNumId="204">
    <w:nsid w:val="6163ED0D"/>
    <w:multiLevelType w:val="hybridMultilevel"/>
    <w:lvl w:ilvl="0">
      <w:lvlJc w:val="left"/>
      <w:lvlText w:val="%1"/>
      <w:numFmt w:val="lowerLetter"/>
      <w:start w:val="1"/>
    </w:lvl>
    <w:lvl w:ilvl="1">
      <w:lvlJc w:val="left"/>
      <w:lvlText w:val="(%2)"/>
      <w:numFmt w:val="lowerLetter"/>
      <w:start w:val="4"/>
    </w:lvl>
  </w:abstractNum>
  <w:abstractNum w:abstractNumId="205">
    <w:nsid w:val="C600E47"/>
    <w:multiLevelType w:val="hybridMultilevel"/>
    <w:lvl w:ilvl="0">
      <w:lvlJc w:val="left"/>
      <w:lvlText w:val="(%1)"/>
      <w:numFmt w:val="lowerLetter"/>
      <w:start w:val="35"/>
    </w:lvl>
    <w:lvl w:ilvl="1">
      <w:lvlJc w:val="left"/>
      <w:lvlText w:val="(%2)"/>
      <w:numFmt w:val="lowerLetter"/>
      <w:start w:val="6"/>
    </w:lvl>
  </w:abstractNum>
  <w:abstractNum w:abstractNumId="206">
    <w:nsid w:val="7D94F75D"/>
    <w:multiLevelType w:val="hybridMultilevel"/>
    <w:lvl w:ilvl="0">
      <w:lvlJc w:val="left"/>
      <w:lvlText w:val="(%1)"/>
      <w:numFmt w:val="lowerLetter"/>
      <w:start w:val="9"/>
    </w:lvl>
    <w:lvl w:ilvl="1">
      <w:lvlJc w:val="left"/>
      <w:lvlText w:val="(%2)"/>
      <w:numFmt w:val="lowerLetter"/>
      <w:start w:val="8"/>
    </w:lvl>
  </w:abstractNum>
  <w:abstractNum w:abstractNumId="207">
    <w:nsid w:val="6C31E7C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08">
    <w:nsid w:val="2BB7929B"/>
    <w:multiLevelType w:val="hybridMultilevel"/>
    <w:lvl w:ilvl="0">
      <w:lvlJc w:val="left"/>
      <w:lvlText w:val="%1"/>
      <w:numFmt w:val="decimal"/>
      <w:start w:val="1"/>
    </w:lvl>
    <w:lvl w:ilvl="1">
      <w:lvlJc w:val="left"/>
      <w:lvlText w:val="(%2)"/>
      <w:numFmt w:val="lowerRoman"/>
      <w:start w:val="2"/>
    </w:lvl>
  </w:abstractNum>
  <w:abstractNum w:abstractNumId="209">
    <w:nsid w:val="58A2A487"/>
    <w:multiLevelType w:val="hybridMultilevel"/>
    <w:lvl w:ilvl="0">
      <w:lvlJc w:val="left"/>
      <w:lvlText w:val="(%1)"/>
      <w:numFmt w:val="decimal"/>
      <w:start w:val="10"/>
    </w:lvl>
    <w:lvl w:ilvl="1">
      <w:lvlJc w:val="left"/>
      <w:lvlText w:val="(%2)"/>
      <w:numFmt w:val="lowerRoman"/>
      <w:start w:val="4"/>
    </w:lvl>
  </w:abstractNum>
  <w:abstractNum w:abstractNumId="210">
    <w:nsid w:val="3A6F0E78"/>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211">
    <w:nsid w:val="379A5B56"/>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212">
    <w:nsid w:val="53B735D5"/>
    <w:multiLevelType w:val="hybridMultilevel"/>
    <w:lvl w:ilvl="0">
      <w:lvlJc w:val="left"/>
      <w:lvlText w:val="(%1)"/>
      <w:numFmt w:val="lowerRoman"/>
      <w:start w:val="2"/>
    </w:lvl>
  </w:abstractNum>
  <w:abstractNum w:abstractNumId="213">
    <w:nsid w:val="29784870"/>
    <w:multiLevelType w:val="hybridMultilevel"/>
    <w:lvl w:ilvl="0">
      <w:lvlJc w:val="left"/>
      <w:lvlText w:val="(%1)"/>
      <w:numFmt w:val="lowerRoman"/>
      <w:start w:val="5"/>
    </w:lvl>
  </w:abstractNum>
  <w:abstractNum w:abstractNumId="214">
    <w:nsid w:val="4CDCED4C"/>
    <w:multiLevelType w:val="hybridMultilevel"/>
    <w:lvl w:ilvl="0">
      <w:lvlJc w:val="left"/>
      <w:lvlText w:val="%1"/>
      <w:numFmt w:val="lowerLetter"/>
      <w:start w:val="1"/>
    </w:lvl>
    <w:lvl w:ilvl="1">
      <w:lvlJc w:val="left"/>
      <w:lvlText w:val="(%2)"/>
      <w:numFmt w:val="lowerRoman"/>
      <w:start w:val="6"/>
    </w:lvl>
  </w:abstractNum>
  <w:abstractNum w:abstractNumId="215">
    <w:nsid w:val="10A30D9C"/>
    <w:multiLevelType w:val="hybridMultilevel"/>
    <w:lvl w:ilvl="0">
      <w:lvlJc w:val="left"/>
      <w:lvlText w:val="(%1)"/>
      <w:numFmt w:val="lowerLetter"/>
      <w:start w:val="3"/>
    </w:lvl>
    <w:lvl w:ilvl="1">
      <w:lvlJc w:val="left"/>
      <w:lvlText w:val="(%2)"/>
      <w:numFmt w:val="lowerRoman"/>
      <w:start w:val="1"/>
    </w:lvl>
  </w:abstractNum>
  <w:abstractNum w:abstractNumId="216">
    <w:nsid w:val="A66E486"/>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17">
    <w:nsid w:val="306235EA"/>
    <w:multiLevelType w:val="hybridMultilevel"/>
    <w:lvl w:ilvl="0">
      <w:lvlJc w:val="left"/>
      <w:lvlText w:val="(%1)"/>
      <w:numFmt w:val="decimal"/>
      <w:start w:val="2"/>
    </w:lvl>
    <w:lvl w:ilvl="1">
      <w:lvlJc w:val="left"/>
      <w:lvlText w:val="(%2)"/>
      <w:numFmt w:val="upperLetter"/>
      <w:start w:val="1"/>
    </w:lvl>
  </w:abstractNum>
  <w:abstractNum w:abstractNumId="218">
    <w:nsid w:val="1187C70F"/>
    <w:multiLevelType w:val="hybridMultilevel"/>
    <w:lvl w:ilvl="0">
      <w:lvlJc w:val="left"/>
      <w:lvlText w:val="(%1)"/>
      <w:numFmt w:val="upperLetter"/>
      <w:start w:val="3"/>
    </w:lvl>
  </w:abstractNum>
  <w:abstractNum w:abstractNumId="219">
    <w:nsid w:val="5476DE98"/>
    <w:multiLevelType w:val="hybridMultilevel"/>
    <w:lvl w:ilvl="0">
      <w:lvlJc w:val="left"/>
      <w:lvlText w:val="(%1)"/>
      <w:numFmt w:val="upperLetter"/>
      <w:start w:val="4"/>
    </w:lvl>
  </w:abstractNum>
  <w:abstractNum w:abstractNumId="220">
    <w:nsid w:val="EA697F2"/>
    <w:multiLevelType w:val="hybridMultilevel"/>
    <w:lvl w:ilvl="0">
      <w:lvlJc w:val="left"/>
      <w:lvlText w:val="(%1)"/>
      <w:numFmt w:val="upperLetter"/>
      <w:start w:val="5"/>
    </w:lvl>
  </w:abstractNum>
  <w:abstractNum w:abstractNumId="221">
    <w:nsid w:val="70BA39EB"/>
    <w:multiLevelType w:val="hybridMultilevel"/>
    <w:lvl w:ilvl="0">
      <w:lvlJc w:val="left"/>
      <w:lvlText w:val="%1"/>
      <w:numFmt w:val="lowerRoman"/>
      <w:start w:val="1"/>
    </w:lvl>
    <w:lvl w:ilvl="1">
      <w:lvlJc w:val="left"/>
      <w:lvlText w:val="(%2)"/>
      <w:numFmt w:val="upperLetter"/>
      <w:start w:val="6"/>
    </w:lvl>
  </w:abstractNum>
  <w:abstractNum w:abstractNumId="222">
    <w:nsid w:val="4A8DB59C"/>
    <w:multiLevelType w:val="hybridMultilevel"/>
    <w:lvl w:ilvl="0">
      <w:lvlJc w:val="left"/>
      <w:lvlText w:val="(%1)"/>
      <w:numFmt w:val="lowerRoman"/>
      <w:start w:val="2"/>
    </w:lvl>
    <w:lvl w:ilvl="1">
      <w:lvlJc w:val="left"/>
      <w:lvlText w:val="%2"/>
      <w:numFmt w:val="upperLetter"/>
      <w:start w:val="1"/>
    </w:lvl>
  </w:abstractNum>
  <w:abstractNum w:abstractNumId="223">
    <w:nsid w:val="1AFD9053"/>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224">
    <w:nsid w:val="558BB10D"/>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225">
    <w:nsid w:val="43B27FA7"/>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226">
    <w:nsid w:val="27FADEFA"/>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227">
    <w:nsid w:val="78BB805A"/>
    <w:multiLevelType w:val="hybridMultilevel"/>
    <w:lvl w:ilvl="0">
      <w:lvlJc w:val="left"/>
      <w:lvlText w:val="(%1)"/>
      <w:numFmt w:val="lowerRoman"/>
      <w:start w:val="4"/>
    </w:lvl>
  </w:abstractNum>
  <w:abstractNum w:abstractNumId="228">
    <w:nsid w:val="62548FD8"/>
    <w:multiLevelType w:val="hybridMultilevel"/>
    <w:lvl w:ilvl="0">
      <w:lvlJc w:val="left"/>
      <w:lvlText w:val="(%1)"/>
      <w:numFmt w:val="lowerRoman"/>
      <w:start w:val="5"/>
    </w:lvl>
    <w:lvl w:ilvl="1">
      <w:lvlJc w:val="left"/>
      <w:lvlText w:val="(%2)"/>
      <w:numFmt w:val="decimal"/>
      <w:start w:val="1"/>
    </w:lvl>
    <w:lvl w:ilvl="2">
      <w:lvlJc w:val="left"/>
      <w:lvlText w:val="(%3)"/>
      <w:numFmt w:val="upperLetter"/>
      <w:start w:val="1"/>
    </w:lvl>
  </w:abstractNum>
  <w:abstractNum w:abstractNumId="229">
    <w:nsid w:val="FA085B0"/>
    <w:multiLevelType w:val="hybridMultilevel"/>
    <w:lvl w:ilvl="0">
      <w:lvlJc w:val="left"/>
      <w:lvlText w:val="(%1)"/>
      <w:numFmt w:val="lowerRoman"/>
      <w:start w:val="6"/>
    </w:lvl>
    <w:lvl w:ilvl="1">
      <w:lvlJc w:val="left"/>
      <w:lvlText w:val="(%2)"/>
      <w:numFmt w:val="decimal"/>
      <w:start w:val="1"/>
    </w:lvl>
  </w:abstractNum>
  <w:abstractNum w:abstractNumId="230">
    <w:nsid w:val="4E5DCB5"/>
    <w:multiLevelType w:val="hybridMultilevel"/>
    <w:lvl w:ilvl="0">
      <w:lvlJc w:val="left"/>
      <w:lvlText w:val="(%1)"/>
      <w:numFmt w:val="lowerLetter"/>
      <w:start w:val="5"/>
    </w:lvl>
  </w:abstractNum>
  <w:abstractNum w:abstractNumId="231">
    <w:nsid w:val="41E96BDB"/>
    <w:multiLevelType w:val="hybridMultilevel"/>
    <w:lvl w:ilvl="0">
      <w:lvlJc w:val="left"/>
      <w:lvlText w:val="(%1)"/>
      <w:numFmt w:val="lowerLetter"/>
      <w:start w:val="6"/>
    </w:lvl>
  </w:abstractNum>
  <w:abstractNum w:abstractNumId="232">
    <w:nsid w:val="331C4250"/>
    <w:multiLevelType w:val="hybridMultilevel"/>
    <w:lvl w:ilvl="0">
      <w:lvlJc w:val="left"/>
      <w:lvlText w:val="(%1)"/>
      <w:numFmt w:val="lowerLetter"/>
      <w:start w:val="8"/>
    </w:lvl>
  </w:abstractNum>
  <w:abstractNum w:abstractNumId="233">
    <w:nsid w:val="1B1493C2"/>
    <w:multiLevelType w:val="hybridMultilevel"/>
    <w:lvl w:ilvl="0">
      <w:lvlJc w:val="left"/>
      <w:lvlText w:val="(%1)"/>
      <w:numFmt w:val="lowerLetter"/>
      <w:start w:val="1"/>
    </w:lvl>
  </w:abstractNum>
  <w:abstractNum w:abstractNumId="234">
    <w:nsid w:val="39F06DFD"/>
    <w:multiLevelType w:val="hybridMultilevel"/>
    <w:lvl w:ilvl="0">
      <w:lvlJc w:val="left"/>
      <w:lvlText w:val="(%1)"/>
      <w:numFmt w:val="lowerLetter"/>
      <w:start w:val="3"/>
    </w:lvl>
  </w:abstractNum>
  <w:abstractNum w:abstractNumId="235">
    <w:nsid w:val="14802F5D"/>
    <w:multiLevelType w:val="hybridMultilevel"/>
    <w:lvl w:ilvl="0">
      <w:lvlJc w:val="left"/>
      <w:lvlText w:val="(%1)"/>
      <w:numFmt w:val="lowerLetter"/>
      <w:start w:val="1"/>
    </w:lvl>
  </w:abstractNum>
  <w:abstractNum w:abstractNumId="236">
    <w:nsid w:val="2774A209"/>
    <w:multiLevelType w:val="hybridMultilevel"/>
    <w:lvl w:ilvl="0">
      <w:lvlJc w:val="left"/>
      <w:lvlText w:val="(%1)"/>
      <w:numFmt w:val="lowerLetter"/>
      <w:start w:val="5"/>
    </w:lvl>
  </w:abstractNum>
  <w:abstractNum w:abstractNumId="237">
    <w:nsid w:val="3785655A"/>
    <w:multiLevelType w:val="hybridMultilevel"/>
    <w:lvl w:ilvl="0">
      <w:lvlJc w:val="left"/>
      <w:lvlText w:val="(%1)"/>
      <w:numFmt w:val="lowerLetter"/>
      <w:start w:val="1"/>
    </w:lvl>
  </w:abstractNum>
  <w:abstractNum w:abstractNumId="238">
    <w:nsid w:val="B2172A"/>
    <w:multiLevelType w:val="hybridMultilevel"/>
    <w:lvl w:ilvl="0">
      <w:lvlJc w:val="left"/>
      <w:lvlText w:val="(%1)"/>
      <w:numFmt w:val="lowerLetter"/>
      <w:start w:val="3"/>
    </w:lvl>
  </w:abstractNum>
  <w:abstractNum w:abstractNumId="239">
    <w:nsid w:val="532C34A5"/>
    <w:multiLevelType w:val="hybridMultilevel"/>
    <w:lvl w:ilvl="0">
      <w:lvlJc w:val="left"/>
      <w:lvlText w:val="%1"/>
      <w:numFmt w:val="lowerLetter"/>
      <w:start w:val="1"/>
    </w:lvl>
    <w:lvl w:ilvl="1">
      <w:lvlJc w:val="left"/>
      <w:lvlText w:val="(%2)"/>
      <w:numFmt w:val="lowerLetter"/>
      <w:start w:val="1"/>
    </w:lvl>
  </w:abstractNum>
  <w:abstractNum w:abstractNumId="240">
    <w:nsid w:val="102809E2"/>
    <w:multiLevelType w:val="hybridMultilevel"/>
    <w:lvl w:ilvl="0">
      <w:lvlJc w:val="left"/>
      <w:lvlText w:val="(%1)"/>
      <w:numFmt w:val="lowerLetter"/>
      <w:start w:val="9"/>
    </w:lvl>
    <w:lvl w:ilvl="1">
      <w:lvlJc w:val="left"/>
      <w:lvlText w:val="%2"/>
      <w:numFmt w:val="lowerLetter"/>
      <w:start w:val="1"/>
    </w:lvl>
  </w:abstractNum>
  <w:abstractNum w:abstractNumId="241">
    <w:nsid w:val="3B2125A3"/>
    <w:multiLevelType w:val="hybridMultilevel"/>
    <w:lvl w:ilvl="0">
      <w:lvlJc w:val="left"/>
      <w:lvlText w:val="(%1)"/>
      <w:numFmt w:val="lowerLetter"/>
      <w:start w:val="2"/>
    </w:lvl>
  </w:abstractNum>
  <w:abstractNum w:abstractNumId="242">
    <w:nsid w:val="AC68FFB"/>
    <w:multiLevelType w:val="hybridMultilevel"/>
    <w:lvl w:ilvl="0">
      <w:lvlJc w:val="left"/>
      <w:lvlText w:val="(%1)"/>
      <w:numFmt w:val="lowerLetter"/>
      <w:start w:val="1"/>
    </w:lvl>
    <w:lvl w:ilvl="1">
      <w:lvlJc w:val="left"/>
      <w:lvlText w:val="(%2)"/>
      <w:numFmt w:val="lowerRoman"/>
      <w:start w:val="1"/>
    </w:lvl>
  </w:abstractNum>
  <w:abstractNum w:abstractNumId="243">
    <w:nsid w:val="63DF3FB7"/>
    <w:multiLevelType w:val="hybridMultilevel"/>
    <w:lvl w:ilvl="0">
      <w:lvlJc w:val="left"/>
      <w:lvlText w:val="%1"/>
      <w:numFmt w:val="lowerLetter"/>
      <w:start w:val="1"/>
    </w:lvl>
    <w:lvl w:ilvl="1">
      <w:lvlJc w:val="left"/>
      <w:lvlText w:val="(%2)"/>
      <w:numFmt w:val="lowerRoman"/>
      <w:start w:val="8"/>
    </w:lvl>
  </w:abstractNum>
  <w:abstractNum w:abstractNumId="244">
    <w:nsid w:val="64996E13"/>
    <w:multiLevelType w:val="hybridMultilevel"/>
    <w:lvl w:ilvl="0">
      <w:lvlJc w:val="left"/>
      <w:lvlText w:val="(%1)"/>
      <w:numFmt w:val="lowerLetter"/>
      <w:start w:val="2"/>
    </w:lvl>
    <w:lvl w:ilvl="1">
      <w:lvlJc w:val="left"/>
      <w:lvlText w:val="%2"/>
      <w:numFmt w:val="lowerRoman"/>
      <w:start w:val="1"/>
    </w:lvl>
  </w:abstractNum>
  <w:abstractNum w:abstractNumId="245">
    <w:nsid w:val="57A37D47"/>
    <w:multiLevelType w:val="hybridMultilevel"/>
    <w:lvl w:ilvl="0">
      <w:lvlJc w:val="left"/>
      <w:lvlText w:val="(%1)"/>
      <w:numFmt w:val="lowerLetter"/>
      <w:start w:val="6"/>
    </w:lvl>
  </w:abstractNum>
  <w:abstractNum w:abstractNumId="246">
    <w:nsid w:val="74824D54"/>
    <w:multiLevelType w:val="hybridMultilevel"/>
    <w:lvl w:ilvl="0">
      <w:lvlJc w:val="left"/>
      <w:lvlText w:val="%1."/>
      <w:numFmt w:val="decimal"/>
      <w:start w:val="3"/>
    </w:lvl>
  </w:abstractNum>
  <w:abstractNum w:abstractNumId="247">
    <w:nsid w:val="6F00529A"/>
    <w:multiLevelType w:val="hybridMultilevel"/>
    <w:lvl w:ilvl="0">
      <w:lvlJc w:val="left"/>
      <w:lvlText w:val="%1."/>
      <w:numFmt w:val="decimal"/>
      <w:start w:val="1"/>
    </w:lvl>
  </w:abstractNum>
  <w:abstractNum w:abstractNumId="248">
    <w:nsid w:val="805B331"/>
    <w:multiLevelType w:val="hybridMultilevel"/>
    <w:lvl w:ilvl="0">
      <w:lvlJc w:val="left"/>
      <w:lvlText w:val="(%1)"/>
      <w:numFmt w:val="lowerLetter"/>
      <w:start w:val="1"/>
    </w:lvl>
  </w:abstractNum>
  <w:abstractNum w:abstractNumId="249">
    <w:nsid w:val="60A1463"/>
    <w:multiLevelType w:val="hybridMultilevel"/>
    <w:lvl w:ilvl="0">
      <w:lvlJc w:val="left"/>
      <w:lvlText w:val="(%1)"/>
      <w:numFmt w:val="decimal"/>
      <w:start w:val="10"/>
    </w:lvl>
  </w:abstractNum>
  <w:abstractNum w:abstractNumId="250">
    <w:nsid w:val="43773132"/>
    <w:multiLevelType w:val="hybridMultilevel"/>
    <w:lvl w:ilvl="0">
      <w:lvlJc w:val="left"/>
      <w:lvlText w:val="(%1)"/>
      <w:numFmt w:val="lowerRoman"/>
      <w:start w:val="2"/>
    </w:lvl>
  </w:abstractNum>
  <w:abstractNum w:abstractNumId="251">
    <w:nsid w:val="16AC4B23"/>
    <w:multiLevelType w:val="hybridMultilevel"/>
    <w:lvl w:ilvl="0">
      <w:lvlJc w:val="left"/>
      <w:lvlText w:val="%1."/>
      <w:numFmt w:val="decimal"/>
      <w:start w:val="2"/>
    </w:lvl>
    <w:lvl w:ilvl="1">
      <w:lvlJc w:val="left"/>
      <w:lvlText w:val="(%2)"/>
      <w:numFmt w:val="lowerLetter"/>
      <w:start w:val="1"/>
    </w:lvl>
  </w:abstractNum>
  <w:abstractNum w:abstractNumId="252">
    <w:nsid w:val="76C44E4E"/>
    <w:multiLevelType w:val="hybridMultilevel"/>
    <w:lvl w:ilvl="0">
      <w:lvlJc w:val="left"/>
      <w:lvlText w:val="(%1)"/>
      <w:numFmt w:val="lowerLetter"/>
      <w:start w:val="2"/>
    </w:lvl>
  </w:abstractNum>
  <w:abstractNum w:abstractNumId="253">
    <w:nsid w:val="E04E6CE"/>
    <w:multiLevelType w:val="hybridMultilevel"/>
    <w:lvl w:ilvl="0">
      <w:lvlJc w:val="left"/>
      <w:lvlText w:val="%1."/>
      <w:numFmt w:val="decimal"/>
      <w:start w:val="3"/>
    </w:lvl>
    <w:lvl w:ilvl="1">
      <w:lvlJc w:val="left"/>
      <w:lvlText w:val="(%2)"/>
      <w:numFmt w:val="lowerLetter"/>
      <w:start w:val="1"/>
    </w:lvl>
  </w:abstractNum>
  <w:abstractNum w:abstractNumId="254">
    <w:nsid w:val="31A9DB76"/>
    <w:multiLevelType w:val="hybridMultilevel"/>
    <w:lvl w:ilvl="0">
      <w:lvlJc w:val="left"/>
      <w:lvlText w:val="(%1)"/>
      <w:numFmt w:val="lowerLetter"/>
      <w:start w:val="7"/>
    </w:lvl>
  </w:abstractNum>
  <w:abstractNum w:abstractNumId="255">
    <w:nsid w:val="4C4FFF5B"/>
    <w:multiLevelType w:val="hybridMultilevel"/>
    <w:lvl w:ilvl="0">
      <w:lvlJc w:val="left"/>
      <w:lvlText w:val="(%1)"/>
      <w:numFmt w:val="lowerLetter"/>
      <w:start w:val="8"/>
    </w:lvl>
  </w:abstractNum>
  <w:abstractNum w:abstractNumId="256">
    <w:nsid w:val="51B76675"/>
    <w:multiLevelType w:val="hybridMultilevel"/>
    <w:lvl w:ilvl="0">
      <w:lvlJc w:val="left"/>
      <w:lvlText w:val="(%1)"/>
      <w:numFmt w:val="lowerLetter"/>
      <w:start w:val="1"/>
    </w:lvl>
    <w:lvl w:ilvl="1">
      <w:lvlJc w:val="left"/>
      <w:lvlText w:val="(%2)"/>
      <w:numFmt w:val="lowerRoman"/>
      <w:start w:val="1"/>
    </w:lvl>
  </w:abstractNum>
  <w:abstractNum w:abstractNumId="257">
    <w:nsid w:val="59A4BA71"/>
    <w:multiLevelType w:val="hybridMultilevel"/>
    <w:lvl w:ilvl="0">
      <w:lvlJc w:val="left"/>
      <w:lvlText w:val="(%1)"/>
      <w:numFmt w:val="lowerLetter"/>
      <w:start w:val="3"/>
    </w:lvl>
  </w:abstractNum>
  <w:abstractNum w:abstractNumId="258">
    <w:nsid w:val="450B7FB6"/>
    <w:multiLevelType w:val="hybridMultilevel"/>
    <w:lvl w:ilvl="0">
      <w:lvlJc w:val="left"/>
      <w:lvlText w:val="(%1)"/>
      <w:numFmt w:val="lowerLetter"/>
      <w:start w:val="1"/>
    </w:lvl>
  </w:abstractNum>
  <w:abstractNum w:abstractNumId="259">
    <w:nsid w:val="340BF64D"/>
    <w:multiLevelType w:val="hybridMultilevel"/>
    <w:lvl w:ilvl="0">
      <w:lvlJc w:val="left"/>
      <w:lvlText w:val="(%1)"/>
      <w:numFmt w:val="lowerLetter"/>
      <w:start w:val="2"/>
    </w:lvl>
  </w:abstractNum>
  <w:abstractNum w:abstractNumId="260">
    <w:nsid w:val="69454021"/>
    <w:multiLevelType w:val="hybridMultilevel"/>
    <w:lvl w:ilvl="0">
      <w:lvlJc w:val="left"/>
      <w:lvlText w:val="(%1)"/>
      <w:numFmt w:val="lowerLetter"/>
      <w:start w:val="3"/>
    </w:lvl>
  </w:abstractNum>
  <w:abstractNum w:abstractNumId="261">
    <w:nsid w:val="49F15C6B"/>
    <w:multiLevelType w:val="hybridMultilevel"/>
    <w:lvl w:ilvl="0">
      <w:lvlJc w:val="left"/>
      <w:lvlText w:val="(%1)"/>
      <w:numFmt w:val="lowerLetter"/>
      <w:start w:val="1"/>
    </w:lvl>
  </w:abstractNum>
  <w:abstractNum w:abstractNumId="262">
    <w:nsid w:val="75F56228"/>
    <w:multiLevelType w:val="hybridMultilevel"/>
    <w:lvl w:ilvl="0">
      <w:lvlJc w:val="left"/>
      <w:lvlText w:val="(%1)"/>
      <w:numFmt w:val="lowerLetter"/>
      <w:start w:val="1"/>
    </w:lvl>
  </w:abstractNum>
  <w:abstractNum w:abstractNumId="263">
    <w:nsid w:val="1C618271"/>
    <w:multiLevelType w:val="hybridMultilevel"/>
    <w:lvl w:ilvl="0">
      <w:lvlJc w:val="left"/>
      <w:lvlText w:val="(%1)"/>
      <w:numFmt w:val="lowerLetter"/>
      <w:start w:val="2"/>
    </w:lvl>
  </w:abstractNum>
  <w:abstractNum w:abstractNumId="264">
    <w:nsid w:val="6505F02E"/>
    <w:multiLevelType w:val="hybridMultilevel"/>
    <w:lvl w:ilvl="0">
      <w:lvlJc w:val="left"/>
      <w:lvlText w:val="(%1)"/>
      <w:numFmt w:val="lowerLetter"/>
      <w:start w:val="8"/>
    </w:lvl>
  </w:abstractNum>
  <w:abstractNum w:abstractNumId="265">
    <w:nsid w:val="2FE5D025"/>
    <w:multiLevelType w:val="hybridMultilevel"/>
    <w:lvl w:ilvl="0">
      <w:lvlJc w:val="left"/>
      <w:lvlText w:val="(%1)"/>
      <w:numFmt w:val="lowerLetter"/>
      <w:start w:val="1"/>
    </w:lvl>
  </w:abstractNum>
  <w:abstractNum w:abstractNumId="266">
    <w:nsid w:val="30E1B1CF"/>
    <w:multiLevelType w:val="hybridMultilevel"/>
    <w:lvl w:ilvl="0">
      <w:lvlJc w:val="left"/>
      <w:lvlText w:val="(%1)"/>
      <w:numFmt w:val="lowerLetter"/>
      <w:start w:val="3"/>
    </w:lvl>
  </w:abstractNum>
  <w:abstractNum w:abstractNumId="267">
    <w:nsid w:val="C7A9237"/>
    <w:multiLevelType w:val="hybridMultilevel"/>
    <w:lvl w:ilvl="0">
      <w:lvlJc w:val="left"/>
      <w:lvlText w:val="(%1)"/>
      <w:numFmt w:val="lowerLetter"/>
      <w:start w:val="5"/>
    </w:lvl>
  </w:abstractNum>
  <w:abstractNum w:abstractNumId="268">
    <w:nsid w:val="676B3580"/>
    <w:multiLevelType w:val="hybridMultilevel"/>
    <w:lvl w:ilvl="0">
      <w:lvlJc w:val="left"/>
      <w:lvlText w:val="(%1)"/>
      <w:numFmt w:val="lowerLetter"/>
      <w:start w:val="1"/>
    </w:lvl>
  </w:abstractNum>
  <w:abstractNum w:abstractNumId="269">
    <w:nsid w:val="3193C8F9"/>
    <w:multiLevelType w:val="hybridMultilevel"/>
    <w:lvl w:ilvl="0">
      <w:lvlJc w:val="left"/>
      <w:lvlText w:val="%1."/>
      <w:numFmt w:val="decimal"/>
      <w:start w:val="4"/>
    </w:lvl>
    <w:lvl w:ilvl="1">
      <w:lvlJc w:val="left"/>
      <w:lvlText w:val="(%2)"/>
      <w:numFmt w:val="lowerLetter"/>
      <w:start w:val="1"/>
    </w:lvl>
  </w:abstractNum>
  <w:abstractNum w:abstractNumId="270">
    <w:nsid w:val="5FA6C6DC"/>
    <w:multiLevelType w:val="hybridMultilevel"/>
    <w:lvl w:ilvl="0">
      <w:lvlJc w:val="left"/>
      <w:lvlText w:val="(%1)"/>
      <w:numFmt w:val="lowerLetter"/>
      <w:start w:val="3"/>
    </w:lvl>
  </w:abstractNum>
  <w:abstractNum w:abstractNumId="271">
    <w:nsid w:val="77933F62"/>
    <w:multiLevelType w:val="hybridMultilevel"/>
    <w:lvl w:ilvl="0">
      <w:lvlJc w:val="left"/>
      <w:lvlText w:val="%1."/>
      <w:numFmt w:val="decimal"/>
      <w:start w:val="5"/>
    </w:lvl>
  </w:abstractNum>
  <w:abstractNum w:abstractNumId="272">
    <w:nsid w:val="6CB4EE9C"/>
    <w:multiLevelType w:val="hybridMultilevel"/>
    <w:lvl w:ilvl="0">
      <w:lvlJc w:val="left"/>
      <w:lvlText w:val="(%1)"/>
      <w:numFmt w:val="lowerRoman"/>
      <w:start w:val="1"/>
    </w:lvl>
  </w:abstractNum>
  <w:abstractNum w:abstractNumId="273">
    <w:nsid w:val="6A6D56D7"/>
    <w:multiLevelType w:val="hybridMultilevel"/>
    <w:lvl w:ilvl="0">
      <w:lvlJc w:val="left"/>
      <w:lvlText w:val="(%1)"/>
      <w:numFmt w:val="lowerLetter"/>
      <w:start w:val="1"/>
    </w:lvl>
    <w:lvl w:ilvl="1">
      <w:lvlJc w:val="left"/>
      <w:lvlText w:val="(%2)"/>
      <w:numFmt w:val="lowerRoman"/>
      <w:start w:val="1"/>
    </w:lvl>
  </w:abstractNum>
  <w:abstractNum w:abstractNumId="274">
    <w:nsid w:val="5B727F19"/>
    <w:multiLevelType w:val="hybridMultilevel"/>
    <w:lvl w:ilvl="0">
      <w:lvlJc w:val="left"/>
      <w:lvlText w:val="(%1)"/>
      <w:numFmt w:val="lowerLetter"/>
      <w:start w:val="2"/>
    </w:lvl>
  </w:abstractNum>
  <w:abstractNum w:abstractNumId="275">
    <w:nsid w:val="514E5CB0"/>
    <w:multiLevelType w:val="hybridMultilevel"/>
    <w:lvl w:ilvl="0">
      <w:lvlJc w:val="left"/>
      <w:lvlText w:val="(%1)"/>
      <w:numFmt w:val="lowerLetter"/>
      <w:start w:val="1"/>
    </w:lvl>
    <w:lvl w:ilvl="1">
      <w:lvlJc w:val="left"/>
      <w:lvlText w:val="(%2)"/>
      <w:numFmt w:val="lowerRoman"/>
      <w:start w:val="1"/>
    </w:lvl>
  </w:abstractNum>
  <w:abstractNum w:abstractNumId="276">
    <w:nsid w:val="4210D41E"/>
    <w:multiLevelType w:val="hybridMultilevel"/>
    <w:lvl w:ilvl="0">
      <w:lvlJc w:val="left"/>
      <w:lvlText w:val="(%1)"/>
      <w:numFmt w:val="decimal"/>
      <w:start w:val="15"/>
    </w:lvl>
  </w:abstractNum>
  <w:abstractNum w:abstractNumId="277">
    <w:nsid w:val="4FF4CC6D"/>
    <w:multiLevelType w:val="hybridMultilevel"/>
    <w:lvl w:ilvl="0">
      <w:lvlJc w:val="left"/>
      <w:lvlText w:val="(%1)"/>
      <w:numFmt w:val="decimal"/>
      <w:start w:val="10"/>
    </w:lvl>
    <w:lvl w:ilvl="1">
      <w:lvlJc w:val="left"/>
      <w:lvlText w:val="(%2)"/>
      <w:numFmt w:val="lowerLetter"/>
      <w:start w:val="2"/>
    </w:lvl>
  </w:abstractNum>
  <w:abstractNum w:abstractNumId="278">
    <w:nsid w:val="404EAF4A"/>
    <w:multiLevelType w:val="hybridMultilevel"/>
    <w:lvl w:ilvl="0">
      <w:lvlJc w:val="left"/>
      <w:lvlText w:val="%1."/>
      <w:numFmt w:val="decimal"/>
      <w:start w:val="6"/>
    </w:lvl>
  </w:abstractNum>
  <w:abstractNum w:abstractNumId="279">
    <w:nsid w:val="4A16874F"/>
    <w:multiLevelType w:val="hybridMultilevel"/>
    <w:lvl w:ilvl="0">
      <w:lvlJc w:val="left"/>
      <w:lvlText w:val="(%1)"/>
      <w:numFmt w:val="lowerRoman"/>
      <w:start w:val="1"/>
    </w:lvl>
  </w:abstractNum>
  <w:abstractNum w:abstractNumId="280">
    <w:nsid w:val="55FEE0D1"/>
    <w:multiLevelType w:val="hybridMultilevel"/>
    <w:lvl w:ilvl="0">
      <w:lvlJc w:val="left"/>
      <w:lvlText w:val="(%1)"/>
      <w:numFmt w:val="lowerRoman"/>
      <w:start w:val="4"/>
    </w:lvl>
  </w:abstractNum>
  <w:abstractNum w:abstractNumId="281">
    <w:nsid w:val="3C5E07C"/>
    <w:multiLevelType w:val="hybridMultilevel"/>
    <w:lvl w:ilvl="0">
      <w:lvlJc w:val="left"/>
      <w:lvlText w:val="-"/>
      <w:numFmt w:val="bullet"/>
      <w:start w:val="1"/>
    </w:lvl>
  </w:abstractNum>
  <w:abstractNum w:abstractNumId="282">
    <w:nsid w:val="60C2D273"/>
    <w:multiLevelType w:val="hybridMultilevel"/>
    <w:lvl w:ilvl="0">
      <w:lvlJc w:val="left"/>
      <w:lvlText w:val="-"/>
      <w:numFmt w:val="bullet"/>
      <w:start w:val="1"/>
    </w:lvl>
  </w:abstractNum>
  <w:abstractNum w:abstractNumId="283">
    <w:nsid w:val="4CC32F1F"/>
    <w:multiLevelType w:val="hybridMultilevel"/>
    <w:lvl w:ilvl="0">
      <w:lvlJc w:val="left"/>
      <w:lvlText w:val="-"/>
      <w:numFmt w:val="bullet"/>
      <w:start w:val="1"/>
    </w:lvl>
  </w:abstractNum>
  <w:abstractNum w:abstractNumId="284">
    <w:nsid w:val="11CAC74A"/>
    <w:multiLevelType w:val="hybridMultilevel"/>
    <w:lvl w:ilvl="0">
      <w:lvlJc w:val="left"/>
      <w:lvlText w:val="(%1)"/>
      <w:numFmt w:val="decimal"/>
      <w:start w:val="5"/>
    </w:lvl>
  </w:abstractNum>
  <w:abstractNum w:abstractNumId="285">
    <w:nsid w:val="126CADE9"/>
    <w:multiLevelType w:val="hybridMultilevel"/>
    <w:lvl w:ilvl="0">
      <w:lvlJc w:val="left"/>
      <w:lvlText w:val="(%1)"/>
      <w:numFmt w:val="lowerLetter"/>
      <w:start w:val="1"/>
    </w:lvl>
  </w:abstractNum>
  <w:abstractNum w:abstractNumId="286">
    <w:nsid w:val="19132E7B"/>
    <w:multiLevelType w:val="hybridMultilevel"/>
    <w:lvl w:ilvl="0">
      <w:lvlJc w:val="left"/>
      <w:lvlText w:val="(%1)"/>
      <w:numFmt w:val="lowerLetter"/>
      <w:start w:val="3"/>
    </w:lvl>
  </w:abstractNum>
  <w:abstractNum w:abstractNumId="287">
    <w:nsid w:val="63822DC0"/>
    <w:multiLevelType w:val="hybridMultilevel"/>
    <w:lvl w:ilvl="0">
      <w:lvlJc w:val="left"/>
      <w:lvlText w:val="(%1)"/>
      <w:numFmt w:val="lowerRoman"/>
      <w:start w:val="2"/>
    </w:lvl>
  </w:abstractNum>
  <w:abstractNum w:abstractNumId="288">
    <w:nsid w:val="6C11685A"/>
    <w:multiLevelType w:val="hybridMultilevel"/>
    <w:lvl w:ilvl="0">
      <w:lvlJc w:val="left"/>
      <w:lvlText w:val="(%1)"/>
      <w:numFmt w:val="lowerLetter"/>
      <w:start w:val="1"/>
    </w:lvl>
  </w:abstractNum>
  <w:abstractNum w:abstractNumId="289">
    <w:nsid w:val="5E1EAE31"/>
    <w:multiLevelType w:val="hybridMultilevel"/>
    <w:lvl w:ilvl="0">
      <w:lvlJc w:val="left"/>
      <w:lvlText w:val="(%1)"/>
      <w:numFmt w:val="lowerLetter"/>
      <w:start w:val="1"/>
    </w:lvl>
  </w:abstractNum>
  <w:abstractNum w:abstractNumId="290">
    <w:nsid w:val="178E240D"/>
    <w:multiLevelType w:val="hybridMultilevel"/>
    <w:lvl w:ilvl="0">
      <w:lvlJc w:val="left"/>
      <w:lvlText w:val="(%1)"/>
      <w:numFmt w:val="lowerLetter"/>
      <w:start w:val="1"/>
    </w:lvl>
  </w:abstractNum>
  <w:abstractNum w:abstractNumId="291">
    <w:nsid w:val="5556A87B"/>
    <w:multiLevelType w:val="hybridMultilevel"/>
    <w:lvl w:ilvl="0">
      <w:lvlJc w:val="left"/>
      <w:lvlText w:val="(%1)"/>
      <w:numFmt w:val="lowerLetter"/>
      <w:start w:val="1"/>
    </w:lvl>
  </w:abstractNum>
  <w:abstractNum w:abstractNumId="292">
    <w:nsid w:val="28100A9C"/>
    <w:multiLevelType w:val="hybridMultilevel"/>
    <w:lvl w:ilvl="0">
      <w:lvlJc w:val="left"/>
      <w:lvlText w:val="(%1)"/>
      <w:numFmt w:val="lowerLetter"/>
      <w:start w:val="5"/>
    </w:lvl>
  </w:abstractNum>
  <w:abstractNum w:abstractNumId="293">
    <w:nsid w:val="D838636"/>
    <w:multiLevelType w:val="hybridMultilevel"/>
    <w:lvl w:ilvl="0">
      <w:lvlJc w:val="left"/>
      <w:lvlText w:val="(%1)"/>
      <w:numFmt w:val="lowerLetter"/>
      <w:start w:val="1"/>
    </w:lvl>
  </w:abstractNum>
  <w:abstractNum w:abstractNumId="294">
    <w:nsid w:val="71B82AED"/>
    <w:multiLevelType w:val="hybridMultilevel"/>
    <w:lvl w:ilvl="0">
      <w:lvlJc w:val="left"/>
      <w:lvlText w:val="(%1)"/>
      <w:numFmt w:val="lowerLetter"/>
      <w:start w:val="3"/>
    </w:lvl>
  </w:abstractNum>
  <w:abstractNum w:abstractNumId="295">
    <w:nsid w:val="D15FAC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6">
    <w:nsid w:val="3D69565B"/>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297">
    <w:nsid w:val="2299DCBC"/>
    <w:multiLevelType w:val="hybridMultilevel"/>
    <w:lvl w:ilvl="0">
      <w:lvlJc w:val="left"/>
      <w:lvlText w:val="(%1)"/>
      <w:numFmt w:val="lowerLetter"/>
      <w:start w:val="2"/>
    </w:lvl>
  </w:abstractNum>
  <w:abstractNum w:abstractNumId="298">
    <w:nsid w:val="19908D02"/>
    <w:multiLevelType w:val="hybridMultilevel"/>
    <w:lvl w:ilvl="0">
      <w:lvlJc w:val="left"/>
      <w:lvlText w:val="(%1)"/>
      <w:numFmt w:val="lowerLetter"/>
      <w:start w:val="4"/>
    </w:lvl>
  </w:abstractNum>
  <w:abstractNum w:abstractNumId="299">
    <w:nsid w:val="24D48BDB"/>
    <w:multiLevelType w:val="hybridMultilevel"/>
    <w:lvl w:ilvl="0">
      <w:lvlJc w:val="left"/>
      <w:lvlText w:val="(%1)"/>
      <w:numFmt w:val="lowerLetter"/>
      <w:start w:val="1"/>
    </w:lvl>
  </w:abstractNum>
  <w:abstractNum w:abstractNumId="300">
    <w:nsid w:val="542DA5B5"/>
    <w:multiLevelType w:val="hybridMultilevel"/>
    <w:lvl w:ilvl="0">
      <w:lvlJc w:val="left"/>
      <w:lvlText w:val="(%1)"/>
      <w:numFmt w:val="lowerLetter"/>
      <w:start w:val="1"/>
    </w:lvl>
  </w:abstractNum>
  <w:abstractNum w:abstractNumId="301">
    <w:nsid w:val="793753DE"/>
    <w:multiLevelType w:val="hybridMultilevel"/>
    <w:lvl w:ilvl="0">
      <w:lvlJc w:val="left"/>
      <w:lvlText w:val="(%1)"/>
      <w:numFmt w:val="lowerLetter"/>
      <w:start w:val="1"/>
    </w:lvl>
  </w:abstractNum>
  <w:abstractNum w:abstractNumId="302">
    <w:nsid w:val="1C67CB3D"/>
    <w:multiLevelType w:val="hybridMultilevel"/>
    <w:lvl w:ilvl="0">
      <w:lvlJc w:val="left"/>
      <w:lvlText w:val="(%1)"/>
      <w:numFmt w:val="lowerLetter"/>
      <w:start w:val="2"/>
    </w:lvl>
  </w:abstractNum>
  <w:abstractNum w:abstractNumId="303">
    <w:nsid w:val="40E29452"/>
    <w:multiLevelType w:val="hybridMultilevel"/>
    <w:lvl w:ilvl="0">
      <w:lvlJc w:val="left"/>
      <w:lvlText w:val="(%1)"/>
      <w:numFmt w:val="lowerLetter"/>
      <w:start w:val="1"/>
    </w:lvl>
  </w:abstractNum>
  <w:abstractNum w:abstractNumId="304">
    <w:nsid w:val="63A4AAB6"/>
    <w:multiLevelType w:val="hybridMultilevel"/>
    <w:lvl w:ilvl="0">
      <w:lvlJc w:val="left"/>
      <w:lvlText w:val="(%1)"/>
      <w:numFmt w:val="lowerLetter"/>
      <w:start w:val="1"/>
    </w:lvl>
  </w:abstractNum>
  <w:abstractNum w:abstractNumId="305">
    <w:nsid w:val="77DA4A57"/>
    <w:multiLevelType w:val="hybridMultilevel"/>
    <w:lvl w:ilvl="0">
      <w:lvlJc w:val="left"/>
      <w:lvlText w:val="(%1)"/>
      <w:numFmt w:val="lowerLetter"/>
      <w:start w:val="2"/>
    </w:lvl>
  </w:abstractNum>
  <w:abstractNum w:abstractNumId="306">
    <w:nsid w:val="1230F102"/>
    <w:multiLevelType w:val="hybridMultilevel"/>
    <w:lvl w:ilvl="0">
      <w:lvlJc w:val="left"/>
      <w:lvlText w:val="(%1)"/>
      <w:numFmt w:val="lowerLetter"/>
      <w:start w:val="1"/>
    </w:lvl>
  </w:abstractNum>
  <w:abstractNum w:abstractNumId="307">
    <w:nsid w:val="25B57ED4"/>
    <w:multiLevelType w:val="hybridMultilevel"/>
    <w:lvl w:ilvl="0">
      <w:lvlJc w:val="left"/>
      <w:lvlText w:val="(%1)"/>
      <w:numFmt w:val="lowerLetter"/>
      <w:start w:val="1"/>
    </w:lvl>
  </w:abstractNum>
  <w:abstractNum w:abstractNumId="308">
    <w:nsid w:val="47CF16C4"/>
    <w:multiLevelType w:val="hybridMultilevel"/>
    <w:lvl w:ilvl="0">
      <w:lvlJc w:val="left"/>
      <w:lvlText w:val="(%1)"/>
      <w:numFmt w:val="lowerLetter"/>
      <w:start w:val="3"/>
    </w:lvl>
  </w:abstractNum>
  <w:abstractNum w:abstractNumId="309">
    <w:nsid w:val="527FA04C"/>
    <w:multiLevelType w:val="hybridMultilevel"/>
    <w:lvl w:ilvl="0">
      <w:lvlJc w:val="left"/>
      <w:lvlText w:val="(%1)"/>
      <w:numFmt w:val="lowerLetter"/>
      <w:start w:val="1"/>
    </w:lvl>
  </w:abstractNum>
  <w:abstractNum w:abstractNumId="310">
    <w:nsid w:val="6FCC0624"/>
    <w:multiLevelType w:val="hybridMultilevel"/>
    <w:lvl w:ilvl="0">
      <w:lvlJc w:val="left"/>
      <w:lvlText w:val="(%1)"/>
      <w:numFmt w:val="lowerLetter"/>
      <w:start w:val="1"/>
    </w:lvl>
  </w:abstractNum>
  <w:abstractNum w:abstractNumId="311">
    <w:nsid w:val="1DCDF795"/>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12">
    <w:nsid w:val="564580C8"/>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313">
    <w:nsid w:val="508ED897"/>
    <w:multiLevelType w:val="hybridMultilevel"/>
    <w:lvl w:ilvl="0">
      <w:lvlJc w:val="left"/>
      <w:lvlText w:val="(%1)"/>
      <w:numFmt w:val="lowerLetter"/>
      <w:start w:val="1"/>
    </w:lvl>
  </w:abstractNum>
  <w:abstractNum w:abstractNumId="314">
    <w:nsid w:val="6A9126B5"/>
    <w:multiLevelType w:val="hybridMultilevel"/>
    <w:lvl w:ilvl="0">
      <w:lvlJc w:val="left"/>
      <w:lvlText w:val="(%1)"/>
      <w:numFmt w:val="lowerLetter"/>
      <w:start w:val="1"/>
    </w:lvl>
  </w:abstractNum>
  <w:abstractNum w:abstractNumId="315">
    <w:nsid w:val="68104812"/>
    <w:multiLevelType w:val="hybridMultilevel"/>
    <w:lvl w:ilvl="0">
      <w:lvlJc w:val="left"/>
      <w:lvlText w:val="(%1)"/>
      <w:numFmt w:val="lowerLetter"/>
      <w:start w:val="2"/>
    </w:lvl>
  </w:abstractNum>
  <w:abstractNum w:abstractNumId="316">
    <w:nsid w:val="62FB8680"/>
    <w:multiLevelType w:val="hybridMultilevel"/>
    <w:lvl w:ilvl="0">
      <w:lvlJc w:val="left"/>
      <w:lvlText w:val="(%1)"/>
      <w:numFmt w:val="lowerLetter"/>
      <w:start w:val="4"/>
    </w:lvl>
  </w:abstractNum>
  <w:abstractNum w:abstractNumId="317">
    <w:nsid w:val="3A45530"/>
    <w:multiLevelType w:val="hybridMultilevel"/>
    <w:lvl w:ilvl="0">
      <w:lvlJc w:val="left"/>
      <w:lvlText w:val="(%1)"/>
      <w:numFmt w:val="decimal"/>
      <w:start w:val="8"/>
    </w:lvl>
  </w:abstractNum>
  <w:abstractNum w:abstractNumId="318">
    <w:nsid w:val="4B9275D2"/>
    <w:multiLevelType w:val="hybridMultilevel"/>
    <w:lvl w:ilvl="0">
      <w:lvlJc w:val="left"/>
      <w:lvlText w:val="(%1)"/>
      <w:numFmt w:val="lowerRoman"/>
      <w:start w:val="1"/>
    </w:lvl>
  </w:abstractNum>
  <w:abstractNum w:abstractNumId="319">
    <w:nsid w:val="4F0CEEDB"/>
    <w:multiLevelType w:val="hybridMultilevel"/>
    <w:lvl w:ilvl="0">
      <w:lvlJc w:val="left"/>
      <w:lvlText w:val="(%1)"/>
      <w:numFmt w:val="lowerLetter"/>
      <w:start w:val="1"/>
    </w:lvl>
  </w:abstractNum>
  <w:abstractNum w:abstractNumId="320">
    <w:nsid w:val="61C30361"/>
    <w:multiLevelType w:val="hybridMultilevel"/>
    <w:lvl w:ilvl="0">
      <w:lvlJc w:val="left"/>
      <w:lvlText w:val="(%1)"/>
      <w:numFmt w:val="lowerLetter"/>
      <w:start w:val="1"/>
    </w:lvl>
  </w:abstractNum>
  <w:abstractNum w:abstractNumId="321">
    <w:nsid w:val="632099E0"/>
    <w:multiLevelType w:val="hybridMultilevel"/>
    <w:lvl w:ilvl="0">
      <w:lvlJc w:val="left"/>
      <w:lvlText w:val="(%1)"/>
      <w:numFmt w:val="lowerLetter"/>
      <w:start w:val="2"/>
    </w:lvl>
  </w:abstractNum>
  <w:abstractNum w:abstractNumId="322">
    <w:nsid w:val="24639756"/>
    <w:multiLevelType w:val="hybridMultilevel"/>
    <w:lvl w:ilvl="0">
      <w:lvlJc w:val="left"/>
      <w:lvlText w:val="(%1)"/>
      <w:numFmt w:val="lowerLetter"/>
      <w:start w:val="1"/>
    </w:lvl>
  </w:abstractNum>
  <w:abstractNum w:abstractNumId="323">
    <w:nsid w:val="9D30DFD"/>
    <w:multiLevelType w:val="hybridMultilevel"/>
    <w:lvl w:ilvl="0">
      <w:lvlJc w:val="left"/>
      <w:lvlText w:val="(%1)"/>
      <w:numFmt w:val="lowerLetter"/>
      <w:start w:val="1"/>
    </w:lvl>
  </w:abstractNum>
  <w:abstractNum w:abstractNumId="324">
    <w:nsid w:val="70A42016"/>
    <w:multiLevelType w:val="hybridMultilevel"/>
    <w:lvl w:ilvl="0">
      <w:lvlJc w:val="left"/>
      <w:lvlText w:val="(%1)"/>
      <w:numFmt w:val="lowerLetter"/>
      <w:start w:val="2"/>
    </w:lvl>
  </w:abstractNum>
  <w:abstractNum w:abstractNumId="325">
    <w:nsid w:val="161BC243"/>
    <w:multiLevelType w:val="hybridMultilevel"/>
    <w:lvl w:ilvl="0">
      <w:lvlJc w:val="left"/>
      <w:lvlText w:val="(%1)"/>
      <w:numFmt w:val="lowerLetter"/>
      <w:start w:val="1"/>
    </w:lvl>
  </w:abstractNum>
  <w:abstractNum w:abstractNumId="326">
    <w:nsid w:val="16E908C8"/>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327">
    <w:nsid w:val="2E0D7671"/>
    <w:multiLevelType w:val="hybridMultilevel"/>
    <w:lvl w:ilvl="0">
      <w:lvlJc w:val="left"/>
      <w:lvlText w:val="%1"/>
      <w:numFmt w:val="upperLetter"/>
      <w:start w:val="1"/>
    </w:lvl>
    <w:lvl w:ilvl="1">
      <w:lvlJc w:val="left"/>
      <w:lvlText w:val="%2."/>
      <w:numFmt w:val="upperLetter"/>
      <w:start w:val="3"/>
    </w:lvl>
  </w:abstractNum>
  <w:abstractNum w:abstractNumId="328">
    <w:nsid w:val="38B59EFF"/>
    <w:multiLevelType w:val="hybridMultilevel"/>
    <w:lvl w:ilvl="0">
      <w:lvlJc w:val="left"/>
      <w:lvlText w:val="%1."/>
      <w:numFmt w:val="upperLetter"/>
      <w:start w:val="35"/>
    </w:lvl>
    <w:lvl w:ilvl="1">
      <w:lvlJc w:val="left"/>
      <w:lvlText w:val="%2"/>
      <w:numFmt w:val="upperLetter"/>
      <w:start w:val="1"/>
    </w:lvl>
  </w:abstractNum>
  <w:abstractNum w:abstractNumId="329">
    <w:nsid w:val="307995CA"/>
    <w:multiLevelType w:val="hybridMultilevel"/>
    <w:lvl w:ilvl="0">
      <w:lvlJc w:val="left"/>
      <w:lvlText w:val="%1."/>
      <w:numFmt w:val="upperLetter"/>
      <w:start w:val="1"/>
    </w:lvl>
  </w:abstractNum>
  <w:abstractNum w:abstractNumId="330">
    <w:nsid w:val="52E2024D"/>
    <w:multiLevelType w:val="hybridMultilevel"/>
    <w:lvl w:ilvl="0">
      <w:lvlJc w:val="left"/>
      <w:lvlText w:val="%1."/>
      <w:numFmt w:val="upperLetter"/>
      <w:start w:val="4"/>
    </w:lvl>
    <w:lvl w:ilvl="1">
      <w:lvlJc w:val="left"/>
      <w:lvlText w:val="%2."/>
      <w:numFmt w:val="decimal"/>
      <w:start w:val="1"/>
    </w:lvl>
  </w:abstractNum>
  <w:abstractNum w:abstractNumId="331">
    <w:nsid w:val="CE344B5"/>
    <w:multiLevelType w:val="hybridMultilevel"/>
    <w:lvl w:ilvl="0">
      <w:lvlJc w:val="left"/>
      <w:lvlText w:val="%1."/>
      <w:numFmt w:val="decimal"/>
      <w:start w:val="3"/>
    </w:lvl>
  </w:abstractNum>
  <w:abstractNum w:abstractNumId="332">
    <w:nsid w:val="29B0E9A8"/>
    <w:multiLevelType w:val="hybridMultilevel"/>
    <w:lvl w:ilvl="0">
      <w:lvlJc w:val="left"/>
      <w:lvlText w:val="%1."/>
      <w:numFmt w:val="upperLetter"/>
      <w:start w:val="61"/>
    </w:lvl>
  </w:abstractNum>
  <w:abstractNum w:abstractNumId="333">
    <w:nsid w:val="6F49CD8A"/>
    <w:multiLevelType w:val="hybridMultilevel"/>
    <w:lvl w:ilvl="0">
      <w:lvlJc w:val="left"/>
      <w:lvlText w:val="%1."/>
      <w:numFmt w:val="upperLetter"/>
      <w:start w:val="1"/>
    </w:lvl>
  </w:abstractNum>
  <w:abstractNum w:abstractNumId="334">
    <w:nsid w:val="4DC5D907"/>
    <w:multiLevelType w:val="hybridMultilevel"/>
    <w:lvl w:ilvl="0">
      <w:lvlJc w:val="left"/>
      <w:lvlText w:val="%1."/>
      <w:numFmt w:val="decimal"/>
      <w:start w:val="1"/>
    </w:lvl>
    <w:lvl w:ilvl="1">
      <w:lvlJc w:val="left"/>
      <w:lvlText w:val="(%2)"/>
      <w:numFmt w:val="lowerLetter"/>
      <w:start w:val="1"/>
    </w:lvl>
  </w:abstractNum>
  <w:abstractNum w:abstractNumId="335">
    <w:nsid w:val="D55945E"/>
    <w:multiLevelType w:val="hybridMultilevel"/>
    <w:lvl w:ilvl="0">
      <w:lvlJc w:val="left"/>
      <w:lvlText w:val="%1."/>
      <w:numFmt w:val="decimal"/>
      <w:start w:val="2"/>
    </w:lvl>
    <w:lvl w:ilvl="1">
      <w:lvlJc w:val="left"/>
      <w:lvlText w:val="(%2)"/>
      <w:numFmt w:val="lowerLetter"/>
      <w:start w:val="1"/>
    </w:lvl>
  </w:abstractNum>
  <w:abstractNum w:abstractNumId="336">
    <w:nsid w:val="672417E1"/>
    <w:multiLevelType w:val="hybridMultilevel"/>
    <w:lvl w:ilvl="0">
      <w:lvlJc w:val="left"/>
      <w:lvlText w:val="(%1)"/>
      <w:numFmt w:val="lowerLetter"/>
      <w:start w:val="1"/>
    </w:lvl>
    <w:lvl w:ilvl="1">
      <w:lvlJc w:val="left"/>
      <w:lvlText w:val="(%2)"/>
      <w:numFmt w:val="lowerRoman"/>
      <w:start w:val="1"/>
    </w:lvl>
  </w:abstractNum>
  <w:abstractNum w:abstractNumId="337">
    <w:nsid w:val="5FF6CA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38">
    <w:nsid w:val="330B133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9">
    <w:nsid w:val="2EF32EA6"/>
    <w:multiLevelType w:val="hybridMultilevel"/>
    <w:lvl w:ilvl="0">
      <w:lvlJc w:val="left"/>
      <w:lvlText w:val="(%1)"/>
      <w:numFmt w:val="decimal"/>
      <w:start w:val="40"/>
    </w:lvl>
    <w:lvl w:ilvl="1">
      <w:lvlJc w:val="left"/>
      <w:lvlText w:val="(%2)"/>
      <w:numFmt w:val="lowerLetter"/>
      <w:start w:val="3"/>
    </w:lvl>
    <w:lvl w:ilvl="2">
      <w:lvlJc w:val="left"/>
      <w:lvlText w:val="%3"/>
      <w:numFmt w:val="lowerRoman"/>
      <w:start w:val="1"/>
    </w:lvl>
  </w:abstractNum>
  <w:abstractNum w:abstractNumId="340">
    <w:nsid w:val="32766A55"/>
    <w:multiLevelType w:val="hybridMultilevel"/>
    <w:lvl w:ilvl="0">
      <w:lvlJc w:val="left"/>
      <w:lvlText w:val="(%1)"/>
      <w:numFmt w:val="lowerRoman"/>
      <w:start w:val="4"/>
    </w:lvl>
    <w:lvl w:ilvl="1">
      <w:lvlJc w:val="left"/>
      <w:lvlText w:val="(%2)"/>
      <w:numFmt w:val="lowerLetter"/>
      <w:start w:val="4"/>
    </w:lvl>
  </w:abstractNum>
  <w:abstractNum w:abstractNumId="341">
    <w:nsid w:val="22D7195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2">
    <w:nsid w:val="4CC1263B"/>
    <w:multiLevelType w:val="hybridMultilevel"/>
    <w:lvl w:ilvl="0">
      <w:lvlJc w:val="left"/>
      <w:lvlText w:val="%1"/>
      <w:numFmt w:val="decimal"/>
      <w:start w:val="1"/>
    </w:lvl>
    <w:lvl w:ilvl="1">
      <w:lvlJc w:val="left"/>
      <w:lvlText w:val="(%2)"/>
      <w:numFmt w:val="lowerLetter"/>
      <w:start w:val="3"/>
    </w:lvl>
  </w:abstractNum>
  <w:abstractNum w:abstractNumId="343">
    <w:nsid w:val="8BBEB1D"/>
    <w:multiLevelType w:val="hybridMultilevel"/>
    <w:lvl w:ilvl="0">
      <w:lvlJc w:val="left"/>
      <w:lvlText w:val="%1."/>
      <w:numFmt w:val="decimal"/>
      <w:start w:val="5"/>
    </w:lvl>
    <w:lvl w:ilvl="1">
      <w:lvlJc w:val="left"/>
      <w:lvlText w:val="%2"/>
      <w:numFmt w:val="lowerLetter"/>
      <w:start w:val="1"/>
    </w:lvl>
  </w:abstractNum>
  <w:abstractNum w:abstractNumId="344">
    <w:nsid w:val="7365F1EE"/>
    <w:multiLevelType w:val="hybridMultilevel"/>
    <w:lvl w:ilvl="0">
      <w:lvlJc w:val="left"/>
      <w:lvlText w:val="%1."/>
      <w:numFmt w:val="decimal"/>
      <w:start w:val="6"/>
    </w:lvl>
  </w:abstractNum>
  <w:abstractNum w:abstractNumId="345">
    <w:nsid w:val="37524CF0"/>
    <w:multiLevelType w:val="hybridMultilevel"/>
    <w:lvl w:ilvl="0">
      <w:lvlJc w:val="left"/>
      <w:lvlText w:val="%1."/>
      <w:numFmt w:val="decimal"/>
      <w:start w:val="7"/>
    </w:lvl>
    <w:lvl w:ilvl="1">
      <w:lvlJc w:val="left"/>
      <w:lvlText w:val="(%2)"/>
      <w:numFmt w:val="lowerLetter"/>
      <w:start w:val="1"/>
    </w:lvl>
  </w:abstractNum>
  <w:abstractNum w:abstractNumId="346">
    <w:nsid w:val="70CC332F"/>
    <w:multiLevelType w:val="hybridMultilevel"/>
    <w:lvl w:ilvl="0">
      <w:lvlJc w:val="left"/>
      <w:lvlText w:val="%1"/>
      <w:numFmt w:val="lowerLetter"/>
      <w:start w:val="1"/>
    </w:lvl>
    <w:lvl w:ilvl="1">
      <w:lvlJc w:val="left"/>
      <w:lvlText w:val="(%2)"/>
      <w:numFmt w:val="lowerRoman"/>
      <w:start w:val="1"/>
    </w:lvl>
  </w:abstractNum>
  <w:abstractNum w:abstractNumId="347">
    <w:nsid w:val="5661786E"/>
    <w:multiLevelType w:val="hybridMultilevel"/>
    <w:lvl w:ilvl="0">
      <w:lvlJc w:val="left"/>
      <w:lvlText w:val="(%1)"/>
      <w:numFmt w:val="lowerLetter"/>
      <w:start w:val="2"/>
    </w:lvl>
    <w:lvl w:ilvl="1">
      <w:lvlJc w:val="left"/>
      <w:lvlText w:val="%2"/>
      <w:numFmt w:val="lowerRoman"/>
      <w:start w:val="1"/>
    </w:lvl>
  </w:abstractNum>
  <w:abstractNum w:abstractNumId="348">
    <w:nsid w:val="3AF6A220"/>
    <w:multiLevelType w:val="hybridMultilevel"/>
    <w:lvl w:ilvl="0">
      <w:lvlJc w:val="left"/>
      <w:lvlText w:val="%1."/>
      <w:numFmt w:val="decimal"/>
      <w:start w:val="8"/>
    </w:lvl>
    <w:lvl w:ilvl="1">
      <w:lvlJc w:val="left"/>
      <w:lvlText w:val="(%2)"/>
      <w:numFmt w:val="lowerLetter"/>
      <w:start w:val="1"/>
    </w:lvl>
  </w:abstractNum>
  <w:abstractNum w:abstractNumId="349">
    <w:nsid w:val="3C5EA902"/>
    <w:multiLevelType w:val="hybridMultilevel"/>
    <w:lvl w:ilvl="0">
      <w:lvlJc w:val="left"/>
      <w:lvlText w:val="(%1)"/>
      <w:numFmt w:val="upperLetter"/>
      <w:start w:val="2"/>
    </w:lvl>
    <w:lvl w:ilvl="1">
      <w:lvlJc w:val="left"/>
      <w:lvlText w:val="(%2)"/>
      <w:numFmt w:val="lowerLetter"/>
      <w:start w:val="4"/>
    </w:lvl>
  </w:abstractNum>
  <w:abstractNum w:abstractNumId="350">
    <w:nsid w:val="256E674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51">
    <w:nsid w:val="1CB9A58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52">
    <w:nsid w:val="1F7F42E2"/>
    <w:multiLevelType w:val="hybridMultilevel"/>
    <w:lvl w:ilvl="0">
      <w:lvlJc w:val="left"/>
      <w:lvlText w:val="%1"/>
      <w:numFmt w:val="lowerLetter"/>
      <w:start w:val="1"/>
    </w:lvl>
    <w:lvl w:ilvl="1">
      <w:lvlJc w:val="left"/>
      <w:lvlText w:val="(%2)"/>
      <w:numFmt w:val="lowerLetter"/>
      <w:start w:val="6"/>
    </w:lvl>
  </w:abstractNum>
  <w:abstractNum w:abstractNumId="353">
    <w:nsid w:val="49D1FEA0"/>
    <w:multiLevelType w:val="hybridMultilevel"/>
    <w:lvl w:ilvl="0">
      <w:lvlJc w:val="left"/>
      <w:lvlText w:val="(%1)"/>
      <w:numFmt w:val="lowerLetter"/>
      <w:start w:val="22"/>
    </w:lvl>
    <w:lvl w:ilvl="1">
      <w:lvlJc w:val="left"/>
      <w:lvlText w:val="(%2)"/>
      <w:numFmt w:val="lowerLetter"/>
      <w:start w:val="10"/>
    </w:lvl>
  </w:abstractNum>
  <w:abstractNum w:abstractNumId="354">
    <w:nsid w:val="268CB37F"/>
    <w:multiLevelType w:val="hybridMultilevel"/>
    <w:lvl w:ilvl="0">
      <w:lvlJc w:val="left"/>
      <w:lvlText w:val="(%1)"/>
      <w:numFmt w:val="lowerLetter"/>
      <w:start w:val="12"/>
    </w:lvl>
    <w:lvl w:ilvl="1">
      <w:lvlJc w:val="left"/>
      <w:lvlText w:val="(%2)"/>
      <w:numFmt w:val="lowerRoman"/>
      <w:start w:val="1"/>
    </w:lvl>
  </w:abstractNum>
  <w:abstractNum w:abstractNumId="355">
    <w:nsid w:val="102362F8"/>
    <w:multiLevelType w:val="hybridMultilevel"/>
    <w:lvl w:ilvl="0">
      <w:lvlJc w:val="left"/>
      <w:lvlText w:val="%1"/>
      <w:numFmt w:val="decimal"/>
      <w:start w:val="1"/>
    </w:lvl>
    <w:lvl w:ilvl="1">
      <w:lvlJc w:val="left"/>
      <w:lvlText w:val="(%2)"/>
      <w:numFmt w:val="lowerLetter"/>
      <w:start w:val="13"/>
    </w:lvl>
  </w:abstractNum>
  <w:abstractNum w:abstractNumId="356">
    <w:nsid w:val="5FEDC0E3"/>
    <w:multiLevelType w:val="hybridMultilevel"/>
    <w:lvl w:ilvl="0">
      <w:lvlJc w:val="left"/>
      <w:lvlText w:val="%1."/>
      <w:numFmt w:val="decimal"/>
      <w:start w:val="10"/>
    </w:lvl>
    <w:lvl w:ilvl="1">
      <w:lvlJc w:val="left"/>
      <w:lvlText w:val="%2"/>
      <w:numFmt w:val="lowerLetter"/>
      <w:start w:val="1"/>
    </w:lvl>
  </w:abstractNum>
  <w:abstractNum w:abstractNumId="357">
    <w:nsid w:val="3D75BC47"/>
    <w:multiLevelType w:val="hybridMultilevel"/>
    <w:lvl w:ilvl="0">
      <w:lvlJc w:val="left"/>
      <w:lvlText w:val="%1."/>
      <w:numFmt w:val="decimal"/>
      <w:start w:val="1"/>
    </w:lvl>
    <w:lvl w:ilvl="1">
      <w:lvlJc w:val="left"/>
      <w:lvlText w:val="(%2)"/>
      <w:numFmt w:val="lowerLetter"/>
      <w:start w:val="1"/>
    </w:lvl>
  </w:abstractNum>
  <w:abstractNum w:abstractNumId="358">
    <w:nsid w:val="3E30D969"/>
    <w:multiLevelType w:val="hybridMultilevel"/>
    <w:lvl w:ilvl="0">
      <w:lvlJc w:val="left"/>
      <w:lvlText w:val="%1."/>
      <w:numFmt w:val="decimal"/>
      <w:start w:val="3"/>
    </w:lvl>
  </w:abstractNum>
  <w:abstractNum w:abstractNumId="359">
    <w:nsid w:val="18A35FE3"/>
    <w:multiLevelType w:val="hybridMultilevel"/>
    <w:lvl w:ilvl="0">
      <w:lvlJc w:val="left"/>
      <w:lvlText w:val="%1."/>
      <w:numFmt w:val="decimal"/>
      <w:start w:val="1"/>
    </w:lvl>
    <w:lvl w:ilvl="1">
      <w:lvlJc w:val="left"/>
      <w:lvlText w:val="(%2)"/>
      <w:numFmt w:val="lowerLetter"/>
      <w:start w:val="1"/>
    </w:lvl>
  </w:abstractNum>
  <w:abstractNum w:abstractNumId="360">
    <w:nsid w:val="6DEF5211"/>
    <w:multiLevelType w:val="hybridMultilevel"/>
    <w:lvl w:ilvl="0">
      <w:lvlJc w:val="left"/>
      <w:lvlText w:val="(%1)"/>
      <w:numFmt w:val="lowerLetter"/>
      <w:start w:val="1"/>
    </w:lvl>
  </w:abstractNum>
  <w:abstractNum w:abstractNumId="361">
    <w:nsid w:val="1112DBB6"/>
    <w:multiLevelType w:val="hybridMultilevel"/>
    <w:lvl w:ilvl="0">
      <w:lvlJc w:val="left"/>
      <w:lvlText w:val="%1."/>
      <w:numFmt w:val="decimal"/>
      <w:start w:val="3"/>
    </w:lvl>
  </w:abstractNum>
  <w:abstractNum w:abstractNumId="362">
    <w:nsid w:val="2586A498"/>
    <w:multiLevelType w:val="hybridMultilevel"/>
    <w:lvl w:ilvl="0">
      <w:lvlJc w:val="left"/>
      <w:lvlText w:val="(%1)"/>
      <w:numFmt w:val="lowerLetter"/>
      <w:start w:val="1"/>
    </w:lvl>
  </w:abstractNum>
  <w:abstractNum w:abstractNumId="363">
    <w:nsid w:val="17A03BB9"/>
    <w:multiLevelType w:val="hybridMultilevel"/>
    <w:lvl w:ilvl="0">
      <w:lvlJc w:val="left"/>
      <w:lvlText w:val="%1"/>
      <w:numFmt w:val="decimal"/>
      <w:start w:val="1"/>
    </w:lvl>
    <w:lvl w:ilvl="1">
      <w:lvlJc w:val="left"/>
      <w:lvlText w:val="(%2)"/>
      <w:numFmt w:val="lowerLetter"/>
      <w:start w:val="3"/>
    </w:lvl>
  </w:abstractNum>
  <w:abstractNum w:abstractNumId="364">
    <w:nsid w:val="5CA941"/>
    <w:multiLevelType w:val="hybridMultilevel"/>
    <w:lvl w:ilvl="0">
      <w:lvlJc w:val="left"/>
      <w:lvlText w:val="%1."/>
      <w:numFmt w:val="decimal"/>
      <w:start w:val="4"/>
    </w:lvl>
    <w:lvl w:ilvl="1">
      <w:lvlJc w:val="left"/>
      <w:lvlText w:val="%2"/>
      <w:numFmt w:val="lowerLetter"/>
      <w:start w:val="1"/>
    </w:lvl>
  </w:abstractNum>
  <w:abstractNum w:abstractNumId="365">
    <w:nsid w:val="734C7D9F"/>
    <w:multiLevelType w:val="hybridMultilevel"/>
    <w:lvl w:ilvl="0">
      <w:lvlJc w:val="left"/>
      <w:lvlText w:val="%1."/>
      <w:numFmt w:val="decimal"/>
      <w:start w:val="6"/>
    </w:lvl>
  </w:abstractNum>
  <w:abstractNum w:abstractNumId="366">
    <w:nsid w:val="24F5D018"/>
    <w:multiLevelType w:val="hybridMultilevel"/>
    <w:lvl w:ilvl="0">
      <w:lvlJc w:val="left"/>
      <w:lvlText w:val="%1."/>
      <w:numFmt w:val="decimal"/>
      <w:start w:val="7"/>
    </w:lvl>
  </w:abstractNum>
  <w:abstractNum w:abstractNumId="367">
    <w:nsid w:val="6780C122"/>
    <w:multiLevelType w:val="hybridMultilevel"/>
    <w:lvl w:ilvl="0">
      <w:lvlJc w:val="left"/>
      <w:lvlText w:val="%1."/>
      <w:numFmt w:val="decimal"/>
      <w:start w:val="9"/>
    </w:lvl>
    <w:lvl w:ilvl="1">
      <w:lvlJc w:val="left"/>
      <w:lvlText w:val="(%2)"/>
      <w:numFmt w:val="lowerLetter"/>
      <w:start w:val="1"/>
    </w:lvl>
  </w:abstractNum>
  <w:abstractNum w:abstractNumId="368">
    <w:nsid w:val="534347A8"/>
    <w:multiLevelType w:val="hybridMultilevel"/>
    <w:lvl w:ilvl="0">
      <w:lvlJc w:val="left"/>
      <w:lvlText w:val="(%1)"/>
      <w:numFmt w:val="lowerLetter"/>
      <w:start w:val="3"/>
    </w:lvl>
  </w:abstractNum>
  <w:abstractNum w:abstractNumId="369">
    <w:nsid w:val="5800E34B"/>
    <w:multiLevelType w:val="hybridMultilevel"/>
    <w:lvl w:ilvl="0">
      <w:lvlJc w:val="left"/>
      <w:lvlText w:val="(%1)"/>
      <w:numFmt w:val="lowerLetter"/>
      <w:start w:val="7"/>
    </w:lvl>
  </w:abstractNum>
  <w:abstractNum w:abstractNumId="370">
    <w:nsid w:val="1673EFC8"/>
    <w:multiLevelType w:val="hybridMultilevel"/>
    <w:lvl w:ilvl="0">
      <w:lvlJc w:val="left"/>
      <w:lvlText w:val="%1."/>
      <w:numFmt w:val="upperLetter"/>
      <w:start w:val="1"/>
    </w:lvl>
  </w:abstractNum>
  <w:abstractNum w:abstractNumId="371">
    <w:nsid w:val="5B9B1FD"/>
    <w:multiLevelType w:val="hybridMultilevel"/>
    <w:lvl w:ilvl="0">
      <w:lvlJc w:val="left"/>
      <w:lvlText w:val="%1."/>
      <w:numFmt w:val="decimal"/>
      <w:start w:val="1"/>
    </w:lvl>
    <w:lvl w:ilvl="1">
      <w:lvlJc w:val="left"/>
      <w:lvlText w:val="(%2)"/>
      <w:numFmt w:val="lowerLetter"/>
      <w:start w:val="1"/>
    </w:lvl>
  </w:abstractNum>
  <w:abstractNum w:abstractNumId="372">
    <w:nsid w:val="7AD7FCA2"/>
    <w:multiLevelType w:val="hybridMultilevel"/>
    <w:lvl w:ilvl="0">
      <w:lvlJc w:val="left"/>
      <w:lvlText w:val="(%1)"/>
      <w:numFmt w:val="lowerLetter"/>
      <w:start w:val="1"/>
    </w:lvl>
    <w:lvl w:ilvl="1">
      <w:lvlJc w:val="left"/>
      <w:lvlText w:val="(%2)"/>
      <w:numFmt w:val="lowerRoman"/>
      <w:start w:val="1"/>
    </w:lvl>
  </w:abstractNum>
  <w:abstractNum w:abstractNumId="373">
    <w:nsid w:val="633516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74">
    <w:nsid w:val="E759D1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75">
    <w:nsid w:val="6E3DEE90"/>
    <w:multiLevelType w:val="hybridMultilevel"/>
    <w:lvl w:ilvl="0">
      <w:lvlJc w:val="left"/>
      <w:lvlText w:val="(%1)"/>
      <w:numFmt w:val="decimal"/>
      <w:start w:val="40"/>
    </w:lvl>
    <w:lvl w:ilvl="1">
      <w:lvlJc w:val="left"/>
      <w:lvlText w:val="(%2)"/>
      <w:numFmt w:val="lowerLetter"/>
      <w:start w:val="3"/>
    </w:lvl>
    <w:lvl w:ilvl="2">
      <w:lvlJc w:val="left"/>
      <w:lvlText w:val="%3"/>
      <w:numFmt w:val="lowerRoman"/>
      <w:start w:val="1"/>
    </w:lvl>
  </w:abstractNum>
  <w:abstractNum w:abstractNumId="376">
    <w:nsid w:val="1A8762F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77">
    <w:nsid w:val="7F41D04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8">
    <w:nsid w:val="449F66FE"/>
    <w:multiLevelType w:val="hybridMultilevel"/>
    <w:lvl w:ilvl="0">
      <w:lvlJc w:val="left"/>
      <w:lvlText w:val="%1"/>
      <w:numFmt w:val="decimal"/>
      <w:start w:val="1"/>
    </w:lvl>
    <w:lvl w:ilvl="1">
      <w:lvlJc w:val="left"/>
      <w:lvlText w:val="(%2)"/>
      <w:numFmt w:val="lowerLetter"/>
      <w:start w:val="3"/>
    </w:lvl>
  </w:abstractNum>
  <w:abstractNum w:abstractNumId="379">
    <w:nsid w:val="557E0515"/>
    <w:multiLevelType w:val="hybridMultilevel"/>
    <w:lvl w:ilvl="0">
      <w:lvlJc w:val="left"/>
      <w:lvlText w:val="%1."/>
      <w:numFmt w:val="decimal"/>
      <w:start w:val="5"/>
    </w:lvl>
    <w:lvl w:ilvl="1">
      <w:lvlJc w:val="left"/>
      <w:lvlText w:val="%2"/>
      <w:numFmt w:val="lowerLetter"/>
      <w:start w:val="1"/>
    </w:lvl>
  </w:abstractNum>
  <w:abstractNum w:abstractNumId="380">
    <w:nsid w:val="3BA0794B"/>
    <w:multiLevelType w:val="hybridMultilevel"/>
    <w:lvl w:ilvl="0">
      <w:lvlJc w:val="left"/>
      <w:lvlText w:val="%1."/>
      <w:numFmt w:val="decimal"/>
      <w:start w:val="6"/>
    </w:lvl>
  </w:abstractNum>
  <w:abstractNum w:abstractNumId="381">
    <w:nsid w:val="6A0DCE4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82">
    <w:nsid w:val="7237AA96"/>
    <w:multiLevelType w:val="hybridMultilevel"/>
    <w:lvl w:ilvl="0">
      <w:lvlJc w:val="left"/>
      <w:lvlText w:val="%1."/>
      <w:numFmt w:val="decimal"/>
      <w:start w:val="8"/>
    </w:lvl>
    <w:lvl w:ilvl="1">
      <w:lvlJc w:val="left"/>
      <w:lvlText w:val="(%2)"/>
      <w:numFmt w:val="lowerLetter"/>
      <w:start w:val="1"/>
    </w:lvl>
  </w:abstractNum>
  <w:abstractNum w:abstractNumId="383">
    <w:nsid w:val="5B1FBC2D"/>
    <w:multiLevelType w:val="hybridMultilevel"/>
    <w:lvl w:ilvl="0">
      <w:lvlJc w:val="left"/>
      <w:lvlText w:val="(%1)"/>
      <w:numFmt w:val="upperLetter"/>
      <w:start w:val="2"/>
    </w:lvl>
    <w:lvl w:ilvl="1">
      <w:lvlJc w:val="left"/>
      <w:lvlText w:val="(%2)"/>
      <w:numFmt w:val="lowerLetter"/>
      <w:start w:val="4"/>
    </w:lvl>
  </w:abstractNum>
  <w:abstractNum w:abstractNumId="384">
    <w:nsid w:val="33DFCCE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85">
    <w:nsid w:val="18C45E1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86">
    <w:nsid w:val="6B431F25"/>
    <w:multiLevelType w:val="hybridMultilevel"/>
    <w:lvl w:ilvl="0">
      <w:lvlJc w:val="left"/>
      <w:lvlText w:val="%1"/>
      <w:numFmt w:val="lowerLetter"/>
      <w:start w:val="1"/>
    </w:lvl>
    <w:lvl w:ilvl="1">
      <w:lvlJc w:val="left"/>
      <w:lvlText w:val="(%2)"/>
      <w:numFmt w:val="lowerLetter"/>
      <w:start w:val="6"/>
    </w:lvl>
  </w:abstractNum>
  <w:abstractNum w:abstractNumId="387">
    <w:nsid w:val="13CD8DCB"/>
    <w:multiLevelType w:val="hybridMultilevel"/>
    <w:lvl w:ilvl="0">
      <w:lvlJc w:val="left"/>
      <w:lvlText w:val="(%1)"/>
      <w:numFmt w:val="lowerLetter"/>
      <w:start w:val="22"/>
    </w:lvl>
    <w:lvl w:ilvl="1">
      <w:lvlJc w:val="left"/>
      <w:lvlText w:val="(%2)"/>
      <w:numFmt w:val="lowerLetter"/>
      <w:start w:val="10"/>
    </w:lvl>
  </w:abstractNum>
  <w:abstractNum w:abstractNumId="388">
    <w:nsid w:val="563A1A5C"/>
    <w:multiLevelType w:val="hybridMultilevel"/>
    <w:lvl w:ilvl="0">
      <w:lvlJc w:val="left"/>
      <w:lvlText w:val="(%1)"/>
      <w:numFmt w:val="lowerLetter"/>
      <w:start w:val="12"/>
    </w:lvl>
    <w:lvl w:ilvl="1">
      <w:lvlJc w:val="left"/>
      <w:lvlText w:val="(%2)"/>
      <w:numFmt w:val="lowerRoman"/>
      <w:start w:val="1"/>
    </w:lvl>
  </w:abstractNum>
  <w:abstractNum w:abstractNumId="389">
    <w:nsid w:val="2973F88F"/>
    <w:multiLevelType w:val="hybridMultilevel"/>
    <w:lvl w:ilvl="0">
      <w:lvlJc w:val="left"/>
      <w:lvlText w:val="%1"/>
      <w:numFmt w:val="decimal"/>
      <w:start w:val="1"/>
    </w:lvl>
    <w:lvl w:ilvl="1">
      <w:lvlJc w:val="left"/>
      <w:lvlText w:val="(%2)"/>
      <w:numFmt w:val="lowerLetter"/>
      <w:start w:val="13"/>
    </w:lvl>
  </w:abstractNum>
  <w:abstractNum w:abstractNumId="390">
    <w:nsid w:val="2C70EDAE"/>
    <w:multiLevelType w:val="hybridMultilevel"/>
    <w:lvl w:ilvl="0">
      <w:lvlJc w:val="left"/>
      <w:lvlText w:val="%1."/>
      <w:numFmt w:val="decimal"/>
      <w:start w:val="10"/>
    </w:lvl>
    <w:lvl w:ilvl="1">
      <w:lvlJc w:val="left"/>
      <w:lvlText w:val="%2"/>
      <w:numFmt w:val="lowerLetter"/>
      <w:start w:val="1"/>
    </w:lvl>
  </w:abstractNum>
  <w:abstractNum w:abstractNumId="391">
    <w:nsid w:val="44296C6D"/>
    <w:multiLevelType w:val="hybridMultilevel"/>
    <w:lvl w:ilvl="0">
      <w:lvlJc w:val="left"/>
      <w:lvlText w:val="%1."/>
      <w:numFmt w:val="decimal"/>
      <w:start w:val="1"/>
    </w:lvl>
    <w:lvl w:ilvl="1">
      <w:lvlJc w:val="left"/>
      <w:lvlText w:val="(%2)"/>
      <w:numFmt w:val="lowerLetter"/>
      <w:start w:val="1"/>
    </w:lvl>
  </w:abstractNum>
  <w:abstractNum w:abstractNumId="392">
    <w:nsid w:val="3A86D445"/>
    <w:multiLevelType w:val="hybridMultilevel"/>
    <w:lvl w:ilvl="0">
      <w:lvlJc w:val="left"/>
      <w:lvlText w:val="%1."/>
      <w:numFmt w:val="decimal"/>
      <w:start w:val="3"/>
    </w:lvl>
  </w:abstractNum>
  <w:abstractNum w:abstractNumId="393">
    <w:nsid w:val="51F79246"/>
    <w:multiLevelType w:val="hybridMultilevel"/>
    <w:lvl w:ilvl="0">
      <w:lvlJc w:val="left"/>
      <w:lvlText w:val="%1."/>
      <w:numFmt w:val="decimal"/>
      <w:start w:val="1"/>
    </w:lvl>
    <w:lvl w:ilvl="1">
      <w:lvlJc w:val="left"/>
      <w:lvlText w:val="(%2)"/>
      <w:numFmt w:val="lowerLetter"/>
      <w:start w:val="1"/>
    </w:lvl>
  </w:abstractNum>
  <w:abstractNum w:abstractNumId="394">
    <w:nsid w:val="5BC9A827"/>
    <w:multiLevelType w:val="hybridMultilevel"/>
    <w:lvl w:ilvl="0">
      <w:lvlJc w:val="left"/>
      <w:lvlText w:val="(%1)"/>
      <w:numFmt w:val="lowerLetter"/>
      <w:start w:val="1"/>
    </w:lvl>
  </w:abstractNum>
  <w:abstractNum w:abstractNumId="395">
    <w:nsid w:val="3AE37D86"/>
    <w:multiLevelType w:val="hybridMultilevel"/>
    <w:lvl w:ilvl="0">
      <w:lvlJc w:val="left"/>
      <w:lvlText w:val="%1."/>
      <w:numFmt w:val="decimal"/>
      <w:start w:val="3"/>
    </w:lvl>
  </w:abstractNum>
  <w:abstractNum w:abstractNumId="396">
    <w:nsid w:val="45440FE5"/>
    <w:multiLevelType w:val="hybridMultilevel"/>
    <w:lvl w:ilvl="0">
      <w:lvlJc w:val="left"/>
      <w:lvlText w:val="(%1)"/>
      <w:numFmt w:val="lowerLetter"/>
      <w:start w:val="1"/>
    </w:lvl>
  </w:abstractNum>
  <w:abstractNum w:abstractNumId="397">
    <w:nsid w:val="BF783F"/>
    <w:multiLevelType w:val="hybridMultilevel"/>
    <w:lvl w:ilvl="0">
      <w:lvlJc w:val="left"/>
      <w:lvlText w:val="%1"/>
      <w:numFmt w:val="decimal"/>
      <w:start w:val="1"/>
    </w:lvl>
    <w:lvl w:ilvl="1">
      <w:lvlJc w:val="left"/>
      <w:lvlText w:val="(%2)"/>
      <w:numFmt w:val="lowerLetter"/>
      <w:start w:val="3"/>
    </w:lvl>
  </w:abstractNum>
  <w:abstractNum w:abstractNumId="398">
    <w:nsid w:val="22643EA9"/>
    <w:multiLevelType w:val="hybridMultilevel"/>
    <w:lvl w:ilvl="0">
      <w:lvlJc w:val="left"/>
      <w:lvlText w:val="%1."/>
      <w:numFmt w:val="decimal"/>
      <w:start w:val="4"/>
    </w:lvl>
    <w:lvl w:ilvl="1">
      <w:lvlJc w:val="left"/>
      <w:lvlText w:val="%2"/>
      <w:numFmt w:val="lowerLetter"/>
      <w:start w:val="1"/>
    </w:lvl>
  </w:abstractNum>
  <w:abstractNum w:abstractNumId="399">
    <w:nsid w:val="1887578D"/>
    <w:multiLevelType w:val="hybridMultilevel"/>
    <w:lvl w:ilvl="0">
      <w:lvlJc w:val="left"/>
      <w:lvlText w:val="%1."/>
      <w:numFmt w:val="decimal"/>
      <w:start w:val="6"/>
    </w:lvl>
  </w:abstractNum>
  <w:abstractNum w:abstractNumId="400">
    <w:nsid w:val="58C05B8A"/>
    <w:multiLevelType w:val="hybridMultilevel"/>
    <w:lvl w:ilvl="0">
      <w:lvlJc w:val="left"/>
      <w:lvlText w:val="%1."/>
      <w:numFmt w:val="decimal"/>
      <w:start w:val="7"/>
    </w:lvl>
  </w:abstractNum>
  <w:abstractNum w:abstractNumId="401">
    <w:nsid w:val="38D82E71"/>
    <w:multiLevelType w:val="hybridMultilevel"/>
    <w:lvl w:ilvl="0">
      <w:lvlJc w:val="left"/>
      <w:lvlText w:val="%1."/>
      <w:numFmt w:val="decimal"/>
      <w:start w:val="9"/>
    </w:lvl>
    <w:lvl w:ilvl="1">
      <w:lvlJc w:val="left"/>
      <w:lvlText w:val="(%2)"/>
      <w:numFmt w:val="lowerLetter"/>
      <w:start w:val="1"/>
    </w:lvl>
  </w:abstractNum>
  <w:abstractNum w:abstractNumId="402">
    <w:nsid w:val="1E41098A"/>
    <w:multiLevelType w:val="hybridMultilevel"/>
    <w:lvl w:ilvl="0">
      <w:lvlJc w:val="left"/>
      <w:lvlText w:val="(%1)"/>
      <w:numFmt w:val="lowerLetter"/>
      <w:start w:val="3"/>
    </w:lvl>
  </w:abstractNum>
  <w:abstractNum w:abstractNumId="403">
    <w:nsid w:val="5398582C"/>
    <w:multiLevelType w:val="hybridMultilevel"/>
    <w:lvl w:ilvl="0">
      <w:lvlJc w:val="left"/>
      <w:lvlText w:val="(%1)"/>
      <w:numFmt w:val="lowerLetter"/>
      <w:start w:val="7"/>
    </w:lvl>
  </w:abstractNum>
  <w:abstractNum w:abstractNumId="404">
    <w:nsid w:val="1C0D4475"/>
    <w:multiLevelType w:val="hybridMultilevel"/>
    <w:lvl w:ilvl="0">
      <w:lvlJc w:val="left"/>
      <w:lvlText w:val="%1."/>
      <w:numFmt w:val="upperLetter"/>
      <w:start w:val="1"/>
    </w:lvl>
  </w:abstractNum>
  <w:abstractNum w:abstractNumId="405">
    <w:nsid w:val="2CB6A6A4"/>
    <w:multiLevelType w:val="hybridMultilevel"/>
    <w:lvl w:ilvl="0">
      <w:lvlJc w:val="left"/>
      <w:lvlText w:val="%1."/>
      <w:numFmt w:val="decimal"/>
      <w:start w:val="1"/>
    </w:lvl>
    <w:lvl w:ilvl="1">
      <w:lvlJc w:val="left"/>
      <w:lvlText w:val="(%2)"/>
      <w:numFmt w:val="lowerLetter"/>
      <w:start w:val="1"/>
    </w:lvl>
  </w:abstractNum>
  <w:abstractNum w:abstractNumId="406">
    <w:nsid w:val="41D646BC"/>
    <w:multiLevelType w:val="hybridMultilevel"/>
    <w:lvl w:ilvl="0">
      <w:lvlJc w:val="left"/>
      <w:lvlText w:val="%1."/>
      <w:numFmt w:val="decimal"/>
      <w:start w:val="2"/>
    </w:lvl>
    <w:lvl w:ilvl="1">
      <w:lvlJc w:val="left"/>
      <w:lvlText w:val="(%2)"/>
      <w:numFmt w:val="lowerLetter"/>
      <w:start w:val="1"/>
    </w:lvl>
  </w:abstractNum>
  <w:abstractNum w:abstractNumId="407">
    <w:nsid w:val="3694A76A"/>
    <w:multiLevelType w:val="hybridMultilevel"/>
    <w:lvl w:ilvl="0">
      <w:lvlJc w:val="left"/>
      <w:lvlText w:val="%1"/>
      <w:numFmt w:val="decimal"/>
      <w:start w:val="1"/>
    </w:lvl>
    <w:lvl w:ilvl="1">
      <w:lvlJc w:val="left"/>
      <w:lvlText w:val="(%2)"/>
      <w:numFmt w:val="lowerLetter"/>
      <w:start w:val="6"/>
    </w:lvl>
  </w:abstractNum>
  <w:abstractNum w:abstractNumId="408">
    <w:nsid w:val="2BF876EE"/>
    <w:multiLevelType w:val="hybridMultilevel"/>
    <w:lvl w:ilvl="0">
      <w:lvlJc w:val="left"/>
      <w:lvlText w:val="%1."/>
      <w:numFmt w:val="decimal"/>
      <w:start w:val="3"/>
    </w:lvl>
    <w:lvl w:ilvl="1">
      <w:lvlJc w:val="left"/>
      <w:lvlText w:val="%2"/>
      <w:numFmt w:val="lowerLetter"/>
      <w:start w:val="1"/>
    </w:lvl>
  </w:abstractNum>
  <w:abstractNum w:abstractNumId="409">
    <w:nsid w:val="675AD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0">
    <w:nsid w:val="C12AC7F"/>
    <w:multiLevelType w:val="hybridMultilevel"/>
    <w:lvl w:ilvl="0">
      <w:lvlJc w:val="left"/>
      <w:lvlText w:val="(%1)"/>
      <w:numFmt w:val="decimal"/>
      <w:start w:val="40"/>
    </w:lvl>
    <w:lvl w:ilvl="1">
      <w:lvlJc w:val="left"/>
      <w:lvlText w:val="%2"/>
      <w:numFmt w:val="lowerLetter"/>
      <w:start w:val="1"/>
    </w:lvl>
    <w:lvl w:ilvl="2">
      <w:lvlJc w:val="left"/>
      <w:lvlText w:val="%3"/>
      <w:numFmt w:val="lowerRoman"/>
      <w:start w:val="1"/>
    </w:lvl>
  </w:abstractNum>
  <w:abstractNum w:abstractNumId="411">
    <w:nsid w:val="6798F039"/>
    <w:multiLevelType w:val="hybridMultilevel"/>
    <w:lvl w:ilvl="0">
      <w:lvlJc w:val="left"/>
      <w:lvlText w:val="%1"/>
      <w:numFmt w:val="lowerLetter"/>
      <w:start w:val="1"/>
    </w:lvl>
    <w:lvl w:ilvl="1">
      <w:lvlJc w:val="left"/>
      <w:lvlText w:val="(%2)"/>
      <w:numFmt w:val="lowerLetter"/>
      <w:start w:val="3"/>
    </w:lvl>
  </w:abstractNum>
  <w:abstractNum w:abstractNumId="412">
    <w:nsid w:val="70837C02"/>
    <w:multiLevelType w:val="hybridMultilevel"/>
    <w:lvl w:ilvl="0">
      <w:lvlJc w:val="left"/>
      <w:lvlText w:val="(%1)"/>
      <w:numFmt w:val="lowerLetter"/>
      <w:start w:val="35"/>
    </w:lvl>
    <w:lvl w:ilvl="1">
      <w:lvlJc w:val="left"/>
      <w:lvlText w:val="(%2)"/>
      <w:numFmt w:val="lowerLetter"/>
      <w:start w:val="4"/>
    </w:lvl>
  </w:abstractNum>
  <w:abstractNum w:abstractNumId="413">
    <w:nsid w:val="7E4A5715"/>
    <w:multiLevelType w:val="hybridMultilevel"/>
    <w:lvl w:ilvl="0">
      <w:lvlJc w:val="left"/>
      <w:lvlText w:val="%1."/>
      <w:numFmt w:val="decimal"/>
      <w:start w:val="4"/>
    </w:lvl>
    <w:lvl w:ilvl="1">
      <w:lvlJc w:val="left"/>
      <w:lvlText w:val="(%2)"/>
      <w:numFmt w:val="lowerLetter"/>
      <w:start w:val="1"/>
    </w:lvl>
  </w:abstractNum>
  <w:abstractNum w:abstractNumId="414">
    <w:nsid w:val="42B8AC67"/>
    <w:multiLevelType w:val="hybridMultilevel"/>
    <w:lvl w:ilvl="0">
      <w:lvlJc w:val="left"/>
      <w:lvlText w:val="%1"/>
      <w:numFmt w:val="lowerLetter"/>
      <w:start w:val="1"/>
    </w:lvl>
    <w:lvl w:ilvl="1">
      <w:lvlJc w:val="left"/>
      <w:lvlText w:val="(%2)"/>
      <w:numFmt w:val="lowerRoman"/>
      <w:start w:val="1"/>
    </w:lvl>
  </w:abstractNum>
  <w:abstractNum w:abstractNumId="415">
    <w:nsid w:val="246348EA"/>
    <w:multiLevelType w:val="hybridMultilevel"/>
    <w:lvl w:ilvl="0">
      <w:lvlJc w:val="left"/>
      <w:lvlText w:val="(%1)"/>
      <w:numFmt w:val="lowerLetter"/>
      <w:start w:val="3"/>
    </w:lvl>
    <w:lvl w:ilvl="1">
      <w:lvlJc w:val="left"/>
      <w:lvlText w:val="%2"/>
      <w:numFmt w:val="lowerRoman"/>
      <w:start w:val="1"/>
    </w:lvl>
  </w:abstractNum>
  <w:abstractNum w:abstractNumId="416">
    <w:nsid w:val="170EB52B"/>
    <w:multiLevelType w:val="hybridMultilevel"/>
    <w:lvl w:ilvl="0">
      <w:lvlJc w:val="left"/>
      <w:lvlText w:val="%1"/>
      <w:numFmt w:val="decimal"/>
      <w:start w:val="1"/>
    </w:lvl>
    <w:lvl w:ilvl="1">
      <w:lvlJc w:val="left"/>
      <w:lvlText w:val="(%2)"/>
      <w:numFmt w:val="lowerLetter"/>
      <w:start w:val="4"/>
    </w:lvl>
  </w:abstractNum>
  <w:abstractNum w:abstractNumId="417">
    <w:nsid w:val="2DFBCB8C"/>
    <w:multiLevelType w:val="hybridMultilevel"/>
    <w:lvl w:ilvl="0">
      <w:lvlJc w:val="left"/>
      <w:lvlText w:val="%1."/>
      <w:numFmt w:val="decimal"/>
      <w:start w:val="5"/>
    </w:lvl>
    <w:lvl w:ilvl="1">
      <w:lvlJc w:val="left"/>
      <w:lvlText w:val="%2"/>
      <w:numFmt w:val="lowerLetter"/>
      <w:start w:val="1"/>
    </w:lvl>
  </w:abstractNum>
  <w:abstractNum w:abstractNumId="418">
    <w:nsid w:val="3830D6B6"/>
    <w:multiLevelType w:val="hybridMultilevel"/>
    <w:lvl w:ilvl="0">
      <w:lvlJc w:val="left"/>
      <w:lvlText w:val="%1."/>
      <w:numFmt w:val="decimal"/>
      <w:start w:val="6"/>
    </w:lvl>
  </w:abstractNum>
  <w:abstractNum w:abstractNumId="419">
    <w:nsid w:val="6D48CF8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20">
    <w:nsid w:val="576FC41B"/>
    <w:multiLevelType w:val="hybridMultilevel"/>
    <w:lvl w:ilvl="0">
      <w:lvlJc w:val="left"/>
      <w:lvlText w:val="%1"/>
      <w:numFmt w:val="decimal"/>
      <w:start w:val="1"/>
    </w:lvl>
    <w:lvl w:ilvl="1">
      <w:lvlJc w:val="left"/>
      <w:lvlText w:val="(%2)"/>
      <w:numFmt w:val="lowerLetter"/>
      <w:start w:val="5"/>
    </w:lvl>
  </w:abstractNum>
  <w:abstractNum w:abstractNumId="421">
    <w:nsid w:val="64A1C464"/>
    <w:multiLevelType w:val="hybridMultilevel"/>
    <w:lvl w:ilvl="0">
      <w:lvlJc w:val="left"/>
      <w:lvlText w:val="%1."/>
      <w:numFmt w:val="decimal"/>
      <w:start w:val="8"/>
    </w:lvl>
    <w:lvl w:ilvl="1">
      <w:lvlJc w:val="left"/>
      <w:lvlText w:val="(%2)"/>
      <w:numFmt w:val="lowerLetter"/>
      <w:start w:val="1"/>
    </w:lvl>
  </w:abstractNum>
  <w:abstractNum w:abstractNumId="422">
    <w:nsid w:val="31723BF5"/>
    <w:multiLevelType w:val="hybridMultilevel"/>
    <w:lvl w:ilvl="0">
      <w:lvlJc w:val="left"/>
      <w:lvlText w:val="%1"/>
      <w:numFmt w:val="upperLetter"/>
      <w:start w:val="1"/>
    </w:lvl>
    <w:lvl w:ilvl="1">
      <w:lvlJc w:val="left"/>
      <w:lvlText w:val="(%2)"/>
      <w:numFmt w:val="lowerLetter"/>
      <w:start w:val="2"/>
    </w:lvl>
  </w:abstractNum>
  <w:abstractNum w:abstractNumId="423">
    <w:nsid w:val="11F69861"/>
    <w:multiLevelType w:val="hybridMultilevel"/>
    <w:lvl w:ilvl="0">
      <w:lvlJc w:val="left"/>
      <w:lvlText w:val="(%1)"/>
      <w:numFmt w:val="upperLetter"/>
      <w:start w:val="2"/>
    </w:lvl>
    <w:lvl w:ilvl="1">
      <w:lvlJc w:val="left"/>
      <w:lvlText w:val="(%2)"/>
      <w:numFmt w:val="lowerLetter"/>
      <w:start w:val="4"/>
    </w:lvl>
  </w:abstractNum>
  <w:abstractNum w:abstractNumId="424">
    <w:nsid w:val="369956AB"/>
    <w:multiLevelType w:val="hybridMultilevel"/>
    <w:lvl w:ilvl="0">
      <w:lvlJc w:val="left"/>
      <w:lvlText w:val="%1."/>
      <w:numFmt w:val="decimal"/>
      <w:start w:val="9"/>
    </w:lvl>
    <w:lvl w:ilvl="1">
      <w:lvlJc w:val="left"/>
      <w:lvlText w:val="(%2)"/>
      <w:numFmt w:val="lowerLetter"/>
      <w:start w:val="1"/>
    </w:lvl>
  </w:abstractNum>
  <w:abstractNum w:abstractNumId="425">
    <w:nsid w:val="D3BE41C"/>
    <w:multiLevelType w:val="hybridMultilevel"/>
    <w:lvl w:ilvl="0">
      <w:lvlJc w:val="left"/>
      <w:lvlText w:val="(%1)"/>
      <w:numFmt w:val="lowerLetter"/>
      <w:start w:val="2"/>
    </w:lvl>
    <w:lvl w:ilvl="1">
      <w:lvlJc w:val="left"/>
      <w:lvlText w:val="(%2)"/>
      <w:numFmt w:val="lowerRoman"/>
      <w:start w:val="1"/>
    </w:lvl>
  </w:abstractNum>
  <w:abstractNum w:abstractNumId="426">
    <w:nsid w:val="4CDA15E7"/>
    <w:multiLevelType w:val="hybridMultilevel"/>
    <w:lvl w:ilvl="0">
      <w:lvlJc w:val="left"/>
      <w:lvlText w:val="(%1)"/>
      <w:numFmt w:val="lowerLetter"/>
      <w:start w:val="10"/>
    </w:lvl>
  </w:abstractNum>
  <w:abstractNum w:abstractNumId="427">
    <w:nsid w:val="7BDD6690"/>
    <w:multiLevelType w:val="hybridMultilevel"/>
    <w:lvl w:ilvl="0">
      <w:lvlJc w:val="left"/>
      <w:lvlText w:val="(%1)"/>
      <w:numFmt w:val="lowerLetter"/>
      <w:start w:val="11"/>
    </w:lvl>
    <w:lvl w:ilvl="1">
      <w:lvlJc w:val="left"/>
      <w:lvlText w:val="(%2)"/>
      <w:numFmt w:val="lowerRoman"/>
      <w:start w:val="1"/>
    </w:lvl>
  </w:abstractNum>
  <w:abstractNum w:abstractNumId="428">
    <w:nsid w:val="DFB5C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29">
    <w:nsid w:val="6F3E5490"/>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430">
    <w:nsid w:val="1464BE1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31">
    <w:nsid w:val="66BBB7E5"/>
    <w:multiLevelType w:val="hybridMultilevel"/>
    <w:lvl w:ilvl="0">
      <w:lvlJc w:val="left"/>
      <w:lvlText w:val="%1."/>
      <w:numFmt w:val="decimal"/>
      <w:start w:val="1"/>
    </w:lvl>
    <w:lvl w:ilvl="1">
      <w:lvlJc w:val="left"/>
      <w:lvlText w:val="(%2)"/>
      <w:numFmt w:val="lowerLetter"/>
      <w:start w:val="1"/>
    </w:lvl>
  </w:abstractNum>
  <w:abstractNum w:abstractNumId="432">
    <w:nsid w:val="28168302"/>
    <w:multiLevelType w:val="hybridMultilevel"/>
    <w:lvl w:ilvl="0">
      <w:lvlJc w:val="left"/>
      <w:lvlText w:val="%1."/>
      <w:numFmt w:val="decimal"/>
      <w:start w:val="3"/>
    </w:lvl>
  </w:abstractNum>
  <w:abstractNum w:abstractNumId="433">
    <w:nsid w:val="32A5C7A8"/>
    <w:multiLevelType w:val="hybridMultilevel"/>
    <w:lvl w:ilvl="0">
      <w:lvlJc w:val="left"/>
      <w:lvlText w:val="%1."/>
      <w:numFmt w:val="decimal"/>
      <w:start w:val="8"/>
    </w:lvl>
  </w:abstractNum>
  <w:abstractNum w:abstractNumId="434">
    <w:nsid w:val="3A541011"/>
    <w:multiLevelType w:val="hybridMultilevel"/>
    <w:lvl w:ilvl="0">
      <w:lvlJc w:val="left"/>
      <w:lvlText w:val="%1."/>
      <w:numFmt w:val="decimal"/>
      <w:start w:val="1"/>
    </w:lvl>
    <w:lvl w:ilvl="1">
      <w:lvlJc w:val="left"/>
      <w:lvlText w:val="(%2)"/>
      <w:numFmt w:val="lowerLetter"/>
      <w:start w:val="1"/>
    </w:lvl>
  </w:abstractNum>
  <w:abstractNum w:abstractNumId="435">
    <w:nsid w:val="4423C777"/>
    <w:multiLevelType w:val="hybridMultilevel"/>
    <w:lvl w:ilvl="0">
      <w:lvlJc w:val="left"/>
      <w:lvlText w:val="(%1)"/>
      <w:numFmt w:val="lowerLetter"/>
      <w:start w:val="1"/>
    </w:lvl>
  </w:abstractNum>
  <w:abstractNum w:abstractNumId="436">
    <w:nsid w:val="5F5C6E4D"/>
    <w:multiLevelType w:val="hybridMultilevel"/>
    <w:lvl w:ilvl="0">
      <w:lvlJc w:val="left"/>
      <w:lvlText w:val="%1."/>
      <w:numFmt w:val="decimal"/>
      <w:start w:val="3"/>
    </w:lvl>
    <w:lvl w:ilvl="1">
      <w:lvlJc w:val="left"/>
      <w:lvlText w:val="(%2)"/>
      <w:numFmt w:val="lowerLetter"/>
      <w:start w:val="1"/>
    </w:lvl>
  </w:abstractNum>
  <w:abstractNum w:abstractNumId="437">
    <w:nsid w:val="7C2A56CD"/>
    <w:multiLevelType w:val="hybridMultilevel"/>
    <w:lvl w:ilvl="0">
      <w:lvlJc w:val="left"/>
      <w:lvlText w:val="%1"/>
      <w:numFmt w:val="decimal"/>
      <w:start w:val="1"/>
    </w:lvl>
    <w:lvl w:ilvl="1">
      <w:lvlJc w:val="left"/>
      <w:lvlText w:val="(%2)"/>
      <w:numFmt w:val="lowerLetter"/>
      <w:start w:val="3"/>
    </w:lvl>
  </w:abstractNum>
  <w:abstractNum w:abstractNumId="438">
    <w:nsid w:val="7AB86EE1"/>
    <w:multiLevelType w:val="hybridMultilevel"/>
    <w:lvl w:ilvl="0">
      <w:lvlJc w:val="left"/>
      <w:lvlText w:val="%1."/>
      <w:numFmt w:val="decimal"/>
      <w:start w:val="4"/>
    </w:lvl>
    <w:lvl w:ilvl="1">
      <w:lvlJc w:val="left"/>
      <w:lvlText w:val="%2"/>
      <w:numFmt w:val="lowerLetter"/>
      <w:start w:val="1"/>
    </w:lvl>
  </w:abstractNum>
  <w:abstractNum w:abstractNumId="439">
    <w:nsid w:val="B54E53B"/>
    <w:multiLevelType w:val="hybridMultilevel"/>
    <w:lvl w:ilvl="0">
      <w:lvlJc w:val="left"/>
      <w:lvlText w:val="%1."/>
      <w:numFmt w:val="decimal"/>
      <w:start w:val="6"/>
    </w:lvl>
  </w:abstractNum>
  <w:abstractNum w:abstractNumId="440">
    <w:nsid w:val="2A00487"/>
    <w:multiLevelType w:val="hybridMultilevel"/>
    <w:lvl w:ilvl="0">
      <w:lvlJc w:val="left"/>
      <w:lvlText w:val="%1."/>
      <w:numFmt w:val="decimal"/>
      <w:start w:val="7"/>
    </w:lvl>
  </w:abstractNum>
  <w:abstractNum w:abstractNumId="441">
    <w:nsid w:val="6CB1B60"/>
    <w:multiLevelType w:val="hybridMultilevel"/>
    <w:lvl w:ilvl="0">
      <w:lvlJc w:val="left"/>
      <w:lvlText w:val="%1."/>
      <w:numFmt w:val="decimal"/>
      <w:start w:val="9"/>
    </w:lvl>
  </w:abstractNum>
  <w:abstractNum w:abstractNumId="442">
    <w:nsid w:val="72EDD574"/>
    <w:multiLevelType w:val="hybridMultilevel"/>
    <w:lvl w:ilvl="0">
      <w:lvlJc w:val="left"/>
      <w:lvlText w:val="(%1)"/>
      <w:numFmt w:val="lowerLetter"/>
      <w:start w:val="1"/>
    </w:lvl>
  </w:abstractNum>
  <w:abstractNum w:abstractNumId="443">
    <w:nsid w:val="7323808A"/>
    <w:multiLevelType w:val="hybridMultilevel"/>
    <w:lvl w:ilvl="0">
      <w:lvlJc w:val="left"/>
      <w:lvlText w:val="(%1)"/>
      <w:numFmt w:val="lowerLetter"/>
      <w:start w:val="7"/>
    </w:lvl>
  </w:abstractNum>
  <w:abstractNum w:abstractNumId="444">
    <w:nsid w:val="5157276"/>
    <w:multiLevelType w:val="hybridMultilevel"/>
    <w:lvl w:ilvl="0">
      <w:lvlJc w:val="left"/>
      <w:lvlText w:val="%1."/>
      <w:numFmt w:val="upperLetter"/>
      <w:start w:val="1"/>
    </w:lvl>
  </w:abstractNum>
  <w:abstractNum w:abstractNumId="445">
    <w:nsid w:val="35A681DB"/>
    <w:multiLevelType w:val="hybridMultilevel"/>
    <w:lvl w:ilvl="0">
      <w:lvlJc w:val="left"/>
      <w:lvlText w:val="%1."/>
      <w:numFmt w:val="decimal"/>
      <w:start w:val="1"/>
    </w:lvl>
    <w:lvl w:ilvl="1">
      <w:lvlJc w:val="left"/>
      <w:lvlText w:val="(%2)"/>
      <w:numFmt w:val="lowerLetter"/>
      <w:start w:val="1"/>
    </w:lvl>
  </w:abstractNum>
  <w:abstractNum w:abstractNumId="446">
    <w:nsid w:val="1786C974"/>
    <w:multiLevelType w:val="hybridMultilevel"/>
    <w:lvl w:ilvl="0">
      <w:lvlJc w:val="left"/>
      <w:lvlText w:val="%1."/>
      <w:numFmt w:val="decimal"/>
      <w:start w:val="3"/>
    </w:lvl>
    <w:lvl w:ilvl="1">
      <w:lvlJc w:val="left"/>
      <w:lvlText w:val="(%2)"/>
      <w:numFmt w:val="lowerLetter"/>
      <w:start w:val="1"/>
    </w:lvl>
  </w:abstractNum>
  <w:abstractNum w:abstractNumId="447">
    <w:nsid w:val="1C2427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8">
    <w:nsid w:val="63A24D6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49">
    <w:nsid w:val="4FB7A02A"/>
    <w:multiLevelType w:val="hybridMultilevel"/>
    <w:lvl w:ilvl="0">
      <w:lvlJc w:val="left"/>
      <w:lvlText w:val="(%1)"/>
      <w:numFmt w:val="decimal"/>
      <w:start w:val="40"/>
    </w:lvl>
    <w:lvl w:ilvl="1">
      <w:lvlJc w:val="left"/>
      <w:lvlText w:val="%2"/>
      <w:numFmt w:val="lowerLetter"/>
      <w:start w:val="1"/>
    </w:lvl>
    <w:lvl w:ilvl="2">
      <w:lvlJc w:val="left"/>
      <w:lvlText w:val="%3"/>
      <w:numFmt w:val="lowerRoman"/>
      <w:start w:val="1"/>
    </w:lvl>
  </w:abstractNum>
  <w:abstractNum w:abstractNumId="450">
    <w:nsid w:val="96CF728"/>
    <w:multiLevelType w:val="hybridMultilevel"/>
    <w:lvl w:ilvl="0">
      <w:lvlJc w:val="left"/>
      <w:lvlText w:val="%1"/>
      <w:numFmt w:val="lowerLetter"/>
      <w:start w:val="1"/>
    </w:lvl>
    <w:lvl w:ilvl="1">
      <w:lvlJc w:val="left"/>
      <w:lvlText w:val="(%2)"/>
      <w:numFmt w:val="lowerLetter"/>
      <w:start w:val="3"/>
    </w:lvl>
  </w:abstractNum>
  <w:abstractNum w:abstractNumId="451">
    <w:nsid w:val="3B121183"/>
    <w:multiLevelType w:val="hybridMultilevel"/>
    <w:lvl w:ilvl="0">
      <w:lvlJc w:val="left"/>
      <w:lvlText w:val="(%1)"/>
      <w:numFmt w:val="lowerLetter"/>
      <w:start w:val="35"/>
    </w:lvl>
    <w:lvl w:ilvl="1">
      <w:lvlJc w:val="left"/>
      <w:lvlText w:val="(%2)"/>
      <w:numFmt w:val="lowerLetter"/>
      <w:start w:val="4"/>
    </w:lvl>
  </w:abstractNum>
  <w:abstractNum w:abstractNumId="452">
    <w:nsid w:val="3459648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53">
    <w:nsid w:val="3ADF331D"/>
    <w:multiLevelType w:val="hybridMultilevel"/>
    <w:lvl w:ilvl="0">
      <w:lvlJc w:val="left"/>
      <w:lvlText w:val="(%1)"/>
      <w:numFmt w:val="upperLetter"/>
      <w:start w:val="2"/>
    </w:lvl>
    <w:lvl w:ilvl="1">
      <w:lvlJc w:val="left"/>
      <w:lvlText w:val="(%2)"/>
      <w:numFmt w:val="lowerRoman"/>
      <w:start w:val="3"/>
    </w:lvl>
  </w:abstractNum>
  <w:abstractNum w:abstractNumId="454">
    <w:nsid w:val="4D08A9E4"/>
    <w:multiLevelType w:val="hybridMultilevel"/>
    <w:lvl w:ilvl="0">
      <w:lvlJc w:val="left"/>
      <w:lvlText w:val="(%1)"/>
      <w:numFmt w:val="lowerLetter"/>
      <w:start w:val="3"/>
    </w:lvl>
  </w:abstractNum>
  <w:abstractNum w:abstractNumId="455">
    <w:nsid w:val="6AF2BB3A"/>
    <w:multiLevelType w:val="hybridMultilevel"/>
    <w:lvl w:ilvl="0">
      <w:lvlJc w:val="left"/>
      <w:lvlText w:val="%1"/>
      <w:numFmt w:val="decimal"/>
      <w:start w:val="1"/>
    </w:lvl>
    <w:lvl w:ilvl="1">
      <w:lvlJc w:val="left"/>
      <w:lvlText w:val="(%2)"/>
      <w:numFmt w:val="lowerLetter"/>
      <w:start w:val="4"/>
    </w:lvl>
  </w:abstractNum>
  <w:abstractNum w:abstractNumId="456">
    <w:nsid w:val="481B1739"/>
    <w:multiLevelType w:val="hybridMultilevel"/>
    <w:lvl w:ilvl="0">
      <w:lvlJc w:val="left"/>
      <w:lvlText w:val="%1."/>
      <w:numFmt w:val="decimal"/>
      <w:start w:val="5"/>
    </w:lvl>
    <w:lvl w:ilvl="1">
      <w:lvlJc w:val="left"/>
      <w:lvlText w:val="%2"/>
      <w:numFmt w:val="lowerLetter"/>
      <w:start w:val="1"/>
    </w:lvl>
  </w:abstractNum>
  <w:abstractNum w:abstractNumId="457">
    <w:nsid w:val="19E2BFC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58">
    <w:nsid w:val="66D021CA"/>
    <w:multiLevelType w:val="hybridMultilevel"/>
    <w:lvl w:ilvl="0">
      <w:lvlJc w:val="left"/>
      <w:lvlText w:val="%1"/>
      <w:numFmt w:val="lowerLetter"/>
      <w:start w:val="1"/>
    </w:lvl>
    <w:lvl w:ilvl="1">
      <w:lvlJc w:val="left"/>
      <w:lvlText w:val="(%2)"/>
      <w:numFmt w:val="lowerLetter"/>
      <w:start w:val="6"/>
    </w:lvl>
  </w:abstractNum>
  <w:abstractNum w:abstractNumId="459">
    <w:nsid w:val="56167394"/>
    <w:multiLevelType w:val="hybridMultilevel"/>
    <w:lvl w:ilvl="0">
      <w:lvlJc w:val="left"/>
      <w:lvlText w:val="(%1)"/>
      <w:numFmt w:val="lowerLetter"/>
      <w:start w:val="2"/>
    </w:lvl>
    <w:lvl w:ilvl="1">
      <w:lvlJc w:val="left"/>
      <w:lvlText w:val="%2"/>
      <w:numFmt w:val="lowerLetter"/>
      <w:start w:val="1"/>
    </w:lvl>
  </w:abstractNum>
  <w:abstractNum w:abstractNumId="460">
    <w:nsid w:val="921145C"/>
    <w:multiLevelType w:val="hybridMultilevel"/>
    <w:lvl w:ilvl="0">
      <w:lvlJc w:val="left"/>
      <w:lvlText w:val="%1."/>
      <w:numFmt w:val="decimal"/>
      <w:start w:val="8"/>
    </w:lvl>
    <w:lvl w:ilvl="1">
      <w:lvlJc w:val="left"/>
      <w:lvlText w:val="(%2)"/>
      <w:numFmt w:val="lowerLetter"/>
      <w:start w:val="1"/>
    </w:lvl>
  </w:abstractNum>
  <w:abstractNum w:abstractNumId="461">
    <w:nsid w:val="7B34DFE8"/>
    <w:multiLevelType w:val="hybridMultilevel"/>
    <w:lvl w:ilvl="0">
      <w:lvlJc w:val="left"/>
      <w:lvlText w:val="(%1)"/>
      <w:numFmt w:val="lowerLetter"/>
      <w:start w:val="3"/>
    </w:lvl>
  </w:abstractNum>
  <w:abstractNum w:abstractNumId="462">
    <w:nsid w:val="3CD22B7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63">
    <w:nsid w:val="3137975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64">
    <w:nsid w:val="2DDAA79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465">
    <w:nsid w:val="77263B8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466">
    <w:nsid w:val="755B5ED6"/>
    <w:multiLevelType w:val="hybridMultilevel"/>
    <w:lvl w:ilvl="0">
      <w:lvlJc w:val="left"/>
      <w:lvlText w:val="(%1)"/>
      <w:numFmt w:val="lowerLetter"/>
      <w:start w:val="22"/>
    </w:lvl>
    <w:lvl w:ilvl="1">
      <w:lvlJc w:val="left"/>
      <w:lvlText w:val="(%2)"/>
      <w:numFmt w:val="lowerLetter"/>
      <w:start w:val="10"/>
    </w:lvl>
    <w:lvl w:ilvl="2">
      <w:lvlJc w:val="left"/>
      <w:lvlText w:val="%3"/>
      <w:numFmt w:val="lowerLetter"/>
      <w:start w:val="1"/>
    </w:lvl>
  </w:abstractNum>
  <w:abstractNum w:abstractNumId="467">
    <w:nsid w:val="D3715DE"/>
    <w:multiLevelType w:val="hybridMultilevel"/>
    <w:lvl w:ilvl="0">
      <w:lvlJc w:val="left"/>
      <w:lvlText w:val="(%1)"/>
      <w:numFmt w:val="lowerLetter"/>
      <w:start w:val="11"/>
    </w:lvl>
    <w:lvl w:ilvl="1">
      <w:lvlJc w:val="left"/>
      <w:lvlText w:val="(%2)"/>
      <w:numFmt w:val="lowerRoman"/>
      <w:start w:val="1"/>
    </w:lvl>
  </w:abstractNum>
  <w:abstractNum w:abstractNumId="468">
    <w:nsid w:val="7350925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469">
    <w:nsid w:val="7013CDB7"/>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470">
    <w:nsid w:val="188BFB19"/>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471">
    <w:nsid w:val="75F096DF"/>
    <w:multiLevelType w:val="hybridMultilevel"/>
    <w:lvl w:ilvl="0">
      <w:lvlJc w:val="left"/>
      <w:lvlText w:val="%1."/>
      <w:numFmt w:val="decimal"/>
      <w:start w:val="1"/>
    </w:lvl>
    <w:lvl w:ilvl="1">
      <w:lvlJc w:val="left"/>
      <w:lvlText w:val="(%2)"/>
      <w:numFmt w:val="lowerLetter"/>
      <w:start w:val="1"/>
    </w:lvl>
  </w:abstractNum>
  <w:abstractNum w:abstractNumId="472">
    <w:nsid w:val="76DEE918"/>
    <w:multiLevelType w:val="hybridMultilevel"/>
    <w:lvl w:ilvl="0">
      <w:lvlJc w:val="left"/>
      <w:lvlText w:val="%1."/>
      <w:numFmt w:val="decimal"/>
      <w:start w:val="3"/>
    </w:lvl>
  </w:abstractNum>
  <w:abstractNum w:abstractNumId="473">
    <w:nsid w:val="B79D08D"/>
    <w:multiLevelType w:val="hybridMultilevel"/>
    <w:lvl w:ilvl="0">
      <w:lvlJc w:val="left"/>
      <w:lvlText w:val="%1."/>
      <w:numFmt w:val="decimal"/>
      <w:start w:val="8"/>
    </w:lvl>
  </w:abstractNum>
  <w:abstractNum w:abstractNumId="474">
    <w:nsid w:val="69141769"/>
    <w:multiLevelType w:val="hybridMultilevel"/>
    <w:lvl w:ilvl="0">
      <w:lvlJc w:val="left"/>
      <w:lvlText w:val="%1."/>
      <w:numFmt w:val="decimal"/>
      <w:start w:val="1"/>
    </w:lvl>
    <w:lvl w:ilvl="1">
      <w:lvlJc w:val="left"/>
      <w:lvlText w:val="(%2)"/>
      <w:numFmt w:val="lowerLetter"/>
      <w:start w:val="1"/>
    </w:lvl>
  </w:abstractNum>
  <w:abstractNum w:abstractNumId="475">
    <w:nsid w:val="7BF45B8E"/>
    <w:multiLevelType w:val="hybridMultilevel"/>
    <w:lvl w:ilvl="0">
      <w:lvlJc w:val="left"/>
      <w:lvlText w:val="(%1)"/>
      <w:numFmt w:val="lowerLetter"/>
      <w:start w:val="1"/>
    </w:lvl>
  </w:abstractNum>
  <w:abstractNum w:abstractNumId="476">
    <w:nsid w:val="41205269"/>
    <w:multiLevelType w:val="hybridMultilevel"/>
    <w:lvl w:ilvl="0">
      <w:lvlJc w:val="left"/>
      <w:lvlText w:val="%1."/>
      <w:numFmt w:val="decimal"/>
      <w:start w:val="3"/>
    </w:lvl>
    <w:lvl w:ilvl="1">
      <w:lvlJc w:val="left"/>
      <w:lvlText w:val="(%2)"/>
      <w:numFmt w:val="lowerLetter"/>
      <w:start w:val="1"/>
    </w:lvl>
  </w:abstractNum>
  <w:abstractNum w:abstractNumId="477">
    <w:nsid w:val="9AE0DD"/>
    <w:multiLevelType w:val="hybridMultilevel"/>
    <w:lvl w:ilvl="0">
      <w:lvlJc w:val="left"/>
      <w:lvlText w:val="%1"/>
      <w:numFmt w:val="decimal"/>
      <w:start w:val="1"/>
    </w:lvl>
    <w:lvl w:ilvl="1">
      <w:lvlJc w:val="left"/>
      <w:lvlText w:val="(%2)"/>
      <w:numFmt w:val="lowerLetter"/>
      <w:start w:val="3"/>
    </w:lvl>
  </w:abstractNum>
  <w:abstractNum w:abstractNumId="478">
    <w:nsid w:val="1818832F"/>
    <w:multiLevelType w:val="hybridMultilevel"/>
    <w:lvl w:ilvl="0">
      <w:lvlJc w:val="left"/>
      <w:lvlText w:val="%1."/>
      <w:numFmt w:val="decimal"/>
      <w:start w:val="4"/>
    </w:lvl>
    <w:lvl w:ilvl="1">
      <w:lvlJc w:val="left"/>
      <w:lvlText w:val="%2"/>
      <w:numFmt w:val="lowerLetter"/>
      <w:start w:val="1"/>
    </w:lvl>
  </w:abstractNum>
  <w:abstractNum w:abstractNumId="479">
    <w:nsid w:val="24C29FD1"/>
    <w:multiLevelType w:val="hybridMultilevel"/>
    <w:lvl w:ilvl="0">
      <w:lvlJc w:val="left"/>
      <w:lvlText w:val="%1."/>
      <w:numFmt w:val="decimal"/>
      <w:start w:val="6"/>
    </w:lvl>
  </w:abstractNum>
  <w:abstractNum w:abstractNumId="480">
    <w:nsid w:val="50528108"/>
    <w:multiLevelType w:val="hybridMultilevel"/>
    <w:lvl w:ilvl="0">
      <w:lvlJc w:val="left"/>
      <w:lvlText w:val="%1."/>
      <w:numFmt w:val="decimal"/>
      <w:start w:val="7"/>
    </w:lvl>
  </w:abstractNum>
  <w:abstractNum w:abstractNumId="481">
    <w:nsid w:val="21857A57"/>
    <w:multiLevelType w:val="hybridMultilevel"/>
    <w:lvl w:ilvl="0">
      <w:lvlJc w:val="left"/>
      <w:lvlText w:val="%1."/>
      <w:numFmt w:val="decimal"/>
      <w:start w:val="9"/>
    </w:lvl>
  </w:abstractNum>
  <w:abstractNum w:abstractNumId="482">
    <w:nsid w:val="5FD4B154"/>
    <w:multiLevelType w:val="hybridMultilevel"/>
    <w:lvl w:ilvl="0">
      <w:lvlJc w:val="left"/>
      <w:lvlText w:val="(%1)"/>
      <w:numFmt w:val="lowerLetter"/>
      <w:start w:val="1"/>
    </w:lvl>
  </w:abstractNum>
  <w:abstractNum w:abstractNumId="483">
    <w:nsid w:val="4ABE597"/>
    <w:multiLevelType w:val="hybridMultilevel"/>
    <w:lvl w:ilvl="0">
      <w:lvlJc w:val="left"/>
      <w:lvlText w:val="(%1)"/>
      <w:numFmt w:val="lowerLetter"/>
      <w:start w:val="7"/>
    </w:lvl>
  </w:abstractNum>
  <w:abstractNum w:abstractNumId="484">
    <w:nsid w:val="5C64AD75"/>
    <w:multiLevelType w:val="hybridMultilevel"/>
    <w:lvl w:ilvl="0">
      <w:lvlJc w:val="left"/>
      <w:lvlText w:val="%1."/>
      <w:numFmt w:val="upperLetter"/>
      <w:start w:val="1"/>
    </w:lvl>
  </w:abstractNum>
  <w:abstractNum w:abstractNumId="485">
    <w:nsid w:val="2CDD5B39"/>
    <w:multiLevelType w:val="hybridMultilevel"/>
    <w:lvl w:ilvl="0">
      <w:lvlJc w:val="left"/>
      <w:lvlText w:val="%1."/>
      <w:numFmt w:val="decimal"/>
      <w:start w:val="1"/>
    </w:lvl>
    <w:lvl w:ilvl="1">
      <w:lvlJc w:val="left"/>
      <w:lvlText w:val="(%2)"/>
      <w:numFmt w:val="lowerLetter"/>
      <w:start w:val="1"/>
    </w:lvl>
  </w:abstractNum>
  <w:abstractNum w:abstractNumId="486">
    <w:nsid w:val="6F9EA0D1"/>
    <w:multiLevelType w:val="hybridMultilevel"/>
    <w:lvl w:ilvl="0">
      <w:lvlJc w:val="left"/>
      <w:lvlText w:val="%1."/>
      <w:numFmt w:val="decimal"/>
      <w:start w:val="2"/>
    </w:lvl>
    <w:lvl w:ilvl="1">
      <w:lvlJc w:val="left"/>
      <w:lvlText w:val="(%2)"/>
      <w:numFmt w:val="lowerLetter"/>
      <w:start w:val="1"/>
    </w:lvl>
  </w:abstractNum>
  <w:abstractNum w:abstractNumId="487">
    <w:nsid w:val="247FC4AE"/>
    <w:multiLevelType w:val="hybridMultilevel"/>
    <w:lvl w:ilvl="0">
      <w:lvlJc w:val="left"/>
      <w:lvlText w:val="%1."/>
      <w:numFmt w:val="decimal"/>
      <w:start w:val="3"/>
    </w:lvl>
    <w:lvl w:ilvl="1">
      <w:lvlJc w:val="left"/>
      <w:lvlText w:val="(%2)"/>
      <w:numFmt w:val="lowerLetter"/>
      <w:start w:val="1"/>
    </w:lvl>
  </w:abstractNum>
  <w:abstractNum w:abstractNumId="488">
    <w:nsid w:val="46C01B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9">
    <w:nsid w:val="566EC29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90">
    <w:nsid w:val="7A963843"/>
    <w:multiLevelType w:val="hybridMultilevel"/>
    <w:lvl w:ilvl="0">
      <w:lvlJc w:val="left"/>
      <w:lvlText w:val="(%1)"/>
      <w:numFmt w:val="decimal"/>
      <w:start w:val="40"/>
    </w:lvl>
    <w:lvl w:ilvl="1">
      <w:lvlJc w:val="left"/>
      <w:lvlText w:val="%2"/>
      <w:numFmt w:val="lowerLetter"/>
      <w:start w:val="1"/>
    </w:lvl>
    <w:lvl w:ilvl="2">
      <w:lvlJc w:val="left"/>
      <w:lvlText w:val="%3"/>
      <w:numFmt w:val="lowerRoman"/>
      <w:start w:val="1"/>
    </w:lvl>
  </w:abstractNum>
  <w:abstractNum w:abstractNumId="491">
    <w:nsid w:val="4FE12F61"/>
    <w:multiLevelType w:val="hybridMultilevel"/>
    <w:lvl w:ilvl="0">
      <w:lvlJc w:val="left"/>
      <w:lvlText w:val="%1"/>
      <w:numFmt w:val="lowerLetter"/>
      <w:start w:val="1"/>
    </w:lvl>
    <w:lvl w:ilvl="1">
      <w:lvlJc w:val="left"/>
      <w:lvlText w:val="(%2)"/>
      <w:numFmt w:val="lowerLetter"/>
      <w:start w:val="3"/>
    </w:lvl>
  </w:abstractNum>
  <w:abstractNum w:abstractNumId="492">
    <w:nsid w:val="51A3A284"/>
    <w:multiLevelType w:val="hybridMultilevel"/>
    <w:lvl w:ilvl="0">
      <w:lvlJc w:val="left"/>
      <w:lvlText w:val="(%1)"/>
      <w:numFmt w:val="lowerLetter"/>
      <w:start w:val="35"/>
    </w:lvl>
    <w:lvl w:ilvl="1">
      <w:lvlJc w:val="left"/>
      <w:lvlText w:val="(%2)"/>
      <w:numFmt w:val="lowerLetter"/>
      <w:start w:val="4"/>
    </w:lvl>
  </w:abstractNum>
  <w:abstractNum w:abstractNumId="493">
    <w:nsid w:val="376863B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94">
    <w:nsid w:val="118C6C0"/>
    <w:multiLevelType w:val="hybridMultilevel"/>
    <w:lvl w:ilvl="0">
      <w:lvlJc w:val="left"/>
      <w:lvlText w:val="%1"/>
      <w:numFmt w:val="lowerLetter"/>
      <w:start w:val="1"/>
    </w:lvl>
    <w:lvl w:ilvl="1">
      <w:lvlJc w:val="left"/>
      <w:lvlText w:val="(%2)"/>
      <w:numFmt w:val="lowerLetter"/>
      <w:start w:val="61"/>
    </w:lvl>
  </w:abstractNum>
  <w:abstractNum w:abstractNumId="495">
    <w:nsid w:val="7F7E4A15"/>
    <w:multiLevelType w:val="hybridMultilevel"/>
    <w:lvl w:ilvl="0">
      <w:lvlJc w:val="left"/>
      <w:lvlText w:val="(%1)"/>
      <w:numFmt w:val="lowerLetter"/>
      <w:start w:val="3"/>
    </w:lvl>
    <w:lvl w:ilvl="1">
      <w:lvlJc w:val="left"/>
      <w:lvlText w:val="%2"/>
      <w:numFmt w:val="lowerLetter"/>
      <w:start w:val="1"/>
    </w:lvl>
  </w:abstractNum>
  <w:abstractNum w:abstractNumId="496">
    <w:nsid w:val="2E8E9F47"/>
    <w:multiLevelType w:val="hybridMultilevel"/>
    <w:lvl w:ilvl="0">
      <w:lvlJc w:val="left"/>
      <w:lvlText w:val="%1"/>
      <w:numFmt w:val="decimal"/>
      <w:start w:val="1"/>
    </w:lvl>
    <w:lvl w:ilvl="1">
      <w:lvlJc w:val="left"/>
      <w:lvlText w:val="(%2)"/>
      <w:numFmt w:val="lowerLetter"/>
      <w:start w:val="4"/>
    </w:lvl>
  </w:abstractNum>
  <w:abstractNum w:abstractNumId="497">
    <w:nsid w:val="76742596"/>
    <w:multiLevelType w:val="hybridMultilevel"/>
    <w:lvl w:ilvl="0">
      <w:lvlJc w:val="left"/>
      <w:lvlText w:val="%1."/>
      <w:numFmt w:val="decimal"/>
      <w:start w:val="5"/>
    </w:lvl>
    <w:lvl w:ilvl="1">
      <w:lvlJc w:val="left"/>
      <w:lvlText w:val="%2"/>
      <w:numFmt w:val="lowerLetter"/>
      <w:start w:val="1"/>
    </w:lvl>
  </w:abstractNum>
  <w:abstractNum w:abstractNumId="498">
    <w:nsid w:val="CB55FF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99">
    <w:nsid w:val="21DF319E"/>
    <w:multiLevelType w:val="hybridMultilevel"/>
    <w:lvl w:ilvl="0">
      <w:lvlJc w:val="left"/>
      <w:lvlText w:val="%1"/>
      <w:numFmt w:val="decimal"/>
      <w:start w:val="1"/>
    </w:lvl>
    <w:lvl w:ilvl="1">
      <w:lvlJc w:val="left"/>
      <w:lvlText w:val="(%2)"/>
      <w:numFmt w:val="lowerLetter"/>
      <w:start w:val="6"/>
    </w:lvl>
  </w:abstractNum>
  <w:abstractNum w:abstractNumId="500">
    <w:nsid w:val="6687F34D"/>
    <w:multiLevelType w:val="hybridMultilevel"/>
    <w:lvl w:ilvl="0">
      <w:lvlJc w:val="left"/>
      <w:lvlText w:val="%1."/>
      <w:numFmt w:val="decimal"/>
      <w:start w:val="8"/>
    </w:lvl>
    <w:lvl w:ilvl="1">
      <w:lvlJc w:val="left"/>
      <w:lvlText w:val="(%2)"/>
      <w:numFmt w:val="lowerLetter"/>
      <w:start w:val="1"/>
    </w:lvl>
  </w:abstractNum>
  <w:abstractNum w:abstractNumId="501">
    <w:nsid w:val="25415B0C"/>
    <w:multiLevelType w:val="hybridMultilevel"/>
    <w:lvl w:ilvl="0">
      <w:lvlJc w:val="left"/>
      <w:lvlText w:val="(%1)"/>
      <w:numFmt w:val="lowerLetter"/>
      <w:start w:val="3"/>
    </w:lvl>
  </w:abstractNum>
  <w:abstractNum w:abstractNumId="502">
    <w:nsid w:val="17CFC87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03">
    <w:nsid w:val="5D66DC6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04">
    <w:nsid w:val="30BB2B99"/>
    <w:multiLevelType w:val="hybridMultilevel"/>
    <w:lvl w:ilvl="0">
      <w:lvlJc w:val="left"/>
      <w:lvlText w:val="%1"/>
      <w:numFmt w:val="lowerLetter"/>
      <w:start w:val="1"/>
    </w:lvl>
    <w:lvl w:ilvl="1">
      <w:lvlJc w:val="left"/>
      <w:lvlText w:val="(%2)"/>
      <w:numFmt w:val="lowerLetter"/>
      <w:start w:val="4"/>
    </w:lvl>
  </w:abstractNum>
  <w:abstractNum w:abstractNumId="505">
    <w:nsid w:val="E3DFE6"/>
    <w:multiLevelType w:val="hybridMultilevel"/>
    <w:lvl w:ilvl="0">
      <w:lvlJc w:val="left"/>
      <w:lvlText w:val="(%1)"/>
      <w:numFmt w:val="lowerLetter"/>
      <w:start w:val="22"/>
    </w:lvl>
    <w:lvl w:ilvl="1">
      <w:lvlJc w:val="left"/>
      <w:lvlText w:val="(%2)"/>
      <w:numFmt w:val="lowerLetter"/>
      <w:start w:val="10"/>
    </w:lvl>
  </w:abstractNum>
  <w:abstractNum w:abstractNumId="506">
    <w:nsid w:val="595B37F3"/>
    <w:multiLevelType w:val="hybridMultilevel"/>
    <w:lvl w:ilvl="0">
      <w:lvlJc w:val="left"/>
      <w:lvlText w:val="(%1)"/>
      <w:numFmt w:val="lowerLetter"/>
      <w:start w:val="11"/>
    </w:lvl>
    <w:lvl w:ilvl="1">
      <w:lvlJc w:val="left"/>
      <w:lvlText w:val="(%2)"/>
      <w:numFmt w:val="lowerRoman"/>
      <w:start w:val="1"/>
    </w:lvl>
  </w:abstractNum>
  <w:abstractNum w:abstractNumId="507">
    <w:nsid w:val="71DB7E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508">
    <w:nsid w:val="17EC0C4"/>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509">
    <w:nsid w:val="7173BB22"/>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510">
    <w:nsid w:val="169E1DD3"/>
    <w:multiLevelType w:val="hybridMultilevel"/>
    <w:lvl w:ilvl="0">
      <w:lvlJc w:val="left"/>
      <w:lvlText w:val="%1."/>
      <w:numFmt w:val="decimal"/>
      <w:start w:val="1"/>
    </w:lvl>
    <w:lvl w:ilvl="1">
      <w:lvlJc w:val="left"/>
      <w:lvlText w:val="(%2)"/>
      <w:numFmt w:val="lowerLetter"/>
      <w:start w:val="1"/>
    </w:lvl>
  </w:abstractNum>
  <w:abstractNum w:abstractNumId="511">
    <w:nsid w:val="51D141CC"/>
    <w:multiLevelType w:val="hybridMultilevel"/>
    <w:lvl w:ilvl="0">
      <w:lvlJc w:val="left"/>
      <w:lvlText w:val="%1."/>
      <w:numFmt w:val="decimal"/>
      <w:start w:val="3"/>
    </w:lvl>
  </w:abstractNum>
  <w:abstractNum w:abstractNumId="512">
    <w:nsid w:val="12F9357A"/>
    <w:multiLevelType w:val="hybridMultilevel"/>
    <w:lvl w:ilvl="0">
      <w:lvlJc w:val="left"/>
      <w:lvlText w:val="%1."/>
      <w:numFmt w:val="decimal"/>
      <w:start w:val="8"/>
    </w:lvl>
  </w:abstractNum>
  <w:abstractNum w:abstractNumId="513">
    <w:nsid w:val="7672CF28"/>
    <w:multiLevelType w:val="hybridMultilevel"/>
    <w:lvl w:ilvl="0">
      <w:lvlJc w:val="left"/>
      <w:lvlText w:val="%1."/>
      <w:numFmt w:val="decimal"/>
      <w:start w:val="1"/>
    </w:lvl>
    <w:lvl w:ilvl="1">
      <w:lvlJc w:val="left"/>
      <w:lvlText w:val="(%2)"/>
      <w:numFmt w:val="lowerLetter"/>
      <w:start w:val="1"/>
    </w:lvl>
  </w:abstractNum>
  <w:abstractNum w:abstractNumId="514">
    <w:nsid w:val="567D2763"/>
    <w:multiLevelType w:val="hybridMultilevel"/>
    <w:lvl w:ilvl="0">
      <w:lvlJc w:val="left"/>
      <w:lvlText w:val="(%1)"/>
      <w:numFmt w:val="lowerLetter"/>
      <w:start w:val="1"/>
    </w:lvl>
  </w:abstractNum>
  <w:abstractNum w:abstractNumId="515">
    <w:nsid w:val="6F5DE2EF"/>
    <w:multiLevelType w:val="hybridMultilevel"/>
    <w:lvl w:ilvl="0">
      <w:lvlJc w:val="left"/>
      <w:lvlText w:val="%1."/>
      <w:numFmt w:val="decimal"/>
      <w:start w:val="3"/>
    </w:lvl>
    <w:lvl w:ilvl="1">
      <w:lvlJc w:val="left"/>
      <w:lvlText w:val="(%2)"/>
      <w:numFmt w:val="lowerLetter"/>
      <w:start w:val="1"/>
    </w:lvl>
  </w:abstractNum>
  <w:abstractNum w:abstractNumId="516">
    <w:nsid w:val="23502A61"/>
    <w:multiLevelType w:val="hybridMultilevel"/>
    <w:lvl w:ilvl="0">
      <w:lvlJc w:val="left"/>
      <w:lvlText w:val="%1"/>
      <w:numFmt w:val="decimal"/>
      <w:start w:val="1"/>
    </w:lvl>
    <w:lvl w:ilvl="1">
      <w:lvlJc w:val="left"/>
      <w:lvlText w:val="(%2)"/>
      <w:numFmt w:val="lowerLetter"/>
      <w:start w:val="3"/>
    </w:lvl>
  </w:abstractNum>
  <w:abstractNum w:abstractNumId="517">
    <w:nsid w:val="461BC834"/>
    <w:multiLevelType w:val="hybridMultilevel"/>
    <w:lvl w:ilvl="0">
      <w:lvlJc w:val="left"/>
      <w:lvlText w:val="%1."/>
      <w:numFmt w:val="decimal"/>
      <w:start w:val="4"/>
    </w:lvl>
    <w:lvl w:ilvl="1">
      <w:lvlJc w:val="left"/>
      <w:lvlText w:val="%2"/>
      <w:numFmt w:val="lowerLetter"/>
      <w:start w:val="1"/>
    </w:lvl>
  </w:abstractNum>
  <w:abstractNum w:abstractNumId="518">
    <w:nsid w:val="13DDA79D"/>
    <w:multiLevelType w:val="hybridMultilevel"/>
    <w:lvl w:ilvl="0">
      <w:lvlJc w:val="left"/>
      <w:lvlText w:val="%1."/>
      <w:numFmt w:val="decimal"/>
      <w:start w:val="6"/>
    </w:lvl>
  </w:abstractNum>
  <w:abstractNum w:abstractNumId="519">
    <w:nsid w:val="6A104566"/>
    <w:multiLevelType w:val="hybridMultilevel"/>
    <w:lvl w:ilvl="0">
      <w:lvlJc w:val="left"/>
      <w:lvlText w:val="%1."/>
      <w:numFmt w:val="decimal"/>
      <w:start w:val="7"/>
    </w:lvl>
  </w:abstractNum>
  <w:abstractNum w:abstractNumId="520">
    <w:nsid w:val="1C8A8ACF"/>
    <w:multiLevelType w:val="hybridMultilevel"/>
    <w:lvl w:ilvl="0">
      <w:lvlJc w:val="left"/>
      <w:lvlText w:val="%1."/>
      <w:numFmt w:val="decimal"/>
      <w:start w:val="9"/>
    </w:lvl>
  </w:abstractNum>
  <w:abstractNum w:abstractNumId="521">
    <w:nsid w:val="E73DFE0"/>
    <w:multiLevelType w:val="hybridMultilevel"/>
    <w:lvl w:ilvl="0">
      <w:lvlJc w:val="left"/>
      <w:lvlText w:val="(%1)"/>
      <w:numFmt w:val="lowerLetter"/>
      <w:start w:val="1"/>
    </w:lvl>
  </w:abstractNum>
  <w:abstractNum w:abstractNumId="522">
    <w:nsid w:val="39F174C7"/>
    <w:multiLevelType w:val="hybridMultilevel"/>
    <w:lvl w:ilvl="0">
      <w:lvlJc w:val="left"/>
      <w:lvlText w:val="(%1)"/>
      <w:numFmt w:val="lowerLetter"/>
      <w:start w:val="7"/>
    </w:lvl>
  </w:abstractNum>
  <w:abstractNum w:abstractNumId="523">
    <w:nsid w:val="6E2E2D53"/>
    <w:multiLevelType w:val="hybridMultilevel"/>
    <w:lvl w:ilvl="0">
      <w:lvlJc w:val="left"/>
      <w:lvlText w:val="%1."/>
      <w:numFmt w:val="upperLetter"/>
      <w:start w:val="1"/>
    </w:lvl>
  </w:abstractNum>
  <w:abstractNum w:abstractNumId="524">
    <w:nsid w:val="45DC439D"/>
    <w:multiLevelType w:val="hybridMultilevel"/>
    <w:lvl w:ilvl="0">
      <w:lvlJc w:val="left"/>
      <w:lvlText w:val="%1."/>
      <w:numFmt w:val="decimal"/>
      <w:start w:val="1"/>
    </w:lvl>
    <w:lvl w:ilvl="1">
      <w:lvlJc w:val="left"/>
      <w:lvlText w:val="(%2)"/>
      <w:numFmt w:val="lowerLetter"/>
      <w:start w:val="1"/>
    </w:lvl>
  </w:abstractNum>
  <w:abstractNum w:abstractNumId="525">
    <w:nsid w:val="3B0A3B87"/>
    <w:multiLevelType w:val="hybridMultilevel"/>
    <w:lvl w:ilvl="0">
      <w:lvlJc w:val="left"/>
      <w:lvlText w:val="(%1)"/>
      <w:numFmt w:val="lowerLetter"/>
      <w:start w:val="1"/>
    </w:lvl>
    <w:lvl w:ilvl="1">
      <w:lvlJc w:val="left"/>
      <w:lvlText w:val="(%2)"/>
      <w:numFmt w:val="lowerRoman"/>
      <w:start w:val="1"/>
    </w:lvl>
  </w:abstractNum>
  <w:abstractNum w:abstractNumId="526">
    <w:nsid w:val="6DAC776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527">
    <w:nsid w:val="746AE2E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28">
    <w:nsid w:val="317E611D"/>
    <w:multiLevelType w:val="hybridMultilevel"/>
    <w:lvl w:ilvl="0">
      <w:lvlJc w:val="left"/>
      <w:lvlText w:val="(%1)"/>
      <w:numFmt w:val="decimal"/>
      <w:start w:val="40"/>
    </w:lvl>
    <w:lvl w:ilvl="1">
      <w:lvlJc w:val="left"/>
      <w:lvlText w:val="(%2)"/>
      <w:numFmt w:val="lowerLetter"/>
      <w:start w:val="3"/>
    </w:lvl>
    <w:lvl w:ilvl="2">
      <w:lvlJc w:val="left"/>
      <w:lvlText w:val="%3"/>
      <w:numFmt w:val="lowerRoman"/>
      <w:start w:val="1"/>
    </w:lvl>
  </w:abstractNum>
  <w:abstractNum w:abstractNumId="529">
    <w:nsid w:val="7A61D75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30">
    <w:nsid w:val="164A148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31">
    <w:nsid w:val="1806546B"/>
    <w:multiLevelType w:val="hybridMultilevel"/>
    <w:lvl w:ilvl="0">
      <w:lvlJc w:val="left"/>
      <w:lvlText w:val="%1"/>
      <w:numFmt w:val="decimal"/>
      <w:start w:val="1"/>
    </w:lvl>
    <w:lvl w:ilvl="1">
      <w:lvlJc w:val="left"/>
      <w:lvlText w:val="(%2)"/>
      <w:numFmt w:val="lowerLetter"/>
      <w:start w:val="3"/>
    </w:lvl>
  </w:abstractNum>
  <w:abstractNum w:abstractNumId="532">
    <w:nsid w:val="1FA33267"/>
    <w:multiLevelType w:val="hybridMultilevel"/>
    <w:lvl w:ilvl="0">
      <w:lvlJc w:val="left"/>
      <w:lvlText w:val="%1."/>
      <w:numFmt w:val="decimal"/>
      <w:start w:val="5"/>
    </w:lvl>
    <w:lvl w:ilvl="1">
      <w:lvlJc w:val="left"/>
      <w:lvlText w:val="%2"/>
      <w:numFmt w:val="lowerLetter"/>
      <w:start w:val="1"/>
    </w:lvl>
  </w:abstractNum>
  <w:abstractNum w:abstractNumId="533">
    <w:nsid w:val="2E19DD00"/>
    <w:multiLevelType w:val="hybridMultilevel"/>
    <w:lvl w:ilvl="0">
      <w:lvlJc w:val="left"/>
      <w:lvlText w:val="%1."/>
      <w:numFmt w:val="decimal"/>
      <w:start w:val="6"/>
    </w:lvl>
  </w:abstractNum>
  <w:abstractNum w:abstractNumId="534">
    <w:nsid w:val="756D30D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35">
    <w:nsid w:val="505E5E01"/>
    <w:multiLevelType w:val="hybridMultilevel"/>
    <w:lvl w:ilvl="0">
      <w:lvlJc w:val="left"/>
      <w:lvlText w:val="%1."/>
      <w:numFmt w:val="decimal"/>
      <w:start w:val="8"/>
    </w:lvl>
    <w:lvl w:ilvl="1">
      <w:lvlJc w:val="left"/>
      <w:lvlText w:val="(%2)"/>
      <w:numFmt w:val="lowerLetter"/>
      <w:start w:val="1"/>
    </w:lvl>
  </w:abstractNum>
  <w:abstractNum w:abstractNumId="536">
    <w:nsid w:val="2EFDBCE6"/>
    <w:multiLevelType w:val="hybridMultilevel"/>
    <w:lvl w:ilvl="0">
      <w:lvlJc w:val="left"/>
      <w:lvlText w:val="(%1)"/>
      <w:numFmt w:val="upperLetter"/>
      <w:start w:val="2"/>
    </w:lvl>
    <w:lvl w:ilvl="1">
      <w:lvlJc w:val="left"/>
      <w:lvlText w:val="(%2)"/>
      <w:numFmt w:val="lowerLetter"/>
      <w:start w:val="4"/>
    </w:lvl>
  </w:abstractNum>
  <w:abstractNum w:abstractNumId="537">
    <w:nsid w:val="4EC868C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38">
    <w:nsid w:val="4239DC0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39">
    <w:nsid w:val="307C7DAA"/>
    <w:multiLevelType w:val="hybridMultilevel"/>
    <w:lvl w:ilvl="0">
      <w:lvlJc w:val="left"/>
      <w:lvlText w:val="%1"/>
      <w:numFmt w:val="lowerLetter"/>
      <w:start w:val="1"/>
    </w:lvl>
    <w:lvl w:ilvl="1">
      <w:lvlJc w:val="left"/>
      <w:lvlText w:val="(%2)"/>
      <w:numFmt w:val="lowerLetter"/>
      <w:start w:val="6"/>
    </w:lvl>
  </w:abstractNum>
  <w:abstractNum w:abstractNumId="540">
    <w:nsid w:val="403C23E6"/>
    <w:multiLevelType w:val="hybridMultilevel"/>
    <w:lvl w:ilvl="0">
      <w:lvlJc w:val="left"/>
      <w:lvlText w:val="(%1)"/>
      <w:numFmt w:val="lowerLetter"/>
      <w:start w:val="22"/>
    </w:lvl>
    <w:lvl w:ilvl="1">
      <w:lvlJc w:val="left"/>
      <w:lvlText w:val="(%2)"/>
      <w:numFmt w:val="lowerLetter"/>
      <w:start w:val="10"/>
    </w:lvl>
  </w:abstractNum>
  <w:abstractNum w:abstractNumId="541">
    <w:nsid w:val="58D7F9D7"/>
    <w:multiLevelType w:val="hybridMultilevel"/>
    <w:lvl w:ilvl="0">
      <w:lvlJc w:val="left"/>
      <w:lvlText w:val="(%1)"/>
      <w:numFmt w:val="lowerLetter"/>
      <w:start w:val="12"/>
    </w:lvl>
    <w:lvl w:ilvl="1">
      <w:lvlJc w:val="left"/>
      <w:lvlText w:val="(%2)"/>
      <w:numFmt w:val="lowerRoman"/>
      <w:start w:val="1"/>
    </w:lvl>
  </w:abstractNum>
  <w:abstractNum w:abstractNumId="542">
    <w:nsid w:val="24DBF76"/>
    <w:multiLevelType w:val="hybridMultilevel"/>
    <w:lvl w:ilvl="0">
      <w:lvlJc w:val="left"/>
      <w:lvlText w:val="%1"/>
      <w:numFmt w:val="decimal"/>
      <w:start w:val="1"/>
    </w:lvl>
    <w:lvl w:ilvl="1">
      <w:lvlJc w:val="left"/>
      <w:lvlText w:val="(%2)"/>
      <w:numFmt w:val="lowerLetter"/>
      <w:start w:val="13"/>
    </w:lvl>
  </w:abstractNum>
  <w:abstractNum w:abstractNumId="543">
    <w:nsid w:val="53355960"/>
    <w:multiLevelType w:val="hybridMultilevel"/>
    <w:lvl w:ilvl="0">
      <w:lvlJc w:val="left"/>
      <w:lvlText w:val="%1."/>
      <w:numFmt w:val="decimal"/>
      <w:start w:val="10"/>
    </w:lvl>
    <w:lvl w:ilvl="1">
      <w:lvlJc w:val="left"/>
      <w:lvlText w:val="%2"/>
      <w:numFmt w:val="lowerLetter"/>
      <w:start w:val="1"/>
    </w:lvl>
  </w:abstractNum>
  <w:abstractNum w:abstractNumId="544">
    <w:nsid w:val="4F4AC8FF"/>
    <w:multiLevelType w:val="hybridMultilevel"/>
    <w:lvl w:ilvl="0">
      <w:lvlJc w:val="left"/>
      <w:lvlText w:val="%1."/>
      <w:numFmt w:val="decimal"/>
      <w:start w:val="1"/>
    </w:lvl>
    <w:lvl w:ilvl="1">
      <w:lvlJc w:val="left"/>
      <w:lvlText w:val="(%2)"/>
      <w:numFmt w:val="lowerLetter"/>
      <w:start w:val="1"/>
    </w:lvl>
  </w:abstractNum>
  <w:abstractNum w:abstractNumId="545">
    <w:nsid w:val="58CAE6D9"/>
    <w:multiLevelType w:val="hybridMultilevel"/>
    <w:lvl w:ilvl="0">
      <w:lvlJc w:val="left"/>
      <w:lvlText w:val="%1."/>
      <w:numFmt w:val="decimal"/>
      <w:start w:val="3"/>
    </w:lvl>
  </w:abstractNum>
  <w:abstractNum w:abstractNumId="546">
    <w:nsid w:val="42933C4F"/>
    <w:multiLevelType w:val="hybridMultilevel"/>
    <w:lvl w:ilvl="0">
      <w:lvlJc w:val="left"/>
      <w:lvlText w:val="%1."/>
      <w:numFmt w:val="decimal"/>
      <w:start w:val="1"/>
    </w:lvl>
    <w:lvl w:ilvl="1">
      <w:lvlJc w:val="left"/>
      <w:lvlText w:val="(%2)"/>
      <w:numFmt w:val="lowerLetter"/>
      <w:start w:val="1"/>
    </w:lvl>
  </w:abstractNum>
  <w:abstractNum w:abstractNumId="547">
    <w:nsid w:val="729AF360"/>
    <w:multiLevelType w:val="hybridMultilevel"/>
    <w:lvl w:ilvl="0">
      <w:lvlJc w:val="left"/>
      <w:lvlText w:val="(%1)"/>
      <w:numFmt w:val="lowerLetter"/>
      <w:start w:val="1"/>
    </w:lvl>
  </w:abstractNum>
  <w:abstractNum w:abstractNumId="548">
    <w:nsid w:val="1EE6AF0D"/>
    <w:multiLevelType w:val="hybridMultilevel"/>
    <w:lvl w:ilvl="0">
      <w:lvlJc w:val="left"/>
      <w:lvlText w:val="%1."/>
      <w:numFmt w:val="decimal"/>
      <w:start w:val="3"/>
    </w:lvl>
  </w:abstractNum>
  <w:abstractNum w:abstractNumId="549">
    <w:nsid w:val="5670E3ED"/>
    <w:multiLevelType w:val="hybridMultilevel"/>
    <w:lvl w:ilvl="0">
      <w:lvlJc w:val="left"/>
      <w:lvlText w:val="(%1)"/>
      <w:numFmt w:val="lowerLetter"/>
      <w:start w:val="1"/>
    </w:lvl>
  </w:abstractNum>
  <w:abstractNum w:abstractNumId="550">
    <w:nsid w:val="5CAB38C6"/>
    <w:multiLevelType w:val="hybridMultilevel"/>
    <w:lvl w:ilvl="0">
      <w:lvlJc w:val="left"/>
      <w:lvlText w:val="%1"/>
      <w:numFmt w:val="decimal"/>
      <w:start w:val="1"/>
    </w:lvl>
    <w:lvl w:ilvl="1">
      <w:lvlJc w:val="left"/>
      <w:lvlText w:val="(%2)"/>
      <w:numFmt w:val="lowerLetter"/>
      <w:start w:val="3"/>
    </w:lvl>
  </w:abstractNum>
  <w:abstractNum w:abstractNumId="551">
    <w:nsid w:val="3B7139DD"/>
    <w:multiLevelType w:val="hybridMultilevel"/>
    <w:lvl w:ilvl="0">
      <w:lvlJc w:val="left"/>
      <w:lvlText w:val="%1."/>
      <w:numFmt w:val="decimal"/>
      <w:start w:val="4"/>
    </w:lvl>
    <w:lvl w:ilvl="1">
      <w:lvlJc w:val="left"/>
      <w:lvlText w:val="%2"/>
      <w:numFmt w:val="lowerLetter"/>
      <w:start w:val="1"/>
    </w:lvl>
  </w:abstractNum>
  <w:abstractNum w:abstractNumId="552">
    <w:nsid w:val="64E4C3CD"/>
    <w:multiLevelType w:val="hybridMultilevel"/>
    <w:lvl w:ilvl="0">
      <w:lvlJc w:val="left"/>
      <w:lvlText w:val="%1."/>
      <w:numFmt w:val="decimal"/>
      <w:start w:val="6"/>
    </w:lvl>
  </w:abstractNum>
  <w:abstractNum w:abstractNumId="553">
    <w:nsid w:val="169CAD8D"/>
    <w:multiLevelType w:val="hybridMultilevel"/>
    <w:lvl w:ilvl="0">
      <w:lvlJc w:val="left"/>
      <w:lvlText w:val="%1."/>
      <w:numFmt w:val="decimal"/>
      <w:start w:val="7"/>
    </w:lvl>
  </w:abstractNum>
  <w:abstractNum w:abstractNumId="554">
    <w:nsid w:val="299F6730"/>
    <w:multiLevelType w:val="hybridMultilevel"/>
    <w:lvl w:ilvl="0">
      <w:lvlJc w:val="left"/>
      <w:lvlText w:val="%1."/>
      <w:numFmt w:val="decimal"/>
      <w:start w:val="9"/>
    </w:lvl>
    <w:lvl w:ilvl="1">
      <w:lvlJc w:val="left"/>
      <w:lvlText w:val="(%2)"/>
      <w:numFmt w:val="lowerLetter"/>
      <w:start w:val="1"/>
    </w:lvl>
  </w:abstractNum>
  <w:abstractNum w:abstractNumId="555">
    <w:nsid w:val="2AC1076A"/>
    <w:multiLevelType w:val="hybridMultilevel"/>
    <w:lvl w:ilvl="0">
      <w:lvlJc w:val="left"/>
      <w:lvlText w:val="(%1)"/>
      <w:numFmt w:val="lowerLetter"/>
      <w:start w:val="3"/>
    </w:lvl>
  </w:abstractNum>
  <w:abstractNum w:abstractNumId="556">
    <w:nsid w:val="51A6E915"/>
    <w:multiLevelType w:val="hybridMultilevel"/>
    <w:lvl w:ilvl="0">
      <w:lvlJc w:val="left"/>
      <w:lvlText w:val="(%1)"/>
      <w:numFmt w:val="lowerLetter"/>
      <w:start w:val="7"/>
    </w:lvl>
  </w:abstractNum>
  <w:abstractNum w:abstractNumId="557">
    <w:nsid w:val="174BDE99"/>
    <w:multiLevelType w:val="hybridMultilevel"/>
    <w:lvl w:ilvl="0">
      <w:lvlJc w:val="left"/>
      <w:lvlText w:val="%1."/>
      <w:numFmt w:val="upperLetter"/>
      <w:start w:val="1"/>
    </w:lvl>
  </w:abstractNum>
  <w:abstractNum w:abstractNumId="558">
    <w:nsid w:val="1F2BEA4E"/>
    <w:multiLevelType w:val="hybridMultilevel"/>
    <w:lvl w:ilvl="0">
      <w:lvlJc w:val="left"/>
      <w:lvlText w:val="%1."/>
      <w:numFmt w:val="decimal"/>
      <w:start w:val="1"/>
    </w:lvl>
    <w:lvl w:ilvl="1">
      <w:lvlJc w:val="left"/>
      <w:lvlText w:val="(%2)"/>
      <w:numFmt w:val="lowerLetter"/>
      <w:start w:val="1"/>
    </w:lvl>
  </w:abstractNum>
  <w:abstractNum w:abstractNumId="559">
    <w:nsid w:val="3254A32"/>
    <w:multiLevelType w:val="hybridMultilevel"/>
    <w:lvl w:ilvl="0">
      <w:lvlJc w:val="left"/>
      <w:lvlText w:val="(%1)"/>
      <w:numFmt w:val="lowerLetter"/>
      <w:start w:val="1"/>
    </w:lvl>
    <w:lvl w:ilvl="1">
      <w:lvlJc w:val="left"/>
      <w:lvlText w:val="(%2)"/>
      <w:numFmt w:val="lowerRoman"/>
      <w:start w:val="1"/>
    </w:lvl>
  </w:abstractNum>
  <w:abstractNum w:abstractNumId="560">
    <w:nsid w:val="11ADB5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561">
    <w:nsid w:val="3575FED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62">
    <w:nsid w:val="1B2B9E9D"/>
    <w:multiLevelType w:val="hybridMultilevel"/>
    <w:lvl w:ilvl="0">
      <w:lvlJc w:val="left"/>
      <w:lvlText w:val="(%1)"/>
      <w:numFmt w:val="decimal"/>
      <w:start w:val="40"/>
    </w:lvl>
    <w:lvl w:ilvl="1">
      <w:lvlJc w:val="left"/>
      <w:lvlText w:val="(%2)"/>
      <w:numFmt w:val="lowerLetter"/>
      <w:start w:val="3"/>
    </w:lvl>
    <w:lvl w:ilvl="2">
      <w:lvlJc w:val="left"/>
      <w:lvlText w:val="%3"/>
      <w:numFmt w:val="lowerRoman"/>
      <w:start w:val="1"/>
    </w:lvl>
  </w:abstractNum>
  <w:abstractNum w:abstractNumId="563">
    <w:nsid w:val="3150E85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64">
    <w:nsid w:val="638FDBD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65">
    <w:nsid w:val="1098CF6E"/>
    <w:multiLevelType w:val="hybridMultilevel"/>
    <w:lvl w:ilvl="0">
      <w:lvlJc w:val="left"/>
      <w:lvlText w:val="%1"/>
      <w:numFmt w:val="decimal"/>
      <w:start w:val="1"/>
    </w:lvl>
    <w:lvl w:ilvl="1">
      <w:lvlJc w:val="left"/>
      <w:lvlText w:val="(%2)"/>
      <w:numFmt w:val="lowerLetter"/>
      <w:start w:val="3"/>
    </w:lvl>
  </w:abstractNum>
  <w:abstractNum w:abstractNumId="566">
    <w:nsid w:val="1AF465D"/>
    <w:multiLevelType w:val="hybridMultilevel"/>
    <w:lvl w:ilvl="0">
      <w:lvlJc w:val="left"/>
      <w:lvlText w:val="%1."/>
      <w:numFmt w:val="decimal"/>
      <w:start w:val="5"/>
    </w:lvl>
    <w:lvl w:ilvl="1">
      <w:lvlJc w:val="left"/>
      <w:lvlText w:val="%2"/>
      <w:numFmt w:val="lowerLetter"/>
      <w:start w:val="1"/>
    </w:lvl>
  </w:abstractNum>
  <w:abstractNum w:abstractNumId="567">
    <w:nsid w:val="128D98B7"/>
    <w:multiLevelType w:val="hybridMultilevel"/>
    <w:lvl w:ilvl="0">
      <w:lvlJc w:val="left"/>
      <w:lvlText w:val="%1."/>
      <w:numFmt w:val="decimal"/>
      <w:start w:val="6"/>
    </w:lvl>
  </w:abstractNum>
  <w:abstractNum w:abstractNumId="568">
    <w:nsid w:val="5F61383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69">
    <w:nsid w:val="43E92260"/>
    <w:multiLevelType w:val="hybridMultilevel"/>
    <w:lvl w:ilvl="0">
      <w:lvlJc w:val="left"/>
      <w:lvlText w:val="%1."/>
      <w:numFmt w:val="decimal"/>
      <w:start w:val="8"/>
    </w:lvl>
    <w:lvl w:ilvl="1">
      <w:lvlJc w:val="left"/>
      <w:lvlText w:val="(%2)"/>
      <w:numFmt w:val="lowerLetter"/>
      <w:start w:val="1"/>
    </w:lvl>
  </w:abstractNum>
  <w:abstractNum w:abstractNumId="570">
    <w:nsid w:val="430A1662"/>
    <w:multiLevelType w:val="hybridMultilevel"/>
    <w:lvl w:ilvl="0">
      <w:lvlJc w:val="left"/>
      <w:lvlText w:val="(%1)"/>
      <w:numFmt w:val="upperLetter"/>
      <w:start w:val="2"/>
    </w:lvl>
    <w:lvl w:ilvl="1">
      <w:lvlJc w:val="left"/>
      <w:lvlText w:val="(%2)"/>
      <w:numFmt w:val="lowerLetter"/>
      <w:start w:val="4"/>
    </w:lvl>
  </w:abstractNum>
  <w:abstractNum w:abstractNumId="571">
    <w:nsid w:val="1F9D5C1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72">
    <w:nsid w:val="1CC11C3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73">
    <w:nsid w:val="4557D5D8"/>
    <w:multiLevelType w:val="hybridMultilevel"/>
    <w:lvl w:ilvl="0">
      <w:lvlJc w:val="left"/>
      <w:lvlText w:val="%1"/>
      <w:numFmt w:val="lowerLetter"/>
      <w:start w:val="1"/>
    </w:lvl>
    <w:lvl w:ilvl="1">
      <w:lvlJc w:val="left"/>
      <w:lvlText w:val="(%2)"/>
      <w:numFmt w:val="lowerLetter"/>
      <w:start w:val="6"/>
    </w:lvl>
  </w:abstractNum>
  <w:abstractNum w:abstractNumId="574">
    <w:nsid w:val="72D2B579"/>
    <w:multiLevelType w:val="hybridMultilevel"/>
    <w:lvl w:ilvl="0">
      <w:lvlJc w:val="left"/>
      <w:lvlText w:val="(%1)"/>
      <w:numFmt w:val="lowerLetter"/>
      <w:start w:val="22"/>
    </w:lvl>
    <w:lvl w:ilvl="1">
      <w:lvlJc w:val="left"/>
      <w:lvlText w:val="(%2)"/>
      <w:numFmt w:val="lowerLetter"/>
      <w:start w:val="10"/>
    </w:lvl>
  </w:abstractNum>
  <w:abstractNum w:abstractNumId="575">
    <w:nsid w:val="6C0BE536"/>
    <w:multiLevelType w:val="hybridMultilevel"/>
    <w:lvl w:ilvl="0">
      <w:lvlJc w:val="left"/>
      <w:lvlText w:val="(%1)"/>
      <w:numFmt w:val="lowerLetter"/>
      <w:start w:val="12"/>
    </w:lvl>
    <w:lvl w:ilvl="1">
      <w:lvlJc w:val="left"/>
      <w:lvlText w:val="(%2)"/>
      <w:numFmt w:val="lowerRoman"/>
      <w:start w:val="1"/>
    </w:lvl>
  </w:abstractNum>
  <w:abstractNum w:abstractNumId="576">
    <w:nsid w:val="1E22BCB2"/>
    <w:multiLevelType w:val="hybridMultilevel"/>
    <w:lvl w:ilvl="0">
      <w:lvlJc w:val="left"/>
      <w:lvlText w:val="%1"/>
      <w:numFmt w:val="decimal"/>
      <w:start w:val="1"/>
    </w:lvl>
    <w:lvl w:ilvl="1">
      <w:lvlJc w:val="left"/>
      <w:lvlText w:val="(%2)"/>
      <w:numFmt w:val="lowerLetter"/>
      <w:start w:val="13"/>
    </w:lvl>
  </w:abstractNum>
  <w:abstractNum w:abstractNumId="577">
    <w:nsid w:val="3565F1C8"/>
    <w:multiLevelType w:val="hybridMultilevel"/>
    <w:lvl w:ilvl="0">
      <w:lvlJc w:val="left"/>
      <w:lvlText w:val="%1."/>
      <w:numFmt w:val="decimal"/>
      <w:start w:val="10"/>
    </w:lvl>
    <w:lvl w:ilvl="1">
      <w:lvlJc w:val="left"/>
      <w:lvlText w:val="%2"/>
      <w:numFmt w:val="lowerLetter"/>
      <w:start w:val="1"/>
    </w:lvl>
  </w:abstractNum>
  <w:abstractNum w:abstractNumId="578">
    <w:nsid w:val="5EA6D896"/>
    <w:multiLevelType w:val="hybridMultilevel"/>
    <w:lvl w:ilvl="0">
      <w:lvlJc w:val="left"/>
      <w:lvlText w:val="%1."/>
      <w:numFmt w:val="decimal"/>
      <w:start w:val="1"/>
    </w:lvl>
    <w:lvl w:ilvl="1">
      <w:lvlJc w:val="left"/>
      <w:lvlText w:val="(%2)"/>
      <w:numFmt w:val="lowerLetter"/>
      <w:start w:val="1"/>
    </w:lvl>
  </w:abstractNum>
  <w:abstractNum w:abstractNumId="579">
    <w:nsid w:val="3D096BBF"/>
    <w:multiLevelType w:val="hybridMultilevel"/>
    <w:lvl w:ilvl="0">
      <w:lvlJc w:val="left"/>
      <w:lvlText w:val="%1."/>
      <w:numFmt w:val="decimal"/>
      <w:start w:val="3"/>
    </w:lvl>
  </w:abstractNum>
  <w:abstractNum w:abstractNumId="580">
    <w:nsid w:val="BD6D5B5"/>
    <w:multiLevelType w:val="hybridMultilevel"/>
    <w:lvl w:ilvl="0">
      <w:lvlJc w:val="left"/>
      <w:lvlText w:val="%1."/>
      <w:numFmt w:val="decimal"/>
      <w:start w:val="1"/>
    </w:lvl>
    <w:lvl w:ilvl="1">
      <w:lvlJc w:val="left"/>
      <w:lvlText w:val="(%2)"/>
      <w:numFmt w:val="lowerLetter"/>
      <w:start w:val="1"/>
    </w:lvl>
  </w:abstractNum>
  <w:abstractNum w:abstractNumId="581">
    <w:nsid w:val="3B52115C"/>
    <w:multiLevelType w:val="hybridMultilevel"/>
    <w:lvl w:ilvl="0">
      <w:lvlJc w:val="left"/>
      <w:lvlText w:val="(%1)"/>
      <w:numFmt w:val="lowerLetter"/>
      <w:start w:val="1"/>
    </w:lvl>
  </w:abstractNum>
  <w:abstractNum w:abstractNumId="582">
    <w:nsid w:val="787AA59C"/>
    <w:multiLevelType w:val="hybridMultilevel"/>
    <w:lvl w:ilvl="0">
      <w:lvlJc w:val="left"/>
      <w:lvlText w:val="%1."/>
      <w:numFmt w:val="decimal"/>
      <w:start w:val="3"/>
    </w:lvl>
  </w:abstractNum>
  <w:abstractNum w:abstractNumId="583">
    <w:nsid w:val="70BB9983"/>
    <w:multiLevelType w:val="hybridMultilevel"/>
    <w:lvl w:ilvl="0">
      <w:lvlJc w:val="left"/>
      <w:lvlText w:val="(%1)"/>
      <w:numFmt w:val="lowerLetter"/>
      <w:start w:val="1"/>
    </w:lvl>
  </w:abstractNum>
  <w:abstractNum w:abstractNumId="584">
    <w:nsid w:val="51EEBEEA"/>
    <w:multiLevelType w:val="hybridMultilevel"/>
    <w:lvl w:ilvl="0">
      <w:lvlJc w:val="left"/>
      <w:lvlText w:val="%1"/>
      <w:numFmt w:val="decimal"/>
      <w:start w:val="1"/>
    </w:lvl>
    <w:lvl w:ilvl="1">
      <w:lvlJc w:val="left"/>
      <w:lvlText w:val="(%2)"/>
      <w:numFmt w:val="lowerLetter"/>
      <w:start w:val="3"/>
    </w:lvl>
  </w:abstractNum>
  <w:abstractNum w:abstractNumId="585">
    <w:nsid w:val="221A0CCD"/>
    <w:multiLevelType w:val="hybridMultilevel"/>
    <w:lvl w:ilvl="0">
      <w:lvlJc w:val="left"/>
      <w:lvlText w:val="%1."/>
      <w:numFmt w:val="decimal"/>
      <w:start w:val="4"/>
    </w:lvl>
    <w:lvl w:ilvl="1">
      <w:lvlJc w:val="left"/>
      <w:lvlText w:val="%2"/>
      <w:numFmt w:val="lowerLetter"/>
      <w:start w:val="1"/>
    </w:lvl>
  </w:abstractNum>
  <w:abstractNum w:abstractNumId="586">
    <w:nsid w:val="1B7CA0ED"/>
    <w:multiLevelType w:val="hybridMultilevel"/>
    <w:lvl w:ilvl="0">
      <w:lvlJc w:val="left"/>
      <w:lvlText w:val="%1."/>
      <w:numFmt w:val="decimal"/>
      <w:start w:val="6"/>
    </w:lvl>
  </w:abstractNum>
  <w:abstractNum w:abstractNumId="587">
    <w:nsid w:val="2395A7FF"/>
    <w:multiLevelType w:val="hybridMultilevel"/>
    <w:lvl w:ilvl="0">
      <w:lvlJc w:val="left"/>
      <w:lvlText w:val="%1."/>
      <w:numFmt w:val="decimal"/>
      <w:start w:val="7"/>
    </w:lvl>
  </w:abstractNum>
  <w:abstractNum w:abstractNumId="588">
    <w:nsid w:val="3965EB66"/>
    <w:multiLevelType w:val="hybridMultilevel"/>
    <w:lvl w:ilvl="0">
      <w:lvlJc w:val="left"/>
      <w:lvlText w:val="%1."/>
      <w:numFmt w:val="decimal"/>
      <w:start w:val="9"/>
    </w:lvl>
    <w:lvl w:ilvl="1">
      <w:lvlJc w:val="left"/>
      <w:lvlText w:val="(%2)"/>
      <w:numFmt w:val="lowerLetter"/>
      <w:start w:val="1"/>
    </w:lvl>
  </w:abstractNum>
  <w:abstractNum w:abstractNumId="589">
    <w:nsid w:val="3AA88B3C"/>
    <w:multiLevelType w:val="hybridMultilevel"/>
    <w:lvl w:ilvl="0">
      <w:lvlJc w:val="left"/>
      <w:lvlText w:val="(%1)"/>
      <w:numFmt w:val="lowerLetter"/>
      <w:start w:val="3"/>
    </w:lvl>
  </w:abstractNum>
  <w:abstractNum w:abstractNumId="590">
    <w:nsid w:val="26BAF231"/>
    <w:multiLevelType w:val="hybridMultilevel"/>
    <w:lvl w:ilvl="0">
      <w:lvlJc w:val="left"/>
      <w:lvlText w:val="(%1)"/>
      <w:numFmt w:val="lowerLetter"/>
      <w:start w:val="7"/>
    </w:lvl>
  </w:abstractNum>
  <w:abstractNum w:abstractNumId="591">
    <w:nsid w:val="4B13A1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92">
    <w:nsid w:val="701E8A0D"/>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593">
    <w:nsid w:val="41E690CF"/>
    <w:multiLevelType w:val="hybridMultilevel"/>
    <w:lvl w:ilvl="0">
      <w:lvlJc w:val="left"/>
      <w:lvlText w:val="(%1)"/>
      <w:numFmt w:val="lowerLetter"/>
      <w:start w:val="2"/>
    </w:lvl>
  </w:abstractNum>
  <w:abstractNum w:abstractNumId="594">
    <w:nsid w:val="7C6489B6"/>
    <w:multiLevelType w:val="hybridMultilevel"/>
    <w:lvl w:ilvl="0">
      <w:lvlJc w:val="left"/>
      <w:lvlText w:val="%1."/>
      <w:numFmt w:val="decimal"/>
      <w:start w:val="7"/>
    </w:lvl>
    <w:lvl w:ilvl="1">
      <w:lvlJc w:val="left"/>
      <w:lvlText w:val="(%2)"/>
      <w:numFmt w:val="lowerLetter"/>
      <w:start w:val="1"/>
    </w:lvl>
  </w:abstractNum>
  <w:abstractNum w:abstractNumId="595">
    <w:nsid w:val="53AE65DE"/>
    <w:multiLevelType w:val="hybridMultilevel"/>
    <w:lvl w:ilvl="0">
      <w:lvlJc w:val="left"/>
      <w:lvlText w:val="%1."/>
      <w:numFmt w:val="decimal"/>
      <w:start w:val="8"/>
    </w:lvl>
  </w:abstractNum>
  <w:abstractNum w:abstractNumId="596">
    <w:nsid w:val="527F603D"/>
    <w:multiLevelType w:val="hybridMultilevel"/>
    <w:lvl w:ilvl="0">
      <w:lvlJc w:val="left"/>
      <w:lvlText w:val="%1."/>
      <w:numFmt w:val="decimal"/>
      <w:start w:val="12"/>
    </w:lvl>
    <w:lvl w:ilvl="1">
      <w:lvlJc w:val="left"/>
      <w:lvlText w:val="(%2)"/>
      <w:numFmt w:val="lowerLetter"/>
      <w:start w:val="1"/>
    </w:lvl>
  </w:abstractNum>
  <w:abstractNum w:abstractNumId="597">
    <w:nsid w:val="7E13D013"/>
    <w:multiLevelType w:val="hybridMultilevel"/>
    <w:lvl w:ilvl="0">
      <w:lvlJc w:val="left"/>
      <w:lvlText w:val="(%1)"/>
      <w:numFmt w:val="lowerLetter"/>
      <w:start w:val="5"/>
    </w:lvl>
  </w:abstractNum>
  <w:abstractNum w:abstractNumId="598">
    <w:nsid w:val="663BFE95"/>
    <w:multiLevelType w:val="hybridMultilevel"/>
    <w:lvl w:ilvl="0">
      <w:lvlJc w:val="left"/>
      <w:lvlText w:val="(%1)"/>
      <w:numFmt w:val="lowerLetter"/>
      <w:start w:val="7"/>
    </w:lvl>
  </w:abstractNum>
  <w:abstractNum w:abstractNumId="599">
    <w:nsid w:val="31E0986F"/>
    <w:multiLevelType w:val="hybridMultilevel"/>
    <w:lvl w:ilvl="0">
      <w:lvlJc w:val="left"/>
      <w:lvlText w:val="(%1)"/>
      <w:numFmt w:val="lowerLetter"/>
      <w:start w:val="9"/>
    </w:lvl>
  </w:abstractNum>
  <w:abstractNum w:abstractNumId="600">
    <w:nsid w:val="41FCF274"/>
    <w:multiLevelType w:val="hybridMultilevel"/>
    <w:lvl w:ilvl="0">
      <w:lvlJc w:val="left"/>
      <w:lvlText w:val="(%1)"/>
      <w:numFmt w:val="lowerLetter"/>
      <w:start w:val="11"/>
    </w:lvl>
  </w:abstractNum>
  <w:abstractNum w:abstractNumId="601">
    <w:nsid w:val="294614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02">
    <w:nsid w:val="517DF48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03">
    <w:nsid w:val="5EBE0EAB"/>
    <w:multiLevelType w:val="hybridMultilevel"/>
    <w:lvl w:ilvl="0">
      <w:lvlJc w:val="left"/>
      <w:lvlText w:val="(%1)"/>
      <w:numFmt w:val="lowerLetter"/>
      <w:start w:val="3"/>
    </w:lvl>
  </w:abstractNum>
  <w:abstractNum w:abstractNumId="604">
    <w:nsid w:val="6E9DEAD0"/>
    <w:multiLevelType w:val="hybridMultilevel"/>
    <w:lvl w:ilvl="0">
      <w:lvlJc w:val="left"/>
      <w:lvlText w:val="%1."/>
      <w:numFmt w:val="decimal"/>
      <w:start w:val="1"/>
    </w:lvl>
  </w:abstractNum>
  <w:abstractNum w:abstractNumId="605">
    <w:nsid w:val="4450AA00"/>
    <w:multiLevelType w:val="hybridMultilevel"/>
    <w:lvl w:ilvl="0">
      <w:lvlJc w:val="left"/>
      <w:lvlText w:val="%1."/>
      <w:numFmt w:val="decimal"/>
      <w:start w:val="1"/>
    </w:lvl>
    <w:lvl w:ilvl="1">
      <w:lvlJc w:val="left"/>
      <w:lvlText w:val="%2."/>
      <w:numFmt w:val="decimal"/>
      <w:start w:val="11"/>
    </w:lvl>
  </w:abstractNum>
  <w:abstractNum w:abstractNumId="606">
    <w:nsid w:val="4AC9F3E2"/>
    <w:multiLevelType w:val="hybridMultilevel"/>
    <w:lvl w:ilvl="0">
      <w:lvlJc w:val="left"/>
      <w:lvlText w:val="%1."/>
      <w:numFmt w:val="decimal"/>
      <w:start w:val="4"/>
    </w:lvl>
  </w:abstractNum>
  <w:abstractNum w:abstractNumId="607">
    <w:nsid w:val="CC0A78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jpe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jpe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jpe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2019-12-08T19:15:41Z</dcterms:created>
  <dcterms:modified xsi:type="dcterms:W3CDTF">2019-12-08T19:15:41Z</dcterms:modified>
</cp:coreProperties>
</file>