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816212302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Michael K. Bradshaw, Jr.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July 2,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sent.</w:t>
      </w:r>
    </w:p>
    <w:p>
      <w:pPr>
        <w:spacing w:after="0" w:line="159" w:lineRule="exact"/>
        <w:rPr>
          <w:sz w:val="24"/>
          <w:szCs w:val="24"/>
          <w:color w:val="auto"/>
        </w:rPr>
      </w:pPr>
    </w:p>
    <w:p>
      <w:pPr>
        <w:ind w:left="340" w:right="6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 w:name="page2"/>
    <w:bookmarkEnd w:id="1"/>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577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90" w:lineRule="exact"/>
        <w:rPr>
          <w:sz w:val="20"/>
          <w:szCs w:val="20"/>
          <w:color w:val="auto"/>
        </w:rPr>
      </w:pPr>
    </w:p>
    <w:p>
      <w:pPr>
        <w:ind w:left="960" w:right="8160" w:hanging="615"/>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Timothy A. Springer</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960" w:right="7780" w:hanging="615"/>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PF, WC</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06" w:lineRule="exact"/>
        <w:rPr>
          <w:rFonts w:ascii="Times New Roman" w:cs="Times New Roman" w:eastAsia="Times New Roman" w:hAnsi="Times New Roman"/>
          <w:sz w:val="18"/>
          <w:szCs w:val="18"/>
          <w:color w:val="auto"/>
        </w:rPr>
      </w:pPr>
    </w:p>
    <w:p>
      <w:pPr>
        <w:ind w:left="960" w:right="7640" w:hanging="615"/>
        <w:spacing w:after="0" w:line="27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40"/>
        </w:trPr>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8,833,106 shares</w:t>
            </w:r>
          </w:p>
        </w:tc>
        <w:tc>
          <w:tcPr>
            <w:tcW w:w="0" w:type="dxa"/>
            <w:vAlign w:val="bottom"/>
          </w:tcPr>
          <w:p>
            <w:pPr>
              <w:spacing w:after="0"/>
              <w:rPr>
                <w:sz w:val="1"/>
                <w:szCs w:val="1"/>
                <w:color w:val="auto"/>
              </w:rPr>
            </w:pPr>
          </w:p>
        </w:tc>
      </w:tr>
      <w:tr>
        <w:trPr>
          <w:trHeight w:val="120"/>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Borders>
              <w:right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Borders>
              <w:right w:val="single" w:sz="8" w:color="auto"/>
            </w:tcBorders>
          </w:tcPr>
          <w:p>
            <w:pPr>
              <w:spacing w:after="0"/>
              <w:rPr>
                <w:sz w:val="18"/>
                <w:szCs w:val="18"/>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8,833,106 shares</w:t>
            </w:r>
          </w:p>
        </w:tc>
        <w:tc>
          <w:tcPr>
            <w:tcW w:w="0" w:type="dxa"/>
            <w:vAlign w:val="bottom"/>
          </w:tcPr>
          <w:p>
            <w:pPr>
              <w:spacing w:after="0"/>
              <w:rPr>
                <w:sz w:val="1"/>
                <w:szCs w:val="1"/>
                <w:color w:val="auto"/>
              </w:rPr>
            </w:pPr>
          </w:p>
        </w:tc>
      </w:tr>
      <w:tr>
        <w:trPr>
          <w:trHeight w:val="61"/>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4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4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8,833,106 shares</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p>
    <w:p>
      <w:pPr>
        <w:spacing w:after="0" w:line="306"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36.3%</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577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90" w:lineRule="exact"/>
        <w:rPr>
          <w:sz w:val="20"/>
          <w:szCs w:val="20"/>
          <w:color w:val="auto"/>
        </w:rPr>
      </w:pPr>
    </w:p>
    <w:p>
      <w:pPr>
        <w:ind w:left="960" w:right="8160" w:hanging="615"/>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TAS Partners LLC</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06" w:lineRule="exact"/>
        <w:rPr>
          <w:rFonts w:ascii="Times New Roman" w:cs="Times New Roman" w:eastAsia="Times New Roman" w:hAnsi="Times New Roman"/>
          <w:sz w:val="18"/>
          <w:szCs w:val="18"/>
          <w:color w:val="auto"/>
        </w:rPr>
      </w:pPr>
    </w:p>
    <w:p>
      <w:pPr>
        <w:ind w:left="960" w:right="7640" w:hanging="615"/>
        <w:spacing w:after="0" w:line="27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40"/>
        </w:trPr>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2,816,031 shares</w:t>
            </w:r>
          </w:p>
        </w:tc>
        <w:tc>
          <w:tcPr>
            <w:tcW w:w="0" w:type="dxa"/>
            <w:vAlign w:val="bottom"/>
          </w:tcPr>
          <w:p>
            <w:pPr>
              <w:spacing w:after="0"/>
              <w:rPr>
                <w:sz w:val="1"/>
                <w:szCs w:val="1"/>
                <w:color w:val="auto"/>
              </w:rPr>
            </w:pPr>
          </w:p>
        </w:tc>
      </w:tr>
      <w:tr>
        <w:trPr>
          <w:trHeight w:val="120"/>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Borders>
              <w:right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Borders>
              <w:right w:val="single" w:sz="8" w:color="auto"/>
            </w:tcBorders>
          </w:tcPr>
          <w:p>
            <w:pPr>
              <w:spacing w:after="0"/>
              <w:rPr>
                <w:sz w:val="18"/>
                <w:szCs w:val="18"/>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2,816,031 shares</w:t>
            </w:r>
          </w:p>
        </w:tc>
        <w:tc>
          <w:tcPr>
            <w:tcW w:w="0" w:type="dxa"/>
            <w:vAlign w:val="bottom"/>
          </w:tcPr>
          <w:p>
            <w:pPr>
              <w:spacing w:after="0"/>
              <w:rPr>
                <w:sz w:val="1"/>
                <w:szCs w:val="1"/>
                <w:color w:val="auto"/>
              </w:rPr>
            </w:pPr>
          </w:p>
        </w:tc>
      </w:tr>
      <w:tr>
        <w:trPr>
          <w:trHeight w:val="61"/>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4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4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2,816,031 shares</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p>
    <w:p>
      <w:pPr>
        <w:spacing w:after="0" w:line="306"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11.6%</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577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90" w:lineRule="exact"/>
        <w:rPr>
          <w:sz w:val="20"/>
          <w:szCs w:val="20"/>
          <w:color w:val="auto"/>
        </w:rPr>
      </w:pPr>
    </w:p>
    <w:p>
      <w:pPr>
        <w:ind w:left="960" w:right="8160" w:hanging="615"/>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Chafen Lu</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06" w:lineRule="exact"/>
        <w:rPr>
          <w:rFonts w:ascii="Times New Roman" w:cs="Times New Roman" w:eastAsia="Times New Roman" w:hAnsi="Times New Roman"/>
          <w:sz w:val="18"/>
          <w:szCs w:val="18"/>
          <w:color w:val="auto"/>
        </w:rPr>
      </w:pPr>
    </w:p>
    <w:p>
      <w:pPr>
        <w:ind w:left="960" w:right="7640" w:hanging="615"/>
        <w:spacing w:after="0" w:line="27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40"/>
        </w:trPr>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4,800 shares</w:t>
            </w:r>
          </w:p>
        </w:tc>
        <w:tc>
          <w:tcPr>
            <w:tcW w:w="0" w:type="dxa"/>
            <w:vAlign w:val="bottom"/>
          </w:tcPr>
          <w:p>
            <w:pPr>
              <w:spacing w:after="0"/>
              <w:rPr>
                <w:sz w:val="1"/>
                <w:szCs w:val="1"/>
                <w:color w:val="auto"/>
              </w:rPr>
            </w:pPr>
          </w:p>
        </w:tc>
      </w:tr>
      <w:tr>
        <w:trPr>
          <w:trHeight w:val="120"/>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Borders>
              <w:right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Borders>
              <w:right w:val="single" w:sz="8" w:color="auto"/>
            </w:tcBorders>
          </w:tcPr>
          <w:p>
            <w:pPr>
              <w:spacing w:after="0"/>
              <w:rPr>
                <w:sz w:val="18"/>
                <w:szCs w:val="18"/>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4,800 shares</w:t>
            </w:r>
          </w:p>
        </w:tc>
        <w:tc>
          <w:tcPr>
            <w:tcW w:w="0" w:type="dxa"/>
            <w:vAlign w:val="bottom"/>
          </w:tcPr>
          <w:p>
            <w:pPr>
              <w:spacing w:after="0"/>
              <w:rPr>
                <w:sz w:val="1"/>
                <w:szCs w:val="1"/>
                <w:color w:val="auto"/>
              </w:rPr>
            </w:pPr>
          </w:p>
        </w:tc>
      </w:tr>
      <w:tr>
        <w:trPr>
          <w:trHeight w:val="61"/>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4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4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4,800 shares</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p>
    <w:p>
      <w:pPr>
        <w:spacing w:after="0" w:line="306"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0.0%</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5 of 9 Pages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Amendment No. 14 to the statement on Schedule 13D (this “Statement”) with respect to the shares of common stock, par value $0.0001 per share (the “Shares”), of Cartesian Therapeutics, Inc. (formerly known as Selecta Biosciences, Inc.), a Delaware corporation (the “Issuer”), originally filed by Timothy A. Springer (“Dr. Springer”), TAS Partners LLC (“TAS”), Chafen Lu (“Dr. Lu” and, collectively with Dr. Springer and TAS, the “Reporting Persons”) and Leukon Investments, LP (“Leukon”) filed on March 27, 2019, as amended by Amendment No. 1 filed on August 23, 2019, Amendment No. 2 filed on September 16, 2019, Amendment No. 3 filed on December 17, 2019, Amendment No. 4 filed on January 2, 2020, Amendment No. 5 filed on October 15, 2020, Amendment No. 6 filed on October 23, 2020, Amendment No. 7 filed on May 27, 2021, Amendment No. 8 filed on December 15, 2021, Amendment No. 9 filed on December 27, 2021, Amendment No. 10 filed on September 25, 2023, Amendment No. 11 filed on November 17, 2023, Amendment No. 12 filed on March 28, 2024 and Amendment No. 13 filed on April 12, 2024 (such statement and amendments, as further amended herein, the “Schedule 13D”), amends the Schedule 13D as set forth below.</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capitalized terms contained herein but not otherwise defined shall have the meanings ascribed to such terms in the Schedule 13D. Except as specifically amended by this Amendment No. 14, items in the Schedule 13D are unchanged.</w:t>
      </w:r>
    </w:p>
    <w:p>
      <w:pPr>
        <w:spacing w:after="0" w:line="16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auto"/>
        </w:rPr>
        <w:t>Source and Amount of Funds or Other Consideration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to be supplemented by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July 2024 Private Placement and Securities Purchase Agreement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July 2, 2024, the Issuer entered into a Securities Purchase Agreement (the “Securities Purchase Agreement”) with Dr. Springer, TAS, Dr. Lu and certain other institutional and accredited investors (the “Purchasers”) in a transaction exempt from the registration requirements of the Securities Act, in reliance on Section 4(a)(2) as a transaction not involving a public offering and/or Rule 506 of Regulation D thereunder.</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Pursuant to the Securities Purchase Agreement, the Company agreed to issue and sell an aggregate of 3,563,247 shares of Common Stock and 2,937,903 shares of Series B Preferred Stock (the “PIPE Securities”) for an aggregate purchase price of approximately $130.0 million (collectively, the “Financing”). Dr. Springer, TAS and Dr. Lu purchased 1,636,832, 721,361 and 1,307 shares of Series B Preferred Stock, respectively, for aggregate purchase prices of $32,736,640, $14,427,220 and $26,140, respectively. Each share of Series B Preferred Stock is convertible into one (1) share of Common Stock, as described below. The powers, preferences, rights, qualifications, limitations and restrictions applicable to the Series B Preferred Stock are set forth in the Certificate of Designation (furnished herewith on this Amendment No. 14 to the statement on Schedule 13D). Each of the Investors represented that it was an “accredited investor,” as defined in Regulation D, and was acquiring the PIPE Securities for investment only and not with a view towards, or for resale in connection with, the public sale or distribution thereof.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Financing occurred on July 3, 2024 (the “Closing Date”).</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summary of the Securities Purchase Agreement does not purport to be complete and is qualified in its entirety by reference to the full text of the Securities Purchase Agreement, a copy of which is filed as Exhibit 99.11 to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6 of 9 Pages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July 2, 2024, in connection with the Securities Purchase Agreement, the Company entered into a Registration Rights Agreement (the “Registration Rights Agreement”) with the holders of Common Stock and Series B Preferred Stock signatory thereto. Pursuant to the Registration Rights Agreement, the Company is required to prepare and file a resale registration statement with the SEC within 30 calendar days following the Closing Date with respect to the shares of Common Stock issued to the Purchasers pursuant to the Securities Purchase Agreement and the shares of Common Stock issuable upon conversion of the Series B Preferred Stock. The Company will use its commercially reasonable efforts to cause such registration statement to be declared effective by the SEC within 90 calendar days of the Closing Date.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also agreed to, among other things, indemnify the Purchasers of Common Stock and Series B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the Company’s obligations under the Registration Rights Agreement.</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summary of the Registration Rights Agreement does not purport to be complete and is qualified in its entirety by reference to the full text of the Registration Rights Agreement, a copy of which is filed as Exhibit 99.12 to this Schedule 13D.</w:t>
      </w:r>
    </w:p>
    <w:p>
      <w:pPr>
        <w:spacing w:after="0" w:line="16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u w:val="single" w:color="auto"/>
          <w:color w:val="auto"/>
        </w:rPr>
        <w:t>Interest in Securities of the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Schedule 13D is hereby amended and restated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3 and the cover page of the Schedule 13D is incorporated herein by reference into this Item 5.</w:t>
      </w:r>
    </w:p>
    <w:p>
      <w:pPr>
        <w:spacing w:after="0" w:line="225" w:lineRule="exact"/>
        <w:rPr>
          <w:sz w:val="20"/>
          <w:szCs w:val="20"/>
          <w:color w:val="auto"/>
        </w:rPr>
      </w:pPr>
    </w:p>
    <w:p>
      <w:pPr>
        <w:ind w:right="300" w:firstLine="8"/>
        <w:spacing w:after="0" w:line="261"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of beneficial ownership reported in this Item 5, and on each Reporting Person’s cover page to this Statement, are based on a total of 17,816,238 Shares issued and outstanding as of June 26, 2024, as reported on the Issuer’s Current Report on Form 8-K, dated July 2, 2024, plus (i) 3,563,247 Shares issued in the Financing and (ii) 2,937,903 Shares issuable upon the conversion of shares of Series B Preferred Stock issued in the Financing. All of the Share numbers reported below, and on each Reporting Person’s cover page to this Statement, are as of July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7 of 9 Pages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in the aggregate, beneficially own 8,833,106 Shares, representing approximately 36.3% of such class of securities.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Dr. Springer is the beneficial owner of a total of 8,833,106 Shares, representing approximately 36.3% of the outstanding Shares and consisting of (i) 4,373,966 Shares held directly, (ii) 1,636,832 Shares issuable upon conversion of shares of Series B Preferred Stock held directly, (iii) 1,477 Shares issuable upon exercise of outstanding options exercisable within 60 days of July 3, 2024, (iv) 1,927,630 Shares held by TAS, (v) 721,361 Shares issuable upon conversion of Series B Preferred Stock held by TAS, (vi) 167,040 Shares underlying warrants exercisable within 60 days of July 3, 2024 held by TAS, (vii) 3,493 Shares held by Dr. Lu and (viii) 1,307 Shares issuable upon conversion of Series B Preferred Stock held by Dr. Lu.</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TAS is the beneficial owner of a total of 2,816,031 Shares, representing approximately 11.6% of the outstanding Shares and consisting of (i) 1,927,630 Shares, (ii) 721,361 Shares issuable upon conversion of Series B Preferred Stock, and (iii) 167,040 Shares underlying warrants exercisable within 60 days of July 3, 2024. TAS holds all such Shares directly. Dr. Springer is the sole managing member of TAS.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Dr. Lu is the beneficial owner of a total of 4,800 Shares, representing approximately 0.0% of the outstanding Shares and consisting of (i) 3,493 Shares and (ii) 1,307 Shares issuable upon conversion of Series B Preferred Stock. Dr. Lu holds all such Shares directly. Dr. Lu is the spouse of Dr. Springer.</w:t>
      </w:r>
    </w:p>
    <w:p>
      <w:pPr>
        <w:spacing w:after="0" w:line="162" w:lineRule="exact"/>
        <w:rPr>
          <w:sz w:val="20"/>
          <w:szCs w:val="20"/>
          <w:color w:val="auto"/>
        </w:rPr>
      </w:pPr>
    </w:p>
    <w:p>
      <w:pPr>
        <w:ind w:right="240" w:firstLine="8"/>
        <w:spacing w:after="0" w:line="266"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75" w:lineRule="exact"/>
        <w:rPr>
          <w:rFonts w:ascii="Times New Roman" w:cs="Times New Roman" w:eastAsia="Times New Roman" w:hAnsi="Times New Roman"/>
          <w:sz w:val="18"/>
          <w:szCs w:val="18"/>
          <w:color w:val="auto"/>
        </w:rPr>
      </w:pPr>
    </w:p>
    <w:p>
      <w:pPr>
        <w:ind w:right="560" w:firstLine="8"/>
        <w:spacing w:after="0" w:line="282"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not engaged in any transactions with respect to the Shares during the 60 days before the date of this filing, except as described herein and in Item 3 of Schedule 13D.</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the Shares.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8 of 9 Pages</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u w:val="single" w:color="auto"/>
          <w:color w:val="auto"/>
        </w:rPr>
        <w:t>Material to be Filed as Exhibits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of the Schedule 13D is hereby amended to be supplemented by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060" w:type="dxa"/>
            <w:vAlign w:val="bottom"/>
            <w:tcBorders>
              <w:bottom w:val="single" w:sz="8" w:color="auto"/>
            </w:tcBorders>
            <w:gridSpan w:val="7"/>
          </w:tcPr>
          <w:p>
            <w:pPr>
              <w:ind w:left="178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99.10</w:t>
            </w:r>
          </w:p>
        </w:tc>
        <w:tc>
          <w:tcPr>
            <w:tcW w:w="100" w:type="dxa"/>
            <w:vAlign w:val="bottom"/>
            <w:shd w:val="clear" w:color="auto" w:fill="CCEEFF"/>
          </w:tcPr>
          <w:p>
            <w:pPr>
              <w:spacing w:after="0"/>
              <w:rPr>
                <w:sz w:val="15"/>
                <w:szCs w:val="15"/>
                <w:color w:val="auto"/>
              </w:rPr>
            </w:pPr>
          </w:p>
        </w:tc>
        <w:tc>
          <w:tcPr>
            <w:tcW w:w="10000" w:type="dxa"/>
            <w:vAlign w:val="bottom"/>
            <w:gridSpan w:val="9"/>
            <w:shd w:val="clear" w:color="auto" w:fill="CCEEFF"/>
          </w:tcPr>
          <w:p>
            <w:pPr>
              <w:ind w:left="20"/>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Certificate of Designation of Series B Non-Voting Convertible Preferred Stock (incorporated by reference to Exhibit 3.1 to the Current</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700" w:type="dxa"/>
            <w:vAlign w:val="bottom"/>
            <w:tcBorders>
              <w:top w:val="single" w:sz="8" w:color="0000EE"/>
            </w:tcBorders>
            <w:gridSpan w:val="6"/>
            <w:shd w:val="clear" w:color="auto" w:fill="CCEEFF"/>
          </w:tcPr>
          <w:p>
            <w:pPr>
              <w:ind w:left="20"/>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Report on Form 8-K filed by the Issuer with the Securities and Exchange Commission on July 2, 2024).</w:t>
              </w:r>
            </w:hyperlink>
          </w:p>
        </w:tc>
        <w:tc>
          <w:tcPr>
            <w:tcW w:w="300" w:type="dxa"/>
            <w:vAlign w:val="bottom"/>
            <w:tcBorders>
              <w:top w:val="single" w:sz="8" w:color="CCEEFF"/>
            </w:tcBorders>
            <w:gridSpan w:val="3"/>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540" w:type="dxa"/>
            <w:vAlign w:val="bottom"/>
            <w:tcBorders>
              <w:top w:val="single" w:sz="8" w:color="0000EE"/>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99.11</w:t>
            </w:r>
          </w:p>
        </w:tc>
        <w:tc>
          <w:tcPr>
            <w:tcW w:w="10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7"/>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Securities Purchase Agreement, dated July 2, 2024, by and between Cartesian Therapeutics, Inc. and each purchaser identified on Annex</w:t>
              </w:r>
            </w:hyperlink>
          </w:p>
        </w:tc>
        <w:tc>
          <w:tcPr>
            <w:tcW w:w="140" w:type="dxa"/>
            <w:vAlign w:val="bottom"/>
            <w:tcBorders>
              <w:bottom w:val="single" w:sz="8" w:color="CCEEFF"/>
            </w:tcBorders>
            <w:gridSpan w:val="2"/>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 thereto (incorporated by reference to Exhibit 10.1 to the Current Report on Form 8-K filed by the Issuer with the Securities and</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340" w:type="dxa"/>
            <w:vAlign w:val="bottom"/>
            <w:tcBorders>
              <w:top w:val="single" w:sz="8" w:color="0000EE"/>
            </w:tcBorders>
            <w:gridSpan w:val="4"/>
            <w:shd w:val="clear" w:color="auto" w:fill="CCEEFF"/>
          </w:tcPr>
          <w:p>
            <w:pPr>
              <w:ind w:left="20"/>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Exchange Commission on July 2, 2024).</w:t>
              </w:r>
            </w:hyperlink>
          </w:p>
        </w:tc>
        <w:tc>
          <w:tcPr>
            <w:tcW w:w="66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99.12</w:t>
            </w:r>
          </w:p>
        </w:tc>
        <w:tc>
          <w:tcPr>
            <w:tcW w:w="100" w:type="dxa"/>
            <w:vAlign w:val="bottom"/>
            <w:shd w:val="clear" w:color="auto" w:fill="CCEEFF"/>
          </w:tcPr>
          <w:p>
            <w:pPr>
              <w:spacing w:after="0"/>
              <w:rPr>
                <w:sz w:val="15"/>
                <w:szCs w:val="15"/>
                <w:color w:val="auto"/>
              </w:rPr>
            </w:pPr>
          </w:p>
        </w:tc>
        <w:tc>
          <w:tcPr>
            <w:tcW w:w="10000" w:type="dxa"/>
            <w:vAlign w:val="bottom"/>
            <w:gridSpan w:val="9"/>
            <w:shd w:val="clear" w:color="auto" w:fill="CCEEFF"/>
          </w:tcPr>
          <w:p>
            <w:pPr>
              <w:ind w:left="20"/>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Registration Rights Agreement, dated July 2, 2024, by and among Cartesian Therapeutics, Inc. and the Purchasers named therein</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920" w:type="dxa"/>
            <w:vAlign w:val="bottom"/>
            <w:tcBorders>
              <w:top w:val="single" w:sz="8" w:color="0000EE"/>
            </w:tcBorders>
            <w:gridSpan w:val="8"/>
            <w:shd w:val="clear" w:color="auto" w:fill="CCEEFF"/>
          </w:tcPr>
          <w:p>
            <w:pPr>
              <w:ind w:left="20"/>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(incorporated by reference to Exhibit 10.2 to the Current Report on Form 8-K filed by the Issuer with the Securities and Exchange</w:t>
              </w:r>
            </w:hyperlink>
          </w:p>
        </w:tc>
        <w:tc>
          <w:tcPr>
            <w:tcW w:w="80" w:type="dxa"/>
            <w:vAlign w:val="bottom"/>
            <w:tcBorders>
              <w:top w:val="single" w:sz="8" w:color="CCEEFF"/>
            </w:tcBorders>
            <w:shd w:val="clear" w:color="auto" w:fill="CCEEFF"/>
          </w:tcPr>
          <w:p>
            <w:pPr>
              <w:spacing w:after="0"/>
              <w:rPr>
                <w:sz w:val="17"/>
                <w:szCs w:val="17"/>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380" w:type="dxa"/>
            <w:vAlign w:val="bottom"/>
            <w:tcBorders>
              <w:top w:val="single" w:sz="8" w:color="0000EE"/>
            </w:tcBorders>
            <w:gridSpan w:val="5"/>
            <w:shd w:val="clear" w:color="auto" w:fill="CCEEFF"/>
          </w:tcPr>
          <w:p>
            <w:pPr>
              <w:ind w:left="20"/>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Commission on July 2, 2024).</w:t>
              </w:r>
            </w:hyperlink>
          </w:p>
        </w:tc>
        <w:tc>
          <w:tcPr>
            <w:tcW w:w="620" w:type="dxa"/>
            <w:vAlign w:val="bottom"/>
            <w:tcBorders>
              <w:top w:val="single" w:sz="8" w:color="CCEEFF"/>
            </w:tcBorders>
            <w:gridSpan w:val="4"/>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9 of 9 Pages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5,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Chafen Lu</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A. Springer</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Timothy A. Springer</w:t>
            </w:r>
          </w:p>
        </w:tc>
      </w:tr>
      <w:tr>
        <w:trPr>
          <w:trHeight w:val="23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682"/>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2" Type="http://schemas.openxmlformats.org/officeDocument/2006/relationships/hyperlink" Target="http://www.sec.gov/Archives/edgar/data/1453687/000114036124032080/ef20031962_ex3-1.htm" TargetMode="External"/><Relationship Id="rId23" Type="http://schemas.openxmlformats.org/officeDocument/2006/relationships/hyperlink" Target="http://www.sec.gov/Archives/edgar/data/1453687/000114036124032080/ef20031962_ex10-1.htm" TargetMode="External"/><Relationship Id="rId24" Type="http://schemas.openxmlformats.org/officeDocument/2006/relationships/hyperlink" Target="http://www.sec.gov/Archives/edgar/data/1453687/000114036124032080/ef2003196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2024-07-05T15:19:33Z</dcterms:created>
  <dcterms:modified xsi:type="dcterms:W3CDTF">2024-07-05T15:19:33Z</dcterms:modified>
</cp:coreProperties>
</file>