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13D</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Selecta Biosciences,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$0.0001 par value per share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(Title of Class of Securities)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816212104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(CUSIP Number)</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 Peter Strand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Michael K. Bradshaw, Jr.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Nelson Mullins Riley &amp; Scarborough LLP</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101 Constitution Avenue NW, Suite 900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20001</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Tel: (202) 689-2800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Fax: (202) 689-2860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Address and Telephone Number of Person Authorized to Receive Notices and Communications)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15, 2021</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11" w:lineRule="exact"/>
        <w:rPr>
          <w:sz w:val="24"/>
          <w:szCs w:val="24"/>
          <w:color w:val="auto"/>
        </w:rPr>
      </w:pPr>
    </w:p>
    <w:p>
      <w:pPr>
        <w:ind w:right="38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78"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§240.13d-7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sent.</w:t>
      </w:r>
    </w:p>
    <w:p>
      <w:pPr>
        <w:spacing w:after="0" w:line="166" w:lineRule="exact"/>
        <w:rPr>
          <w:sz w:val="24"/>
          <w:szCs w:val="24"/>
          <w:color w:val="auto"/>
        </w:rPr>
      </w:pPr>
    </w:p>
    <w:p>
      <w:pPr>
        <w:ind w:left="340" w:right="6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16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1" w:name="page2"/>
    <w:bookmarkEnd w:id="1"/>
    <w:p>
      <w:pPr>
        <w:spacing w:after="0"/>
        <w:tabs>
          <w:tab w:leader="none" w:pos="5460" w:val="left"/>
          <w:tab w:leader="none" w:pos="9900" w:val="left"/>
        </w:tabs>
        <w:rPr>
          <w:sz w:val="20"/>
          <w:szCs w:val="20"/>
          <w:color w:val="auto"/>
        </w:rPr>
      </w:pPr>
      <w:r>
        <w:rPr>
          <w:rFonts w:ascii="Arial" w:cs="Arial" w:eastAsia="Arial" w:hAnsi="Arial"/>
          <w:sz w:val="18"/>
          <w:szCs w:val="18"/>
          <w:b w:val="1"/>
          <w:bCs w:val="1"/>
          <w:color w:val="auto"/>
        </w:rPr>
        <w:t>CUSIP No</w:t>
      </w:r>
      <w:r>
        <w:rPr>
          <w:rFonts w:ascii="Arial" w:cs="Arial" w:eastAsia="Arial" w:hAnsi="Arial"/>
          <w:sz w:val="18"/>
          <w:szCs w:val="18"/>
          <w:color w:val="auto"/>
        </w:rPr>
        <w:t>.</w:t>
      </w:r>
      <w:r>
        <w:rPr>
          <w:rFonts w:ascii="Arial" w:cs="Arial" w:eastAsia="Arial" w:hAnsi="Arial"/>
          <w:sz w:val="18"/>
          <w:szCs w:val="18"/>
          <w:b w:val="1"/>
          <w:bCs w:val="1"/>
          <w:color w:val="auto"/>
        </w:rPr>
        <w:t xml:space="preserve"> 816212104</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5"/>
          <w:szCs w:val="15"/>
          <w:b w:val="1"/>
          <w:bCs w:val="1"/>
          <w:color w:val="auto"/>
        </w:rPr>
        <w:t>Page 2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6462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646295"/>
                    </a:xfrm>
                    <a:prstGeom prst="rect">
                      <a:avLst/>
                    </a:prstGeom>
                    <a:noFill/>
                  </pic:spPr>
                </pic:pic>
              </a:graphicData>
            </a:graphic>
          </wp:anchor>
        </w:drawing>
      </w:r>
    </w:p>
    <w:p>
      <w:pPr>
        <w:spacing w:after="0" w:line="290" w:lineRule="exact"/>
        <w:rPr>
          <w:sz w:val="20"/>
          <w:szCs w:val="20"/>
          <w:color w:val="auto"/>
        </w:rPr>
      </w:pPr>
    </w:p>
    <w:p>
      <w:pPr>
        <w:ind w:left="540" w:right="8600" w:hanging="417"/>
        <w:spacing w:after="0" w:line="342" w:lineRule="auto"/>
        <w:tabs>
          <w:tab w:leader="none" w:pos="540" w:val="left"/>
        </w:tabs>
        <w:numPr>
          <w:ilvl w:val="0"/>
          <w:numId w:val="2"/>
        </w:numPr>
        <w:rPr>
          <w:rFonts w:ascii="Arial" w:cs="Arial" w:eastAsia="Arial" w:hAnsi="Arial"/>
          <w:sz w:val="16"/>
          <w:szCs w:val="16"/>
          <w:color w:val="auto"/>
        </w:rPr>
      </w:pPr>
      <w:r>
        <w:rPr>
          <w:rFonts w:ascii="Arial" w:cs="Arial" w:eastAsia="Arial" w:hAnsi="Arial"/>
          <w:sz w:val="16"/>
          <w:szCs w:val="16"/>
          <w:color w:val="auto"/>
        </w:rPr>
        <w:t>Names of Reporting Persons. Timothy A. Springer</w:t>
      </w:r>
    </w:p>
    <w:p>
      <w:pPr>
        <w:spacing w:after="0" w:line="42" w:lineRule="exact"/>
        <w:rPr>
          <w:rFonts w:ascii="Arial" w:cs="Arial" w:eastAsia="Arial" w:hAnsi="Arial"/>
          <w:sz w:val="16"/>
          <w:szCs w:val="16"/>
          <w:color w:val="auto"/>
        </w:rPr>
      </w:pPr>
    </w:p>
    <w:p>
      <w:pPr>
        <w:ind w:left="540" w:hanging="417"/>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54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129" w:lineRule="exact"/>
        <w:rPr>
          <w:rFonts w:ascii="Arial" w:cs="Arial" w:eastAsia="Arial" w:hAnsi="Arial"/>
          <w:sz w:val="18"/>
          <w:szCs w:val="18"/>
          <w:color w:val="auto"/>
        </w:rPr>
      </w:pPr>
    </w:p>
    <w:p>
      <w:pPr>
        <w:ind w:left="540" w:hanging="417"/>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44" w:lineRule="exact"/>
        <w:rPr>
          <w:rFonts w:ascii="Arial" w:cs="Arial" w:eastAsia="Arial" w:hAnsi="Arial"/>
          <w:sz w:val="18"/>
          <w:szCs w:val="18"/>
          <w:color w:val="auto"/>
        </w:rPr>
      </w:pPr>
    </w:p>
    <w:p>
      <w:pPr>
        <w:ind w:left="540" w:hanging="417"/>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PF</w:t>
      </w:r>
    </w:p>
    <w:p>
      <w:pPr>
        <w:spacing w:after="0" w:line="129" w:lineRule="exact"/>
        <w:rPr>
          <w:rFonts w:ascii="Arial" w:cs="Arial" w:eastAsia="Arial" w:hAnsi="Arial"/>
          <w:sz w:val="18"/>
          <w:szCs w:val="18"/>
          <w:color w:val="auto"/>
        </w:rPr>
      </w:pPr>
    </w:p>
    <w:p>
      <w:pPr>
        <w:ind w:left="540" w:hanging="417"/>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144" w:lineRule="exact"/>
        <w:rPr>
          <w:rFonts w:ascii="Arial" w:cs="Arial" w:eastAsia="Arial" w:hAnsi="Arial"/>
          <w:sz w:val="18"/>
          <w:szCs w:val="18"/>
          <w:color w:val="auto"/>
        </w:rPr>
      </w:pPr>
    </w:p>
    <w:p>
      <w:pPr>
        <w:ind w:left="540" w:right="8080" w:hanging="417"/>
        <w:spacing w:after="0" w:line="277" w:lineRule="auto"/>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w:t>
      </w:r>
    </w:p>
    <w:p>
      <w:pPr>
        <w:spacing w:after="0" w:line="89" w:lineRule="exact"/>
        <w:rPr>
          <w:sz w:val="20"/>
          <w:szCs w:val="20"/>
          <w:color w:val="auto"/>
        </w:rPr>
      </w:pPr>
    </w:p>
    <w:tbl>
      <w:tblPr>
        <w:tblLayout w:type="fixed"/>
        <w:tblInd w:w="420" w:type="dxa"/>
        <w:tblCellMar>
          <w:top w:w="0" w:type="dxa"/>
          <w:left w:w="0" w:type="dxa"/>
          <w:bottom w:w="0" w:type="dxa"/>
          <w:right w:w="0" w:type="dxa"/>
        </w:tblCellMar>
      </w:tblPr>
      <w:tr>
        <w:trPr>
          <w:trHeight w:val="216"/>
        </w:trPr>
        <w:tc>
          <w:tcPr>
            <w:tcW w:w="1260" w:type="dxa"/>
            <w:vAlign w:val="bottom"/>
            <w:vMerge w:val="restart"/>
          </w:tcPr>
          <w:p>
            <w:pPr>
              <w:jc w:val="center"/>
              <w:ind w:right="290"/>
              <w:spacing w:after="0"/>
              <w:rPr>
                <w:sz w:val="20"/>
                <w:szCs w:val="20"/>
                <w:color w:val="auto"/>
              </w:rPr>
            </w:pPr>
            <w:r>
              <w:rPr>
                <w:rFonts w:ascii="Arial" w:cs="Arial" w:eastAsia="Arial" w:hAnsi="Arial"/>
                <w:sz w:val="18"/>
                <w:szCs w:val="18"/>
                <w:color w:val="auto"/>
                <w:w w:val="95"/>
              </w:rPr>
              <w:t>Number of</w:t>
            </w:r>
          </w:p>
        </w:tc>
        <w:tc>
          <w:tcPr>
            <w:tcW w:w="520" w:type="dxa"/>
            <w:vAlign w:val="bottom"/>
          </w:tcPr>
          <w:p>
            <w:pPr>
              <w:jc w:val="center"/>
              <w:spacing w:after="0"/>
              <w:rPr>
                <w:sz w:val="20"/>
                <w:szCs w:val="20"/>
                <w:color w:val="auto"/>
              </w:rPr>
            </w:pPr>
            <w:r>
              <w:rPr>
                <w:rFonts w:ascii="Arial" w:cs="Arial" w:eastAsia="Arial" w:hAnsi="Arial"/>
                <w:sz w:val="18"/>
                <w:szCs w:val="18"/>
                <w:color w:val="auto"/>
                <w:w w:val="92"/>
              </w:rPr>
              <w:t>7.</w:t>
            </w:r>
          </w:p>
        </w:tc>
        <w:tc>
          <w:tcPr>
            <w:tcW w:w="9040" w:type="dxa"/>
            <w:vAlign w:val="bottom"/>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03"/>
        </w:trPr>
        <w:tc>
          <w:tcPr>
            <w:tcW w:w="126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9040" w:type="dxa"/>
            <w:vAlign w:val="bottom"/>
          </w:tcPr>
          <w:p>
            <w:pPr>
              <w:ind w:left="120"/>
              <w:spacing w:after="0" w:line="202" w:lineRule="exact"/>
              <w:rPr>
                <w:sz w:val="20"/>
                <w:szCs w:val="20"/>
                <w:color w:val="auto"/>
              </w:rPr>
            </w:pPr>
            <w:r>
              <w:rPr>
                <w:rFonts w:ascii="Arial" w:cs="Arial" w:eastAsia="Arial" w:hAnsi="Arial"/>
                <w:sz w:val="18"/>
                <w:szCs w:val="18"/>
                <w:color w:val="auto"/>
              </w:rPr>
              <w:t>32,662,916 shares</w:t>
            </w:r>
          </w:p>
        </w:tc>
        <w:tc>
          <w:tcPr>
            <w:tcW w:w="0" w:type="dxa"/>
            <w:vAlign w:val="bottom"/>
          </w:tcPr>
          <w:p>
            <w:pPr>
              <w:spacing w:after="0"/>
              <w:rPr>
                <w:sz w:val="1"/>
                <w:szCs w:val="1"/>
                <w:color w:val="auto"/>
              </w:rPr>
            </w:pPr>
          </w:p>
        </w:tc>
      </w:tr>
      <w:tr>
        <w:trPr>
          <w:trHeight w:val="89"/>
        </w:trPr>
        <w:tc>
          <w:tcPr>
            <w:tcW w:w="1260" w:type="dxa"/>
            <w:vAlign w:val="bottom"/>
            <w:vMerge w:val="restart"/>
          </w:tcPr>
          <w:p>
            <w:pPr>
              <w:jc w:val="center"/>
              <w:ind w:right="290"/>
              <w:spacing w:after="0"/>
              <w:rPr>
                <w:sz w:val="20"/>
                <w:szCs w:val="20"/>
                <w:color w:val="auto"/>
              </w:rPr>
            </w:pPr>
            <w:r>
              <w:rPr>
                <w:rFonts w:ascii="Arial" w:cs="Arial" w:eastAsia="Arial" w:hAnsi="Arial"/>
                <w:sz w:val="18"/>
                <w:szCs w:val="18"/>
                <w:color w:val="auto"/>
                <w:w w:val="84"/>
              </w:rPr>
              <w:t>Shares</w:t>
            </w:r>
          </w:p>
        </w:tc>
        <w:tc>
          <w:tcPr>
            <w:tcW w:w="520" w:type="dxa"/>
            <w:vAlign w:val="bottom"/>
            <w:tcBorders>
              <w:bottom w:val="single" w:sz="8" w:color="auto"/>
            </w:tcBorders>
          </w:tcPr>
          <w:p>
            <w:pPr>
              <w:spacing w:after="0"/>
              <w:rPr>
                <w:sz w:val="7"/>
                <w:szCs w:val="7"/>
                <w:color w:val="auto"/>
              </w:rPr>
            </w:pPr>
          </w:p>
        </w:tc>
        <w:tc>
          <w:tcPr>
            <w:tcW w:w="9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260" w:type="dxa"/>
            <w:vAlign w:val="bottom"/>
            <w:vMerge w:val="continue"/>
          </w:tcPr>
          <w:p>
            <w:pPr>
              <w:spacing w:after="0"/>
              <w:rPr>
                <w:sz w:val="9"/>
                <w:szCs w:val="9"/>
                <w:color w:val="auto"/>
              </w:rPr>
            </w:pPr>
          </w:p>
        </w:tc>
        <w:tc>
          <w:tcPr>
            <w:tcW w:w="520" w:type="dxa"/>
            <w:vAlign w:val="bottom"/>
            <w:vMerge w:val="restart"/>
          </w:tcPr>
          <w:p>
            <w:pPr>
              <w:jc w:val="center"/>
              <w:spacing w:after="0"/>
              <w:rPr>
                <w:sz w:val="20"/>
                <w:szCs w:val="20"/>
                <w:color w:val="auto"/>
              </w:rPr>
            </w:pPr>
            <w:r>
              <w:rPr>
                <w:rFonts w:ascii="Arial" w:cs="Arial" w:eastAsia="Arial" w:hAnsi="Arial"/>
                <w:sz w:val="18"/>
                <w:szCs w:val="18"/>
                <w:color w:val="auto"/>
                <w:w w:val="92"/>
              </w:rPr>
              <w:t>8.</w:t>
            </w:r>
          </w:p>
        </w:tc>
        <w:tc>
          <w:tcPr>
            <w:tcW w:w="9040" w:type="dxa"/>
            <w:vAlign w:val="bottom"/>
            <w:vMerge w:val="restart"/>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49"/>
        </w:trPr>
        <w:tc>
          <w:tcPr>
            <w:tcW w:w="1260" w:type="dxa"/>
            <w:vAlign w:val="bottom"/>
            <w:vMerge w:val="restart"/>
          </w:tcPr>
          <w:p>
            <w:pPr>
              <w:jc w:val="center"/>
              <w:ind w:right="290"/>
              <w:spacing w:after="0"/>
              <w:rPr>
                <w:sz w:val="20"/>
                <w:szCs w:val="20"/>
                <w:color w:val="auto"/>
              </w:rPr>
            </w:pPr>
            <w:r>
              <w:rPr>
                <w:rFonts w:ascii="Arial" w:cs="Arial" w:eastAsia="Arial" w:hAnsi="Arial"/>
                <w:sz w:val="18"/>
                <w:szCs w:val="18"/>
                <w:color w:val="auto"/>
                <w:w w:val="96"/>
              </w:rPr>
              <w:t>Beneficially</w:t>
            </w:r>
          </w:p>
        </w:tc>
        <w:tc>
          <w:tcPr>
            <w:tcW w:w="520" w:type="dxa"/>
            <w:vAlign w:val="bottom"/>
            <w:vMerge w:val="continue"/>
          </w:tcPr>
          <w:p>
            <w:pPr>
              <w:spacing w:after="0"/>
              <w:rPr>
                <w:sz w:val="12"/>
                <w:szCs w:val="12"/>
                <w:color w:val="auto"/>
              </w:rPr>
            </w:pPr>
          </w:p>
        </w:tc>
        <w:tc>
          <w:tcPr>
            <w:tcW w:w="9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2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9040" w:type="dxa"/>
            <w:vAlign w:val="bottom"/>
            <w:vMerge w:val="restart"/>
          </w:tcPr>
          <w:p>
            <w:pPr>
              <w:ind w:left="12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163"/>
        </w:trPr>
        <w:tc>
          <w:tcPr>
            <w:tcW w:w="1260" w:type="dxa"/>
            <w:vAlign w:val="bottom"/>
            <w:vMerge w:val="restart"/>
          </w:tcPr>
          <w:p>
            <w:pPr>
              <w:jc w:val="center"/>
              <w:ind w:right="290"/>
              <w:spacing w:after="0"/>
              <w:rPr>
                <w:sz w:val="20"/>
                <w:szCs w:val="20"/>
                <w:color w:val="auto"/>
              </w:rPr>
            </w:pPr>
            <w:r>
              <w:rPr>
                <w:rFonts w:ascii="Arial" w:cs="Arial" w:eastAsia="Arial" w:hAnsi="Arial"/>
                <w:sz w:val="18"/>
                <w:szCs w:val="18"/>
                <w:color w:val="auto"/>
                <w:w w:val="93"/>
              </w:rPr>
              <w:t>Owned by</w:t>
            </w:r>
          </w:p>
        </w:tc>
        <w:tc>
          <w:tcPr>
            <w:tcW w:w="520" w:type="dxa"/>
            <w:vAlign w:val="bottom"/>
          </w:tcPr>
          <w:p>
            <w:pPr>
              <w:spacing w:after="0"/>
              <w:rPr>
                <w:sz w:val="14"/>
                <w:szCs w:val="14"/>
                <w:color w:val="auto"/>
              </w:rPr>
            </w:pPr>
          </w:p>
        </w:tc>
        <w:tc>
          <w:tcPr>
            <w:tcW w:w="9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1260" w:type="dxa"/>
            <w:vAlign w:val="bottom"/>
            <w:vMerge w:val="continue"/>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1260" w:type="dxa"/>
            <w:vAlign w:val="bottom"/>
          </w:tcPr>
          <w:p>
            <w:pPr>
              <w:jc w:val="center"/>
              <w:ind w:right="290"/>
              <w:spacing w:after="0" w:line="189" w:lineRule="exact"/>
              <w:rPr>
                <w:sz w:val="20"/>
                <w:szCs w:val="20"/>
                <w:color w:val="auto"/>
              </w:rPr>
            </w:pPr>
            <w:r>
              <w:rPr>
                <w:rFonts w:ascii="Arial" w:cs="Arial" w:eastAsia="Arial" w:hAnsi="Arial"/>
                <w:sz w:val="18"/>
                <w:szCs w:val="18"/>
                <w:color w:val="auto"/>
                <w:w w:val="87"/>
              </w:rPr>
              <w:t>Each</w:t>
            </w:r>
          </w:p>
        </w:tc>
        <w:tc>
          <w:tcPr>
            <w:tcW w:w="520" w:type="dxa"/>
            <w:vAlign w:val="bottom"/>
            <w:vMerge w:val="restart"/>
          </w:tcPr>
          <w:p>
            <w:pPr>
              <w:jc w:val="center"/>
              <w:spacing w:after="0"/>
              <w:rPr>
                <w:sz w:val="20"/>
                <w:szCs w:val="20"/>
                <w:color w:val="auto"/>
              </w:rPr>
            </w:pPr>
            <w:r>
              <w:rPr>
                <w:rFonts w:ascii="Arial" w:cs="Arial" w:eastAsia="Arial" w:hAnsi="Arial"/>
                <w:sz w:val="18"/>
                <w:szCs w:val="18"/>
                <w:color w:val="auto"/>
                <w:w w:val="92"/>
              </w:rPr>
              <w:t>9.</w:t>
            </w:r>
          </w:p>
        </w:tc>
        <w:tc>
          <w:tcPr>
            <w:tcW w:w="9040" w:type="dxa"/>
            <w:vAlign w:val="bottom"/>
            <w:vMerge w:val="restart"/>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68"/>
        </w:trPr>
        <w:tc>
          <w:tcPr>
            <w:tcW w:w="1260" w:type="dxa"/>
            <w:vAlign w:val="bottom"/>
            <w:vMerge w:val="restart"/>
          </w:tcPr>
          <w:p>
            <w:pPr>
              <w:jc w:val="center"/>
              <w:ind w:right="290"/>
              <w:spacing w:after="0"/>
              <w:rPr>
                <w:sz w:val="20"/>
                <w:szCs w:val="20"/>
                <w:color w:val="auto"/>
              </w:rPr>
            </w:pPr>
            <w:r>
              <w:rPr>
                <w:rFonts w:ascii="Arial" w:cs="Arial" w:eastAsia="Arial" w:hAnsi="Arial"/>
                <w:sz w:val="18"/>
                <w:szCs w:val="18"/>
                <w:color w:val="auto"/>
                <w:w w:val="92"/>
              </w:rPr>
              <w:t>Reporting</w:t>
            </w:r>
          </w:p>
        </w:tc>
        <w:tc>
          <w:tcPr>
            <w:tcW w:w="520" w:type="dxa"/>
            <w:vAlign w:val="bottom"/>
            <w:vMerge w:val="continue"/>
          </w:tcPr>
          <w:p>
            <w:pPr>
              <w:spacing w:after="0"/>
              <w:rPr>
                <w:sz w:val="5"/>
                <w:szCs w:val="5"/>
                <w:color w:val="auto"/>
              </w:rPr>
            </w:pPr>
          </w:p>
        </w:tc>
        <w:tc>
          <w:tcPr>
            <w:tcW w:w="9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26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9040" w:type="dxa"/>
            <w:vAlign w:val="bottom"/>
            <w:vMerge w:val="restart"/>
          </w:tcPr>
          <w:p>
            <w:pPr>
              <w:ind w:left="120"/>
              <w:spacing w:after="0"/>
              <w:rPr>
                <w:sz w:val="20"/>
                <w:szCs w:val="20"/>
                <w:color w:val="auto"/>
              </w:rPr>
            </w:pPr>
            <w:r>
              <w:rPr>
                <w:rFonts w:ascii="Arial" w:cs="Arial" w:eastAsia="Arial" w:hAnsi="Arial"/>
                <w:sz w:val="18"/>
                <w:szCs w:val="18"/>
                <w:color w:val="auto"/>
              </w:rPr>
              <w:t>32,662,916 shares</w:t>
            </w:r>
          </w:p>
        </w:tc>
        <w:tc>
          <w:tcPr>
            <w:tcW w:w="0" w:type="dxa"/>
            <w:vAlign w:val="bottom"/>
          </w:tcPr>
          <w:p>
            <w:pPr>
              <w:spacing w:after="0"/>
              <w:rPr>
                <w:sz w:val="1"/>
                <w:szCs w:val="1"/>
                <w:color w:val="auto"/>
              </w:rPr>
            </w:pPr>
          </w:p>
        </w:tc>
      </w:tr>
      <w:tr>
        <w:trPr>
          <w:trHeight w:val="82"/>
        </w:trPr>
        <w:tc>
          <w:tcPr>
            <w:tcW w:w="1260" w:type="dxa"/>
            <w:vAlign w:val="bottom"/>
            <w:vMerge w:val="restart"/>
          </w:tcPr>
          <w:p>
            <w:pPr>
              <w:jc w:val="center"/>
              <w:ind w:right="290"/>
              <w:spacing w:after="0"/>
              <w:rPr>
                <w:sz w:val="20"/>
                <w:szCs w:val="20"/>
                <w:color w:val="auto"/>
              </w:rPr>
            </w:pPr>
            <w:r>
              <w:rPr>
                <w:rFonts w:ascii="Arial" w:cs="Arial" w:eastAsia="Arial" w:hAnsi="Arial"/>
                <w:sz w:val="18"/>
                <w:szCs w:val="18"/>
                <w:color w:val="auto"/>
                <w:w w:val="84"/>
              </w:rPr>
              <w:t>Person</w:t>
            </w:r>
          </w:p>
        </w:tc>
        <w:tc>
          <w:tcPr>
            <w:tcW w:w="520" w:type="dxa"/>
            <w:vAlign w:val="bottom"/>
          </w:tcPr>
          <w:p>
            <w:pPr>
              <w:spacing w:after="0"/>
              <w:rPr>
                <w:sz w:val="7"/>
                <w:szCs w:val="7"/>
                <w:color w:val="auto"/>
              </w:rPr>
            </w:pPr>
          </w:p>
        </w:tc>
        <w:tc>
          <w:tcPr>
            <w:tcW w:w="9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260" w:type="dxa"/>
            <w:vAlign w:val="bottom"/>
            <w:vMerge w:val="continue"/>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3"/>
        </w:trPr>
        <w:tc>
          <w:tcPr>
            <w:tcW w:w="1260" w:type="dxa"/>
            <w:vAlign w:val="bottom"/>
            <w:vMerge w:val="continue"/>
          </w:tcPr>
          <w:p>
            <w:pPr>
              <w:spacing w:after="0"/>
              <w:rPr>
                <w:sz w:val="4"/>
                <w:szCs w:val="4"/>
                <w:color w:val="auto"/>
              </w:rPr>
            </w:pPr>
          </w:p>
        </w:tc>
        <w:tc>
          <w:tcPr>
            <w:tcW w:w="520" w:type="dxa"/>
            <w:vAlign w:val="bottom"/>
            <w:vMerge w:val="restart"/>
          </w:tcPr>
          <w:p>
            <w:pPr>
              <w:jc w:val="center"/>
              <w:spacing w:after="0"/>
              <w:rPr>
                <w:sz w:val="20"/>
                <w:szCs w:val="20"/>
                <w:color w:val="auto"/>
              </w:rPr>
            </w:pPr>
            <w:r>
              <w:rPr>
                <w:rFonts w:ascii="Arial" w:cs="Arial" w:eastAsia="Arial" w:hAnsi="Arial"/>
                <w:sz w:val="18"/>
                <w:szCs w:val="18"/>
                <w:color w:val="auto"/>
                <w:w w:val="87"/>
              </w:rPr>
              <w:t>10.</w:t>
            </w:r>
          </w:p>
        </w:tc>
        <w:tc>
          <w:tcPr>
            <w:tcW w:w="904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8"/>
        </w:trPr>
        <w:tc>
          <w:tcPr>
            <w:tcW w:w="1260" w:type="dxa"/>
            <w:vAlign w:val="bottom"/>
          </w:tcPr>
          <w:p>
            <w:pPr>
              <w:jc w:val="center"/>
              <w:ind w:right="290"/>
              <w:spacing w:after="0"/>
              <w:rPr>
                <w:sz w:val="20"/>
                <w:szCs w:val="20"/>
                <w:color w:val="auto"/>
              </w:rPr>
            </w:pPr>
            <w:r>
              <w:rPr>
                <w:rFonts w:ascii="Arial" w:cs="Arial" w:eastAsia="Arial" w:hAnsi="Arial"/>
                <w:sz w:val="18"/>
                <w:szCs w:val="18"/>
                <w:color w:val="auto"/>
                <w:w w:val="99"/>
              </w:rPr>
              <w:t>With</w:t>
            </w:r>
          </w:p>
        </w:tc>
        <w:tc>
          <w:tcPr>
            <w:tcW w:w="520" w:type="dxa"/>
            <w:vAlign w:val="bottom"/>
            <w:vMerge w:val="continue"/>
          </w:tcPr>
          <w:p>
            <w:pPr>
              <w:spacing w:after="0"/>
              <w:rPr>
                <w:sz w:val="19"/>
                <w:szCs w:val="19"/>
                <w:color w:val="auto"/>
              </w:rPr>
            </w:pPr>
          </w:p>
        </w:tc>
        <w:tc>
          <w:tcPr>
            <w:tcW w:w="9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ind w:left="2460" w:hanging="144"/>
        <w:spacing w:after="0"/>
        <w:tabs>
          <w:tab w:leader="none" w:pos="246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shares</w:t>
      </w:r>
    </w:p>
    <w:p>
      <w:pPr>
        <w:spacing w:after="0" w:line="128" w:lineRule="exact"/>
        <w:rPr>
          <w:rFonts w:ascii="Arial" w:cs="Arial" w:eastAsia="Arial" w:hAnsi="Arial"/>
          <w:sz w:val="18"/>
          <w:szCs w:val="18"/>
          <w:color w:val="auto"/>
        </w:rPr>
      </w:pPr>
    </w:p>
    <w:p>
      <w:pPr>
        <w:ind w:left="540" w:right="5900" w:hanging="445"/>
        <w:spacing w:after="0" w:line="277"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32,662,916 shares</w:t>
      </w:r>
    </w:p>
    <w:p>
      <w:pPr>
        <w:spacing w:after="0" w:line="89" w:lineRule="exact"/>
        <w:rPr>
          <w:rFonts w:ascii="Arial" w:cs="Arial" w:eastAsia="Arial" w:hAnsi="Arial"/>
          <w:sz w:val="18"/>
          <w:szCs w:val="18"/>
          <w:color w:val="auto"/>
        </w:rPr>
      </w:pPr>
    </w:p>
    <w:p>
      <w:pPr>
        <w:ind w:left="540" w:hanging="449"/>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144" w:lineRule="exact"/>
        <w:rPr>
          <w:rFonts w:ascii="Arial" w:cs="Arial" w:eastAsia="Arial" w:hAnsi="Arial"/>
          <w:sz w:val="18"/>
          <w:szCs w:val="18"/>
          <w:color w:val="auto"/>
        </w:rPr>
      </w:pPr>
    </w:p>
    <w:p>
      <w:pPr>
        <w:ind w:left="540" w:right="6840" w:hanging="449"/>
        <w:spacing w:after="0" w:line="277"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Represented by Amount in Row (11) 28.0%</w:t>
      </w:r>
    </w:p>
    <w:p>
      <w:pPr>
        <w:spacing w:after="0" w:line="89" w:lineRule="exact"/>
        <w:rPr>
          <w:rFonts w:ascii="Arial" w:cs="Arial" w:eastAsia="Arial" w:hAnsi="Arial"/>
          <w:sz w:val="18"/>
          <w:szCs w:val="18"/>
          <w:color w:val="auto"/>
        </w:rPr>
      </w:pPr>
    </w:p>
    <w:p>
      <w:pPr>
        <w:ind w:left="540" w:right="7540" w:hanging="449"/>
        <w:spacing w:after="0" w:line="277"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Type of Reporting Person (See Instructions) IN,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tabs>
          <w:tab w:leader="none" w:pos="5460" w:val="left"/>
          <w:tab w:leader="none" w:pos="9900" w:val="left"/>
        </w:tabs>
        <w:rPr>
          <w:sz w:val="20"/>
          <w:szCs w:val="20"/>
          <w:color w:val="auto"/>
        </w:rPr>
      </w:pPr>
      <w:r>
        <w:rPr>
          <w:rFonts w:ascii="Arial" w:cs="Arial" w:eastAsia="Arial" w:hAnsi="Arial"/>
          <w:sz w:val="18"/>
          <w:szCs w:val="18"/>
          <w:b w:val="1"/>
          <w:bCs w:val="1"/>
          <w:color w:val="auto"/>
        </w:rPr>
        <w:t>CUSIP No</w:t>
      </w:r>
      <w:r>
        <w:rPr>
          <w:rFonts w:ascii="Arial" w:cs="Arial" w:eastAsia="Arial" w:hAnsi="Arial"/>
          <w:sz w:val="18"/>
          <w:szCs w:val="18"/>
          <w:color w:val="auto"/>
        </w:rPr>
        <w:t>.</w:t>
      </w:r>
      <w:r>
        <w:rPr>
          <w:rFonts w:ascii="Arial" w:cs="Arial" w:eastAsia="Arial" w:hAnsi="Arial"/>
          <w:sz w:val="18"/>
          <w:szCs w:val="18"/>
          <w:b w:val="1"/>
          <w:bCs w:val="1"/>
          <w:color w:val="auto"/>
        </w:rPr>
        <w:t xml:space="preserve"> 816212104</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5"/>
          <w:szCs w:val="15"/>
          <w:b w:val="1"/>
          <w:bCs w:val="1"/>
          <w:color w:val="auto"/>
        </w:rPr>
        <w:t>Page 3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6462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646295"/>
                    </a:xfrm>
                    <a:prstGeom prst="rect">
                      <a:avLst/>
                    </a:prstGeom>
                    <a:noFill/>
                  </pic:spPr>
                </pic:pic>
              </a:graphicData>
            </a:graphic>
          </wp:anchor>
        </w:drawing>
      </w:r>
    </w:p>
    <w:p>
      <w:pPr>
        <w:spacing w:after="0" w:line="290" w:lineRule="exact"/>
        <w:rPr>
          <w:sz w:val="20"/>
          <w:szCs w:val="20"/>
          <w:color w:val="auto"/>
        </w:rPr>
      </w:pPr>
    </w:p>
    <w:p>
      <w:pPr>
        <w:ind w:left="540" w:right="8600" w:hanging="417"/>
        <w:spacing w:after="0" w:line="308" w:lineRule="auto"/>
        <w:tabs>
          <w:tab w:leader="none" w:pos="540" w:val="left"/>
        </w:tabs>
        <w:numPr>
          <w:ilvl w:val="0"/>
          <w:numId w:val="4"/>
        </w:numPr>
        <w:rPr>
          <w:rFonts w:ascii="Arial" w:cs="Arial" w:eastAsia="Arial" w:hAnsi="Arial"/>
          <w:sz w:val="17"/>
          <w:szCs w:val="17"/>
          <w:color w:val="auto"/>
        </w:rPr>
      </w:pPr>
      <w:r>
        <w:rPr>
          <w:rFonts w:ascii="Arial" w:cs="Arial" w:eastAsia="Arial" w:hAnsi="Arial"/>
          <w:sz w:val="17"/>
          <w:szCs w:val="17"/>
          <w:color w:val="auto"/>
        </w:rPr>
        <w:t>Names of Reporting Persons. TAS Partners LLC</w:t>
      </w:r>
    </w:p>
    <w:p>
      <w:pPr>
        <w:spacing w:after="0" w:line="65" w:lineRule="exact"/>
        <w:rPr>
          <w:rFonts w:ascii="Arial" w:cs="Arial" w:eastAsia="Arial" w:hAnsi="Arial"/>
          <w:sz w:val="17"/>
          <w:szCs w:val="17"/>
          <w:color w:val="auto"/>
        </w:rPr>
      </w:pPr>
    </w:p>
    <w:p>
      <w:pPr>
        <w:ind w:left="540" w:hanging="417"/>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54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129" w:lineRule="exact"/>
        <w:rPr>
          <w:rFonts w:ascii="Arial" w:cs="Arial" w:eastAsia="Arial" w:hAnsi="Arial"/>
          <w:sz w:val="18"/>
          <w:szCs w:val="18"/>
          <w:color w:val="auto"/>
        </w:rPr>
      </w:pPr>
    </w:p>
    <w:p>
      <w:pPr>
        <w:ind w:left="540" w:hanging="417"/>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44" w:lineRule="exact"/>
        <w:rPr>
          <w:rFonts w:ascii="Arial" w:cs="Arial" w:eastAsia="Arial" w:hAnsi="Arial"/>
          <w:sz w:val="18"/>
          <w:szCs w:val="18"/>
          <w:color w:val="auto"/>
        </w:rPr>
      </w:pPr>
    </w:p>
    <w:p>
      <w:pPr>
        <w:ind w:left="540" w:hanging="417"/>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129" w:lineRule="exact"/>
        <w:rPr>
          <w:rFonts w:ascii="Arial" w:cs="Arial" w:eastAsia="Arial" w:hAnsi="Arial"/>
          <w:sz w:val="18"/>
          <w:szCs w:val="18"/>
          <w:color w:val="auto"/>
        </w:rPr>
      </w:pPr>
    </w:p>
    <w:p>
      <w:pPr>
        <w:ind w:left="540" w:hanging="417"/>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144" w:lineRule="exact"/>
        <w:rPr>
          <w:rFonts w:ascii="Arial" w:cs="Arial" w:eastAsia="Arial" w:hAnsi="Arial"/>
          <w:sz w:val="18"/>
          <w:szCs w:val="18"/>
          <w:color w:val="auto"/>
        </w:rPr>
      </w:pPr>
    </w:p>
    <w:p>
      <w:pPr>
        <w:ind w:left="540" w:right="8080" w:hanging="417"/>
        <w:spacing w:after="0" w:line="277"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89" w:lineRule="exact"/>
        <w:rPr>
          <w:sz w:val="20"/>
          <w:szCs w:val="20"/>
          <w:color w:val="auto"/>
        </w:rPr>
      </w:pPr>
    </w:p>
    <w:tbl>
      <w:tblPr>
        <w:tblLayout w:type="fixed"/>
        <w:tblInd w:w="420" w:type="dxa"/>
        <w:tblCellMar>
          <w:top w:w="0" w:type="dxa"/>
          <w:left w:w="0" w:type="dxa"/>
          <w:bottom w:w="0" w:type="dxa"/>
          <w:right w:w="0" w:type="dxa"/>
        </w:tblCellMar>
      </w:tblPr>
      <w:tr>
        <w:trPr>
          <w:trHeight w:val="216"/>
        </w:trPr>
        <w:tc>
          <w:tcPr>
            <w:tcW w:w="1260" w:type="dxa"/>
            <w:vAlign w:val="bottom"/>
            <w:vMerge w:val="restart"/>
          </w:tcPr>
          <w:p>
            <w:pPr>
              <w:jc w:val="center"/>
              <w:ind w:right="290"/>
              <w:spacing w:after="0"/>
              <w:rPr>
                <w:sz w:val="20"/>
                <w:szCs w:val="20"/>
                <w:color w:val="auto"/>
              </w:rPr>
            </w:pPr>
            <w:r>
              <w:rPr>
                <w:rFonts w:ascii="Arial" w:cs="Arial" w:eastAsia="Arial" w:hAnsi="Arial"/>
                <w:sz w:val="18"/>
                <w:szCs w:val="18"/>
                <w:color w:val="auto"/>
                <w:w w:val="95"/>
              </w:rPr>
              <w:t>Number of</w:t>
            </w:r>
          </w:p>
        </w:tc>
        <w:tc>
          <w:tcPr>
            <w:tcW w:w="520" w:type="dxa"/>
            <w:vAlign w:val="bottom"/>
          </w:tcPr>
          <w:p>
            <w:pPr>
              <w:jc w:val="center"/>
              <w:spacing w:after="0"/>
              <w:rPr>
                <w:sz w:val="20"/>
                <w:szCs w:val="20"/>
                <w:color w:val="auto"/>
              </w:rPr>
            </w:pPr>
            <w:r>
              <w:rPr>
                <w:rFonts w:ascii="Arial" w:cs="Arial" w:eastAsia="Arial" w:hAnsi="Arial"/>
                <w:sz w:val="18"/>
                <w:szCs w:val="18"/>
                <w:color w:val="auto"/>
                <w:w w:val="92"/>
              </w:rPr>
              <w:t>7.</w:t>
            </w:r>
          </w:p>
        </w:tc>
        <w:tc>
          <w:tcPr>
            <w:tcW w:w="9040" w:type="dxa"/>
            <w:vAlign w:val="bottom"/>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03"/>
        </w:trPr>
        <w:tc>
          <w:tcPr>
            <w:tcW w:w="126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9040" w:type="dxa"/>
            <w:vAlign w:val="bottom"/>
          </w:tcPr>
          <w:p>
            <w:pPr>
              <w:ind w:left="120"/>
              <w:spacing w:after="0" w:line="202" w:lineRule="exact"/>
              <w:rPr>
                <w:sz w:val="20"/>
                <w:szCs w:val="20"/>
                <w:color w:val="auto"/>
              </w:rPr>
            </w:pPr>
            <w:r>
              <w:rPr>
                <w:rFonts w:ascii="Arial" w:cs="Arial" w:eastAsia="Arial" w:hAnsi="Arial"/>
                <w:sz w:val="18"/>
                <w:szCs w:val="18"/>
                <w:color w:val="auto"/>
              </w:rPr>
              <w:t>25,157,333 shares</w:t>
            </w:r>
          </w:p>
        </w:tc>
        <w:tc>
          <w:tcPr>
            <w:tcW w:w="0" w:type="dxa"/>
            <w:vAlign w:val="bottom"/>
          </w:tcPr>
          <w:p>
            <w:pPr>
              <w:spacing w:after="0"/>
              <w:rPr>
                <w:sz w:val="1"/>
                <w:szCs w:val="1"/>
                <w:color w:val="auto"/>
              </w:rPr>
            </w:pPr>
          </w:p>
        </w:tc>
      </w:tr>
      <w:tr>
        <w:trPr>
          <w:trHeight w:val="89"/>
        </w:trPr>
        <w:tc>
          <w:tcPr>
            <w:tcW w:w="1260" w:type="dxa"/>
            <w:vAlign w:val="bottom"/>
            <w:vMerge w:val="restart"/>
          </w:tcPr>
          <w:p>
            <w:pPr>
              <w:jc w:val="center"/>
              <w:ind w:right="290"/>
              <w:spacing w:after="0"/>
              <w:rPr>
                <w:sz w:val="20"/>
                <w:szCs w:val="20"/>
                <w:color w:val="auto"/>
              </w:rPr>
            </w:pPr>
            <w:r>
              <w:rPr>
                <w:rFonts w:ascii="Arial" w:cs="Arial" w:eastAsia="Arial" w:hAnsi="Arial"/>
                <w:sz w:val="18"/>
                <w:szCs w:val="18"/>
                <w:color w:val="auto"/>
                <w:w w:val="84"/>
              </w:rPr>
              <w:t>Shares</w:t>
            </w:r>
          </w:p>
        </w:tc>
        <w:tc>
          <w:tcPr>
            <w:tcW w:w="520" w:type="dxa"/>
            <w:vAlign w:val="bottom"/>
            <w:tcBorders>
              <w:bottom w:val="single" w:sz="8" w:color="auto"/>
            </w:tcBorders>
          </w:tcPr>
          <w:p>
            <w:pPr>
              <w:spacing w:after="0"/>
              <w:rPr>
                <w:sz w:val="7"/>
                <w:szCs w:val="7"/>
                <w:color w:val="auto"/>
              </w:rPr>
            </w:pPr>
          </w:p>
        </w:tc>
        <w:tc>
          <w:tcPr>
            <w:tcW w:w="9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260" w:type="dxa"/>
            <w:vAlign w:val="bottom"/>
            <w:vMerge w:val="continue"/>
          </w:tcPr>
          <w:p>
            <w:pPr>
              <w:spacing w:after="0"/>
              <w:rPr>
                <w:sz w:val="9"/>
                <w:szCs w:val="9"/>
                <w:color w:val="auto"/>
              </w:rPr>
            </w:pPr>
          </w:p>
        </w:tc>
        <w:tc>
          <w:tcPr>
            <w:tcW w:w="520" w:type="dxa"/>
            <w:vAlign w:val="bottom"/>
            <w:vMerge w:val="restart"/>
          </w:tcPr>
          <w:p>
            <w:pPr>
              <w:jc w:val="center"/>
              <w:spacing w:after="0"/>
              <w:rPr>
                <w:sz w:val="20"/>
                <w:szCs w:val="20"/>
                <w:color w:val="auto"/>
              </w:rPr>
            </w:pPr>
            <w:r>
              <w:rPr>
                <w:rFonts w:ascii="Arial" w:cs="Arial" w:eastAsia="Arial" w:hAnsi="Arial"/>
                <w:sz w:val="18"/>
                <w:szCs w:val="18"/>
                <w:color w:val="auto"/>
                <w:w w:val="92"/>
              </w:rPr>
              <w:t>8.</w:t>
            </w:r>
          </w:p>
        </w:tc>
        <w:tc>
          <w:tcPr>
            <w:tcW w:w="9040" w:type="dxa"/>
            <w:vAlign w:val="bottom"/>
            <w:vMerge w:val="restart"/>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48"/>
        </w:trPr>
        <w:tc>
          <w:tcPr>
            <w:tcW w:w="1260" w:type="dxa"/>
            <w:vAlign w:val="bottom"/>
            <w:vMerge w:val="restart"/>
          </w:tcPr>
          <w:p>
            <w:pPr>
              <w:jc w:val="center"/>
              <w:ind w:right="290"/>
              <w:spacing w:after="0"/>
              <w:rPr>
                <w:sz w:val="20"/>
                <w:szCs w:val="20"/>
                <w:color w:val="auto"/>
              </w:rPr>
            </w:pPr>
            <w:r>
              <w:rPr>
                <w:rFonts w:ascii="Arial" w:cs="Arial" w:eastAsia="Arial" w:hAnsi="Arial"/>
                <w:sz w:val="18"/>
                <w:szCs w:val="18"/>
                <w:color w:val="auto"/>
                <w:w w:val="96"/>
              </w:rPr>
              <w:t>Beneficially</w:t>
            </w:r>
          </w:p>
        </w:tc>
        <w:tc>
          <w:tcPr>
            <w:tcW w:w="520" w:type="dxa"/>
            <w:vAlign w:val="bottom"/>
            <w:vMerge w:val="continue"/>
          </w:tcPr>
          <w:p>
            <w:pPr>
              <w:spacing w:after="0"/>
              <w:rPr>
                <w:sz w:val="12"/>
                <w:szCs w:val="12"/>
                <w:color w:val="auto"/>
              </w:rPr>
            </w:pPr>
          </w:p>
        </w:tc>
        <w:tc>
          <w:tcPr>
            <w:tcW w:w="9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2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9040" w:type="dxa"/>
            <w:vAlign w:val="bottom"/>
            <w:vMerge w:val="restart"/>
          </w:tcPr>
          <w:p>
            <w:pPr>
              <w:ind w:left="12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163"/>
        </w:trPr>
        <w:tc>
          <w:tcPr>
            <w:tcW w:w="1260" w:type="dxa"/>
            <w:vAlign w:val="bottom"/>
            <w:vMerge w:val="restart"/>
          </w:tcPr>
          <w:p>
            <w:pPr>
              <w:jc w:val="center"/>
              <w:ind w:right="290"/>
              <w:spacing w:after="0"/>
              <w:rPr>
                <w:sz w:val="20"/>
                <w:szCs w:val="20"/>
                <w:color w:val="auto"/>
              </w:rPr>
            </w:pPr>
            <w:r>
              <w:rPr>
                <w:rFonts w:ascii="Arial" w:cs="Arial" w:eastAsia="Arial" w:hAnsi="Arial"/>
                <w:sz w:val="18"/>
                <w:szCs w:val="18"/>
                <w:color w:val="auto"/>
                <w:w w:val="93"/>
              </w:rPr>
              <w:t>Owned by</w:t>
            </w:r>
          </w:p>
        </w:tc>
        <w:tc>
          <w:tcPr>
            <w:tcW w:w="520" w:type="dxa"/>
            <w:vAlign w:val="bottom"/>
          </w:tcPr>
          <w:p>
            <w:pPr>
              <w:spacing w:after="0"/>
              <w:rPr>
                <w:sz w:val="14"/>
                <w:szCs w:val="14"/>
                <w:color w:val="auto"/>
              </w:rPr>
            </w:pPr>
          </w:p>
        </w:tc>
        <w:tc>
          <w:tcPr>
            <w:tcW w:w="9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1260" w:type="dxa"/>
            <w:vAlign w:val="bottom"/>
            <w:vMerge w:val="continue"/>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1260" w:type="dxa"/>
            <w:vAlign w:val="bottom"/>
          </w:tcPr>
          <w:p>
            <w:pPr>
              <w:jc w:val="center"/>
              <w:ind w:right="290"/>
              <w:spacing w:after="0" w:line="189" w:lineRule="exact"/>
              <w:rPr>
                <w:sz w:val="20"/>
                <w:szCs w:val="20"/>
                <w:color w:val="auto"/>
              </w:rPr>
            </w:pPr>
            <w:r>
              <w:rPr>
                <w:rFonts w:ascii="Arial" w:cs="Arial" w:eastAsia="Arial" w:hAnsi="Arial"/>
                <w:sz w:val="18"/>
                <w:szCs w:val="18"/>
                <w:color w:val="auto"/>
                <w:w w:val="87"/>
              </w:rPr>
              <w:t>Each</w:t>
            </w:r>
          </w:p>
        </w:tc>
        <w:tc>
          <w:tcPr>
            <w:tcW w:w="520" w:type="dxa"/>
            <w:vAlign w:val="bottom"/>
            <w:vMerge w:val="restart"/>
          </w:tcPr>
          <w:p>
            <w:pPr>
              <w:jc w:val="center"/>
              <w:spacing w:after="0"/>
              <w:rPr>
                <w:sz w:val="20"/>
                <w:szCs w:val="20"/>
                <w:color w:val="auto"/>
              </w:rPr>
            </w:pPr>
            <w:r>
              <w:rPr>
                <w:rFonts w:ascii="Arial" w:cs="Arial" w:eastAsia="Arial" w:hAnsi="Arial"/>
                <w:sz w:val="18"/>
                <w:szCs w:val="18"/>
                <w:color w:val="auto"/>
                <w:w w:val="92"/>
              </w:rPr>
              <w:t>9.</w:t>
            </w:r>
          </w:p>
        </w:tc>
        <w:tc>
          <w:tcPr>
            <w:tcW w:w="9040" w:type="dxa"/>
            <w:vAlign w:val="bottom"/>
            <w:vMerge w:val="restart"/>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68"/>
        </w:trPr>
        <w:tc>
          <w:tcPr>
            <w:tcW w:w="1260" w:type="dxa"/>
            <w:vAlign w:val="bottom"/>
            <w:vMerge w:val="restart"/>
          </w:tcPr>
          <w:p>
            <w:pPr>
              <w:jc w:val="center"/>
              <w:ind w:right="290"/>
              <w:spacing w:after="0"/>
              <w:rPr>
                <w:sz w:val="20"/>
                <w:szCs w:val="20"/>
                <w:color w:val="auto"/>
              </w:rPr>
            </w:pPr>
            <w:r>
              <w:rPr>
                <w:rFonts w:ascii="Arial" w:cs="Arial" w:eastAsia="Arial" w:hAnsi="Arial"/>
                <w:sz w:val="18"/>
                <w:szCs w:val="18"/>
                <w:color w:val="auto"/>
                <w:w w:val="92"/>
              </w:rPr>
              <w:t>Reporting</w:t>
            </w:r>
          </w:p>
        </w:tc>
        <w:tc>
          <w:tcPr>
            <w:tcW w:w="520" w:type="dxa"/>
            <w:vAlign w:val="bottom"/>
            <w:vMerge w:val="continue"/>
          </w:tcPr>
          <w:p>
            <w:pPr>
              <w:spacing w:after="0"/>
              <w:rPr>
                <w:sz w:val="5"/>
                <w:szCs w:val="5"/>
                <w:color w:val="auto"/>
              </w:rPr>
            </w:pPr>
          </w:p>
        </w:tc>
        <w:tc>
          <w:tcPr>
            <w:tcW w:w="9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26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9040" w:type="dxa"/>
            <w:vAlign w:val="bottom"/>
            <w:vMerge w:val="restart"/>
          </w:tcPr>
          <w:p>
            <w:pPr>
              <w:ind w:left="120"/>
              <w:spacing w:after="0"/>
              <w:rPr>
                <w:sz w:val="20"/>
                <w:szCs w:val="20"/>
                <w:color w:val="auto"/>
              </w:rPr>
            </w:pPr>
            <w:r>
              <w:rPr>
                <w:rFonts w:ascii="Arial" w:cs="Arial" w:eastAsia="Arial" w:hAnsi="Arial"/>
                <w:sz w:val="18"/>
                <w:szCs w:val="18"/>
                <w:color w:val="auto"/>
              </w:rPr>
              <w:t>25,157,333 shares</w:t>
            </w:r>
          </w:p>
        </w:tc>
        <w:tc>
          <w:tcPr>
            <w:tcW w:w="0" w:type="dxa"/>
            <w:vAlign w:val="bottom"/>
          </w:tcPr>
          <w:p>
            <w:pPr>
              <w:spacing w:after="0"/>
              <w:rPr>
                <w:sz w:val="1"/>
                <w:szCs w:val="1"/>
                <w:color w:val="auto"/>
              </w:rPr>
            </w:pPr>
          </w:p>
        </w:tc>
      </w:tr>
      <w:tr>
        <w:trPr>
          <w:trHeight w:val="82"/>
        </w:trPr>
        <w:tc>
          <w:tcPr>
            <w:tcW w:w="1260" w:type="dxa"/>
            <w:vAlign w:val="bottom"/>
            <w:vMerge w:val="restart"/>
          </w:tcPr>
          <w:p>
            <w:pPr>
              <w:jc w:val="center"/>
              <w:ind w:right="290"/>
              <w:spacing w:after="0"/>
              <w:rPr>
                <w:sz w:val="20"/>
                <w:szCs w:val="20"/>
                <w:color w:val="auto"/>
              </w:rPr>
            </w:pPr>
            <w:r>
              <w:rPr>
                <w:rFonts w:ascii="Arial" w:cs="Arial" w:eastAsia="Arial" w:hAnsi="Arial"/>
                <w:sz w:val="18"/>
                <w:szCs w:val="18"/>
                <w:color w:val="auto"/>
                <w:w w:val="84"/>
              </w:rPr>
              <w:t>Person</w:t>
            </w:r>
          </w:p>
        </w:tc>
        <w:tc>
          <w:tcPr>
            <w:tcW w:w="520" w:type="dxa"/>
            <w:vAlign w:val="bottom"/>
          </w:tcPr>
          <w:p>
            <w:pPr>
              <w:spacing w:after="0"/>
              <w:rPr>
                <w:sz w:val="7"/>
                <w:szCs w:val="7"/>
                <w:color w:val="auto"/>
              </w:rPr>
            </w:pPr>
          </w:p>
        </w:tc>
        <w:tc>
          <w:tcPr>
            <w:tcW w:w="9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260" w:type="dxa"/>
            <w:vAlign w:val="bottom"/>
            <w:vMerge w:val="continue"/>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3"/>
        </w:trPr>
        <w:tc>
          <w:tcPr>
            <w:tcW w:w="1260" w:type="dxa"/>
            <w:vAlign w:val="bottom"/>
            <w:vMerge w:val="continue"/>
          </w:tcPr>
          <w:p>
            <w:pPr>
              <w:spacing w:after="0"/>
              <w:rPr>
                <w:sz w:val="4"/>
                <w:szCs w:val="4"/>
                <w:color w:val="auto"/>
              </w:rPr>
            </w:pPr>
          </w:p>
        </w:tc>
        <w:tc>
          <w:tcPr>
            <w:tcW w:w="520" w:type="dxa"/>
            <w:vAlign w:val="bottom"/>
            <w:vMerge w:val="restart"/>
          </w:tcPr>
          <w:p>
            <w:pPr>
              <w:jc w:val="center"/>
              <w:spacing w:after="0"/>
              <w:rPr>
                <w:sz w:val="20"/>
                <w:szCs w:val="20"/>
                <w:color w:val="auto"/>
              </w:rPr>
            </w:pPr>
            <w:r>
              <w:rPr>
                <w:rFonts w:ascii="Arial" w:cs="Arial" w:eastAsia="Arial" w:hAnsi="Arial"/>
                <w:sz w:val="18"/>
                <w:szCs w:val="18"/>
                <w:color w:val="auto"/>
                <w:w w:val="87"/>
              </w:rPr>
              <w:t>10.</w:t>
            </w:r>
          </w:p>
        </w:tc>
        <w:tc>
          <w:tcPr>
            <w:tcW w:w="904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8"/>
        </w:trPr>
        <w:tc>
          <w:tcPr>
            <w:tcW w:w="1260" w:type="dxa"/>
            <w:vAlign w:val="bottom"/>
          </w:tcPr>
          <w:p>
            <w:pPr>
              <w:jc w:val="center"/>
              <w:ind w:right="290"/>
              <w:spacing w:after="0"/>
              <w:rPr>
                <w:sz w:val="20"/>
                <w:szCs w:val="20"/>
                <w:color w:val="auto"/>
              </w:rPr>
            </w:pPr>
            <w:r>
              <w:rPr>
                <w:rFonts w:ascii="Arial" w:cs="Arial" w:eastAsia="Arial" w:hAnsi="Arial"/>
                <w:sz w:val="18"/>
                <w:szCs w:val="18"/>
                <w:color w:val="auto"/>
                <w:w w:val="99"/>
              </w:rPr>
              <w:t>With</w:t>
            </w:r>
          </w:p>
        </w:tc>
        <w:tc>
          <w:tcPr>
            <w:tcW w:w="520" w:type="dxa"/>
            <w:vAlign w:val="bottom"/>
            <w:vMerge w:val="continue"/>
          </w:tcPr>
          <w:p>
            <w:pPr>
              <w:spacing w:after="0"/>
              <w:rPr>
                <w:sz w:val="19"/>
                <w:szCs w:val="19"/>
                <w:color w:val="auto"/>
              </w:rPr>
            </w:pPr>
          </w:p>
        </w:tc>
        <w:tc>
          <w:tcPr>
            <w:tcW w:w="9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ind w:left="2460" w:hanging="144"/>
        <w:spacing w:after="0"/>
        <w:tabs>
          <w:tab w:leader="none" w:pos="2460" w:val="left"/>
        </w:tabs>
        <w:numPr>
          <w:ilvl w:val="1"/>
          <w:numId w:val="5"/>
        </w:numPr>
        <w:rPr>
          <w:rFonts w:ascii="Arial" w:cs="Arial" w:eastAsia="Arial" w:hAnsi="Arial"/>
          <w:sz w:val="18"/>
          <w:szCs w:val="18"/>
          <w:color w:val="auto"/>
        </w:rPr>
      </w:pPr>
      <w:r>
        <w:rPr>
          <w:rFonts w:ascii="Arial" w:cs="Arial" w:eastAsia="Arial" w:hAnsi="Arial"/>
          <w:sz w:val="18"/>
          <w:szCs w:val="18"/>
          <w:color w:val="auto"/>
        </w:rPr>
        <w:t>shares</w:t>
      </w:r>
    </w:p>
    <w:p>
      <w:pPr>
        <w:spacing w:after="0" w:line="128" w:lineRule="exact"/>
        <w:rPr>
          <w:rFonts w:ascii="Arial" w:cs="Arial" w:eastAsia="Arial" w:hAnsi="Arial"/>
          <w:sz w:val="18"/>
          <w:szCs w:val="18"/>
          <w:color w:val="auto"/>
        </w:rPr>
      </w:pPr>
    </w:p>
    <w:p>
      <w:pPr>
        <w:ind w:left="540" w:right="5900" w:hanging="445"/>
        <w:spacing w:after="0" w:line="277"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25,157,333 shares</w:t>
      </w:r>
    </w:p>
    <w:p>
      <w:pPr>
        <w:spacing w:after="0" w:line="89" w:lineRule="exact"/>
        <w:rPr>
          <w:rFonts w:ascii="Arial" w:cs="Arial" w:eastAsia="Arial" w:hAnsi="Arial"/>
          <w:sz w:val="18"/>
          <w:szCs w:val="18"/>
          <w:color w:val="auto"/>
        </w:rPr>
      </w:pPr>
    </w:p>
    <w:p>
      <w:pPr>
        <w:ind w:left="540" w:hanging="449"/>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144" w:lineRule="exact"/>
        <w:rPr>
          <w:rFonts w:ascii="Arial" w:cs="Arial" w:eastAsia="Arial" w:hAnsi="Arial"/>
          <w:sz w:val="18"/>
          <w:szCs w:val="18"/>
          <w:color w:val="auto"/>
        </w:rPr>
      </w:pPr>
    </w:p>
    <w:p>
      <w:pPr>
        <w:ind w:left="540" w:right="6840" w:hanging="449"/>
        <w:spacing w:after="0" w:line="277"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(11) 21.6%</w:t>
      </w:r>
    </w:p>
    <w:p>
      <w:pPr>
        <w:spacing w:after="0" w:line="89" w:lineRule="exact"/>
        <w:rPr>
          <w:rFonts w:ascii="Arial" w:cs="Arial" w:eastAsia="Arial" w:hAnsi="Arial"/>
          <w:sz w:val="18"/>
          <w:szCs w:val="18"/>
          <w:color w:val="auto"/>
        </w:rPr>
      </w:pPr>
    </w:p>
    <w:p>
      <w:pPr>
        <w:ind w:left="540" w:hanging="449"/>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485775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tabs>
          <w:tab w:leader="none" w:pos="5460" w:val="left"/>
          <w:tab w:leader="none" w:pos="9900" w:val="left"/>
        </w:tabs>
        <w:rPr>
          <w:sz w:val="20"/>
          <w:szCs w:val="20"/>
          <w:color w:val="auto"/>
        </w:rPr>
      </w:pPr>
      <w:r>
        <w:rPr>
          <w:rFonts w:ascii="Arial" w:cs="Arial" w:eastAsia="Arial" w:hAnsi="Arial"/>
          <w:sz w:val="18"/>
          <w:szCs w:val="18"/>
          <w:b w:val="1"/>
          <w:bCs w:val="1"/>
          <w:color w:val="auto"/>
        </w:rPr>
        <w:t>CUSIP No</w:t>
      </w:r>
      <w:r>
        <w:rPr>
          <w:rFonts w:ascii="Arial" w:cs="Arial" w:eastAsia="Arial" w:hAnsi="Arial"/>
          <w:sz w:val="18"/>
          <w:szCs w:val="18"/>
          <w:color w:val="auto"/>
        </w:rPr>
        <w:t>.</w:t>
      </w:r>
      <w:r>
        <w:rPr>
          <w:rFonts w:ascii="Arial" w:cs="Arial" w:eastAsia="Arial" w:hAnsi="Arial"/>
          <w:sz w:val="18"/>
          <w:szCs w:val="18"/>
          <w:b w:val="1"/>
          <w:bCs w:val="1"/>
          <w:color w:val="auto"/>
        </w:rPr>
        <w:t xml:space="preserve"> 816212104</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5"/>
          <w:szCs w:val="15"/>
          <w:b w:val="1"/>
          <w:bCs w:val="1"/>
          <w:color w:val="auto"/>
        </w:rPr>
        <w:t>Page 4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6462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646295"/>
                    </a:xfrm>
                    <a:prstGeom prst="rect">
                      <a:avLst/>
                    </a:prstGeom>
                    <a:noFill/>
                  </pic:spPr>
                </pic:pic>
              </a:graphicData>
            </a:graphic>
          </wp:anchor>
        </w:drawing>
      </w:r>
    </w:p>
    <w:p>
      <w:pPr>
        <w:spacing w:after="0" w:line="290" w:lineRule="exact"/>
        <w:rPr>
          <w:sz w:val="20"/>
          <w:szCs w:val="20"/>
          <w:color w:val="auto"/>
        </w:rPr>
      </w:pPr>
    </w:p>
    <w:p>
      <w:pPr>
        <w:ind w:left="540" w:right="8600" w:hanging="417"/>
        <w:spacing w:after="0" w:line="277"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Names of Reporting Persons. Chafen Lu</w:t>
      </w:r>
    </w:p>
    <w:p>
      <w:pPr>
        <w:spacing w:after="0" w:line="89" w:lineRule="exact"/>
        <w:rPr>
          <w:rFonts w:ascii="Arial" w:cs="Arial" w:eastAsia="Arial" w:hAnsi="Arial"/>
          <w:sz w:val="18"/>
          <w:szCs w:val="18"/>
          <w:color w:val="auto"/>
        </w:rPr>
      </w:pPr>
    </w:p>
    <w:p>
      <w:pPr>
        <w:ind w:left="540" w:hanging="417"/>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54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129" w:lineRule="exact"/>
        <w:rPr>
          <w:rFonts w:ascii="Arial" w:cs="Arial" w:eastAsia="Arial" w:hAnsi="Arial"/>
          <w:sz w:val="18"/>
          <w:szCs w:val="18"/>
          <w:color w:val="auto"/>
        </w:rPr>
      </w:pPr>
    </w:p>
    <w:p>
      <w:pPr>
        <w:ind w:left="540" w:hanging="417"/>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44" w:lineRule="exact"/>
        <w:rPr>
          <w:rFonts w:ascii="Arial" w:cs="Arial" w:eastAsia="Arial" w:hAnsi="Arial"/>
          <w:sz w:val="18"/>
          <w:szCs w:val="18"/>
          <w:color w:val="auto"/>
        </w:rPr>
      </w:pPr>
    </w:p>
    <w:p>
      <w:pPr>
        <w:ind w:left="540" w:hanging="417"/>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PF</w:t>
      </w:r>
    </w:p>
    <w:p>
      <w:pPr>
        <w:spacing w:after="0" w:line="129" w:lineRule="exact"/>
        <w:rPr>
          <w:rFonts w:ascii="Arial" w:cs="Arial" w:eastAsia="Arial" w:hAnsi="Arial"/>
          <w:sz w:val="18"/>
          <w:szCs w:val="18"/>
          <w:color w:val="auto"/>
        </w:rPr>
      </w:pPr>
    </w:p>
    <w:p>
      <w:pPr>
        <w:ind w:left="540" w:hanging="417"/>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144" w:lineRule="exact"/>
        <w:rPr>
          <w:rFonts w:ascii="Arial" w:cs="Arial" w:eastAsia="Arial" w:hAnsi="Arial"/>
          <w:sz w:val="18"/>
          <w:szCs w:val="18"/>
          <w:color w:val="auto"/>
        </w:rPr>
      </w:pPr>
    </w:p>
    <w:p>
      <w:pPr>
        <w:ind w:left="540" w:right="8080" w:hanging="417"/>
        <w:spacing w:after="0" w:line="277"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w:t>
      </w:r>
    </w:p>
    <w:p>
      <w:pPr>
        <w:spacing w:after="0" w:line="89" w:lineRule="exact"/>
        <w:rPr>
          <w:sz w:val="20"/>
          <w:szCs w:val="20"/>
          <w:color w:val="auto"/>
        </w:rPr>
      </w:pPr>
    </w:p>
    <w:tbl>
      <w:tblPr>
        <w:tblLayout w:type="fixed"/>
        <w:tblInd w:w="420" w:type="dxa"/>
        <w:tblCellMar>
          <w:top w:w="0" w:type="dxa"/>
          <w:left w:w="0" w:type="dxa"/>
          <w:bottom w:w="0" w:type="dxa"/>
          <w:right w:w="0" w:type="dxa"/>
        </w:tblCellMar>
      </w:tblPr>
      <w:tr>
        <w:trPr>
          <w:trHeight w:val="216"/>
        </w:trPr>
        <w:tc>
          <w:tcPr>
            <w:tcW w:w="1260" w:type="dxa"/>
            <w:vAlign w:val="bottom"/>
            <w:vMerge w:val="restart"/>
          </w:tcPr>
          <w:p>
            <w:pPr>
              <w:jc w:val="center"/>
              <w:ind w:right="290"/>
              <w:spacing w:after="0"/>
              <w:rPr>
                <w:sz w:val="20"/>
                <w:szCs w:val="20"/>
                <w:color w:val="auto"/>
              </w:rPr>
            </w:pPr>
            <w:r>
              <w:rPr>
                <w:rFonts w:ascii="Arial" w:cs="Arial" w:eastAsia="Arial" w:hAnsi="Arial"/>
                <w:sz w:val="18"/>
                <w:szCs w:val="18"/>
                <w:color w:val="auto"/>
                <w:w w:val="95"/>
              </w:rPr>
              <w:t>Number of</w:t>
            </w:r>
          </w:p>
        </w:tc>
        <w:tc>
          <w:tcPr>
            <w:tcW w:w="520" w:type="dxa"/>
            <w:vAlign w:val="bottom"/>
          </w:tcPr>
          <w:p>
            <w:pPr>
              <w:jc w:val="center"/>
              <w:spacing w:after="0"/>
              <w:rPr>
                <w:sz w:val="20"/>
                <w:szCs w:val="20"/>
                <w:color w:val="auto"/>
              </w:rPr>
            </w:pPr>
            <w:r>
              <w:rPr>
                <w:rFonts w:ascii="Arial" w:cs="Arial" w:eastAsia="Arial" w:hAnsi="Arial"/>
                <w:sz w:val="18"/>
                <w:szCs w:val="18"/>
                <w:color w:val="auto"/>
                <w:w w:val="92"/>
              </w:rPr>
              <w:t>7.</w:t>
            </w:r>
          </w:p>
        </w:tc>
        <w:tc>
          <w:tcPr>
            <w:tcW w:w="9040" w:type="dxa"/>
            <w:vAlign w:val="bottom"/>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03"/>
        </w:trPr>
        <w:tc>
          <w:tcPr>
            <w:tcW w:w="126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9040" w:type="dxa"/>
            <w:vAlign w:val="bottom"/>
          </w:tcPr>
          <w:p>
            <w:pPr>
              <w:ind w:left="120"/>
              <w:spacing w:after="0" w:line="202" w:lineRule="exact"/>
              <w:rPr>
                <w:sz w:val="20"/>
                <w:szCs w:val="20"/>
                <w:color w:val="auto"/>
              </w:rPr>
            </w:pPr>
            <w:r>
              <w:rPr>
                <w:rFonts w:ascii="Arial" w:cs="Arial" w:eastAsia="Arial" w:hAnsi="Arial"/>
                <w:sz w:val="18"/>
                <w:szCs w:val="18"/>
                <w:color w:val="auto"/>
              </w:rPr>
              <w:t>86,418 shares</w:t>
            </w:r>
          </w:p>
        </w:tc>
        <w:tc>
          <w:tcPr>
            <w:tcW w:w="0" w:type="dxa"/>
            <w:vAlign w:val="bottom"/>
          </w:tcPr>
          <w:p>
            <w:pPr>
              <w:spacing w:after="0"/>
              <w:rPr>
                <w:sz w:val="1"/>
                <w:szCs w:val="1"/>
                <w:color w:val="auto"/>
              </w:rPr>
            </w:pPr>
          </w:p>
        </w:tc>
      </w:tr>
      <w:tr>
        <w:trPr>
          <w:trHeight w:val="89"/>
        </w:trPr>
        <w:tc>
          <w:tcPr>
            <w:tcW w:w="1260" w:type="dxa"/>
            <w:vAlign w:val="bottom"/>
            <w:vMerge w:val="restart"/>
          </w:tcPr>
          <w:p>
            <w:pPr>
              <w:jc w:val="center"/>
              <w:ind w:right="290"/>
              <w:spacing w:after="0"/>
              <w:rPr>
                <w:sz w:val="20"/>
                <w:szCs w:val="20"/>
                <w:color w:val="auto"/>
              </w:rPr>
            </w:pPr>
            <w:r>
              <w:rPr>
                <w:rFonts w:ascii="Arial" w:cs="Arial" w:eastAsia="Arial" w:hAnsi="Arial"/>
                <w:sz w:val="18"/>
                <w:szCs w:val="18"/>
                <w:color w:val="auto"/>
                <w:w w:val="84"/>
              </w:rPr>
              <w:t>Shares</w:t>
            </w:r>
          </w:p>
        </w:tc>
        <w:tc>
          <w:tcPr>
            <w:tcW w:w="520" w:type="dxa"/>
            <w:vAlign w:val="bottom"/>
            <w:tcBorders>
              <w:bottom w:val="single" w:sz="8" w:color="auto"/>
            </w:tcBorders>
          </w:tcPr>
          <w:p>
            <w:pPr>
              <w:spacing w:after="0"/>
              <w:rPr>
                <w:sz w:val="7"/>
                <w:szCs w:val="7"/>
                <w:color w:val="auto"/>
              </w:rPr>
            </w:pPr>
          </w:p>
        </w:tc>
        <w:tc>
          <w:tcPr>
            <w:tcW w:w="9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260" w:type="dxa"/>
            <w:vAlign w:val="bottom"/>
            <w:vMerge w:val="continue"/>
          </w:tcPr>
          <w:p>
            <w:pPr>
              <w:spacing w:after="0"/>
              <w:rPr>
                <w:sz w:val="9"/>
                <w:szCs w:val="9"/>
                <w:color w:val="auto"/>
              </w:rPr>
            </w:pPr>
          </w:p>
        </w:tc>
        <w:tc>
          <w:tcPr>
            <w:tcW w:w="520" w:type="dxa"/>
            <w:vAlign w:val="bottom"/>
            <w:vMerge w:val="restart"/>
          </w:tcPr>
          <w:p>
            <w:pPr>
              <w:jc w:val="center"/>
              <w:spacing w:after="0"/>
              <w:rPr>
                <w:sz w:val="20"/>
                <w:szCs w:val="20"/>
                <w:color w:val="auto"/>
              </w:rPr>
            </w:pPr>
            <w:r>
              <w:rPr>
                <w:rFonts w:ascii="Arial" w:cs="Arial" w:eastAsia="Arial" w:hAnsi="Arial"/>
                <w:sz w:val="18"/>
                <w:szCs w:val="18"/>
                <w:color w:val="auto"/>
                <w:w w:val="92"/>
              </w:rPr>
              <w:t>8.</w:t>
            </w:r>
          </w:p>
        </w:tc>
        <w:tc>
          <w:tcPr>
            <w:tcW w:w="9040" w:type="dxa"/>
            <w:vAlign w:val="bottom"/>
            <w:vMerge w:val="restart"/>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49"/>
        </w:trPr>
        <w:tc>
          <w:tcPr>
            <w:tcW w:w="1260" w:type="dxa"/>
            <w:vAlign w:val="bottom"/>
            <w:vMerge w:val="restart"/>
          </w:tcPr>
          <w:p>
            <w:pPr>
              <w:jc w:val="center"/>
              <w:ind w:right="290"/>
              <w:spacing w:after="0"/>
              <w:rPr>
                <w:sz w:val="20"/>
                <w:szCs w:val="20"/>
                <w:color w:val="auto"/>
              </w:rPr>
            </w:pPr>
            <w:r>
              <w:rPr>
                <w:rFonts w:ascii="Arial" w:cs="Arial" w:eastAsia="Arial" w:hAnsi="Arial"/>
                <w:sz w:val="18"/>
                <w:szCs w:val="18"/>
                <w:color w:val="auto"/>
                <w:w w:val="96"/>
              </w:rPr>
              <w:t>Beneficially</w:t>
            </w:r>
          </w:p>
        </w:tc>
        <w:tc>
          <w:tcPr>
            <w:tcW w:w="520" w:type="dxa"/>
            <w:vAlign w:val="bottom"/>
            <w:vMerge w:val="continue"/>
          </w:tcPr>
          <w:p>
            <w:pPr>
              <w:spacing w:after="0"/>
              <w:rPr>
                <w:sz w:val="12"/>
                <w:szCs w:val="12"/>
                <w:color w:val="auto"/>
              </w:rPr>
            </w:pPr>
          </w:p>
        </w:tc>
        <w:tc>
          <w:tcPr>
            <w:tcW w:w="9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2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9040" w:type="dxa"/>
            <w:vAlign w:val="bottom"/>
            <w:vMerge w:val="restart"/>
          </w:tcPr>
          <w:p>
            <w:pPr>
              <w:ind w:left="12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163"/>
        </w:trPr>
        <w:tc>
          <w:tcPr>
            <w:tcW w:w="1260" w:type="dxa"/>
            <w:vAlign w:val="bottom"/>
            <w:vMerge w:val="restart"/>
          </w:tcPr>
          <w:p>
            <w:pPr>
              <w:jc w:val="center"/>
              <w:ind w:right="290"/>
              <w:spacing w:after="0"/>
              <w:rPr>
                <w:sz w:val="20"/>
                <w:szCs w:val="20"/>
                <w:color w:val="auto"/>
              </w:rPr>
            </w:pPr>
            <w:r>
              <w:rPr>
                <w:rFonts w:ascii="Arial" w:cs="Arial" w:eastAsia="Arial" w:hAnsi="Arial"/>
                <w:sz w:val="18"/>
                <w:szCs w:val="18"/>
                <w:color w:val="auto"/>
                <w:w w:val="93"/>
              </w:rPr>
              <w:t>Owned by</w:t>
            </w:r>
          </w:p>
        </w:tc>
        <w:tc>
          <w:tcPr>
            <w:tcW w:w="520" w:type="dxa"/>
            <w:vAlign w:val="bottom"/>
          </w:tcPr>
          <w:p>
            <w:pPr>
              <w:spacing w:after="0"/>
              <w:rPr>
                <w:sz w:val="14"/>
                <w:szCs w:val="14"/>
                <w:color w:val="auto"/>
              </w:rPr>
            </w:pPr>
          </w:p>
        </w:tc>
        <w:tc>
          <w:tcPr>
            <w:tcW w:w="9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1260" w:type="dxa"/>
            <w:vAlign w:val="bottom"/>
            <w:vMerge w:val="continue"/>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1260" w:type="dxa"/>
            <w:vAlign w:val="bottom"/>
          </w:tcPr>
          <w:p>
            <w:pPr>
              <w:jc w:val="center"/>
              <w:ind w:right="290"/>
              <w:spacing w:after="0" w:line="189" w:lineRule="exact"/>
              <w:rPr>
                <w:sz w:val="20"/>
                <w:szCs w:val="20"/>
                <w:color w:val="auto"/>
              </w:rPr>
            </w:pPr>
            <w:r>
              <w:rPr>
                <w:rFonts w:ascii="Arial" w:cs="Arial" w:eastAsia="Arial" w:hAnsi="Arial"/>
                <w:sz w:val="18"/>
                <w:szCs w:val="18"/>
                <w:color w:val="auto"/>
                <w:w w:val="87"/>
              </w:rPr>
              <w:t>Each</w:t>
            </w:r>
          </w:p>
        </w:tc>
        <w:tc>
          <w:tcPr>
            <w:tcW w:w="520" w:type="dxa"/>
            <w:vAlign w:val="bottom"/>
            <w:vMerge w:val="restart"/>
          </w:tcPr>
          <w:p>
            <w:pPr>
              <w:jc w:val="center"/>
              <w:spacing w:after="0"/>
              <w:rPr>
                <w:sz w:val="20"/>
                <w:szCs w:val="20"/>
                <w:color w:val="auto"/>
              </w:rPr>
            </w:pPr>
            <w:r>
              <w:rPr>
                <w:rFonts w:ascii="Arial" w:cs="Arial" w:eastAsia="Arial" w:hAnsi="Arial"/>
                <w:sz w:val="18"/>
                <w:szCs w:val="18"/>
                <w:color w:val="auto"/>
                <w:w w:val="92"/>
              </w:rPr>
              <w:t>9.</w:t>
            </w:r>
          </w:p>
        </w:tc>
        <w:tc>
          <w:tcPr>
            <w:tcW w:w="9040" w:type="dxa"/>
            <w:vAlign w:val="bottom"/>
            <w:vMerge w:val="restart"/>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68"/>
        </w:trPr>
        <w:tc>
          <w:tcPr>
            <w:tcW w:w="1260" w:type="dxa"/>
            <w:vAlign w:val="bottom"/>
            <w:vMerge w:val="restart"/>
          </w:tcPr>
          <w:p>
            <w:pPr>
              <w:jc w:val="center"/>
              <w:ind w:right="290"/>
              <w:spacing w:after="0"/>
              <w:rPr>
                <w:sz w:val="20"/>
                <w:szCs w:val="20"/>
                <w:color w:val="auto"/>
              </w:rPr>
            </w:pPr>
            <w:r>
              <w:rPr>
                <w:rFonts w:ascii="Arial" w:cs="Arial" w:eastAsia="Arial" w:hAnsi="Arial"/>
                <w:sz w:val="18"/>
                <w:szCs w:val="18"/>
                <w:color w:val="auto"/>
                <w:w w:val="92"/>
              </w:rPr>
              <w:t>Reporting</w:t>
            </w:r>
          </w:p>
        </w:tc>
        <w:tc>
          <w:tcPr>
            <w:tcW w:w="520" w:type="dxa"/>
            <w:vAlign w:val="bottom"/>
            <w:vMerge w:val="continue"/>
          </w:tcPr>
          <w:p>
            <w:pPr>
              <w:spacing w:after="0"/>
              <w:rPr>
                <w:sz w:val="5"/>
                <w:szCs w:val="5"/>
                <w:color w:val="auto"/>
              </w:rPr>
            </w:pPr>
          </w:p>
        </w:tc>
        <w:tc>
          <w:tcPr>
            <w:tcW w:w="9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26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9040" w:type="dxa"/>
            <w:vAlign w:val="bottom"/>
            <w:vMerge w:val="restart"/>
          </w:tcPr>
          <w:p>
            <w:pPr>
              <w:ind w:left="120"/>
              <w:spacing w:after="0"/>
              <w:rPr>
                <w:sz w:val="20"/>
                <w:szCs w:val="20"/>
                <w:color w:val="auto"/>
              </w:rPr>
            </w:pPr>
            <w:r>
              <w:rPr>
                <w:rFonts w:ascii="Arial" w:cs="Arial" w:eastAsia="Arial" w:hAnsi="Arial"/>
                <w:sz w:val="18"/>
                <w:szCs w:val="18"/>
                <w:color w:val="auto"/>
              </w:rPr>
              <w:t>86,418 shares</w:t>
            </w:r>
          </w:p>
        </w:tc>
        <w:tc>
          <w:tcPr>
            <w:tcW w:w="0" w:type="dxa"/>
            <w:vAlign w:val="bottom"/>
          </w:tcPr>
          <w:p>
            <w:pPr>
              <w:spacing w:after="0"/>
              <w:rPr>
                <w:sz w:val="1"/>
                <w:szCs w:val="1"/>
                <w:color w:val="auto"/>
              </w:rPr>
            </w:pPr>
          </w:p>
        </w:tc>
      </w:tr>
      <w:tr>
        <w:trPr>
          <w:trHeight w:val="82"/>
        </w:trPr>
        <w:tc>
          <w:tcPr>
            <w:tcW w:w="1260" w:type="dxa"/>
            <w:vAlign w:val="bottom"/>
            <w:vMerge w:val="restart"/>
          </w:tcPr>
          <w:p>
            <w:pPr>
              <w:jc w:val="center"/>
              <w:ind w:right="290"/>
              <w:spacing w:after="0"/>
              <w:rPr>
                <w:sz w:val="20"/>
                <w:szCs w:val="20"/>
                <w:color w:val="auto"/>
              </w:rPr>
            </w:pPr>
            <w:r>
              <w:rPr>
                <w:rFonts w:ascii="Arial" w:cs="Arial" w:eastAsia="Arial" w:hAnsi="Arial"/>
                <w:sz w:val="18"/>
                <w:szCs w:val="18"/>
                <w:color w:val="auto"/>
                <w:w w:val="84"/>
              </w:rPr>
              <w:t>Person</w:t>
            </w:r>
          </w:p>
        </w:tc>
        <w:tc>
          <w:tcPr>
            <w:tcW w:w="520" w:type="dxa"/>
            <w:vAlign w:val="bottom"/>
          </w:tcPr>
          <w:p>
            <w:pPr>
              <w:spacing w:after="0"/>
              <w:rPr>
                <w:sz w:val="7"/>
                <w:szCs w:val="7"/>
                <w:color w:val="auto"/>
              </w:rPr>
            </w:pPr>
          </w:p>
        </w:tc>
        <w:tc>
          <w:tcPr>
            <w:tcW w:w="9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260" w:type="dxa"/>
            <w:vAlign w:val="bottom"/>
            <w:vMerge w:val="continue"/>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3"/>
        </w:trPr>
        <w:tc>
          <w:tcPr>
            <w:tcW w:w="1260" w:type="dxa"/>
            <w:vAlign w:val="bottom"/>
            <w:vMerge w:val="continue"/>
          </w:tcPr>
          <w:p>
            <w:pPr>
              <w:spacing w:after="0"/>
              <w:rPr>
                <w:sz w:val="4"/>
                <w:szCs w:val="4"/>
                <w:color w:val="auto"/>
              </w:rPr>
            </w:pPr>
          </w:p>
        </w:tc>
        <w:tc>
          <w:tcPr>
            <w:tcW w:w="520" w:type="dxa"/>
            <w:vAlign w:val="bottom"/>
            <w:vMerge w:val="restart"/>
          </w:tcPr>
          <w:p>
            <w:pPr>
              <w:jc w:val="center"/>
              <w:spacing w:after="0"/>
              <w:rPr>
                <w:sz w:val="20"/>
                <w:szCs w:val="20"/>
                <w:color w:val="auto"/>
              </w:rPr>
            </w:pPr>
            <w:r>
              <w:rPr>
                <w:rFonts w:ascii="Arial" w:cs="Arial" w:eastAsia="Arial" w:hAnsi="Arial"/>
                <w:sz w:val="18"/>
                <w:szCs w:val="18"/>
                <w:color w:val="auto"/>
                <w:w w:val="87"/>
              </w:rPr>
              <w:t>10.</w:t>
            </w:r>
          </w:p>
        </w:tc>
        <w:tc>
          <w:tcPr>
            <w:tcW w:w="904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8"/>
        </w:trPr>
        <w:tc>
          <w:tcPr>
            <w:tcW w:w="1260" w:type="dxa"/>
            <w:vAlign w:val="bottom"/>
          </w:tcPr>
          <w:p>
            <w:pPr>
              <w:jc w:val="center"/>
              <w:ind w:right="290"/>
              <w:spacing w:after="0"/>
              <w:rPr>
                <w:sz w:val="20"/>
                <w:szCs w:val="20"/>
                <w:color w:val="auto"/>
              </w:rPr>
            </w:pPr>
            <w:r>
              <w:rPr>
                <w:rFonts w:ascii="Arial" w:cs="Arial" w:eastAsia="Arial" w:hAnsi="Arial"/>
                <w:sz w:val="18"/>
                <w:szCs w:val="18"/>
                <w:color w:val="auto"/>
                <w:w w:val="99"/>
              </w:rPr>
              <w:t>With</w:t>
            </w:r>
          </w:p>
        </w:tc>
        <w:tc>
          <w:tcPr>
            <w:tcW w:w="520" w:type="dxa"/>
            <w:vAlign w:val="bottom"/>
            <w:vMerge w:val="continue"/>
          </w:tcPr>
          <w:p>
            <w:pPr>
              <w:spacing w:after="0"/>
              <w:rPr>
                <w:sz w:val="19"/>
                <w:szCs w:val="19"/>
                <w:color w:val="auto"/>
              </w:rPr>
            </w:pPr>
          </w:p>
        </w:tc>
        <w:tc>
          <w:tcPr>
            <w:tcW w:w="9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ind w:left="2460" w:hanging="144"/>
        <w:spacing w:after="0"/>
        <w:tabs>
          <w:tab w:leader="none" w:pos="2460"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shares</w:t>
      </w:r>
    </w:p>
    <w:p>
      <w:pPr>
        <w:spacing w:after="0" w:line="128" w:lineRule="exact"/>
        <w:rPr>
          <w:rFonts w:ascii="Arial" w:cs="Arial" w:eastAsia="Arial" w:hAnsi="Arial"/>
          <w:sz w:val="18"/>
          <w:szCs w:val="18"/>
          <w:color w:val="auto"/>
        </w:rPr>
      </w:pPr>
    </w:p>
    <w:p>
      <w:pPr>
        <w:ind w:left="540" w:right="5900" w:hanging="445"/>
        <w:spacing w:after="0" w:line="277"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86,418 shares</w:t>
      </w:r>
    </w:p>
    <w:p>
      <w:pPr>
        <w:spacing w:after="0" w:line="89" w:lineRule="exact"/>
        <w:rPr>
          <w:rFonts w:ascii="Arial" w:cs="Arial" w:eastAsia="Arial" w:hAnsi="Arial"/>
          <w:sz w:val="18"/>
          <w:szCs w:val="18"/>
          <w:color w:val="auto"/>
        </w:rPr>
      </w:pPr>
    </w:p>
    <w:p>
      <w:pPr>
        <w:ind w:left="540" w:hanging="449"/>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144" w:lineRule="exact"/>
        <w:rPr>
          <w:rFonts w:ascii="Arial" w:cs="Arial" w:eastAsia="Arial" w:hAnsi="Arial"/>
          <w:sz w:val="18"/>
          <w:szCs w:val="18"/>
          <w:color w:val="auto"/>
        </w:rPr>
      </w:pPr>
    </w:p>
    <w:p>
      <w:pPr>
        <w:ind w:left="540" w:right="6840" w:hanging="449"/>
        <w:spacing w:after="0" w:line="277"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(11) 0.1%</w:t>
      </w:r>
    </w:p>
    <w:p>
      <w:pPr>
        <w:spacing w:after="0" w:line="89" w:lineRule="exact"/>
        <w:rPr>
          <w:rFonts w:ascii="Arial" w:cs="Arial" w:eastAsia="Arial" w:hAnsi="Arial"/>
          <w:sz w:val="18"/>
          <w:szCs w:val="18"/>
          <w:color w:val="auto"/>
        </w:rPr>
      </w:pPr>
    </w:p>
    <w:p>
      <w:pPr>
        <w:ind w:left="540" w:right="7540" w:hanging="449"/>
        <w:spacing w:after="0" w:line="277"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Type of Reporting Person (See Instructions) IN,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spacing w:after="0"/>
        <w:tabs>
          <w:tab w:leader="none" w:pos="5460" w:val="left"/>
          <w:tab w:leader="none" w:pos="9900" w:val="left"/>
        </w:tabs>
        <w:rPr>
          <w:sz w:val="20"/>
          <w:szCs w:val="20"/>
          <w:color w:val="auto"/>
        </w:rPr>
      </w:pPr>
      <w:r>
        <w:rPr>
          <w:rFonts w:ascii="Arial" w:cs="Arial" w:eastAsia="Arial" w:hAnsi="Arial"/>
          <w:sz w:val="18"/>
          <w:szCs w:val="18"/>
          <w:b w:val="1"/>
          <w:bCs w:val="1"/>
          <w:color w:val="auto"/>
        </w:rPr>
        <w:t>CUSIP No</w:t>
      </w:r>
      <w:r>
        <w:rPr>
          <w:rFonts w:ascii="Arial" w:cs="Arial" w:eastAsia="Arial" w:hAnsi="Arial"/>
          <w:sz w:val="18"/>
          <w:szCs w:val="18"/>
          <w:color w:val="auto"/>
        </w:rPr>
        <w:t>.</w:t>
      </w:r>
      <w:r>
        <w:rPr>
          <w:rFonts w:ascii="Arial" w:cs="Arial" w:eastAsia="Arial" w:hAnsi="Arial"/>
          <w:sz w:val="18"/>
          <w:szCs w:val="18"/>
          <w:b w:val="1"/>
          <w:bCs w:val="1"/>
          <w:color w:val="auto"/>
        </w:rPr>
        <w:t xml:space="preserve"> 816212104</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5"/>
          <w:szCs w:val="15"/>
          <w:b w:val="1"/>
          <w:bCs w:val="1"/>
          <w:color w:val="auto"/>
        </w:rPr>
        <w:t>Page 5 of 7 Pages</w:t>
      </w:r>
    </w:p>
    <w:p>
      <w:pPr>
        <w:spacing w:after="0" w:line="22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This Amendment No. 9 to the statement on Schedule 13D (this “Statement”) with respect to the shares of common stock, par value $0.0001 per share (the “Shares”), of Selecta Biosciences, Inc., a Delaware corporation (the “Issuer”), originally filed by Timothy A. Springer (“Dr. Springer”), TAS Partners LLC (“TAS”), Chafen Lu (“Dr. Lu” and, collectively, the “Reporting Persons”) and Leukon Investments, LP (“Leukon”) filed on March 27, 2019, as amended by Amendment No. 1 to the statement on Schedule 13D filed on August 23, 2019, Amendment No. 2 to the statement on Schedule 13D filed on September 16, 2019, Amendment No. 3 to the statement on Schedule 13D filed on December 17, 2019, Amendment No. 4 to the statement on Schedule 13D filed on January 2, 2020, Amendment No. 5 to the statement on Schedule 13D filed on October 15, 2020, Amendment No. 6 to the statement on Schedule 13D filed on October 23, 2020, Amendment No. 7 to the statement on Schedule 13D filed on May 27, 2021 and Amendment No. 8 to the statement on Schedule 13D filed on December 15, 2021 (such statement and amendments, as further amended herein, the “Schedule 13D”), amends the Schedule 13D as set forth below.</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All capitalized terms contained herein but not otherwise defined shall have the meanings ascribed to such terms in the Schedule 13D. Except as specifically amended by this Amendment No. 9, items in the Schedule 13D are unchanged.</w:t>
      </w:r>
    </w:p>
    <w:p>
      <w:pPr>
        <w:spacing w:after="0" w:line="1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u w:val="single" w:color="auto"/>
          <w:color w:val="auto"/>
        </w:rPr>
        <w:t>Source and Amount of Funds or Other Consideration</w:t>
      </w:r>
      <w:r>
        <w:rPr>
          <w:rFonts w:ascii="Arial" w:cs="Arial" w:eastAsia="Arial" w:hAnsi="Arial"/>
          <w:sz w:val="16"/>
          <w:szCs w:val="16"/>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3 of the Schedule 13D is hereby amended to be supplemented by the following:</w:t>
      </w:r>
    </w:p>
    <w:p>
      <w:pPr>
        <w:spacing w:after="0" w:line="225"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On December 15, 2021, TAS purchased 211,190 Shares on the open market at a weighted average price of $2.9883 per share for an aggregate purchase price of approximately $631,099 (excluding commissions). TAS drew from its investment capital for such acquisition.</w:t>
      </w:r>
    </w:p>
    <w:p>
      <w:pPr>
        <w:spacing w:after="0" w:line="14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u w:val="single" w:color="auto"/>
          <w:color w:val="auto"/>
        </w:rPr>
        <w:t>Interest in Securities of the Issuer</w:t>
      </w:r>
      <w:r>
        <w:rPr>
          <w:rFonts w:ascii="Arial" w:cs="Arial" w:eastAsia="Arial" w:hAnsi="Arial"/>
          <w:sz w:val="16"/>
          <w:szCs w:val="16"/>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5 of Schedule 13D is hereby amended and restated in full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under Item 3 and the cover page of the Schedule 13D is incorporated herein by reference into this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tabs>
          <w:tab w:leader="none" w:pos="5460" w:val="left"/>
          <w:tab w:leader="none" w:pos="9900" w:val="left"/>
        </w:tabs>
        <w:rPr>
          <w:sz w:val="20"/>
          <w:szCs w:val="20"/>
          <w:color w:val="auto"/>
        </w:rPr>
      </w:pPr>
      <w:r>
        <w:rPr>
          <w:rFonts w:ascii="Arial" w:cs="Arial" w:eastAsia="Arial" w:hAnsi="Arial"/>
          <w:sz w:val="18"/>
          <w:szCs w:val="18"/>
          <w:b w:val="1"/>
          <w:bCs w:val="1"/>
          <w:color w:val="auto"/>
        </w:rPr>
        <w:t>CUSIP No</w:t>
      </w:r>
      <w:r>
        <w:rPr>
          <w:rFonts w:ascii="Arial" w:cs="Arial" w:eastAsia="Arial" w:hAnsi="Arial"/>
          <w:sz w:val="18"/>
          <w:szCs w:val="18"/>
          <w:color w:val="auto"/>
        </w:rPr>
        <w:t>.</w:t>
      </w:r>
      <w:r>
        <w:rPr>
          <w:rFonts w:ascii="Arial" w:cs="Arial" w:eastAsia="Arial" w:hAnsi="Arial"/>
          <w:sz w:val="18"/>
          <w:szCs w:val="18"/>
          <w:b w:val="1"/>
          <w:bCs w:val="1"/>
          <w:color w:val="auto"/>
        </w:rPr>
        <w:t xml:space="preserve"> 816212104</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5"/>
          <w:szCs w:val="15"/>
          <w:b w:val="1"/>
          <w:bCs w:val="1"/>
          <w:color w:val="auto"/>
        </w:rPr>
        <w:t>Page 6 of 7 Pages</w:t>
      </w:r>
    </w:p>
    <w:p>
      <w:pPr>
        <w:spacing w:after="0" w:line="229" w:lineRule="exact"/>
        <w:rPr>
          <w:sz w:val="20"/>
          <w:szCs w:val="20"/>
          <w:color w:val="auto"/>
        </w:rPr>
      </w:pPr>
    </w:p>
    <w:p>
      <w:pPr>
        <w:ind w:right="120" w:firstLine="8"/>
        <w:spacing w:after="0" w:line="311" w:lineRule="auto"/>
        <w:tabs>
          <w:tab w:leader="none" w:pos="245"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percentages of beneficial ownership reported in this Item 5, and on each Reporting Person’s cover page to this Statement, are based on a total of 116,648,919 Shares issued and outstanding as of November 5, 2021, as reported on the Issuer’s Quarterly Report on Form 10-Q, dated November 9, 2021. All of the Share numbers reported below, and on each Reporting Person’s cover page to this Statement, are as of December 27, 2021.</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Reporting Persons, in the aggregate, beneficially own 32,662,916 Shares, representing approximately 28.0% of such class of securities.</w:t>
      </w:r>
    </w:p>
    <w:p>
      <w:pPr>
        <w:spacing w:after="0" w:line="225" w:lineRule="exact"/>
        <w:rPr>
          <w:sz w:val="20"/>
          <w:szCs w:val="20"/>
          <w:color w:val="auto"/>
        </w:rPr>
      </w:pPr>
    </w:p>
    <w:p>
      <w:pPr>
        <w:jc w:val="both"/>
        <w:ind w:right="440"/>
        <w:spacing w:after="0" w:line="301" w:lineRule="auto"/>
        <w:rPr>
          <w:sz w:val="20"/>
          <w:szCs w:val="20"/>
          <w:color w:val="auto"/>
        </w:rPr>
      </w:pPr>
      <w:r>
        <w:rPr>
          <w:rFonts w:ascii="Arial" w:cs="Arial" w:eastAsia="Arial" w:hAnsi="Arial"/>
          <w:sz w:val="16"/>
          <w:szCs w:val="16"/>
          <w:color w:val="auto"/>
        </w:rPr>
        <w:t>Dr. Springer is the beneficial owner of a total of 32,662,916 Shares, representing approximately 28.0% of the outstanding Shares and consisting of (i) 7,293,625 Shares held directly, (ii) 79,130 Shares underlying warrants exercisable within 60 days of December 27, 2021 and held directly, (iii) 46,410 Shares issuable upon exercise of outstanding options within 60 days of December 27, 2021 and held directly, (iv) 25,157,333 Shares held by TAS, (v) 1,970,443 Shares underlying warrants exercisable within 60 days of December 27, 2021 held by TAS, and (vi) 86,418 Shares held by Dr. Lu.</w:t>
      </w:r>
    </w:p>
    <w:p>
      <w:pPr>
        <w:spacing w:after="0" w:line="15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TAS is the beneficial owner of a total of 25,157,333, representing approximately 21.6% of the outstanding Shares and consisting of (i) 23,186,890 Shares and (ii) 1,970,443 Shares underlying warrants exercisable within 60 days of December 27, 2021. TAS holds all such Shares directly. Dr. Springer is the sole managing member of TAS.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Dr. Lu is the beneficial owner of a total of 86,418 Shares, representing approximately 0.1% of the outstanding Shares. Dr. Lu holds all such Shares directly.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Dr. Lu is the spouse of Dr. Springer.</w:t>
      </w:r>
    </w:p>
    <w:p>
      <w:pPr>
        <w:spacing w:after="0" w:line="211" w:lineRule="exact"/>
        <w:rPr>
          <w:sz w:val="20"/>
          <w:szCs w:val="20"/>
          <w:color w:val="auto"/>
        </w:rPr>
      </w:pPr>
    </w:p>
    <w:p>
      <w:pPr>
        <w:ind w:right="240" w:firstLine="8"/>
        <w:spacing w:after="0" w:line="263" w:lineRule="auto"/>
        <w:tabs>
          <w:tab w:leader="none" w:pos="255" w:val="left"/>
        </w:tabs>
        <w:numPr>
          <w:ilvl w:val="0"/>
          <w:numId w:val="9"/>
        </w:numPr>
        <w:rPr>
          <w:rFonts w:ascii="Arial" w:cs="Arial" w:eastAsia="Arial" w:hAnsi="Arial"/>
          <w:sz w:val="18"/>
          <w:szCs w:val="18"/>
          <w:color w:val="auto"/>
        </w:rPr>
      </w:pPr>
      <w:r>
        <w:rPr>
          <w:rFonts w:ascii="Arial" w:cs="Arial" w:eastAsia="Arial" w:hAnsi="Arial"/>
          <w:sz w:val="18"/>
          <w:szCs w:val="18"/>
          <w:color w:val="auto"/>
        </w:rPr>
        <w:t>Dr. Springer exercises sole voting and dispositive power over the Shares held by him directly and the Shares held by TAS. Dr. Springer disclaims beneficial ownership of the Shares held by TAS, except to the extent of his pecuniary interest therein. Dr. Lu exercises sole voting and dispositive power over the Shares held by her directly.</w:t>
      </w:r>
    </w:p>
    <w:p>
      <w:pPr>
        <w:spacing w:after="0" w:line="183" w:lineRule="exact"/>
        <w:rPr>
          <w:rFonts w:ascii="Arial" w:cs="Arial" w:eastAsia="Arial" w:hAnsi="Arial"/>
          <w:sz w:val="18"/>
          <w:szCs w:val="18"/>
          <w:color w:val="auto"/>
        </w:rPr>
      </w:pPr>
    </w:p>
    <w:p>
      <w:pPr>
        <w:ind w:right="560" w:firstLine="8"/>
        <w:spacing w:after="0" w:line="277" w:lineRule="auto"/>
        <w:tabs>
          <w:tab w:leader="none" w:pos="24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Reporting Persons have not engaged in any transactions with respect to the Shares during the 60 days before the date of this filing, except as described herein and in Item 3 of Schedule 13D.</w:t>
      </w:r>
    </w:p>
    <w:p>
      <w:pPr>
        <w:spacing w:after="0" w:line="170" w:lineRule="exact"/>
        <w:rPr>
          <w:rFonts w:ascii="Arial" w:cs="Arial" w:eastAsia="Arial" w:hAnsi="Arial"/>
          <w:sz w:val="18"/>
          <w:szCs w:val="18"/>
          <w:color w:val="auto"/>
        </w:rPr>
      </w:pPr>
    </w:p>
    <w:p>
      <w:pPr>
        <w:ind w:right="240" w:firstLine="8"/>
        <w:spacing w:after="0" w:line="277" w:lineRule="auto"/>
        <w:tabs>
          <w:tab w:leader="none" w:pos="255" w:val="left"/>
        </w:tabs>
        <w:numPr>
          <w:ilvl w:val="0"/>
          <w:numId w:val="9"/>
        </w:numPr>
        <w:rPr>
          <w:rFonts w:ascii="Arial" w:cs="Arial" w:eastAsia="Arial" w:hAnsi="Arial"/>
          <w:sz w:val="18"/>
          <w:szCs w:val="18"/>
          <w:color w:val="auto"/>
        </w:rPr>
      </w:pPr>
      <w:r>
        <w:rPr>
          <w:rFonts w:ascii="Arial" w:cs="Arial" w:eastAsia="Arial" w:hAnsi="Arial"/>
          <w:sz w:val="18"/>
          <w:szCs w:val="18"/>
          <w:color w:val="auto"/>
        </w:rPr>
        <w:t>No person other than the Reporting Persons is known to have the right to receive or the power to direct the receipt of dividends from, or the proceeds from the sale of, the Shares.</w:t>
      </w:r>
    </w:p>
    <w:p>
      <w:pPr>
        <w:spacing w:after="0" w:line="170" w:lineRule="exact"/>
        <w:rPr>
          <w:rFonts w:ascii="Arial" w:cs="Arial" w:eastAsia="Arial" w:hAnsi="Arial"/>
          <w:sz w:val="18"/>
          <w:szCs w:val="18"/>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tabs>
          <w:tab w:leader="none" w:pos="5460" w:val="left"/>
          <w:tab w:leader="none" w:pos="9900" w:val="left"/>
        </w:tabs>
        <w:rPr>
          <w:sz w:val="20"/>
          <w:szCs w:val="20"/>
          <w:color w:val="auto"/>
        </w:rPr>
      </w:pPr>
      <w:r>
        <w:rPr>
          <w:rFonts w:ascii="Arial" w:cs="Arial" w:eastAsia="Arial" w:hAnsi="Arial"/>
          <w:sz w:val="18"/>
          <w:szCs w:val="18"/>
          <w:b w:val="1"/>
          <w:bCs w:val="1"/>
          <w:color w:val="auto"/>
        </w:rPr>
        <w:t>CUSIP No</w:t>
      </w:r>
      <w:r>
        <w:rPr>
          <w:rFonts w:ascii="Arial" w:cs="Arial" w:eastAsia="Arial" w:hAnsi="Arial"/>
          <w:sz w:val="18"/>
          <w:szCs w:val="18"/>
          <w:color w:val="auto"/>
        </w:rPr>
        <w:t>.</w:t>
      </w:r>
      <w:r>
        <w:rPr>
          <w:rFonts w:ascii="Arial" w:cs="Arial" w:eastAsia="Arial" w:hAnsi="Arial"/>
          <w:sz w:val="18"/>
          <w:szCs w:val="18"/>
          <w:b w:val="1"/>
          <w:bCs w:val="1"/>
          <w:color w:val="auto"/>
        </w:rPr>
        <w:t xml:space="preserve"> 816212104</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5"/>
          <w:szCs w:val="15"/>
          <w:b w:val="1"/>
          <w:bCs w:val="1"/>
          <w:color w:val="auto"/>
        </w:rPr>
        <w:t>Page 7 of 7 Pages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27, 2021</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Timothy A Springer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Timothy A Springer</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Chafen 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Chafen Lu</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TAS Partners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320" w:type="dxa"/>
            <w:vAlign w:val="bottom"/>
          </w:tcPr>
          <w:p>
            <w:pPr>
              <w:ind w:left="674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Timothy A Springer</w:t>
            </w:r>
          </w:p>
        </w:tc>
      </w:tr>
      <w:tr>
        <w:trPr>
          <w:trHeight w:val="202"/>
        </w:trPr>
        <w:tc>
          <w:tcPr>
            <w:tcW w:w="7320" w:type="dxa"/>
            <w:vAlign w:val="bottom"/>
          </w:tcPr>
          <w:p>
            <w:pPr>
              <w:ind w:left="6740"/>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Timothy A. Springer</w:t>
            </w:r>
          </w:p>
        </w:tc>
      </w:tr>
      <w:tr>
        <w:trPr>
          <w:trHeight w:val="230"/>
        </w:trPr>
        <w:tc>
          <w:tcPr>
            <w:tcW w:w="7320" w:type="dxa"/>
            <w:vAlign w:val="bottom"/>
          </w:tcPr>
          <w:p>
            <w:pPr>
              <w:ind w:left="674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Manager</w:t>
            </w:r>
          </w:p>
        </w:tc>
      </w:tr>
      <w:tr>
        <w:trPr>
          <w:trHeight w:val="655"/>
        </w:trPr>
        <w:tc>
          <w:tcPr>
            <w:tcW w:w="73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10"/>
    </w:lvl>
    <w:lvl w:ilvl="1">
      <w:lvlJc w:val="left"/>
      <w:lvlText w:val="0"/>
      <w:numFmt w:val="bullet"/>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10"/>
    </w:lvl>
    <w:lvl w:ilvl="1">
      <w:lvlJc w:val="left"/>
      <w:lvlText w:val="0"/>
      <w:numFmt w:val="bullet"/>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10"/>
    </w:lvl>
    <w:lvl w:ilvl="1">
      <w:lvlJc w:val="left"/>
      <w:lvlText w:val="0"/>
      <w:numFmt w:val="bullet"/>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2021-12-27T15:06:49Z</dcterms:created>
  <dcterms:modified xsi:type="dcterms:W3CDTF">2021-12-27T15:06:49Z</dcterms:modified>
</cp:coreProperties>
</file>