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 SECURITIES AND EXCHANGE COMMISSION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63" w:lineRule="exact"/>
        <w:rPr>
          <w:sz w:val="24"/>
          <w:szCs w:val="24"/>
          <w:color w:val="auto"/>
        </w:rPr>
      </w:pPr>
    </w:p>
    <w:p>
      <w:pPr>
        <w:ind w:left="1320" w:hanging="203"/>
        <w:spacing w:after="0"/>
        <w:tabs>
          <w:tab w:leader="none" w:pos="13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2" w:lineRule="exact"/>
        <w:rPr>
          <w:sz w:val="24"/>
          <w:szCs w:val="24"/>
          <w:color w:val="auto"/>
        </w:rPr>
      </w:pPr>
    </w:p>
    <w:p>
      <w:pPr>
        <w:ind w:left="1320" w:hanging="203"/>
        <w:spacing w:after="0"/>
        <w:tabs>
          <w:tab w:leader="none" w:pos="132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6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001-37798</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color w:val="auto"/>
        </w:rPr>
        <w:t>Cartesian Therapeutics, Inc.</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9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40" w:type="dxa"/>
            <w:vAlign w:val="bottom"/>
          </w:tcPr>
          <w:p>
            <w:pPr>
              <w:jc w:val="right"/>
              <w:ind w:right="2150"/>
              <w:spacing w:after="0"/>
              <w:rPr>
                <w:sz w:val="20"/>
                <w:szCs w:val="20"/>
                <w:color w:val="auto"/>
              </w:rPr>
            </w:pPr>
            <w:r>
              <w:rPr>
                <w:rFonts w:ascii="Times New Roman" w:cs="Times New Roman" w:eastAsia="Times New Roman" w:hAnsi="Times New Roman"/>
                <w:sz w:val="18"/>
                <w:szCs w:val="18"/>
                <w:b w:val="1"/>
                <w:bCs w:val="1"/>
                <w:color w:val="auto"/>
              </w:rPr>
              <w:t>26-1622110</w:t>
            </w:r>
          </w:p>
        </w:tc>
      </w:tr>
      <w:tr>
        <w:trPr>
          <w:trHeight w:val="27"/>
        </w:trPr>
        <w:tc>
          <w:tcPr>
            <w:tcW w:w="5900" w:type="dxa"/>
            <w:vAlign w:val="bottom"/>
            <w:gridSpan w:val="2"/>
          </w:tcPr>
          <w:p>
            <w:pPr>
              <w:spacing w:after="0"/>
              <w:rPr>
                <w:sz w:val="2"/>
                <w:szCs w:val="2"/>
                <w:color w:val="auto"/>
              </w:rPr>
            </w:pPr>
          </w:p>
        </w:tc>
        <w:tc>
          <w:tcPr>
            <w:tcW w:w="5340" w:type="dxa"/>
            <w:vAlign w:val="bottom"/>
          </w:tcPr>
          <w:p>
            <w:pPr>
              <w:spacing w:after="0"/>
              <w:rPr>
                <w:sz w:val="2"/>
                <w:szCs w:val="2"/>
                <w:color w:val="auto"/>
              </w:rPr>
            </w:pPr>
          </w:p>
        </w:tc>
      </w:tr>
      <w:tr>
        <w:trPr>
          <w:trHeight w:val="178"/>
        </w:trPr>
        <w:tc>
          <w:tcPr>
            <w:tcW w:w="532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80" w:type="dxa"/>
            <w:vAlign w:val="bottom"/>
          </w:tcPr>
          <w:p>
            <w:pPr>
              <w:spacing w:after="0"/>
              <w:rPr>
                <w:sz w:val="15"/>
                <w:szCs w:val="15"/>
                <w:color w:val="auto"/>
              </w:rPr>
            </w:pPr>
          </w:p>
        </w:tc>
        <w:tc>
          <w:tcPr>
            <w:tcW w:w="534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59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5340" w:type="dxa"/>
            <w:vAlign w:val="bottom"/>
          </w:tcPr>
          <w:p>
            <w:pPr>
              <w:spacing w:after="0"/>
              <w:rPr>
                <w:sz w:val="20"/>
                <w:szCs w:val="20"/>
                <w:color w:val="auto"/>
              </w:rPr>
            </w:pPr>
          </w:p>
        </w:tc>
      </w:tr>
      <w:tr>
        <w:trPr>
          <w:trHeight w:val="365"/>
        </w:trPr>
        <w:tc>
          <w:tcPr>
            <w:tcW w:w="59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w:t>
            </w:r>
          </w:p>
        </w:tc>
        <w:tc>
          <w:tcPr>
            <w:tcW w:w="5340" w:type="dxa"/>
            <w:vAlign w:val="bottom"/>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21703</w:t>
            </w:r>
          </w:p>
        </w:tc>
      </w:tr>
      <w:tr>
        <w:trPr>
          <w:trHeight w:val="27"/>
        </w:trPr>
        <w:tc>
          <w:tcPr>
            <w:tcW w:w="53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28"/>
        </w:trPr>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8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(301) 348-8698</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23430"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31750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Contingent Value Rights</w:t>
      </w:r>
    </w:p>
    <w:p>
      <w:pPr>
        <w:spacing w:after="0" w:line="279"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292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Accelerated filer</w:t>
            </w:r>
          </w:p>
        </w:tc>
        <w:tc>
          <w:tcPr>
            <w:tcW w:w="124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292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4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rPr>
              <w:t>☑</w:t>
            </w:r>
          </w:p>
        </w:tc>
      </w:tr>
      <w:tr>
        <w:trPr>
          <w:trHeight w:val="272"/>
        </w:trPr>
        <w:tc>
          <w:tcPr>
            <w:tcW w:w="266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42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4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rPr>
              <w:t>☐</w:t>
            </w:r>
          </w:p>
        </w:tc>
      </w:tr>
      <w:tr>
        <w:trPr>
          <w:trHeight w:val="932"/>
        </w:trPr>
        <w:tc>
          <w:tcPr>
            <w:tcW w:w="26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0"/>
          <w:szCs w:val="20"/>
          <w:color w:val="auto"/>
        </w:rPr>
      </w:pPr>
    </w:p>
    <w:p>
      <w:pPr>
        <w:ind w:left="340" w:right="1760"/>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31, 2026, the registrant had 30,503,005 shares of common stock, par value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60" w:type="dxa"/>
            <w:vAlign w:val="bottom"/>
            <w:gridSpan w:val="10"/>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72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392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40" w:type="dxa"/>
            <w:vAlign w:val="bottom"/>
            <w:gridSpan w:val="2"/>
          </w:tcPr>
          <w:p>
            <w:pPr>
              <w:spacing w:after="0"/>
              <w:rPr>
                <w:sz w:val="24"/>
                <w:szCs w:val="24"/>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September 30, 2026 and December 31, 2025</w:t>
            </w:r>
          </w:p>
        </w:tc>
        <w:tc>
          <w:tcPr>
            <w:tcW w:w="4220" w:type="dxa"/>
            <w:vAlign w:val="bottom"/>
            <w:gridSpan w:val="7"/>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Three and Nine Months ended September 30, 2026</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6</w:t>
            </w: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92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and 2025</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Deficit for the Three Months ended March 31, June 30, and September</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7</w:t>
            </w: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30, 2026 and 2025</w:t>
            </w:r>
          </w:p>
        </w:tc>
        <w:tc>
          <w:tcPr>
            <w:tcW w:w="7660" w:type="dxa"/>
            <w:vAlign w:val="bottom"/>
            <w:tcBorders>
              <w:top w:val="single" w:sz="8" w:color="0000FF"/>
            </w:tcBorders>
            <w:gridSpan w:val="14"/>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2026 and 2025</w:t>
            </w:r>
          </w:p>
        </w:tc>
        <w:tc>
          <w:tcPr>
            <w:tcW w:w="290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800" w:type="dxa"/>
            <w:vAlign w:val="bottom"/>
            <w:gridSpan w:val="11"/>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60" w:type="dxa"/>
            <w:vAlign w:val="bottom"/>
          </w:tcPr>
          <w:p>
            <w:pPr>
              <w:spacing w:after="0"/>
              <w:rPr>
                <w:sz w:val="18"/>
                <w:szCs w:val="18"/>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8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43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4"/>
          </w:tcPr>
          <w:p>
            <w:pPr>
              <w:spacing w:after="0"/>
              <w:rPr>
                <w:sz w:val="18"/>
                <w:szCs w:val="18"/>
                <w:color w:val="auto"/>
              </w:rPr>
            </w:pPr>
          </w:p>
        </w:tc>
        <w:tc>
          <w:tcPr>
            <w:tcW w:w="3520" w:type="dxa"/>
            <w:vAlign w:val="bottom"/>
            <w:gridSpan w:val="4"/>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120" w:type="dxa"/>
            <w:vAlign w:val="bottom"/>
          </w:tcPr>
          <w:p>
            <w:pPr>
              <w:spacing w:after="0"/>
              <w:rPr>
                <w:sz w:val="18"/>
                <w:szCs w:val="18"/>
                <w:color w:val="auto"/>
              </w:rPr>
            </w:pPr>
          </w:p>
        </w:tc>
      </w:tr>
      <w:tr>
        <w:trPr>
          <w:trHeight w:val="47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4080" w:type="dxa"/>
            <w:vAlign w:val="bottom"/>
            <w:gridSpan w:val="6"/>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260" w:type="dxa"/>
            <w:vAlign w:val="bottom"/>
          </w:tcPr>
          <w:p>
            <w:pPr>
              <w:spacing w:after="0"/>
              <w:rPr>
                <w:sz w:val="24"/>
                <w:szCs w:val="24"/>
                <w:color w:val="auto"/>
              </w:rPr>
            </w:pP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620" w:type="dxa"/>
            <w:vAlign w:val="bottom"/>
            <w:gridSpan w:val="16"/>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1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1A.</w:t>
            </w:r>
          </w:p>
        </w:tc>
        <w:tc>
          <w:tcPr>
            <w:tcW w:w="260" w:type="dxa"/>
            <w:vAlign w:val="bottom"/>
          </w:tcPr>
          <w:p>
            <w:pPr>
              <w:spacing w:after="0"/>
              <w:rPr>
                <w:sz w:val="18"/>
                <w:szCs w:val="18"/>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600" w:type="dxa"/>
            <w:vAlign w:val="bottom"/>
            <w:gridSpan w:val="9"/>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60" w:type="dxa"/>
            <w:vAlign w:val="bottom"/>
            <w:tcBorders>
              <w:bottom w:val="single" w:sz="8" w:color="0000FF"/>
            </w:tcBorders>
          </w:tcPr>
          <w:p>
            <w:pPr>
              <w:spacing w:after="0"/>
              <w:rPr>
                <w:sz w:val="18"/>
                <w:szCs w:val="18"/>
                <w:color w:val="auto"/>
              </w:rPr>
            </w:pP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600" w:type="dxa"/>
            <w:vAlign w:val="bottom"/>
            <w:gridSpan w:val="9"/>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40" w:type="dxa"/>
            <w:vAlign w:val="bottom"/>
            <w:gridSpan w:val="2"/>
          </w:tcPr>
          <w:p>
            <w:pPr>
              <w:spacing w:after="0"/>
              <w:rPr>
                <w:sz w:val="18"/>
                <w:szCs w:val="18"/>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1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40" w:type="dxa"/>
            <w:vAlign w:val="bottom"/>
            <w:gridSpan w:val="2"/>
          </w:tcPr>
          <w:p>
            <w:pPr>
              <w:spacing w:after="0"/>
              <w:rPr>
                <w:sz w:val="18"/>
                <w:szCs w:val="18"/>
                <w:color w:val="auto"/>
              </w:rPr>
            </w:pP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00" w:type="dxa"/>
            <w:vAlign w:val="bottom"/>
            <w:tcBorders>
              <w:top w:val="single" w:sz="8" w:color="0000FF"/>
            </w:tcBorders>
          </w:tcPr>
          <w:p>
            <w:pPr>
              <w:spacing w:after="0"/>
              <w:rPr>
                <w:sz w:val="18"/>
                <w:szCs w:val="18"/>
                <w:color w:val="auto"/>
              </w:rPr>
            </w:pPr>
          </w:p>
        </w:tc>
        <w:tc>
          <w:tcPr>
            <w:tcW w:w="7580" w:type="dxa"/>
            <w:vAlign w:val="bottom"/>
            <w:gridSpan w:val="13"/>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40" w:type="dxa"/>
            <w:vAlign w:val="bottom"/>
            <w:gridSpan w:val="2"/>
          </w:tcPr>
          <w:p>
            <w:pPr>
              <w:spacing w:after="0"/>
              <w:rPr>
                <w:sz w:val="18"/>
                <w:szCs w:val="18"/>
                <w:color w:val="auto"/>
              </w:rPr>
            </w:pP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640" w:type="dxa"/>
            <w:vAlign w:val="bottom"/>
            <w:gridSpan w:val="17"/>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40" w:type="dxa"/>
            <w:vAlign w:val="bottom"/>
            <w:gridSpan w:val="2"/>
          </w:tcPr>
          <w:p>
            <w:pPr>
              <w:spacing w:after="0"/>
              <w:rPr>
                <w:sz w:val="18"/>
                <w:szCs w:val="18"/>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0" w:type="dxa"/>
            <w:vAlign w:val="bottom"/>
            <w:gridSpan w:val="19"/>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76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4980" w:type="dxa"/>
            <w:vAlign w:val="bottom"/>
            <w:gridSpan w:val="12"/>
          </w:tcPr>
          <w:p>
            <w:pPr>
              <w:jc w:val="right"/>
              <w:ind w:right="8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future pandemics or similar events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4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135"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business strategy, and the length of time that we believe our existing cash resources will fund our operations;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use of funds under our Loan Agreement (as defined herein) with K2 HealthVentures LLC, or K2HV;</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certain covenants under our Loan Agreement with K2HV that could adversely affect our operations and, in the case of an event of default, could result in us being obligated to repay any outstanding indebtedness sooner than planned and possibly at a time when we do not have sufficient capital to meet this obligation;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size and our potential growth opportunities;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and clinical development activities;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third-parties, including contract research organizations in the conduct of our preclinical studies and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therapeutic benefits and economic value of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impairment of our goodwill and indefinite lived intangible assets;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macroeconomic conditions, including inflation, increasing interest rates, volatile market conditions and current or potential bank failures;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events, including the ongoing conflicts between Russia and Ukraine, the ongoing conflict in the Middle East and geopolitical tensions with China;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uncertainty on our product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timing of potential regulatory designations, approvals and commercialization of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or minimize the effects of litigation and other contingencies;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development-stage company and our expectation to incur losses in the future, and the possibility that we never achieve or maintain profitability;</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our ability to access future capital;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value of our pipeline of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therapeutic intervention;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timely and successfully complete those trials and receive necessary regulatory approvals;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our manufacturing capabilities and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which in some cases are manufactured on a patient-by-patient basis;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or manufacture sufficient quantities of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or future collaborations or licenses and to seek new collaborations, licenses or partnerships;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regulatory requirements, including U.S. Food and Drug Administration, or FDA, regulation of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key executives and retain qualified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payouts under the contingent value rights, or CVR, issued to our holders of record as of the close of business on December 4, 2023;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monetize any of our legacy assets.</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risks and uncertainties may emerge from time to time, and it is not possible for management to predict all risk and uncertainties.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777"/>
        </w:trPr>
        <w:tc>
          <w:tcPr>
            <w:tcW w:w="32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4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6"/>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Cartesian Therapeutics, Inc. and Subsidiaries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8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par value)</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8"/>
        </w:trPr>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0"/>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8"/>
        </w:trPr>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9"/>
        </w:trPr>
        <w:tc>
          <w:tcPr>
            <w:tcW w:w="80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0"/>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125,139</w:t>
            </w:r>
          </w:p>
        </w:tc>
      </w:tr>
      <w:tr>
        <w:trPr>
          <w:trHeight w:val="230"/>
        </w:trPr>
        <w:tc>
          <w:tcPr>
            <w:tcW w:w="8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29"/>
        </w:trPr>
        <w:tc>
          <w:tcPr>
            <w:tcW w:w="8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r>
      <w:tr>
        <w:trPr>
          <w:trHeight w:val="223"/>
        </w:trPr>
        <w:tc>
          <w:tcPr>
            <w:tcW w:w="8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129,276</w:t>
            </w:r>
          </w:p>
        </w:tc>
      </w:tr>
      <w:tr>
        <w:trPr>
          <w:trHeight w:val="216"/>
        </w:trPr>
        <w:tc>
          <w:tcPr>
            <w:tcW w:w="806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w:t>
            </w:r>
          </w:p>
        </w:tc>
      </w:tr>
      <w:tr>
        <w:trPr>
          <w:trHeight w:val="22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r>
      <w:tr>
        <w:trPr>
          <w:trHeight w:val="230"/>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 asset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93,900</w:t>
            </w:r>
          </w:p>
        </w:tc>
      </w:tr>
      <w:tr>
        <w:trPr>
          <w:trHeight w:val="22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48,163</w:t>
            </w:r>
          </w:p>
        </w:tc>
      </w:tr>
      <w:tr>
        <w:trPr>
          <w:trHeight w:val="230"/>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Long-term restricted cash</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2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prepaid expenses and 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r>
      <w:tr>
        <w:trPr>
          <w:trHeight w:val="223"/>
        </w:trPr>
        <w:tc>
          <w:tcPr>
            <w:tcW w:w="320" w:type="dxa"/>
            <w:vAlign w:val="bottom"/>
          </w:tcPr>
          <w:p>
            <w:pPr>
              <w:spacing w:after="0"/>
              <w:rPr>
                <w:sz w:val="19"/>
                <w:szCs w:val="19"/>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296,411</w:t>
            </w: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30"/>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30"/>
        </w:trPr>
        <w:tc>
          <w:tcPr>
            <w:tcW w:w="8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w:t>
            </w:r>
          </w:p>
        </w:tc>
      </w:tr>
      <w:tr>
        <w:trPr>
          <w:trHeight w:val="230"/>
        </w:trPr>
        <w:tc>
          <w:tcPr>
            <w:tcW w:w="80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w:t>
            </w:r>
          </w:p>
        </w:tc>
      </w:tr>
      <w:tr>
        <w:trPr>
          <w:trHeight w:val="223"/>
        </w:trPr>
        <w:tc>
          <w:tcPr>
            <w:tcW w:w="80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14,937</w:t>
            </w:r>
          </w:p>
        </w:tc>
      </w:tr>
      <w:tr>
        <w:trPr>
          <w:trHeight w:val="216"/>
        </w:trPr>
        <w:tc>
          <w:tcPr>
            <w:tcW w:w="806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w:t>
            </w:r>
          </w:p>
        </w:tc>
      </w:tr>
      <w:tr>
        <w:trPr>
          <w:trHeight w:val="230"/>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Warrant liability, net of current portion</w:t>
            </w: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Contingent value rights liability</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392,100</w:t>
            </w:r>
          </w:p>
        </w:tc>
      </w:tr>
      <w:tr>
        <w:trPr>
          <w:trHeight w:val="230"/>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r>
      <w:tr>
        <w:trPr>
          <w:trHeight w:val="223"/>
        </w:trPr>
        <w:tc>
          <w:tcPr>
            <w:tcW w:w="320" w:type="dxa"/>
            <w:vAlign w:val="bottom"/>
            <w:tcBorders>
              <w:bottom w:val="single" w:sz="8" w:color="CCEEFF"/>
            </w:tcBorders>
          </w:tcPr>
          <w:p>
            <w:pPr>
              <w:spacing w:after="0"/>
              <w:rPr>
                <w:sz w:val="19"/>
                <w:szCs w:val="19"/>
                <w:color w:val="auto"/>
              </w:rPr>
            </w:pPr>
          </w:p>
        </w:tc>
        <w:tc>
          <w:tcPr>
            <w:tcW w:w="7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422,651</w:t>
            </w:r>
          </w:p>
        </w:tc>
      </w:tr>
      <w:tr>
        <w:trPr>
          <w:trHeight w:val="210"/>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806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80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deficit: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75"/>
        </w:trPr>
        <w:tc>
          <w:tcPr>
            <w:tcW w:w="80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A Preferred Stock, $0.0001 par value; 112,164.533 and 134,904.563 shares authorized as of September</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4"/>
        </w:trPr>
        <w:tc>
          <w:tcPr>
            <w:tcW w:w="806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30, 2026 and December 31, 2025, respectively; 98,050.372 and 120,790.402 shares issued and outstanding as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4"/>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of September 30, 2026 and December 31, 2025, respectively</w:t>
            </w:r>
          </w:p>
        </w:tc>
        <w:tc>
          <w:tcPr>
            <w:tcW w:w="16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06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B Preferred Stock, $0.0001 par value; 437,927 shares authorized as of September 30, 2026 and</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3"/>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 437,927 shares issued and outstanding as of September 30, 2026 and December 31, 2025</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0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9,449,908.467 and 9,427,168.437 shares authorized as of September 30,</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4"/>
        </w:trPr>
        <w:tc>
          <w:tcPr>
            <w:tcW w:w="806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2026 and December 31, 2025, respectively; no shares issued and outstanding as of September 30, 2026 and</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4"/>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6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06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$0.0001 par value; 350,000,000 shares authorized as of September 30, 2026 and December 31,</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4"/>
        </w:trPr>
        <w:tc>
          <w:tcPr>
            <w:tcW w:w="8060" w:type="dxa"/>
            <w:vAlign w:val="bottom"/>
            <w:gridSpan w:val="3"/>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2025; 30,487,384 and 26,011,106 shares issued and outstanding as of September 30, 2026 and December 31,</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34"/>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respectively</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700,706</w:t>
            </w:r>
          </w:p>
        </w:tc>
      </w:tr>
      <w:tr>
        <w:trPr>
          <w:trHeight w:val="229"/>
        </w:trPr>
        <w:tc>
          <w:tcPr>
            <w:tcW w:w="8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(822,373)</w:t>
            </w:r>
          </w:p>
        </w:tc>
      </w:tr>
      <w:tr>
        <w:trPr>
          <w:trHeight w:val="230"/>
        </w:trPr>
        <w:tc>
          <w:tcPr>
            <w:tcW w:w="806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23"/>
        </w:trPr>
        <w:tc>
          <w:tcPr>
            <w:tcW w:w="8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(126,240)</w:t>
            </w:r>
          </w:p>
        </w:tc>
      </w:tr>
      <w:tr>
        <w:trPr>
          <w:trHeight w:val="223"/>
        </w:trPr>
        <w:tc>
          <w:tcPr>
            <w:tcW w:w="320" w:type="dxa"/>
            <w:vAlign w:val="bottom"/>
          </w:tcPr>
          <w:p>
            <w:pPr>
              <w:spacing w:after="0"/>
              <w:rPr>
                <w:sz w:val="19"/>
                <w:szCs w:val="19"/>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296,411</w:t>
            </w:r>
          </w:p>
        </w:tc>
      </w:tr>
      <w:tr>
        <w:trPr>
          <w:trHeight w:val="21"/>
        </w:trPr>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00"/>
          </w:cols>
          <w:pgMar w:left="340" w:top="108"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 w:right="3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700"/>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480" w:type="dxa"/>
            <w:vAlign w:val="bottom"/>
            <w:gridSpan w:val="7"/>
          </w:tcPr>
          <w:p>
            <w:pPr>
              <w:ind w:left="2440"/>
              <w:spacing w:after="0"/>
              <w:rPr>
                <w:sz w:val="20"/>
                <w:szCs w:val="20"/>
                <w:color w:val="auto"/>
              </w:rPr>
            </w:pPr>
            <w:r>
              <w:rPr>
                <w:rFonts w:ascii="Times New Roman" w:cs="Times New Roman" w:eastAsia="Times New Roman" w:hAnsi="Times New Roman"/>
                <w:sz w:val="18"/>
                <w:szCs w:val="18"/>
                <w:b w:val="1"/>
                <w:bCs w:val="1"/>
                <w:color w:val="auto"/>
              </w:rPr>
              <w:t>Cartesian Therapeutics, Inc. and Subsidiaries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0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0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share and per share data)</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1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Pr>
          <w:p>
            <w:pPr>
              <w:spacing w:after="0"/>
              <w:rPr>
                <w:sz w:val="24"/>
                <w:szCs w:val="24"/>
                <w:color w:val="auto"/>
              </w:rPr>
            </w:pPr>
          </w:p>
        </w:tc>
        <w:tc>
          <w:tcPr>
            <w:tcW w:w="294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32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Collaboration and license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4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23"/>
        </w:trPr>
        <w:tc>
          <w:tcPr>
            <w:tcW w:w="4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r>
      <w:tr>
        <w:trPr>
          <w:trHeight w:val="216"/>
        </w:trPr>
        <w:tc>
          <w:tcPr>
            <w:tcW w:w="482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43,345</w:t>
            </w:r>
          </w:p>
        </w:tc>
      </w:tr>
      <w:tr>
        <w:trPr>
          <w:trHeight w:val="230"/>
        </w:trPr>
        <w:tc>
          <w:tcPr>
            <w:tcW w:w="48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23,271</w:t>
            </w:r>
          </w:p>
        </w:tc>
      </w:tr>
      <w:tr>
        <w:trPr>
          <w:trHeight w:val="223"/>
        </w:trPr>
        <w:tc>
          <w:tcPr>
            <w:tcW w:w="4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66,616</w:t>
            </w:r>
          </w:p>
        </w:tc>
      </w:tr>
      <w:tr>
        <w:trPr>
          <w:trHeight w:val="216"/>
        </w:trPr>
        <w:tc>
          <w:tcPr>
            <w:tcW w:w="48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(64,766)</w:t>
            </w:r>
          </w:p>
        </w:tc>
      </w:tr>
      <w:tr>
        <w:trPr>
          <w:trHeight w:val="216"/>
        </w:trPr>
        <w:tc>
          <w:tcPr>
            <w:tcW w:w="48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r>
      <w:tr>
        <w:trPr>
          <w:trHeight w:val="229"/>
        </w:trPr>
        <w:tc>
          <w:tcPr>
            <w:tcW w:w="4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Gain on change in fair value of warrant liability</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r>
      <w:tr>
        <w:trPr>
          <w:trHeight w:val="230"/>
        </w:trPr>
        <w:tc>
          <w:tcPr>
            <w:tcW w:w="4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on change in fair value of derivative liability</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Gain (loss) on change in fair value of CVR liability</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18,746</w:t>
            </w:r>
          </w:p>
        </w:tc>
      </w:tr>
      <w:tr>
        <w:trPr>
          <w:trHeight w:val="230"/>
        </w:trPr>
        <w:tc>
          <w:tcPr>
            <w:tcW w:w="4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27,040</w:t>
            </w:r>
          </w:p>
        </w:tc>
      </w:tr>
      <w:tr>
        <w:trPr>
          <w:trHeight w:val="216"/>
        </w:trPr>
        <w:tc>
          <w:tcPr>
            <w:tcW w:w="4820" w:type="dxa"/>
            <w:vAlign w:val="bottom"/>
            <w:gridSpan w:val="3"/>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223"/>
        </w:trPr>
        <w:tc>
          <w:tcPr>
            <w:tcW w:w="48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(37,726)</w:t>
            </w:r>
          </w:p>
        </w:tc>
      </w:tr>
      <w:tr>
        <w:trPr>
          <w:trHeight w:val="196"/>
        </w:trPr>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(37,692)</w:t>
            </w: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(37,726)</w:t>
            </w:r>
          </w:p>
        </w:tc>
      </w:tr>
      <w:tr>
        <w:trPr>
          <w:trHeight w:val="216"/>
        </w:trPr>
        <w:tc>
          <w:tcPr>
            <w:tcW w:w="482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allocable to common stockholders: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30,309,295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26,002,892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28,894,967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25,962,302</w:t>
            </w:r>
          </w:p>
        </w:tc>
      </w:tr>
    </w:tbl>
    <w:p>
      <w:pPr>
        <w:spacing w:after="0" w:line="23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Cartesian Therapeutics, Inc. and Subsidiaries</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Deficit</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800" w:type="dxa"/>
            <w:vAlign w:val="bottom"/>
          </w:tcPr>
          <w:p>
            <w:pPr>
              <w:spacing w:after="0"/>
              <w:rPr>
                <w:sz w:val="18"/>
                <w:szCs w:val="18"/>
                <w:color w:val="auto"/>
              </w:rPr>
            </w:pPr>
          </w:p>
        </w:tc>
        <w:tc>
          <w:tcPr>
            <w:tcW w:w="132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Series B</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80" w:type="dxa"/>
            <w:vAlign w:val="bottom"/>
            <w:vMerge w:val="restart"/>
          </w:tcPr>
          <w:p>
            <w:pPr>
              <w:spacing w:after="0"/>
              <w:rPr>
                <w:sz w:val="12"/>
                <w:szCs w:val="12"/>
                <w:color w:val="auto"/>
              </w:rPr>
            </w:pPr>
          </w:p>
        </w:tc>
        <w:tc>
          <w:tcPr>
            <w:tcW w:w="1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80" w:type="dxa"/>
            <w:vAlign w:val="bottom"/>
            <w:vMerge w:val="restart"/>
          </w:tcPr>
          <w:p>
            <w:pPr>
              <w:spacing w:after="0"/>
              <w:rPr>
                <w:sz w:val="12"/>
                <w:szCs w:val="12"/>
                <w:color w:val="auto"/>
              </w:rPr>
            </w:pPr>
          </w:p>
        </w:tc>
        <w:tc>
          <w:tcPr>
            <w:tcW w:w="1620" w:type="dxa"/>
            <w:vAlign w:val="bottom"/>
            <w:gridSpan w:val="3"/>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7"/>
                <w:szCs w:val="17"/>
                <w:b w:val="1"/>
                <w:bCs w:val="1"/>
                <w:color w:val="auto"/>
              </w:rPr>
              <w:t>other</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0" w:type="dxa"/>
            <w:vAlign w:val="bottom"/>
          </w:tcPr>
          <w:p>
            <w:pPr>
              <w:spacing w:after="0"/>
              <w:rPr>
                <w:sz w:val="14"/>
                <w:szCs w:val="14"/>
                <w:color w:val="auto"/>
              </w:rPr>
            </w:pPr>
          </w:p>
        </w:tc>
        <w:tc>
          <w:tcPr>
            <w:tcW w:w="170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2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paid-in</w:t>
            </w:r>
          </w:p>
        </w:tc>
        <w:tc>
          <w:tcPr>
            <w:tcW w:w="11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8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6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155"/>
        </w:trPr>
        <w:tc>
          <w:tcPr>
            <w:tcW w:w="18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December</w:t>
            </w:r>
          </w:p>
        </w:tc>
        <w:tc>
          <w:tcPr>
            <w:tcW w:w="9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120,790.402</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437,927</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26,011,106</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700,706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(822,373)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(126,240)</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Issuance of common</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8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upon exercise of</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93,632</w:t>
            </w:r>
          </w:p>
        </w:tc>
        <w:tc>
          <w:tcPr>
            <w:tcW w:w="30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w:t>
            </w: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upon vesting of</w:t>
            </w: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169,278</w:t>
            </w:r>
          </w:p>
        </w:tc>
        <w:tc>
          <w:tcPr>
            <w:tcW w:w="3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through at the</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market offering, net of</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commissions and</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2,270,712</w:t>
            </w:r>
          </w:p>
        </w:tc>
        <w:tc>
          <w:tcPr>
            <w:tcW w:w="30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14,584</w:t>
            </w: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Currency translation</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(39,182)</w:t>
            </w:r>
          </w:p>
        </w:tc>
        <w:tc>
          <w:tcPr>
            <w:tcW w:w="0" w:type="dxa"/>
            <w:vAlign w:val="bottom"/>
          </w:tcPr>
          <w:p>
            <w:pPr>
              <w:spacing w:after="0"/>
              <w:rPr>
                <w:sz w:val="1"/>
                <w:szCs w:val="1"/>
                <w:color w:val="auto"/>
              </w:rPr>
            </w:pPr>
          </w:p>
        </w:tc>
      </w:tr>
      <w:tr>
        <w:trPr>
          <w:trHeight w:val="156"/>
        </w:trPr>
        <w:tc>
          <w:tcPr>
            <w:tcW w:w="18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March 31,</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120,790.402</w:t>
            </w: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437,927</w:t>
            </w: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28,544,728</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718,017</w:t>
            </w:r>
          </w:p>
        </w:tc>
        <w:tc>
          <w:tcPr>
            <w:tcW w:w="8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(861,555)</w:t>
            </w:r>
          </w:p>
        </w:tc>
        <w:tc>
          <w:tcPr>
            <w:tcW w:w="80" w:type="dxa"/>
            <w:vAlign w:val="bottom"/>
          </w:tcPr>
          <w:p>
            <w:pPr>
              <w:spacing w:after="0"/>
              <w:rPr>
                <w:sz w:val="13"/>
                <w:szCs w:val="13"/>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8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(148,118)</w:t>
            </w:r>
          </w:p>
        </w:tc>
        <w:tc>
          <w:tcPr>
            <w:tcW w:w="0" w:type="dxa"/>
            <w:vAlign w:val="bottom"/>
          </w:tcPr>
          <w:p>
            <w:pPr>
              <w:spacing w:after="0"/>
              <w:rPr>
                <w:sz w:val="1"/>
                <w:szCs w:val="1"/>
                <w:color w:val="auto"/>
              </w:rPr>
            </w:pPr>
          </w:p>
        </w:tc>
      </w:tr>
      <w:tr>
        <w:trPr>
          <w:trHeight w:val="216"/>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8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Conversion of Series A</w:t>
            </w:r>
          </w:p>
        </w:tc>
        <w:tc>
          <w:tcPr>
            <w:tcW w:w="9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Preferred Stock to</w:t>
            </w: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(22,740.030)</w:t>
            </w:r>
          </w:p>
        </w:tc>
        <w:tc>
          <w:tcPr>
            <w:tcW w:w="3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758,001</w:t>
            </w:r>
          </w:p>
        </w:tc>
        <w:tc>
          <w:tcPr>
            <w:tcW w:w="3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upon exercise of</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192,209</w:t>
            </w:r>
          </w:p>
        </w:tc>
        <w:tc>
          <w:tcPr>
            <w:tcW w:w="30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w:t>
            </w: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through at the</w:t>
            </w: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market offering, net of</w:t>
            </w: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commissions and</w:t>
            </w: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543,024</w:t>
            </w:r>
          </w:p>
        </w:tc>
        <w:tc>
          <w:tcPr>
            <w:tcW w:w="3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Currency translation</w:t>
            </w: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0" w:type="dxa"/>
            <w:vAlign w:val="bottom"/>
          </w:tcPr>
          <w:p>
            <w:pPr>
              <w:spacing w:after="0"/>
              <w:rPr>
                <w:sz w:val="1"/>
                <w:szCs w:val="1"/>
                <w:color w:val="auto"/>
              </w:rPr>
            </w:pPr>
          </w:p>
        </w:tc>
      </w:tr>
      <w:tr>
        <w:trPr>
          <w:trHeight w:val="155"/>
        </w:trPr>
        <w:tc>
          <w:tcPr>
            <w:tcW w:w="18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June 30,</w:t>
            </w:r>
          </w:p>
        </w:tc>
        <w:tc>
          <w:tcPr>
            <w:tcW w:w="9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98,050.372</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437,927</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30,037,962</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725,165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(845,786)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(125,226)</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Issuance of common</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8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upon exercise of</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64,977</w:t>
            </w:r>
          </w:p>
        </w:tc>
        <w:tc>
          <w:tcPr>
            <w:tcW w:w="30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76"/>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w:t>
            </w: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upon vesting of</w:t>
            </w: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3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through at the</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market offering, net of</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commissions and</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382,467</w:t>
            </w:r>
          </w:p>
        </w:tc>
        <w:tc>
          <w:tcPr>
            <w:tcW w:w="30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176"/>
        </w:trPr>
        <w:tc>
          <w:tcPr>
            <w:tcW w:w="1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Currency translation</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0" w:type="dxa"/>
            <w:vAlign w:val="bottom"/>
          </w:tcPr>
          <w:p>
            <w:pPr>
              <w:spacing w:after="0"/>
              <w:rPr>
                <w:sz w:val="1"/>
                <w:szCs w:val="1"/>
                <w:color w:val="auto"/>
              </w:rPr>
            </w:pPr>
          </w:p>
        </w:tc>
      </w:tr>
      <w:tr>
        <w:trPr>
          <w:trHeight w:val="155"/>
        </w:trPr>
        <w:tc>
          <w:tcPr>
            <w:tcW w:w="18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September</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98,050.372</w:t>
            </w: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437,927</w:t>
            </w: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30,487,384</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731,409</w:t>
            </w:r>
          </w:p>
        </w:tc>
        <w:tc>
          <w:tcPr>
            <w:tcW w:w="8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(857,258)</w:t>
            </w:r>
          </w:p>
        </w:tc>
        <w:tc>
          <w:tcPr>
            <w:tcW w:w="80" w:type="dxa"/>
            <w:vAlign w:val="bottom"/>
          </w:tcPr>
          <w:p>
            <w:pPr>
              <w:spacing w:after="0"/>
              <w:rPr>
                <w:sz w:val="13"/>
                <w:szCs w:val="13"/>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8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(130,467)</w:t>
            </w:r>
          </w:p>
        </w:tc>
        <w:tc>
          <w:tcPr>
            <w:tcW w:w="0" w:type="dxa"/>
            <w:vAlign w:val="bottom"/>
          </w:tcPr>
          <w:p>
            <w:pPr>
              <w:spacing w:after="0"/>
              <w:rPr>
                <w:sz w:val="1"/>
                <w:szCs w:val="1"/>
                <w:color w:val="auto"/>
              </w:rPr>
            </w:pPr>
          </w:p>
        </w:tc>
      </w:tr>
      <w:tr>
        <w:trPr>
          <w:trHeight w:val="216"/>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30, 2026</w:t>
            </w:r>
          </w:p>
        </w:tc>
        <w:tc>
          <w:tcPr>
            <w:tcW w:w="98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ectPr>
          <w:pgSz w:w="11900" w:h="16838" w:orient="portrait"/>
          <w:cols w:equalWidth="0" w:num="1">
            <w:col w:w="11240"/>
          </w:cols>
          <w:pgMar w:left="320" w:top="121" w:right="339" w:bottom="1440" w:gutter="0" w:footer="0" w:header="0"/>
        </w:sectPr>
      </w:pPr>
    </w:p>
    <w:p>
      <w:pPr>
        <w:spacing w:after="0" w:line="30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0"/>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40" w:type="dxa"/>
            <w:vAlign w:val="bottom"/>
            <w:gridSpan w:val="11"/>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Cartesian Therapeutics, Inc. and Subsidiaries</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740" w:type="dxa"/>
            <w:vAlign w:val="bottom"/>
            <w:gridSpan w:val="1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Changes in Stockholders’ Deficit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40" w:type="dxa"/>
            <w:vAlign w:val="bottom"/>
            <w:gridSpan w:val="12"/>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share data)</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Series B</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80" w:type="dxa"/>
            <w:vAlign w:val="bottom"/>
            <w:vMerge w:val="restart"/>
          </w:tcPr>
          <w:p>
            <w:pPr>
              <w:spacing w:after="0"/>
              <w:rPr>
                <w:sz w:val="12"/>
                <w:szCs w:val="12"/>
                <w:color w:val="auto"/>
              </w:rPr>
            </w:pPr>
          </w:p>
        </w:tc>
        <w:tc>
          <w:tcPr>
            <w:tcW w:w="1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80" w:type="dxa"/>
            <w:vAlign w:val="bottom"/>
            <w:vMerge w:val="restart"/>
          </w:tcPr>
          <w:p>
            <w:pPr>
              <w:spacing w:after="0"/>
              <w:rPr>
                <w:sz w:val="12"/>
                <w:szCs w:val="12"/>
                <w:color w:val="auto"/>
              </w:rPr>
            </w:pPr>
          </w:p>
        </w:tc>
        <w:tc>
          <w:tcPr>
            <w:tcW w:w="162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7"/>
                <w:szCs w:val="17"/>
                <w:b w:val="1"/>
                <w:bCs w:val="1"/>
                <w:color w:val="auto"/>
              </w:rPr>
              <w:t>other</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2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2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paid-in</w:t>
            </w:r>
          </w:p>
        </w:tc>
        <w:tc>
          <w:tcPr>
            <w:tcW w:w="11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8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6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156"/>
        </w:trPr>
        <w:tc>
          <w:tcPr>
            <w:tcW w:w="1800" w:type="dxa"/>
            <w:vAlign w:val="bottom"/>
            <w:tcBorders>
              <w:top w:val="single" w:sz="8" w:color="CCEEFF"/>
            </w:tcBorders>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December</w:t>
            </w:r>
          </w:p>
        </w:tc>
        <w:tc>
          <w:tcPr>
            <w:tcW w:w="9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120,790.402</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437,927</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25,767,369</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689,887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(692,071)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Issuance of common</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800" w:type="dxa"/>
            <w:vAlign w:val="bottom"/>
            <w:gridSpan w:val="3"/>
            <w:vMerge w:val="continue"/>
          </w:tcPr>
          <w:p>
            <w:pPr>
              <w:spacing w:after="0"/>
              <w:rPr>
                <w:sz w:val="10"/>
                <w:szCs w:val="10"/>
                <w:color w:val="auto"/>
              </w:rPr>
            </w:pPr>
          </w:p>
        </w:tc>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80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upon exercise of</w:t>
            </w: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55,690</w:t>
            </w:r>
          </w:p>
        </w:tc>
        <w:tc>
          <w:tcPr>
            <w:tcW w:w="32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175"/>
        </w:trPr>
        <w:tc>
          <w:tcPr>
            <w:tcW w:w="18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vested</w:t>
            </w: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113,042</w:t>
            </w:r>
          </w:p>
        </w:tc>
        <w:tc>
          <w:tcPr>
            <w:tcW w:w="3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8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0" w:type="dxa"/>
            <w:vAlign w:val="bottom"/>
          </w:tcPr>
          <w:p>
            <w:pPr>
              <w:spacing w:after="0"/>
              <w:rPr>
                <w:sz w:val="1"/>
                <w:szCs w:val="1"/>
                <w:color w:val="auto"/>
              </w:rPr>
            </w:pPr>
          </w:p>
        </w:tc>
      </w:tr>
      <w:tr>
        <w:trPr>
          <w:trHeight w:val="176"/>
        </w:trPr>
        <w:tc>
          <w:tcPr>
            <w:tcW w:w="18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Currency translation</w:t>
            </w: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(17,710)</w:t>
            </w:r>
          </w:p>
        </w:tc>
        <w:tc>
          <w:tcPr>
            <w:tcW w:w="0" w:type="dxa"/>
            <w:vAlign w:val="bottom"/>
          </w:tcPr>
          <w:p>
            <w:pPr>
              <w:spacing w:after="0"/>
              <w:rPr>
                <w:sz w:val="1"/>
                <w:szCs w:val="1"/>
                <w:color w:val="auto"/>
              </w:rPr>
            </w:pPr>
          </w:p>
        </w:tc>
      </w:tr>
      <w:tr>
        <w:trPr>
          <w:trHeight w:val="155"/>
        </w:trPr>
        <w:tc>
          <w:tcPr>
            <w:tcW w:w="1800" w:type="dxa"/>
            <w:vAlign w:val="bottom"/>
            <w:tcBorders>
              <w:top w:val="single" w:sz="8" w:color="CCEEFF"/>
            </w:tcBorders>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March 31,</w:t>
            </w:r>
          </w:p>
        </w:tc>
        <w:tc>
          <w:tcPr>
            <w:tcW w:w="9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120,790.402</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437,927</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25,936,101</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692,578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(709,781)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(21,789)</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Issuance of common</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800" w:type="dxa"/>
            <w:vAlign w:val="bottom"/>
            <w:gridSpan w:val="3"/>
            <w:vMerge w:val="continue"/>
          </w:tcPr>
          <w:p>
            <w:pPr>
              <w:spacing w:after="0"/>
              <w:rPr>
                <w:sz w:val="10"/>
                <w:szCs w:val="10"/>
                <w:color w:val="auto"/>
              </w:rPr>
            </w:pPr>
          </w:p>
        </w:tc>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80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 upon exercise of</w:t>
            </w: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25,690</w:t>
            </w:r>
          </w:p>
        </w:tc>
        <w:tc>
          <w:tcPr>
            <w:tcW w:w="32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75"/>
        </w:trPr>
        <w:tc>
          <w:tcPr>
            <w:tcW w:w="18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vested</w:t>
            </w: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38,274</w:t>
            </w:r>
          </w:p>
        </w:tc>
        <w:tc>
          <w:tcPr>
            <w:tcW w:w="3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8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175"/>
        </w:trPr>
        <w:tc>
          <w:tcPr>
            <w:tcW w:w="18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Currency translation</w:t>
            </w: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15,886</w:t>
            </w:r>
          </w:p>
        </w:tc>
        <w:tc>
          <w:tcPr>
            <w:tcW w:w="0" w:type="dxa"/>
            <w:vAlign w:val="bottom"/>
          </w:tcPr>
          <w:p>
            <w:pPr>
              <w:spacing w:after="0"/>
              <w:rPr>
                <w:sz w:val="1"/>
                <w:szCs w:val="1"/>
                <w:color w:val="auto"/>
              </w:rPr>
            </w:pPr>
          </w:p>
        </w:tc>
      </w:tr>
      <w:tr>
        <w:trPr>
          <w:trHeight w:val="155"/>
        </w:trPr>
        <w:tc>
          <w:tcPr>
            <w:tcW w:w="1800" w:type="dxa"/>
            <w:vAlign w:val="bottom"/>
            <w:tcBorders>
              <w:top w:val="single" w:sz="8" w:color="CCEEFF"/>
            </w:tcBorders>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June 30,</w:t>
            </w:r>
          </w:p>
        </w:tc>
        <w:tc>
          <w:tcPr>
            <w:tcW w:w="9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120,790.402</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437,927</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26,000,065</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695,942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(693,895)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bottom w:val="single" w:sz="8" w:color="CCEEFF"/>
            </w:tcBorders>
            <w:gridSpan w:val="3"/>
            <w:vMerge w:val="restart"/>
          </w:tcPr>
          <w:p>
            <w:pPr>
              <w:ind w:left="20"/>
              <w:spacing w:after="0" w:line="177" w:lineRule="exact"/>
              <w:rPr>
                <w:sz w:val="20"/>
                <w:szCs w:val="20"/>
                <w:color w:val="auto"/>
              </w:rPr>
            </w:pPr>
            <w:r>
              <w:rPr>
                <w:rFonts w:ascii="Times New Roman" w:cs="Times New Roman" w:eastAsia="Times New Roman" w:hAnsi="Times New Roman"/>
                <w:sz w:val="18"/>
                <w:szCs w:val="18"/>
                <w:color w:val="auto"/>
              </w:rPr>
              <w:t>Issuance of common</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800" w:type="dxa"/>
            <w:vAlign w:val="bottom"/>
            <w:gridSpan w:val="3"/>
            <w:vMerge w:val="continue"/>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Times New Roman" w:cs="Times New Roman" w:eastAsia="Times New Roman" w:hAnsi="Times New Roman"/>
                <w:sz w:val="15"/>
                <w:szCs w:val="15"/>
                <w:color w:val="auto"/>
              </w:rPr>
              <w:t>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80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stock upon exercise of</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32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5"/>
        </w:trPr>
        <w:tc>
          <w:tcPr>
            <w:tcW w:w="18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vested</w:t>
            </w: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3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18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176"/>
        </w:trPr>
        <w:tc>
          <w:tcPr>
            <w:tcW w:w="18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Currency translation</w:t>
            </w: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1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0" w:type="dxa"/>
            <w:vAlign w:val="bottom"/>
          </w:tcPr>
          <w:p>
            <w:pPr>
              <w:spacing w:after="0"/>
              <w:rPr>
                <w:sz w:val="1"/>
                <w:szCs w:val="1"/>
                <w:color w:val="auto"/>
              </w:rPr>
            </w:pPr>
          </w:p>
        </w:tc>
      </w:tr>
      <w:tr>
        <w:trPr>
          <w:trHeight w:val="155"/>
        </w:trPr>
        <w:tc>
          <w:tcPr>
            <w:tcW w:w="1800" w:type="dxa"/>
            <w:vAlign w:val="bottom"/>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September</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120,790.402</w:t>
            </w:r>
          </w:p>
        </w:tc>
        <w:tc>
          <w:tcPr>
            <w:tcW w:w="3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437,927</w:t>
            </w:r>
          </w:p>
        </w:tc>
        <w:tc>
          <w:tcPr>
            <w:tcW w:w="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26,003,606</w:t>
            </w:r>
          </w:p>
        </w:tc>
        <w:tc>
          <w:tcPr>
            <w:tcW w:w="3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698,537</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(729,797)</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0" w:type="dxa"/>
            <w:vAlign w:val="bottom"/>
          </w:tcPr>
          <w:p>
            <w:pPr>
              <w:spacing w:after="0"/>
              <w:rPr>
                <w:sz w:val="1"/>
                <w:szCs w:val="1"/>
                <w:color w:val="auto"/>
              </w:rPr>
            </w:pPr>
          </w:p>
        </w:tc>
      </w:tr>
      <w:tr>
        <w:trPr>
          <w:trHeight w:val="236"/>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20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400" w:type="dxa"/>
            <w:vAlign w:val="bottom"/>
            <w:gridSpan w:val="2"/>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700"/>
        </w:trPr>
        <w:tc>
          <w:tcPr>
            <w:tcW w:w="32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46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Cartesian Therapeutics, Inc. and Subsidiaries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6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6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(unaudited, amounts in thousands)</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10"/>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(37,726)</w:t>
            </w:r>
          </w:p>
        </w:tc>
      </w:tr>
      <w:tr>
        <w:trPr>
          <w:trHeight w:val="230"/>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r>
      <w:tr>
        <w:trPr>
          <w:trHeight w:val="230"/>
        </w:trPr>
        <w:tc>
          <w:tcPr>
            <w:tcW w:w="8040" w:type="dxa"/>
            <w:vAlign w:val="bottom"/>
            <w:gridSpan w:val="3"/>
            <w:shd w:val="clear" w:color="auto" w:fill="CCEEFF"/>
          </w:tcPr>
          <w:p>
            <w:pPr>
              <w:ind w:left="1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lease expense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9"/>
        </w:trPr>
        <w:tc>
          <w:tcPr>
            <w:tcW w:w="8040" w:type="dxa"/>
            <w:vAlign w:val="bottom"/>
            <w:gridSpan w:val="3"/>
          </w:tcPr>
          <w:p>
            <w:pPr>
              <w:ind w:left="12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8,377</w:t>
            </w:r>
          </w:p>
        </w:tc>
      </w:tr>
      <w:tr>
        <w:trPr>
          <w:trHeight w:val="229"/>
        </w:trPr>
        <w:tc>
          <w:tcPr>
            <w:tcW w:w="8040" w:type="dxa"/>
            <w:vAlign w:val="bottom"/>
            <w:gridSpan w:val="3"/>
            <w:shd w:val="clear" w:color="auto" w:fill="CCEEFF"/>
          </w:tcPr>
          <w:p>
            <w:pPr>
              <w:ind w:left="1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interest expense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Gain on change in fair value of warrant liability</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r>
      <w:tr>
        <w:trPr>
          <w:trHeight w:val="229"/>
        </w:trPr>
        <w:tc>
          <w:tcPr>
            <w:tcW w:w="8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change in fair value of derivative liability</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Gain on change in fair value of CVR liability</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(18,746)</w:t>
            </w:r>
          </w:p>
        </w:tc>
      </w:tr>
      <w:tr>
        <w:trPr>
          <w:trHeight w:val="230"/>
        </w:trPr>
        <w:tc>
          <w:tcPr>
            <w:tcW w:w="8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80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r>
      <w:tr>
        <w:trPr>
          <w:trHeight w:val="229"/>
        </w:trPr>
        <w:tc>
          <w:tcPr>
            <w:tcW w:w="8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29"/>
        </w:trPr>
        <w:tc>
          <w:tcPr>
            <w:tcW w:w="80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r>
      <w:tr>
        <w:trPr>
          <w:trHeight w:val="223"/>
        </w:trPr>
        <w:tc>
          <w:tcPr>
            <w:tcW w:w="320" w:type="dxa"/>
            <w:vAlign w:val="bottom"/>
          </w:tcPr>
          <w:p>
            <w:pPr>
              <w:spacing w:after="0"/>
              <w:rPr>
                <w:sz w:val="19"/>
                <w:szCs w:val="19"/>
                <w:color w:val="auto"/>
              </w:rPr>
            </w:pPr>
          </w:p>
        </w:tc>
        <w:tc>
          <w:tcPr>
            <w:tcW w:w="77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(56,229)</w:t>
            </w:r>
          </w:p>
        </w:tc>
      </w:tr>
      <w:tr>
        <w:trPr>
          <w:trHeight w:val="229"/>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w:t>
            </w:r>
          </w:p>
        </w:tc>
      </w:tr>
      <w:tr>
        <w:trPr>
          <w:trHeight w:val="223"/>
        </w:trPr>
        <w:tc>
          <w:tcPr>
            <w:tcW w:w="320" w:type="dxa"/>
            <w:vAlign w:val="bottom"/>
            <w:shd w:val="clear" w:color="auto" w:fill="CCEEFF"/>
          </w:tcPr>
          <w:p>
            <w:pPr>
              <w:spacing w:after="0"/>
              <w:rPr>
                <w:sz w:val="19"/>
                <w:szCs w:val="19"/>
                <w:color w:val="auto"/>
              </w:rPr>
            </w:pPr>
          </w:p>
        </w:tc>
        <w:tc>
          <w:tcPr>
            <w:tcW w:w="7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r>
      <w:tr>
        <w:trPr>
          <w:trHeight w:val="230"/>
        </w:trPr>
        <w:tc>
          <w:tcPr>
            <w:tcW w:w="8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long-term debt,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Equity offering costs</w:t>
            </w: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29"/>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8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Proceeds from at the market offering, net of commissions and expenses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of contingent value rights</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w:t>
            </w:r>
          </w:p>
        </w:tc>
      </w:tr>
      <w:tr>
        <w:trPr>
          <w:trHeight w:val="223"/>
        </w:trPr>
        <w:tc>
          <w:tcPr>
            <w:tcW w:w="320" w:type="dxa"/>
            <w:vAlign w:val="bottom"/>
            <w:tcBorders>
              <w:bottom w:val="single" w:sz="8" w:color="CCEEFF"/>
            </w:tcBorders>
          </w:tcPr>
          <w:p>
            <w:pPr>
              <w:spacing w:after="0"/>
              <w:rPr>
                <w:sz w:val="19"/>
                <w:szCs w:val="19"/>
                <w:color w:val="auto"/>
              </w:rPr>
            </w:pPr>
          </w:p>
        </w:tc>
        <w:tc>
          <w:tcPr>
            <w:tcW w:w="772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(8,003)</w:t>
            </w:r>
          </w:p>
        </w:tc>
      </w:tr>
      <w:tr>
        <w:trPr>
          <w:trHeight w:val="223"/>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8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(69,160)</w:t>
            </w:r>
          </w:p>
        </w:tc>
      </w:tr>
      <w:tr>
        <w:trPr>
          <w:trHeight w:val="230"/>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214,279</w:t>
            </w:r>
          </w:p>
        </w:tc>
      </w:tr>
      <w:tr>
        <w:trPr>
          <w:trHeight w:val="223"/>
        </w:trPr>
        <w:tc>
          <w:tcPr>
            <w:tcW w:w="8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145,119</w:t>
            </w: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0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8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not yet paid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offering costs in accrued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Initial fair value of derivative liability recorded in connection with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 w:right="359" w:bottom="1440" w:gutter="0" w:footer="0" w:header="0"/>
        </w:sectPr>
      </w:pPr>
    </w:p>
    <w:bookmarkStart w:id="10" w:name="page11"/>
    <w:bookmarkEnd w:id="1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 xml:space="preserve">Cartesian Therapeutics, Inc. </w:t>
      </w:r>
      <w:r>
        <w:rPr>
          <w:rFonts w:ascii="Times New Roman" w:cs="Times New Roman" w:eastAsia="Times New Roman" w:hAnsi="Times New Roman"/>
          <w:sz w:val="17"/>
          <w:szCs w:val="17"/>
          <w:b w:val="1"/>
          <w:bCs w:val="1"/>
          <w:color w:val="auto"/>
        </w:rPr>
        <w:t>and Subsidiaries</w:t>
      </w:r>
    </w:p>
    <w:p>
      <w:pPr>
        <w:spacing w:after="0" w:line="1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Cartesian Therapeutics, Inc., or the Company, </w:t>
      </w:r>
      <w:r>
        <w:rPr>
          <w:rFonts w:ascii="Times New Roman" w:cs="Times New Roman" w:eastAsia="Times New Roman" w:hAnsi="Times New Roman"/>
          <w:sz w:val="18"/>
          <w:szCs w:val="18"/>
          <w:color w:val="231F20"/>
        </w:rPr>
        <w:t>was</w:t>
      </w:r>
      <w:r>
        <w:rPr>
          <w:rFonts w:ascii="Times New Roman" w:cs="Times New Roman" w:eastAsia="Times New Roman" w:hAnsi="Times New Roman"/>
          <w:sz w:val="18"/>
          <w:szCs w:val="18"/>
          <w:color w:val="auto"/>
        </w:rPr>
        <w:t xml:space="preserve"> incorporated in Delaware on December 10, 2007, and is headquartered in Frederick, Maryland. The Company is a late clinical-stage biotechnology company </w:t>
      </w:r>
      <w:r>
        <w:rPr>
          <w:rFonts w:ascii="Times New Roman" w:cs="Times New Roman" w:eastAsia="Times New Roman" w:hAnsi="Times New Roman"/>
          <w:sz w:val="18"/>
          <w:szCs w:val="18"/>
          <w:color w:val="231F20"/>
        </w:rPr>
        <w:t>pioneering cell therapy for the treatment of autoimmune diseases. The Company leverages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proprietary technology and manufacturing platform to introduce mRNA into cells to provide a therapeutic effect to patients suffering from a variety of autoimmune conditions. Unlike DNA, mRNA degrades naturally over time without integrating into the cell’s genetic material. The Company’s cell therapies are designed to be dosed repeatedly like conventional drugs, administered in an outpatient setting and given without pre-treatment chemotherapy, which is required with many conventional cell therapies.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Product Candidates</w:t>
      </w:r>
    </w:p>
    <w:p>
      <w:pPr>
        <w:spacing w:after="0" w:line="175"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The Company aims to provide a personalized approach to treating patients that begins with the collection of a patient’s cells, which are then used to manufacture the Company’s cell therapy product candidates. Once a patient’s cells have expanded in the Company’s process, mRNA is introduced to deliver a chimeric antigen receptor into the cell. Once the manufacturing process is complete, the product candidate is sent back to the treating physician where they administer six weekly infusions of the Company’s cell therapy candidate to the patient. The Company’s product candidates are specifically designed to target and destroy the pathogenic, self-reactive cells that are the underlying cause of the autoimmune disease, with the goal of creating a precision immune reset for the patient.</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Descartes-08, the Company’s lead cell therapy product candidate, is an autologous chimeric antigen receptor T-cell therapy, or CAR-T, product targeting B-cell maturation antigen, or BCMA, in clinical development for the treatment of generalized myasthenia gravis, or MG, and myositis, specifically, moderate to severe multi-refractory dermatomyositis and antisynthetase syndrome. In contrast to conventional DNA-based CAR T-cell therapies, the Company’s CAR-T administration is designed to not require preconditioning chemotherapy, to be administered in the outpatient setting and does not carry the risk of genomic integration associated with cancerous transformation. Descartes-08 has been granted Orphan Drug Designation and Regenerative Medicine Advanced Therapy Designation by the U.S. Food and Drug Administration, or FDA, for the treatment of MG, and Rare Pediatric Disease Designation for the treatment of juvenile dermatomyositis.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Management’s Plan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2026, the Company had an accumulated deficit of $857.3 million. The Company anticipates operating losses to continue for the foreseeable future due to, among other things, costs related to research and development of its product candidates and its administrative organization. The future success of the Company is dependent on its ability to develop its product candidates and ultimately upon its ability to attain and sustain profitable operations. The successful development of product candidates requires substantial working capital, which may not be available to the Company on favorable terms or at all.</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Company’s cash, cash equivalents, and restricted cash were $124.7 million, of which $1.7 million was restricted cash related to lease commitments. The Company believes the cash, cash equivalents and restricted cash as of September 30, 2026 will enable it to fund its current planned operations for at least the next 12 months from the filing of this Quarterly Report.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22, 2026, the Company entered into the Loan Agreement (as defined below) with K2HV (as defined below), providing for Term Loan Facility (as defined below) with aggregate commitments of up to $150.0 million available in four tranches, subject to the satisfaction of certain conditions precedent. As of September 30, 2026, the Company has borrowed $50.0 million under the Loan Agreement. See Note 9, “Debt” for more information.</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the liability associated with the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 other Gross Proceeds will be distributed, net of specified deductions, to holders of the CVRs. There is no obligation to the Company to fund any amount related to the CVR liability. See Note 5, “Fair Value Measurements”.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w:t>
      </w: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right="7680" w:firstLine="8"/>
        <w:spacing w:after="0" w:line="466" w:lineRule="auto"/>
        <w:tabs>
          <w:tab w:leader="none" w:pos="18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Basis of presentation and consolidation</w:t>
      </w:r>
    </w:p>
    <w:p>
      <w:pPr>
        <w:spacing w:after="0" w:line="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Selecta (RUS), LLC, or Selecta (RUS), a Russian limited liability corporation, and Cartesian Bio, LLC, a Delaware limited liability company, which is a variable interest entity for which the Company is the primary beneficiary and have been prepared in conformity with accounting principles generally accepted in the United States of America, or U.S. GAAP. Any reference in these notes to applicable guidance is meant to refer to the authoritative United States generally accepted accounting principles as found in the relevant Accounting Standards Codification, or ASC, and Accounting Standards Update, or ASU, of the Financial Accounting Standards Board, or FASB. All significant intercompany accounts and transactions have been eliminated.</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for the three and nine months ended September 30, 2026 and 2025 have been prepared by the Company pursuant to the rules and regulations of the Securities and Exchange Commission, or the SEC, for interim financial statements. Certain information and footnote disclosures normally included in financial statements prepared in accordance with U.S. GAAP have been condensed or omitted pursuant to such rules and regulations. These consolidated financial statements should be read in conjunction with the Company’s audited consolidated financial statements and the notes thereto for the year ended December 31, 2025 included in the Company’s Annual Report on Form 10-K that was filed with the SEC on March 9, 2026.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September 30, 2026, the consolidated results of operations for the three and nine months ended September 30, 2026, and cash flows for the nine months ended September 30, 2026. Such adjustments are of a normal and recurring nature. The results of operations for the three and nine months ended September 30, 2026 are not necessarily indicative of the results of operations that may be expected for the year ending December 31, 2026.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disclosed its significant accounting policies in Note 2, “Summary of Significant Accounting Policies” included in the Company’s Annual Report on Form 10-K for the year ended December 31, 2025. Other than described below, there have been no material changes to the Company’s significant accounting policies during the nine months ended September 30,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estimated accrued research and development expenses, stock-based compensation expense, estimated fair value of the liability-classified warrants, estimated fair value of the embedded derivative and estimated fair value of the CVRs. The Company assesses the above estimates on an ongoing basis; however, actual results could materially differ from those estimates.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mainly of cash equivalents, restricted cash, accounts receivable, accounts payable, accrued expenses and other current liabilities, warrants to purchase common stock, derivatives and contingent value rights. The carrying amounts of cash equivalents, restricted cash, accounts receivable, accounts payable, and accrued expenses and other current liabilities approximate their estimated fair value due to their short-term maturities.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Level 1—Level 1 inputs are quoted prices in active markets for identical assets or liabilities that the reporting entity has the ability to access at the measurement date.</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312" w:lineRule="auto"/>
        <w:rPr>
          <w:sz w:val="20"/>
          <w:szCs w:val="20"/>
          <w:color w:val="auto"/>
        </w:rPr>
      </w:pPr>
      <w:r>
        <w:rPr>
          <w:rFonts w:ascii="Times New Roman" w:cs="Times New Roman" w:eastAsia="Times New Roman" w:hAnsi="Times New Roman"/>
          <w:sz w:val="17"/>
          <w:szCs w:val="17"/>
          <w:color w:val="auto"/>
        </w:rPr>
        <w:t>Level 2—Level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spacing w:after="0" w:line="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Level 3—Level 3 inputs are unobservable inputs for the asset or liability in which there is little, if any, market activity for the asset or liability at the measurement date.</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warrant, embedded derivative and contingent value rights liabilities are determined using Level 3 inputs.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debt in accordance with ASC 470,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and ASC 835-30, </w:t>
      </w:r>
      <w:r>
        <w:rPr>
          <w:rFonts w:ascii="Times New Roman" w:cs="Times New Roman" w:eastAsia="Times New Roman" w:hAnsi="Times New Roman"/>
          <w:sz w:val="18"/>
          <w:szCs w:val="18"/>
          <w:i w:val="1"/>
          <w:iCs w:val="1"/>
          <w:color w:val="auto"/>
        </w:rPr>
        <w:t>Interest - Imputation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Debt is initially recognized at its carrying amount, net of unamortized debt issuance costs and debt discounts. Debt issuance costs and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allocated to outstanding debt, including original issue discount and any discount arising from the allocation of proceeds to bifurcated embedded features, are presented as a direct deduction from the carrying amount of the debt and are amortized to interest expense over the contractual term of the debt using the effective interest method. Debt issuance costs and debt discounts allocated to future, potential principal amounts are treated as financial commitment assets and deferred, and are amortized straight line over the contractual term of the debt. If the potential principal becomes outstanding debt, the remaining outstanding balance of the related deferred costs are re-classified as a direct deduction from the carrying amount of the debt and are amortized to interest expense over the contractual term of the debt using the effective interest method. If the debt includes a final payment fee, that fee is treated as part of the debt’s effective yield and recognized as interest expense using the effective interest method over the term of the borrowing through accretion of the amount of the final payment fee as part of the total carrying value of the debt. Interest expense includes stated contractual interest, amortization of debt issuance costs, debt discounts, deferred debt issuance costs and deferred debt discounts, and accretion of any final payment fee.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 evaluates features embedded in debt agreements to determine whether bifurcation as a derivative instrument is required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If bifurcation is required, the embedded derivative is recorded separately at fair value at inception, with an offsetting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 recorded against the related debt, and is subsequently remeasured to fair value at each reporting date with changes in fair value recognized in earnings. In circumstances where an embedded conversion option in a convertible instrument requires bifurcation and there are also other embedded derivative features in the convertible instrument that require bifurcation, the bifurcated derivative features are accounted for as a single, compound derivative instrument. 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a liability at the fair value of the instrument on the reclassification date. Derivative instrument liabilities are classified in the consolidated balance sheets as current or non-current based on whether or not settlement of the derivative instrument could require the Company to use current assets or record or relieve a current liability at the end of each reporting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Expense Disaggregation Disclosures</w:t>
      </w:r>
      <w:r>
        <w:rPr>
          <w:rFonts w:ascii="Times New Roman" w:cs="Times New Roman" w:eastAsia="Times New Roman" w:hAnsi="Times New Roman"/>
          <w:sz w:val="18"/>
          <w:szCs w:val="18"/>
          <w:color w:val="auto"/>
        </w:rPr>
        <w:t xml:space="preserve"> (ASU 2024-03), which requires public companies to disclose, in interim and annual reporting periods, additional information about certain expenses in notes to financial statements, including purchases of inventory, employee compensation, depreciation, amortization of intangible assets, and selling expenses. This guidance will be effective for the annual period beginning the year ended December 31, 2027 and for interim periods beginning January 1, 2028, with</w:t>
      </w:r>
    </w:p>
    <w:p>
      <w:pPr>
        <w:spacing w:after="0" w:line="3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early adoption permitted. The Company is currently evaluating the impact of the standard’s adoption on its consolidated financial statements and related disclosures.</w:t>
      </w:r>
    </w:p>
    <w:p>
      <w:pPr>
        <w:spacing w:after="0" w:line="10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Entities </w:t>
      </w:r>
      <w:r>
        <w:rPr>
          <w:rFonts w:ascii="Times New Roman" w:cs="Times New Roman" w:eastAsia="Times New Roman" w:hAnsi="Times New Roman"/>
          <w:sz w:val="18"/>
          <w:szCs w:val="18"/>
          <w:color w:val="auto"/>
        </w:rPr>
        <w:t>(ASU 2025-10), which establishes authoritative guidance on the recognition, measurement, presentation, and disclosure of government grants.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ASU 2025-10, government grants are recognized when it is probable that the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ASU 2025-10 is effective for fiscal years beginning after December 15, 2028, including interim periods within those fiscal years, with early adoption permitted. The Company is currently evaluating the impact of adopting ASU 2025-10 on its consolidated financial statements and related disclosures.</w:t>
      </w:r>
    </w:p>
    <w:p>
      <w:pPr>
        <w:spacing w:after="0" w:line="131"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2025-11, </w:t>
      </w:r>
      <w:r>
        <w:rPr>
          <w:rFonts w:ascii="Times New Roman" w:cs="Times New Roman" w:eastAsia="Times New Roman" w:hAnsi="Times New Roman"/>
          <w:sz w:val="17"/>
          <w:szCs w:val="17"/>
          <w:i w:val="1"/>
          <w:iCs w:val="1"/>
          <w:color w:val="auto"/>
        </w:rPr>
        <w:t>Interim Reporting (Topic 270): Narrow-Scope Improvements</w:t>
      </w:r>
      <w:r>
        <w:rPr>
          <w:rFonts w:ascii="Times New Roman" w:cs="Times New Roman" w:eastAsia="Times New Roman" w:hAnsi="Times New Roman"/>
          <w:sz w:val="17"/>
          <w:szCs w:val="17"/>
          <w:color w:val="auto"/>
        </w:rPr>
        <w:t xml:space="preserve"> (ASU 2025-11),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 on its consolidated financial statements and related disclosures.</w:t>
      </w:r>
    </w:p>
    <w:p>
      <w:pPr>
        <w:spacing w:after="0" w:line="11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(ASU 2025-12), which addresses suggestions received from stakeholders regarding the ASC and makes other incremental improvements to U.S. GAAP. The update represents changes to the ASC that clarify, correct errors in or make other improvements to a variety of topics that are intended to make it easier to understand and apply. ASU 2025-12 is effective for fiscal years beginning after December 15, 2026 and interim periods within those fiscal years. Entities are required to apply the amendments to ASC 260 </w:t>
      </w:r>
      <w:r>
        <w:rPr>
          <w:rFonts w:ascii="Times New Roman" w:cs="Times New Roman" w:eastAsia="Times New Roman" w:hAnsi="Times New Roman"/>
          <w:sz w:val="18"/>
          <w:szCs w:val="18"/>
          <w:i w:val="1"/>
          <w:iCs w:val="1"/>
          <w:color w:val="auto"/>
        </w:rPr>
        <w:t>Earnings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 Share </w:t>
      </w:r>
      <w:r>
        <w:rPr>
          <w:rFonts w:ascii="Times New Roman" w:cs="Times New Roman" w:eastAsia="Times New Roman" w:hAnsi="Times New Roman"/>
          <w:sz w:val="18"/>
          <w:szCs w:val="18"/>
          <w:color w:val="auto"/>
        </w:rPr>
        <w:t>retrospectively. All other amendments may be applied prospectively or retrospectively. The Company is currently evaluating the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adopting ASU 2025-12 on its consolidated financial statements and related disclosures.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Indefinite-Lived Intangible Assets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has goodwill of approximately $48.2 million and an indefinite-lived intangible asset of $93.9 million related to Descartes-08 for MG.</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to the carrying value of the Company’s goodwill or in-process research and development asset related to Descartes-08 for MG during the nine months ended September 30, 2026 and 2025.</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Loss Per Share Allocable to Common Stockholders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allocable to common stockholders for the three and nine months ended September 30, 2026 and 2025 (in thousands, except share and per-share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6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5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3"/>
            <w:vMerge w:val="continue"/>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56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(37,726)</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30,309,295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26,002,892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28,894,967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25,962,302</w:t>
            </w:r>
          </w:p>
        </w:tc>
        <w:tc>
          <w:tcPr>
            <w:tcW w:w="0" w:type="dxa"/>
            <w:vAlign w:val="bottom"/>
          </w:tcPr>
          <w:p>
            <w:pPr>
              <w:spacing w:after="0"/>
              <w:rPr>
                <w:sz w:val="1"/>
                <w:szCs w:val="1"/>
                <w:color w:val="auto"/>
              </w:rPr>
            </w:pPr>
          </w:p>
        </w:tc>
      </w:tr>
      <w:tr>
        <w:trPr>
          <w:trHeight w:val="256"/>
        </w:trPr>
        <w:tc>
          <w:tcPr>
            <w:tcW w:w="5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allocable to common stockholders: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potential dilutive shares of common stock excluded from the computation of the diluted net loss per share allocable to common stockholders for all periods presented, as the effect would have been anti-dilutive: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28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0" w:type="dxa"/>
            <w:vAlign w:val="bottom"/>
          </w:tcPr>
          <w:p>
            <w:pPr>
              <w:spacing w:after="0"/>
              <w:rPr>
                <w:sz w:val="21"/>
                <w:szCs w:val="21"/>
                <w:color w:val="auto"/>
              </w:rPr>
            </w:pPr>
          </w:p>
        </w:tc>
        <w:tc>
          <w:tcPr>
            <w:tcW w:w="276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options and restricted stock units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4,184,833</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2,956,910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4,184,833</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2,956,910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692,272</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692,523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692,272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692,523</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3,268,345</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4,026,346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3,268,345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4,026,346</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437,927</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437,927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437,927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437,927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Option (See Note 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605,869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605,869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9,189,246</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8,113,706</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9,189,246</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8,113,706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5620" w:type="dxa"/>
            <w:vAlign w:val="bottom"/>
          </w:tcPr>
          <w:p>
            <w:pPr>
              <w:spacing w:after="0"/>
              <w:rPr>
                <w:sz w:val="24"/>
                <w:szCs w:val="24"/>
                <w:color w:val="auto"/>
              </w:rPr>
            </w:pPr>
          </w:p>
        </w:tc>
        <w:tc>
          <w:tcPr>
            <w:tcW w:w="126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the Company’s assets and liabilities that are measured and recorded at fair value on a recurring basis as of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December 31, 2025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23"/>
        </w:trPr>
        <w:tc>
          <w:tcPr>
            <w:tcW w:w="5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9"/>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 (included within “Cash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122,189</w:t>
            </w:r>
          </w:p>
        </w:tc>
        <w:tc>
          <w:tcPr>
            <w:tcW w:w="10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5"/>
        </w:trPr>
        <w:tc>
          <w:tcPr>
            <w:tcW w:w="56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Warrant liability (included within “Accrued expenses and other current</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liability (included within “Long-term debt,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r>
      <w:tr>
        <w:trPr>
          <w:trHeight w:val="230"/>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value rights liability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346,000</w:t>
            </w:r>
          </w:p>
        </w:tc>
      </w:tr>
      <w:tr>
        <w:trPr>
          <w:trHeight w:val="248"/>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354,601</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23"/>
        </w:trPr>
        <w:tc>
          <w:tcPr>
            <w:tcW w:w="5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30"/>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 (included within “Cash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122,724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122,724</w:t>
            </w:r>
          </w:p>
        </w:tc>
        <w:tc>
          <w:tcPr>
            <w:tcW w:w="10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liability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value rights liability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392,100</w:t>
            </w: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392,241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392,241</w:t>
            </w:r>
          </w:p>
        </w:tc>
      </w:tr>
      <w:tr>
        <w:trPr>
          <w:trHeight w:val="20"/>
        </w:trPr>
        <w:tc>
          <w:tcPr>
            <w:tcW w:w="5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right="520"/>
        <w:spacing w:after="0" w:line="438" w:lineRule="auto"/>
        <w:rPr>
          <w:sz w:val="20"/>
          <w:szCs w:val="20"/>
          <w:color w:val="auto"/>
        </w:rPr>
      </w:pPr>
      <w:r>
        <w:rPr>
          <w:rFonts w:ascii="Times New Roman" w:cs="Times New Roman" w:eastAsia="Times New Roman" w:hAnsi="Times New Roman"/>
          <w:sz w:val="18"/>
          <w:szCs w:val="18"/>
          <w:color w:val="auto"/>
        </w:rPr>
        <w:t xml:space="preserve">There were no transfers within the fair value hierarchy during the nine months ended September 30, 2026 or the year ended December 31, 2025. </w:t>
      </w:r>
      <w:r>
        <w:rPr>
          <w:rFonts w:ascii="Times New Roman" w:cs="Times New Roman" w:eastAsia="Times New Roman" w:hAnsi="Times New Roman"/>
          <w:sz w:val="18"/>
          <w:szCs w:val="18"/>
          <w:i w:val="1"/>
          <w:iCs w:val="1"/>
          <w:color w:val="auto"/>
        </w:rPr>
        <w:t>Cash, Cash Equivalents, and Restricted Cash</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money market funds were classified as cash and cash equivalents on the accompanying consolidated balance sheets as they mature within 90 days from the date of purchase.</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restricted cash balances relating to secured letters of credit in connection with its real estate leases. The Company’s consolidated statements of cash flows include the following as of September 30, 2026 and 2025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85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143,384</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restricted cash</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48"/>
        </w:trPr>
        <w:tc>
          <w:tcPr>
            <w:tcW w:w="8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145,119</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Warrants to Purchase Common Stock</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recorded the fair value of the 2022 Warrants upon issuance using the Black-Scholes valuation model and is required to revalue the 2022 Warrants at each reporting date, with any changes in fair value recorded in the statements of operations and comprehensive loss. The valuation of the 2022 Warrants is classified as Level 3 of the fair value hierarchy due to the need to use assumptions in the valuation that are both significant to the fair value measurement and unobservable, including the stock price volatility and the expected life of the 2022 Warrants. Generally, increases (decreases) in the fair value of the underlying stock and estimated term would result in a directionally similar impact to the fair value measurement.</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fair value of the 2022 Warrants was determined using the following inputs to the Black-Scholes simulation valuation:</w:t>
      </w:r>
    </w:p>
    <w:p>
      <w:pPr>
        <w:spacing w:after="0" w:line="171"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 of the underlying stock. The Company estimates the fair value of the common stock based on the closing stock price at the end of each reporting period.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The risk-free interest rate is based on the U.S. Treasury at the valuation date commensurate with the expected remaining life assumption.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 The dividend rate is based on the historical rate, which the Company anticipates will remain at zero.</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life. The expected life of the 2022 Warrants is assumed to be equivalent to their remaining contractual term which expires on April 11, 2027.</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The Company estimates stock price volatility based on the Company’s historical volatility for a period of time commensurate with the expected remaining life of the 2022 Warrants.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Black-Scholes pricing model assumptions used to record the fair value of the 2022 Warrants liability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17"/>
                <w:szCs w:val="17"/>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r>
      <w:tr>
        <w:trPr>
          <w:trHeight w:val="234"/>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w:t>
            </w: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roll-forward of fair value for the Company’s Level 3 warrant liability (see Note 10, “Equity” to these unaudited consolidated financial statements) for the nine months ended September 30, 2026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Warrant</w:t>
            </w:r>
          </w:p>
        </w:tc>
      </w:tr>
      <w:tr>
        <w:trPr>
          <w:trHeight w:val="241"/>
        </w:trPr>
        <w:tc>
          <w:tcPr>
            <w:tcW w:w="99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liability</w:t>
            </w:r>
          </w:p>
        </w:tc>
      </w:tr>
      <w:tr>
        <w:trPr>
          <w:trHeight w:val="225"/>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9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September 30, 2026</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Embedded Derivative</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evaluated the Loan Agreement (as defined below) for embedded features that require separate accounting as derivatives. The Company identified the Conversion Option (as defined below) and certain default, acceleration, indemnification and contingent payment features as embedded derivatives that require bifurcation, collectively referred to as the Compound Derivative. Other features, including prepayment rights, the variable interest rate with a floor, rights to invest in a future qualified financing and beneficial ownership limits, did not require bifurcation because they were either not applicable, clearly and closely related to the debt host, or qualified for a scope exception.</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assessed the fair value of the Compound Derivative based on the probability, timing and magnitude of potential cash flows associated with each bifurcated feature. Based on the contingent nature of the triggering events, the absence of known triggering events as of the Closing Date (as defined below) and September 30, 2026, and the Company’s compliance with the terms of the Loan Agreement, the Company determined that the fair value of the Compound Derivative liability was primarily attributable to the Conversion Option. The fair value of the remaining bifurcated features was not material as of the Closing Date or September 30, 2026.</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September 30, 2026, the Company used a Black-Scholes model to estimate the fair value of the Compound Derivative. The fair value of the Compound Derivative as of September 30, 2026 was estimated using a binomial lattice model. Using a binomial lattice model, the Company estimated the fair value of the Compound Derivative using the “with” and</w:t>
      </w: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“without” approach, where the Term Loan Facility (as defined below) is valued both “with” and “without” the embedded features, and the estimated fair value of the Compound Derivative is the difference in value between the two scenarios.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made this change because it believes the binomial lattice model produces a more accurate derivative value due to the ability to incorporate more instrument-specific assumptions. In addition, the binomial lattice model allows for changes in assumptions over the life of the Conversion Option compared to a closed-form model like Black-Scholes, which requires single-value assumptions at the time of issuance. The change of a valuation model is considered a change in accounting estimate in accordance with ASC 250. The change was applied prospectively from September 30, 2026. The Company evaluated the fair value of the Conversion Option under the binomial lattice model as of the Closing Date and June 30, 2026 and concluded the change in accounting estimate was not material to previously disclosed fair values.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valuation using the binomial lattice model is classified as Level 3 in the fair value hierarchy because it uses the Company’s estimate of its expected stock volatility, which is a significant unobservable input. Variations in the inputs included below may result in materially different fair value measurements depending on the conditions or assumptions applied. Increases or decreases in the underlying stock price and expected volatility generally result in corresponding changes in the estimated fair value.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estimated fair value of the Conversion Option was determined using the following inputs to the binomial lattice model:</w:t>
      </w:r>
    </w:p>
    <w:p>
      <w:pPr>
        <w:spacing w:after="0" w:line="171"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 of the underlying common stock. The Company estimates the fair value of the common stock based on the closing stock price as of the applicable valuation date.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Strike price. The Company uses the most favorable conversion price associated with the Conversion Option.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The Company estimates stock price volatility based on the Company’s historical volatility for a period of time commensurate with the remaining contractual term of the Conversion Option.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The risk-free interest rate is based on the U.S. Treasury yield at the valuation date commensurate with the remaining contractual term of the Conversion Option.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spread: The credit spread, expressed as an annualized rate with semiannual compounding, is estimated based on the Company’s credit profile and observable market data for comparable issuers. The estimate is calibrated to the Closing Date spread and updated each reporting period for changes in relevant market conditions.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 The dividend rate is based on the historical rate, which the Company anticipates will remain at zero.</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5, “Fair Value Measurements” to the consolidated financial statements included in the Company’s Quarterly Report on Form 10-Q for the six months ended June 30, 2026 for further discussion of the inputs to the Black-Scholes model.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inputs to the models that were used to value the Conversion Option as of September 30, 2026 and the Closing Date: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1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May 22, 2026</w:t>
            </w: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Model utilized</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Binomial lattice</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Black-Scholes</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Strike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8.2526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8.2526</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spread</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to maturity (in years)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0" w:type="dxa"/>
            <w:vAlign w:val="bottom"/>
          </w:tcPr>
          <w:p>
            <w:pPr>
              <w:spacing w:after="0"/>
              <w:rPr>
                <w:sz w:val="19"/>
                <w:szCs w:val="19"/>
                <w:color w:val="auto"/>
              </w:rPr>
            </w:pPr>
          </w:p>
        </w:tc>
        <w:tc>
          <w:tcPr>
            <w:tcW w:w="14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54"/>
        </w:trPr>
        <w:tc>
          <w:tcPr>
            <w:tcW w:w="82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N/A - Not applicable. The input was not an explicit input into the model utilized</w:t>
      </w:r>
    </w:p>
    <w:p>
      <w:pPr>
        <w:spacing w:after="0" w:line="26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Compound Derivative is not designated as a hedging instrument and is accounted for separately from the host debt instrument. The Compound Derivative is remeasured at each reporting date, with changes in fair value recognized in the consolidated statements of operations and comprehensive loss. The fair value of the Compound Derivative is included within “Long-term debt” in the consolidated balance sheet as of September 30, 2026.</w:t>
      </w: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Loan Agreement and as a result of the Compound Derivative, the Company recognized a debt discount and a corresponding derivative liability for the Compound Derivative, based on an initial estimated fair value of approximately $7.4 million. The discount will be amortized to interest expense over the term of the Loan Agreement using the effective interest method.</w:t>
      </w:r>
    </w:p>
    <w:p>
      <w:pPr>
        <w:spacing w:after="0" w:line="12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roll-forward of fair value for the Company’s Level 3 Compound Derivative for the nine months ended September 30, 2026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Initial recognition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as of September 30, 2026</w:t>
      </w: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Value Rights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205"/>
        <w:spacing w:after="0"/>
        <w:rPr>
          <w:sz w:val="20"/>
          <w:szCs w:val="20"/>
          <w:color w:val="auto"/>
        </w:rPr>
      </w:pPr>
      <w:r>
        <w:rPr>
          <w:rFonts w:ascii="Times New Roman" w:cs="Times New Roman" w:eastAsia="Times New Roman" w:hAnsi="Times New Roman"/>
          <w:sz w:val="18"/>
          <w:szCs w:val="18"/>
          <w:b w:val="1"/>
          <w:bCs w:val="1"/>
          <w:color w:val="auto"/>
        </w:rPr>
        <w:t>Compound</w:t>
      </w:r>
    </w:p>
    <w:p>
      <w:pPr>
        <w:ind w:left="245"/>
        <w:spacing w:after="0"/>
        <w:rPr>
          <w:sz w:val="20"/>
          <w:szCs w:val="20"/>
          <w:color w:val="auto"/>
        </w:rPr>
      </w:pPr>
      <w:r>
        <w:rPr>
          <w:rFonts w:ascii="Times New Roman" w:cs="Times New Roman" w:eastAsia="Times New Roman" w:hAnsi="Times New Roman"/>
          <w:sz w:val="18"/>
          <w:szCs w:val="18"/>
          <w:b w:val="1"/>
          <w:bCs w:val="1"/>
          <w:color w:val="auto"/>
        </w:rPr>
        <w:t>Derivative</w:t>
      </w:r>
    </w:p>
    <w:p>
      <w:pPr>
        <w:spacing w:after="0" w:line="30" w:lineRule="exact"/>
        <w:rPr>
          <w:sz w:val="20"/>
          <w:szCs w:val="20"/>
          <w:color w:val="auto"/>
        </w:rPr>
      </w:pPr>
    </w:p>
    <w:p>
      <w:pPr>
        <w:ind w:left="1045" w:hanging="1045"/>
        <w:spacing w:after="0"/>
        <w:tabs>
          <w:tab w:leader="none" w:pos="10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8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7,405</w:t>
      </w:r>
    </w:p>
    <w:p>
      <w:pPr>
        <w:spacing w:after="0" w:line="34" w:lineRule="exact"/>
        <w:rPr>
          <w:rFonts w:ascii="Times New Roman" w:cs="Times New Roman" w:eastAsia="Times New Roman" w:hAnsi="Times New Roman"/>
          <w:sz w:val="18"/>
          <w:szCs w:val="18"/>
          <w:color w:val="auto"/>
        </w:rPr>
      </w:pPr>
    </w:p>
    <w:p>
      <w:pPr>
        <w:ind w:left="82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84010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40105" cy="171450"/>
                    </a:xfrm>
                    <a:prstGeom prst="rect">
                      <a:avLst/>
                    </a:prstGeom>
                    <a:noFill/>
                  </pic:spPr>
                </pic:pic>
              </a:graphicData>
            </a:graphic>
          </wp:anchor>
        </w:drawing>
      </w:r>
    </w:p>
    <w:p>
      <w:pPr>
        <w:spacing w:after="0" w:line="23" w:lineRule="exact"/>
        <w:rPr>
          <w:sz w:val="20"/>
          <w:szCs w:val="20"/>
          <w:color w:val="auto"/>
        </w:rPr>
      </w:pPr>
    </w:p>
    <w:p>
      <w:pPr>
        <w:ind w:left="825" w:hanging="825"/>
        <w:spacing w:after="0"/>
        <w:tabs>
          <w:tab w:leader="none" w:pos="82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840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628" w:lineRule="exact"/>
        <w:rPr>
          <w:sz w:val="20"/>
          <w:szCs w:val="20"/>
          <w:color w:val="auto"/>
        </w:rPr>
      </w:pPr>
    </w:p>
    <w:p>
      <w:pPr>
        <w:sectPr>
          <w:pgSz w:w="11900" w:h="16838" w:orient="portrait"/>
          <w:cols w:equalWidth="0" w:num="2">
            <w:col w:w="9215" w:space="720"/>
            <w:col w:w="1305"/>
          </w:cols>
          <w:pgMar w:left="320" w:top="121" w:right="339" w:bottom="1440" w:gutter="0" w:footer="0" w:header="0"/>
          <w:type w:val="continuous"/>
        </w:sect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Company entered into a contingent value rights agreement, or the CVR Agreement, pursuant to which each holder of common stock or a 2022 Warrant in December 2023 was distributed a CVR by the Company. Each CVR entitles its holder to distributions of milestone and royalty payments under the Sobi License, net of deductions. See Note 6, “Fair Value Measurements” to the consolidated financial statements included in the Company’s Annual Report on Form 10-K for the year ended December 31, 2025 for further discussion of the terms related to the CVR Agreement.</w:t>
      </w:r>
    </w:p>
    <w:p>
      <w:pPr>
        <w:spacing w:after="0" w:line="12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CVRs represent financial instruments that are accounted for under the fair value option election in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Under the fair value option election, the CVRs are initially measured at the aggregate estimated fair value of the CVRs and will be subsequently remeasured at estimated fair value on a recurring basis at each reporting period date. The estimated fair value of the CVR liability was determined using a Monte Carlo simulation model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loss. The liability value is based on significant inputs not observable in the market such as estimated cash flows, estimated probabilities of success, and expected volatility of future revenues, which represent a Level 3 measurement within the fair value hierarchy. The significant inputs used to estimate the fair value of the CVR liability, which represented a financial instrument being accounted for under the fair value option,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cash flow dates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2027 - 2038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2026 - 2037</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probability of success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 - 100.0%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 - 100.0%</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of future revenues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roll-forward of fair value for the Company’s Level 3 CVR liability for the nine months ended September 30, 2026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CVR liability</w:t>
            </w: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392,100</w:t>
            </w:r>
          </w:p>
        </w:tc>
      </w:tr>
      <w:tr>
        <w:trPr>
          <w:trHeight w:val="230"/>
        </w:trPr>
        <w:tc>
          <w:tcPr>
            <w:tcW w:w="9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(46,100)</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September 30,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346,000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Not Recorded at Fair Value</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Term Loan Facility (as defined below) is carried at amortized cost. The fair value of the Term Loan Facility, including the Compound Derivative, was estimated to be $49.4 million as of September 30, 2026. The fair value was determined using the binomial lattice model described in the “Embedded Derivative” section above. See Note 9 “Debt” to these unaudited consolidated financial statements for more information. The Company classifies the fair value of the Term Loan Facility within Level 3 of the fair value hierarchy because the fair value is derived using significant unobservable inputs.</w:t>
      </w:r>
    </w:p>
    <w:p>
      <w:pPr>
        <w:spacing w:after="0" w:line="3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723"/>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4"/>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1"/>
        </w:trPr>
        <w:tc>
          <w:tcPr>
            <w:tcW w:w="34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68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8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30"/>
        </w:trPr>
        <w:tc>
          <w:tcPr>
            <w:tcW w:w="8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9"/>
        </w:trPr>
        <w:tc>
          <w:tcPr>
            <w:tcW w:w="8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r>
      <w:tr>
        <w:trPr>
          <w:trHeight w:val="229"/>
        </w:trPr>
        <w:tc>
          <w:tcPr>
            <w:tcW w:w="8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8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8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r>
      <w:tr>
        <w:trPr>
          <w:trHeight w:val="223"/>
        </w:trPr>
        <w:tc>
          <w:tcPr>
            <w:tcW w:w="84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16,918</w:t>
            </w:r>
          </w:p>
        </w:tc>
      </w:tr>
      <w:tr>
        <w:trPr>
          <w:trHeight w:val="229"/>
        </w:trPr>
        <w:tc>
          <w:tcPr>
            <w:tcW w:w="8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w:t>
            </w:r>
          </w:p>
        </w:tc>
      </w:tr>
      <w:tr>
        <w:trPr>
          <w:trHeight w:val="248"/>
        </w:trPr>
        <w:tc>
          <w:tcPr>
            <w:tcW w:w="84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$0.8 million and $0.6 million for the three months ended September 30, 2026 and 2025, respectively, and $2.2 million and $1.8 million for the nine months ended September 30, 2026 and 2025, respectively.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4"/>
        </w:trPr>
        <w:tc>
          <w:tcPr>
            <w:tcW w:w="8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1"/>
        </w:trPr>
        <w:tc>
          <w:tcPr>
            <w:tcW w:w="84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employee related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and licensing</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patent fees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 services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equity offering costs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48"/>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maintains operating leases for manufacturing, laboratory and office space located in Maryland and Massachusetts. In Frederick, Maryland, the Company occupies over 35,000 total square feet of integrated space under a lease agreement, or the Frederick Lease Agreement, and subsequent amendments entered into between February 2024 and June 2025, or the Amended Frederick Lease Agreement. The Amended Frederick Lease Agreement is set to expire in 2031, carries an aggregate annual base rent of approximately $1.4 million and is subject to annual increases in accordance with the terms of the Amended Frederick Lease Agreement. See Note 9, “Leases” to the consolidated financial statements included in the Company’s Annual Report on Form 10-K for the year ended December 31, 2025 for further discussion of the Company’s leases.</w:t>
      </w: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and nine months ended September 30, 2026 and 2025, the components of lease costs were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2820" w:type="dxa"/>
            <w:vAlign w:val="bottom"/>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60" w:type="dxa"/>
            <w:vAlign w:val="bottom"/>
            <w:gridSpan w:val="7"/>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8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tcBorders>
              <w:bottom w:val="single" w:sz="8" w:color="auto"/>
            </w:tcBorders>
            <w:gridSpan w:val="7"/>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Sublease income</w:t>
            </w:r>
          </w:p>
        </w:tc>
        <w:tc>
          <w:tcPr>
            <w:tcW w:w="8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1,171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70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September 30, 2026 were as follows (in thousands):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0" w:type="dxa"/>
            <w:vAlign w:val="bottom"/>
          </w:tcPr>
          <w:p>
            <w:pPr>
              <w:spacing w:after="0"/>
              <w:rPr>
                <w:sz w:val="1"/>
                <w:szCs w:val="1"/>
                <w:color w:val="auto"/>
              </w:rPr>
            </w:pPr>
          </w:p>
        </w:tc>
      </w:tr>
      <w:tr>
        <w:trPr>
          <w:trHeight w:val="241"/>
        </w:trPr>
        <w:tc>
          <w:tcPr>
            <w:tcW w:w="566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(remainder)</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Other information related to operating leases was as follows:</w:t>
            </w:r>
          </w:p>
        </w:tc>
        <w:tc>
          <w:tcPr>
            <w:tcW w:w="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6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(in thousands)</w:t>
            </w: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2,527</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8"/>
              </w:rPr>
              <w:t>3.4 years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years</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8"/>
              </w:rPr>
              <w:t>12.4%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changes in the Company’s right-of-use assets and lease liabilities for the nine months ended September 30, 2026 and 2025 are reflected in the non-cash lease expense and accrued expenses and other liabilities, respectively, in the consolidated statements of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and Security Agreement with K2 HealthVentures LLC</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22, 2026, or the Closing Date, the Company entered into a Loan and Security Agreement, or the Loan Agreement, with K2 HealthVentures LLC, or K2HV, as administrative agent, certain financial institutions party thereto as lenders (including K2HV) and Ankura Trust Company, LLC, as collateral trustee. The Loan Agreement provides for a senior secured term loan facility with aggregate commitments of up to $150.0 million available in four tranches, or the Term Loan Facility, comprised of:</w:t>
      </w:r>
    </w:p>
    <w:p>
      <w:pPr>
        <w:spacing w:after="0" w:line="12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tranche term loan in an aggregate principal amount of $50.0 million, funded on the Closing Date, or the First Tranche;</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tranche term loan in an aggregate principal amount of $25.0 million, available to be drawn between January 1, 2027 and December 1, 2027 subject to the Company’s achievement of specified clinical and financing milestones on or prior to December 1, 2027, or the Second Tranche;</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tranche term loan in an aggregate principal amount of $25.0 million, available to be drawn between January 1, 2028 and June 1, 2028 subject to the Company’s achievement of specified approval and sales milestones on or prior to June 1, 2028, or the Third Tranche; and</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fourth tranche term loan in an aggregate principal amount of up to $50.0 million, available in the lenders’ sole discretion.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Term Loan Facility bears interest at a variable annual rate equal to the greater of (i) 8.95% and (ii) the prime rate as quoted in The Wall Street Journal plus 2.20%, payable monthly in arrears on the first calendar day of each month. The Term Loan Facility matures on June 1, 2030 and provides for interest-only payments for the first 36 months following the Closing Date, followed by 12 equal monthly payments of principal and interest commencing on the amortization date of July 1, 2029.</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may, at its option, prepay all, but not less than all, of the outstanding principal balance together with accrued and unpaid interest and all amounts then due under the Loan Agreement, subject to a prepayment premium and an end of term fee. In addition, prior to repayment in full of the Term Loan Facility, the lenders may jointly elect to convert up to $15.0 million of the outstanding principal into shares of the Company’s common stock, and/or certain other securities issued in a qualifying financing, or the Conversion Shares, subject to a $5.0 million conversion limit prior to the first anniversary of the Closing Date, at a conversion price equal to, at the lenders’ election, either (i) if the relevant Conversion Shares are common stock, $8.2526 per share of common stock or (ii) if the relevant Conversion Shares are shares of common stock or other securities issued in a qualifying financing, the lowest effective price per share or other security in the Company’s next qualified financing; provided, that to the extent such securities issued in a qualifying financing are convertible securities, the conversion price shall equal $1.00 for each $1.00 of notional principal represented by such convertible securities, or the Conversion Option. No prepayment premium applies to principal amounts converted into equity. The Loan Agreement also provides the lenders with certain registration rights, a right to participate in future qualified financings of the Company up to an aggregate of $5.0 million, and customary conversion mechanics and beneficial ownership limitations. As of September 30, 2026, no portion of the outstanding principal had been converted into equity.</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Beginning April 1, 2027, the Loan Agreement requires the Company to maintain a minimum unrestricted cash balance at all times when the Company’s market capitalization is less than $750.0 million of at least 80% of the Company’s outstanding obligations to the lenders, subject to reduction to 50% upon achievement of the Second Tranche Milestone, as defined in the Loan Agreement, and will revert to 80% if the Third Tranche Milestone, as defined in the Loan Agreement, is not achieved by the applicable date. Beginning on January 1, 2029, the Loan Agreement requires the Company to maintain compliance with a minimum trailing three-month net product revenue covenant of $40.0 million, tested as of the last day of each calendar quarter, with required quarter-over-quarter growth.</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obligations under the Loan Agreement are secured by a first priority security interest in substantially all of the Company’s assets, excluding intellectual property, which is subject to a negative pledge. The Loan Agreement contains customary affirmative and negative covenants, including restrictions on additional indebtedness, liens, dividends, investments, asset sales, repurchase of equity, certain affiliate transactions, changes of control, mergers or acquisitions, as well as customary events of default. The Loan Agreement contemplates that the Company’s existing and future material domestic subsidiaries will be required to become co-borrowers or guarantors and to grant a security interest in their assets to secure the obligations under the Loan Agreement. As of September 30, 2026, the Company was in compliance with all covenants under the Loan Agreement.</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initial borrowing, the Company recognized a $7.4 million debt discount associated with the Compound Derivative, incurred approximately $2.8 million of debt issuance costs and an approximately $1.2 million original issue discount. The amortized cost of the Compound Derivative discount is included within “Long-term debt” in the consolidated balance sheet as of September 30, 2026. The debt issuance costs and original issue discount were allocated among the funded and contingent borrowing tranches, of which approximately $1.4 million and $0.6 million were allocated to the First Tranche, respectively, and the amortized cost is included within “Long-term debt” in the consolidated balance sheet as of September 30, 2026. The remaining $1.4 million and $0.6 million were allocated to Second Tranche and Third Tranche, respectively, and are deferred within “Long-term prepaid expenses and other assets” in the consolidated balance sheet as of September 30, 2026, and until the related tranche is funded. Deferred debt issuance costs and original issue discount are amortized to interest expense over the term of the Loan Agreement using the straight-line method.</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also required to pay a final payment fee equal to 6.95% of funded principal, or approximately $3.5 million based on the amount funded as of September 30, 2026, which is accreted to interest expense over the term of the Loan Agreement using the effective interest method.</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34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debt consisted of the following (in thousands):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1"/>
        </w:trPr>
        <w:tc>
          <w:tcPr>
            <w:tcW w:w="34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69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0" w:type="dxa"/>
            <w:vAlign w:val="bottom"/>
          </w:tcPr>
          <w:p>
            <w:pPr>
              <w:spacing w:after="0"/>
              <w:rPr>
                <w:sz w:val="1"/>
                <w:szCs w:val="1"/>
                <w:color w:val="auto"/>
              </w:rPr>
            </w:pPr>
          </w:p>
        </w:tc>
      </w:tr>
      <w:tr>
        <w:trPr>
          <w:trHeight w:val="225"/>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 principal</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9"/>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 Compound Derivative measured at fair value</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30"/>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accreted final payment fee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unamortized Compound Derivative discount</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0" w:type="dxa"/>
            <w:vAlign w:val="bottom"/>
          </w:tcPr>
          <w:p>
            <w:pPr>
              <w:spacing w:after="0"/>
              <w:rPr>
                <w:sz w:val="1"/>
                <w:szCs w:val="1"/>
                <w:color w:val="auto"/>
              </w:rPr>
            </w:pPr>
          </w:p>
        </w:tc>
      </w:tr>
      <w:tr>
        <w:trPr>
          <w:trHeight w:val="229"/>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unamortized original issue discount</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50,220</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81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provides the components of interest expense (in thousands):</w:t>
            </w: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40" w:type="dxa"/>
            <w:vAlign w:val="bottom"/>
          </w:tcPr>
          <w:p>
            <w:pPr>
              <w:spacing w:after="0"/>
              <w:rPr>
                <w:sz w:val="24"/>
                <w:szCs w:val="24"/>
                <w:color w:val="auto"/>
              </w:rPr>
            </w:pPr>
          </w:p>
        </w:tc>
        <w:tc>
          <w:tcPr>
            <w:tcW w:w="8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24"/>
                <w:szCs w:val="24"/>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5"/>
                <w:szCs w:val="15"/>
                <w:color w:val="auto"/>
              </w:rPr>
            </w:pPr>
          </w:p>
        </w:tc>
        <w:tc>
          <w:tcPr>
            <w:tcW w:w="12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5"/>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9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0" w:type="dxa"/>
            <w:vAlign w:val="bottom"/>
          </w:tcPr>
          <w:p>
            <w:pPr>
              <w:spacing w:after="0"/>
              <w:rPr>
                <w:sz w:val="1"/>
                <w:szCs w:val="1"/>
                <w:color w:val="auto"/>
              </w:rPr>
            </w:pPr>
          </w:p>
        </w:tc>
      </w:tr>
      <w:tr>
        <w:trPr>
          <w:trHeight w:val="223"/>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29"/>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Compound Derivative discount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29"/>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final payment fee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original issue discount</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85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nine months ended September 30, 2026, the effective interest rate for the Term Loan Facility was approximately 17.7%.</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principal payments, excluding contractual interest but including the final payment fee of approximately $3.5 million, in connection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Agreement as of September 30, 2026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0" w:type="dxa"/>
            <w:vAlign w:val="bottom"/>
          </w:tcPr>
          <w:p>
            <w:pPr>
              <w:spacing w:after="0"/>
              <w:rPr>
                <w:sz w:val="1"/>
                <w:szCs w:val="1"/>
                <w:color w:val="auto"/>
              </w:rPr>
            </w:pPr>
          </w:p>
        </w:tc>
      </w:tr>
      <w:tr>
        <w:trPr>
          <w:trHeight w:val="238"/>
        </w:trPr>
        <w:tc>
          <w:tcPr>
            <w:tcW w:w="99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(remainder)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28,570</w:t>
            </w:r>
          </w:p>
        </w:tc>
        <w:tc>
          <w:tcPr>
            <w:tcW w:w="0" w:type="dxa"/>
            <w:vAlign w:val="bottom"/>
          </w:tcPr>
          <w:p>
            <w:pPr>
              <w:spacing w:after="0"/>
              <w:rPr>
                <w:sz w:val="1"/>
                <w:szCs w:val="1"/>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24,905</w:t>
            </w:r>
          </w:p>
        </w:tc>
        <w:tc>
          <w:tcPr>
            <w:tcW w:w="0" w:type="dxa"/>
            <w:vAlign w:val="bottom"/>
          </w:tcPr>
          <w:p>
            <w:pPr>
              <w:spacing w:after="0"/>
              <w:rPr>
                <w:sz w:val="1"/>
                <w:szCs w:val="1"/>
                <w:color w:val="auto"/>
              </w:rPr>
            </w:pPr>
          </w:p>
        </w:tc>
      </w:tr>
      <w:tr>
        <w:trPr>
          <w:trHeight w:val="223"/>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principal payments including final payment fee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53,475</w:t>
            </w:r>
          </w:p>
        </w:tc>
        <w:tc>
          <w:tcPr>
            <w:tcW w:w="0" w:type="dxa"/>
            <w:vAlign w:val="bottom"/>
          </w:tcPr>
          <w:p>
            <w:pPr>
              <w:spacing w:after="0"/>
              <w:rPr>
                <w:sz w:val="1"/>
                <w:szCs w:val="1"/>
                <w:color w:val="auto"/>
              </w:rPr>
            </w:pPr>
          </w:p>
        </w:tc>
      </w:tr>
      <w:tr>
        <w:trPr>
          <w:trHeight w:val="20"/>
        </w:trPr>
        <w:tc>
          <w:tcPr>
            <w:tcW w:w="9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Equity</w:t>
            </w: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9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Financings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“At the Market” Sales Agreement</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13, 2024, the Company entered into a Sales Agreement, or the Sales Agreement, with Leerink Partners LLC to sell shares of the Company’s common stock, from time to time, through an “at the market” equity offering program under which Leerink Partners LLC will act as sales agent. The shares of common stock sold pursuant to the Sales Agreement will be issued pursuant to the Company’s shelf registration statement on Form S-3 (File No. 333-283803), filed on December 13, 2024 with the SEC and related prospectus supplement, filed on January 8, 2025 with the SEC, for aggregate gross sales proceeds of up to $100.0 million.</w:t>
      </w:r>
    </w:p>
    <w:p>
      <w:pPr>
        <w:spacing w:after="0" w:line="3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sold 3,196,203 shares of its common stock pursuant to the Sales Agreement for net proceeds of approximately $22.8 million after commissions and expenses. As of September 30, 2026, approximately $75.5 million remains available under the at the market program. There were no shares sold pursuant to the Sales Agreement during the nine months ended September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nine months ended September 30, 2026, there were no warrants issued, exercised, or cancelled. The following is a summary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warrants as of September 30, 2026: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 of Warrants</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56"/>
        </w:trPr>
        <w:tc>
          <w:tcPr>
            <w:tcW w:w="566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6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5"/>
                <w:szCs w:val="15"/>
                <w:color w:val="auto"/>
              </w:rPr>
            </w:pPr>
          </w:p>
        </w:tc>
        <w:tc>
          <w:tcPr>
            <w:tcW w:w="12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1"/>
                <w:szCs w:val="21"/>
                <w:color w:val="auto"/>
              </w:rPr>
            </w:pPr>
          </w:p>
        </w:tc>
        <w:tc>
          <w:tcPr>
            <w:tcW w:w="12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classified</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classified</w:t>
            </w:r>
          </w:p>
        </w:tc>
        <w:tc>
          <w:tcPr>
            <w:tcW w:w="11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11, “Equity” to the consolidated financial statements included in the Company’s Annual Report on Form 10-K for the year ended December 31, 2025 for further discussion of the terms related to the Company’s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98,050 shares of Series A Preferred Stock and 437,927 shares of Series B Preferred Stock issued and outstanding, respectively, which together are convertible into an aggregate of 3,706,272 shares of common stock.</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April 2026, 22,740 shares of Series A Preferred Stock were converted into 758,001 shares of common stock.</w:t>
            </w:r>
          </w:p>
        </w:tc>
        <w:tc>
          <w:tcPr>
            <w:tcW w:w="1320" w:type="dxa"/>
            <w:vAlign w:val="bottom"/>
          </w:tcPr>
          <w:p>
            <w:pPr>
              <w:spacing w:after="0"/>
              <w:rPr>
                <w:sz w:val="20"/>
                <w:szCs w:val="20"/>
                <w:color w:val="auto"/>
              </w:rPr>
            </w:pPr>
          </w:p>
        </w:tc>
      </w:tr>
      <w:tr>
        <w:trPr>
          <w:trHeight w:val="378"/>
        </w:trPr>
        <w:tc>
          <w:tcPr>
            <w:tcW w:w="9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Reserved Shares</w:t>
            </w:r>
          </w:p>
        </w:tc>
        <w:tc>
          <w:tcPr>
            <w:tcW w:w="1320" w:type="dxa"/>
            <w:vAlign w:val="bottom"/>
          </w:tcPr>
          <w:p>
            <w:pPr>
              <w:spacing w:after="0"/>
              <w:rPr>
                <w:sz w:val="24"/>
                <w:szCs w:val="24"/>
                <w:color w:val="auto"/>
              </w:rPr>
            </w:pPr>
          </w:p>
        </w:tc>
      </w:tr>
      <w:tr>
        <w:trPr>
          <w:trHeight w:val="378"/>
        </w:trPr>
        <w:tc>
          <w:tcPr>
            <w:tcW w:w="9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Company has reserved shares of common stock for future issuance as of September 30, 2026 as follows:</w:t>
            </w:r>
          </w:p>
        </w:tc>
        <w:tc>
          <w:tcPr>
            <w:tcW w:w="1320" w:type="dxa"/>
            <w:vAlign w:val="bottom"/>
          </w:tcPr>
          <w:p>
            <w:pPr>
              <w:spacing w:after="0"/>
              <w:rPr>
                <w:sz w:val="24"/>
                <w:szCs w:val="24"/>
                <w:color w:val="auto"/>
              </w:rPr>
            </w:pPr>
          </w:p>
        </w:tc>
      </w:tr>
      <w:tr>
        <w:trPr>
          <w:trHeight w:val="364"/>
        </w:trPr>
        <w:tc>
          <w:tcPr>
            <w:tcW w:w="992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99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5"/>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692,272</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stock incentive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4,225,966</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options reserved for issuance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637,225</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common stock options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3,547,608</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3,268,345</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Preferred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437,927</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Option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605,869</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issuance under the at the market offering</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w:t>
            </w:r>
          </w:p>
        </w:tc>
      </w:tr>
      <w:tr>
        <w:trPr>
          <w:trHeight w:val="223"/>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13,427,269</w:t>
            </w:r>
          </w:p>
        </w:tc>
      </w:tr>
      <w:tr>
        <w:trPr>
          <w:trHeight w:val="20"/>
        </w:trPr>
        <w:tc>
          <w:tcPr>
            <w:tcW w:w="9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Incentive Plans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2016, the Company’s stockholders approved the 2016 Incentive Award Plan, or the 2016 Plan, which initially authorized 40,341 shares of common stock for future issuance under the 2016 Plan. Pursuant to the terms of the 2016 Plan, the Board of Directors is authorized to grant awards with respect to common stock, and may delegate to a committee of one or more members of the Board of Directors or executive officers of the Company the authority to grant options and restricted stock units. The Board of Directors established a Stock Option Committee which is authorized to grant awards to certain employees and consultants subject to conditions and limitations within the 2016 Plan. In January 2026, the number of shares of common stock that may be issued under the 2016 Plan was increased by 1,040,444. As of September 30, 2026, 3,552,044 shares remain available for future issuance under the 2016 Plan.</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2018, the Company’s 2018 Employment Inducement Incentive Award Plan, or the 2018 Inducement Incentive Award Plan, was adopted by the Board of Directors without stockholder approval pursuant to Rule 5635(c)(4) of the Nasdaq Stock Market LLC listing rules, which initially authorized 39,166 shares of its common stock for issuance. In June 2026, the Board of Directors approved an amendment and restatement of the 2018 Inducement Incentive Award Plan to reserve</w:t>
      </w: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additional 750,000 shares of the Company’s common stock for issuance thereunder. As of September 30, 2026, there were 566,742 shares available for future grant under the 2018 Inducement Incentive Award Plan.</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2023, the Company assumed the 2016 Stock Incentive Plan, or the Old Cartesian Plan, of the then private company that merged with the Company in November 2023, or Old Cartesian. The Old Cartesian Plan permits the granting of options or restricted stock to employees, officers, directors, consultants and advisors to the Company. The unvested common stock options and Series A Preferred Stock options assumed by the Company generally vest over a four-year period. Additionally, the stock options granted have a contractual term of ten years and only full shares can be exercised as per the individual award agreements. As of September 30, 2026, there were 61,385 shares available for future grant under the Old Cartesian Plan.</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outstanding stock options to purchase Old Cartesian common stock were converted into stock options to purchase 776,865 shares of common stock and 14,112.299 shares of Series A Preferred Stock of the Company. The replacement awards that were issued as a part of the assumption of the Old Cartesian Plan resulted in $2.6 million attributed to post-combination service to be recognized as stock-based compensation expense over the remaining terms of the replacement awards, of which $0.1 million was recognized during each of the three months ended September 30, 2026 and 2025, and $0.2 million and $0.5 million was recognized during the nine months ended September 30, 2026 and 2025, respectively, as research and development expense in the consolidated statements of operations and comprehensive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by classification included within the consolidated statements of operations and comprehensive loss, was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82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2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auto"/>
            </w:tcBorders>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1,745</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2,661</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values of stock option awards granted under the 2016 Plan and the 2018 Inducement Incentive Award Plan were calculated using the Black-Scholes option pricing model based on the following weighted-average assumptions: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30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8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53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common stock</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16.87</w:t>
            </w: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expected term of the Company’s stock options granted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 Expected volatilities are based on the Company’s historical volatility.</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three months ended September 30, 2026 and 2025 was $7.12 and $9.82, respectively, and $5.52 and $13.54 during the nine months ended September 30, 2026 and 2025, respectively.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total unrecognized compensation expense related to unvested common stock options was approximately $14.3 million, which is expected to be recognized over a weighted average period of approximately 2.9 years.</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under the 2016 Plan, the 2018 Inducement Incentive Award Plan, and the Old Cartesian Plan for options for common stock:</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4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6"/>
                <w:szCs w:val="16"/>
                <w:color w:val="auto"/>
              </w:rPr>
            </w:pPr>
          </w:p>
        </w:tc>
        <w:tc>
          <w:tcPr>
            <w:tcW w:w="12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4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4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132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Term (in years)</w:t>
            </w:r>
          </w:p>
        </w:tc>
        <w:tc>
          <w:tcPr>
            <w:tcW w:w="100" w:type="dxa"/>
            <w:vAlign w:val="bottom"/>
          </w:tcPr>
          <w:p>
            <w:pPr>
              <w:spacing w:after="0"/>
              <w:rPr>
                <w:sz w:val="19"/>
                <w:szCs w:val="19"/>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2,463,747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0" w:type="dxa"/>
            <w:vAlign w:val="bottom"/>
          </w:tcPr>
          <w:p>
            <w:pPr>
              <w:spacing w:after="0"/>
              <w:rPr>
                <w:sz w:val="1"/>
                <w:szCs w:val="1"/>
                <w:color w:val="auto"/>
              </w:rPr>
            </w:pPr>
          </w:p>
        </w:tc>
      </w:tr>
      <w:tr>
        <w:trPr>
          <w:trHeight w:val="230"/>
        </w:trPr>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2,093,850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(343,318)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(666,671)</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3,547,608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gridSpan w:val="3"/>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at September 30, 2026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34"/>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30, 2026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3,182,104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granted 420,650 restricted stock unit awards with a weighted-average fair value of $6.76 per share based on the closing price of the Company’s common stock on the date of grant under the 2016 Plan, which generally vest over a four-year term. Forfeitures are estimated at the time of grant and are adjusted, if necessary, in subsequent periods if actual forfeitures differ from those estimates. The Company has estimated a forfeiture rate of 10% for restricted stock unit awards based on historical experience.</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the restricted stock units was approximately $4.6 million as of September 30, 2026, which is expected to be recognized over a weighted-average period of approximately 2.6 years.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units under the 2016 Plan and the Old Cartesian Plan:</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5"/>
        </w:trPr>
        <w:tc>
          <w:tcPr>
            <w:tcW w:w="8440" w:type="dxa"/>
            <w:vAlign w:val="bottom"/>
          </w:tcPr>
          <w:p>
            <w:pPr>
              <w:spacing w:after="0"/>
              <w:rPr>
                <w:sz w:val="15"/>
                <w:szCs w:val="15"/>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5"/>
                <w:szCs w:val="15"/>
                <w:color w:val="auto"/>
              </w:rPr>
            </w:pPr>
          </w:p>
        </w:tc>
        <w:tc>
          <w:tcPr>
            <w:tcW w:w="12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75"/>
        </w:trPr>
        <w:tc>
          <w:tcPr>
            <w:tcW w:w="84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3"/>
        </w:trPr>
        <w:tc>
          <w:tcPr>
            <w:tcW w:w="8440" w:type="dxa"/>
            <w:vAlign w:val="bottom"/>
          </w:tcPr>
          <w:p>
            <w:pPr>
              <w:spacing w:after="0"/>
              <w:rPr>
                <w:sz w:val="21"/>
                <w:szCs w:val="21"/>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21"/>
                <w:szCs w:val="21"/>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Fair Value ($)</w:t>
            </w:r>
          </w:p>
        </w:tc>
        <w:tc>
          <w:tcPr>
            <w:tcW w:w="0" w:type="dxa"/>
            <w:vAlign w:val="bottom"/>
          </w:tcPr>
          <w:p>
            <w:pPr>
              <w:spacing w:after="0"/>
              <w:rPr>
                <w:sz w:val="1"/>
                <w:szCs w:val="1"/>
                <w:color w:val="auto"/>
              </w:rPr>
            </w:pPr>
          </w:p>
        </w:tc>
      </w:tr>
      <w:tr>
        <w:trPr>
          <w:trHeight w:val="223"/>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320" w:type="dxa"/>
            <w:vAlign w:val="bottom"/>
            <w:tcBorders>
              <w:top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522,498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0" w:type="dxa"/>
            <w:vAlign w:val="bottom"/>
          </w:tcPr>
          <w:p>
            <w:pPr>
              <w:spacing w:after="0"/>
              <w:rPr>
                <w:sz w:val="1"/>
                <w:szCs w:val="1"/>
                <w:color w:val="auto"/>
              </w:rPr>
            </w:pPr>
          </w:p>
        </w:tc>
      </w:tr>
      <w:tr>
        <w:trPr>
          <w:trHeight w:val="230"/>
        </w:trPr>
        <w:tc>
          <w:tcPr>
            <w:tcW w:w="8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420,650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(171,256)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(134,667)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30, 2026</w:t>
            </w:r>
          </w:p>
        </w:tc>
        <w:tc>
          <w:tcPr>
            <w:tcW w:w="13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637,225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 Arrangements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Swedish Orphan Biovitrum AB (publ.)</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June 2020, the Company and Sobi entered into the Sobi License, which was subsequently amended in October 2023. Pursuant to the Sobi License, the Company agreed to grant Sobi an exclusive, worldwide (except as to Greater China) license to develop, manufacture and commercialize the Nanoecapsulated Sirolimus plus Pegadricase, or NASP, formerly known as SEL-212, drug candidate, which is currently in development for the treatment of chronic refractory gout. The NASP drug candidate is a pharmaceutical composition containing a combination of a pegylated uricase known as SEL-037, or the Compound, and nanoparticle-encapsulated form of rapamycin, known as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NASP, and tiered royalty payments ranging from the low double digits on the lowest sales tier to the high teens on the highest sales tier. A more detailed description of the Sobi License and the Company’s evaluation of this agreement under ASC 606 can be found in Note 13, “Revenue Arrangements” to the consolidated financial statements in the Company’s Annual Report on Form 10-K for the year ended December 31, 2025. Any proceeds received from milestone payments or royalties relating to the Sobi License would be required to be distributed to holders of CVRs, net of certain deductions.</w:t>
      </w:r>
    </w:p>
    <w:p>
      <w:pPr>
        <w:spacing w:after="0" w:line="200" w:lineRule="exact"/>
        <w:rPr>
          <w:sz w:val="20"/>
          <w:szCs w:val="20"/>
          <w:color w:val="auto"/>
        </w:rPr>
      </w:pPr>
    </w:p>
    <w:p>
      <w:pPr>
        <w:spacing w:after="0" w:line="2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28, 2024, Sobi initiated a rolling biologics license application to the FDA for NASP for the potential treatment of chronic refractory gout which resulted in the achievement of a development milestone and a $30.0 million payment obligation from Sobi to the Company. As a result, the development milestone was no longer constrained and $30.0 million was recognized as revenue during the year ended December 31, 2024 as there were no remaining performance obligations under the Sobi License. The proceeds from the achievement of the development milestone were received from Sobi in July 2024 and were included, net of deductions as specified in the CVR Agreement, in the distribution to holders of the CVRs in March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revenue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National Institute of Neurological Disorders and Stroke of the National Institutes of Health</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June 2024, the Company received funding approval from the National Institute of Neurological Disorders and Stroke of the National Institutes of Health, or NINDS, for an award of $1.5 million granted for the budget period, which ran from June 2024 through May 2025. In June 2025, the Company received funding approval from NINDS for an additional award of $1.5 million granted for the budget period that ran from June 2025 through May 2026. The funding was provided by NINDS to further the Company’s use of RNA-based CAR-T cells to combat autoantibody-associated autoimmune disorders. Grant funding is to be used solely for manufacturing of RNA-based CAR-T cells and analysis of samples to inform mechanism of action. The award period ran through May 31, 2026. The Company will recognize grant revenue when expenses reimbursable under the grant have been incurred.</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2026, the award period has ended, there is no outstanding receivable and there is no further amount subject to reimbursement by NINDS. As of December 31, 2025, the Company recorded a receivable of $0.9 million that is subject to reimbursement by NINDS. The Company recognized no grant revenue and grant revenue of $0.1 million during the three and nine months ended September 30, 2026, respectively. The Company recognized grant revenue of $0.5 million and $1.4 million during the three and nine months ended September 30, 2025,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Future Performance Obligations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contracts for which work has not been performed, or has been partially performed. As of September 30, 2026 and December 31, 2025, there were no unsatisfied performance obligations from contracts with customers.</w:t>
      </w:r>
    </w:p>
    <w:p>
      <w:pPr>
        <w:spacing w:after="0" w:line="104" w:lineRule="exact"/>
        <w:rPr>
          <w:sz w:val="20"/>
          <w:szCs w:val="20"/>
          <w:color w:val="auto"/>
        </w:rPr>
      </w:pPr>
    </w:p>
    <w:p>
      <w:pPr>
        <w:ind w:right="7980" w:firstLine="8"/>
        <w:spacing w:after="0" w:line="466" w:lineRule="auto"/>
        <w:tabs>
          <w:tab w:leader="none" w:pos="27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Collaboration and License Agreements WestGene Biopharma Co., Ltd.</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8, 2026, the Company entered into a license agreement, or the WestGene Agreement, with WestGene Biopharma Co., Ltd., or WestGene, to support the development of in vivo CAR-T-cell therapies for autoimmune diseases. Under the WestGene Agreement, WestGene granted the Company a non-exclusive, worldwide license, with the right to grant sublicenses, to certain technology and related intellectual property for the research, development, manufacture and commercialization of licensed products.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WestGene is responsible for performing certain development, manufacturing and related support activities pursuant to an agreed development plan and budget. The Company is responsible for funding such activities and generally controls future development, regulatory, commercialization and sublicensing activities for licensed products.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consideration for the rights granted under the WestGene Agreement, the Company is obligated to make an upfront payment and to fund specified development activities. The WestGene Agreement also provides for potential development, regulatory and sales-based milestone payments, royalties on net sales of licensed products and certain sublicense revenue-sharing payments, in each case subject to the terms of the WestGene Agreement.</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amounts incurred under the WestGene Agreement based on the nature of the underlying activities. Upfront and development-stage payments that relate to research and development activities are recognized as research and development expense as incurred or as the related services are received. Amounts paid in advance of performance are recorded as prepaid research and development costs to the extent the Company retains a substantive right to future services. Contingent milestone, royalty and sublicense revenue-sharing payments are recognized when the related payment obligations are achieved or otherwise become payable under the WestGene Agreement.</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recognized $0.2 million and $1.0 million in research and development expense, respectively. No development, regulatory or sales-based milestones had been achieved and the Company has not recognized any royalty expense or sublicense revenue-sharing expense as of September 30, 2026.</w:t>
      </w: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Biogen MA, Inc.</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The Company is not obligated to pay Biogen any expenses, fees, or royalties.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Biogen Agreement encompasses patents and patent applications in the PCT/US2010/026825 patent family, which was filed March 10, 2010. In general, all patents that issue in this family have an expected expiration date of March 10, 2030, subject to potential patent term adjustments and/or extensions. For the U.S. patents and applications in this family, U.S. Patent 9,034,324 was awarded 677 days of patent term adjustment, which would extend the expiration date of this patent to January 16, 2032, absent any challenges to the patent term. The other issued patent in this family was not awarded any patent term adjustment, so its expected expiration date is March 10, 2030.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Cancer Institute of the National Institutes of Health</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Effective September 16, 2019, the Company entered into a nonexclusive, worldwide license agreement, or the NCI Agreement,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Health and Human Services, represented by the National Cancer Institute of the National Institutes of Health, or NCI.</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NCI Agreement, the Company was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the Company must use reasonable commercial efforts to submit a BLA with respect to a licensed product by the fourth quarter of 2026 and make a first commercial sale of a licensed product by the fourth quarter of 2028.</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NCI Agreement terminates upon the expiration of the last to expire of the patent rights licensed thereunder, if not sooner terminated. The NCI Agreement encompasses patents and patent applications in the PCT/US2013/032029 patent family, which was filed March 15, 2013. In general, all patents that issue in this family have an expected expiration of March 15, 2033, subject to potential patent term adjustments and/or extensions. For the U.S. patents and applications in this family, only two patents were awarded patent term adjustments. U.S. Patent 9,765,342 was awarded 297 days of patent term adjustment, which would extend the expiration date of this patent to January 6, 2034, absent any challenges to the patent term. The other patent, U.S. Patent 10,876,123, was awarded three days of patent term adjustment, but this patent is subject to terminal disclaimers filed against other family members, so this patent will not extend beyond the March 15, 2033 date. The other issued patents in this family were not awarded any patent term adjustment, so the expected expiration date for these patents also remains March</w:t>
      </w: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15, 2033. There is also a pending patent application which, if issued, will expire on March 15, 2033, but could also be subject to patent term adjustment and to any potential future terminal disclaimers.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NCI has the right to terminate the NCI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 parties’ use of the licensed patent rights and licensed products or licensed processes developed in connection with the licensed patent rights.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Shenyang Sunshine Pharmaceutical Co., Ltd</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September 30, 2026.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has not recorded any U.S. federal or state income tax benefits for either the net losses the Company has incurred or its earned research and orphan drug credits, due to the uncertainty of realizing a benefit from those items in the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was not a party to any litigation that could have a material adverse effect on the Company’s business, financial position, results of operations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directors, consultants and employees for certain events or occurrences that happen by reason of the relationship with, or position held at the Company. Through September 30, 2026,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200" w:lineRule="exact"/>
        <w:rPr>
          <w:sz w:val="20"/>
          <w:szCs w:val="20"/>
          <w:color w:val="auto"/>
        </w:rPr>
      </w:pPr>
    </w:p>
    <w:p>
      <w:pPr>
        <w:spacing w:after="0" w:line="20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three and nine months ended September 30, 2026 and 2025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28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tcBorders>
              <w:bottom w:val="single" w:sz="8" w:color="auto"/>
            </w:tcBorders>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 revenue</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23"/>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Descartes-08 for MG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17,502</w:t>
            </w:r>
          </w:p>
        </w:tc>
        <w:tc>
          <w:tcPr>
            <w:tcW w:w="0" w:type="dxa"/>
            <w:vAlign w:val="bottom"/>
          </w:tcPr>
          <w:p>
            <w:pPr>
              <w:spacing w:after="0"/>
              <w:rPr>
                <w:sz w:val="1"/>
                <w:szCs w:val="1"/>
                <w:color w:val="auto"/>
              </w:rPr>
            </w:pPr>
          </w:p>
        </w:tc>
      </w:tr>
      <w:tr>
        <w:trPr>
          <w:trHeight w:val="229"/>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Descartes-08 for dermatomyositis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Early stage programs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0" w:type="dxa"/>
            <w:vAlign w:val="bottom"/>
          </w:tcPr>
          <w:p>
            <w:pPr>
              <w:spacing w:after="0"/>
              <w:rPr>
                <w:sz w:val="1"/>
                <w:szCs w:val="1"/>
                <w:color w:val="auto"/>
              </w:rPr>
            </w:pPr>
          </w:p>
        </w:tc>
      </w:tr>
      <w:tr>
        <w:trPr>
          <w:trHeight w:val="230"/>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employee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stock-based compensation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0" w:type="dxa"/>
            <w:vAlign w:val="bottom"/>
          </w:tcPr>
          <w:p>
            <w:pPr>
              <w:spacing w:after="0"/>
              <w:rPr>
                <w:sz w:val="1"/>
                <w:szCs w:val="1"/>
                <w:color w:val="auto"/>
              </w:rPr>
            </w:pPr>
          </w:p>
        </w:tc>
      </w:tr>
      <w:tr>
        <w:trPr>
          <w:trHeight w:val="230"/>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facilities and other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23,271</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(27,040)</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(37,726)</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20" w:right="220" w:firstLine="6"/>
        <w:spacing w:after="0" w:line="208" w:lineRule="auto"/>
        <w:tabs>
          <w:tab w:leader="none" w:pos="20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interest income; interest expense; gain on change in fair value of warrant liability; gain (loss) on change in fair value of derivative liability; gain (loss) on change in fair value of contingent value rights liability; and other income (expense), net.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the consolidated financial statements were issued. The Company has concluded that no subsequent events have occurred that require disclosure.</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and with our audited financial statements and the notes thereto included in our Annual Report on Form 10-K for the year ended December 31, 2025, which we filed with the Securities and Exchange Commission, or the SEC, on March 9, 2026. In addition, you should read the “Risk Factors” and “Information Regarding Forward-Looking Statements” sections of this Quarterly Report and our Annual Report on Form 10-K for the year ended December 31, 2025 for a discussion of important factors that could cause actual results to differ materially from the results described in or implied by the forward-looking statements contained in the following discussion and analysis.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late clinical-stage biotechnology company pioneering cell therapy for the treatment of autoimmune diseases. We leverage our proprietary technology and manufacturing platform to introduce mRNA into cells to provide a therapeutic effect to patients suffering from a variety of autoimmune conditions. Unlike DNA, mRNA degrades naturally over time without integrating into the cell’s genetic material. Our cell therapies are designed to be dosed repeatedly like conventional drugs, administered in an outpatient setting, and given without pre-treatment chemotherapy, which is required with many conventional cell therapies.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and private placements of our securities, funding received from research grants, collaboration and license arrangements and credit facilities. We do not have any products approved for sale and have not generated any product sales.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incurred net losses of $34.9 million and $37.7 million for the nine months ended September 30, 2026 and 2025, respectively. As of September 30, 2026, we had an accumulated deficit of $857.3 million. We expect to continue to incur significant expenses and operating losses for the foreseeable future as we:</w:t>
      </w:r>
    </w:p>
    <w:p>
      <w:pPr>
        <w:spacing w:after="0" w:line="12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Descartes-08 for myasthenia gravis, or MG, through Phase 3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Descartes-08 for myositis through Phase 2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preclinical and clinical-stage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including through licensing arrangements;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and restricted cash as of September 30, 2026 will enable us to fund our operating expenses and capital expenditure requirements for at least the next 12 months. We have based this estimate on assumptions that may prove to be wrong, and we could use our capital resources sooner than we currently expect.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revenue</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further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descriptions of the agreements underlying our collaboration and license revenue, see Note 12, “Revenue Arrangements” to our unaudited consolidated financial statements included elsewhere in this Quarterly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grant revenue, which consists of funding received to perform specific research and development services under grant arrangements.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consist of internal and external research and development costs, which primarily include fees paid to contract research organizations, internal manufacturing and quality related expenses, process development costs, internal research and development expenses, as well as fees paid to contract manufacturing organizations. These costs are primarily associated with compensation expenses for our research and development employees, capital equipment and supplies for our process development and manufacturing process, and other related expenses. Our internal research and development employees as well as our indirect costs are shared across multiple development programs and are not solely dedicated to individual programs.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consists primarily of income earned on our cash, cash equivalents and marketable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Interest expense consists of contractual interest related to the Loan and Security Agreement, or the Loan Agreement, with K2 HealthVentures LLC, or K2HV, as administrative agent, certain financial institutions party thereto as lenders (including K2HV) and Ankura Trust Company, LLC, as collateral trustee. The Loan Agreement provides for a senior secured term loan facility with aggregate commitments of up to $150.0 million available in four tranches, or the Term Loan Facility, subject to the satisfaction of certain conditions precedent. In addition to contractual interest, interest expense includes amortization of debt issuance costs and debt discounts, accretion of the final payment fee and amortization of deferred debt issuance costs and deferred debt discounts.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change in fair value of warrant liability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Common warrants classified as liabilities are remeasured quarterly at fair value with the change in fair value recognized as a component of earnings.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change in fair value of derivative liability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Derivatives classified as liabilities are remeasured quarterly at fair value with the change in fair value recognized as a component of earnings.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change in fair value of contingent value rights liability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contingent value rights liability is remeasured quarterly at fair value with the change in fair value recognized as a component of earnings.</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 net consists of non-operating income and non-operating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7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and 2025</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64"/>
        </w:trPr>
        <w:tc>
          <w:tcPr>
            <w:tcW w:w="5580" w:type="dxa"/>
            <w:vAlign w:val="bottom"/>
          </w:tcPr>
          <w:p>
            <w:pPr>
              <w:spacing w:after="0"/>
              <w:rPr>
                <w:sz w:val="24"/>
                <w:szCs w:val="24"/>
                <w:color w:val="auto"/>
              </w:rPr>
            </w:pPr>
          </w:p>
        </w:tc>
        <w:tc>
          <w:tcPr>
            <w:tcW w:w="28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8"/>
        </w:trPr>
        <w:tc>
          <w:tcPr>
            <w:tcW w:w="5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1"/>
        </w:trPr>
        <w:tc>
          <w:tcPr>
            <w:tcW w:w="5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620" w:type="dxa"/>
            <w:vAlign w:val="bottom"/>
            <w:tcBorders>
              <w:bottom w:val="single" w:sz="8" w:color="auto"/>
            </w:tcBorders>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620" w:type="dxa"/>
            <w:vAlign w:val="bottom"/>
          </w:tcPr>
          <w:p>
            <w:pPr>
              <w:spacing w:after="0"/>
              <w:rPr>
                <w:sz w:val="19"/>
                <w:szCs w:val="19"/>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9"/>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 revenue</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5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3"/>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57"/>
        </w:trPr>
        <w:tc>
          <w:tcPr>
            <w:tcW w:w="5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57"/>
        </w:trPr>
        <w:tc>
          <w:tcPr>
            <w:tcW w:w="5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change in fair value of warrant liability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change in fair value of derivative liability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change in fair value of CVR liability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28,365</w:t>
            </w: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57"/>
        </w:trPr>
        <w:tc>
          <w:tcPr>
            <w:tcW w:w="55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24,430</w:t>
            </w: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NM - Not meaningful</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revenue</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we did not recognize any grant revenue, compared to $0.5 million for the three months ended September 30, 2025, a decrease of $0.5 million. Grant revenue recognized during the three months ended September 30, 2025 was under the grant from the National Institute of Neurological Disorders and Stroke of the National Institutes of Health, or NINDS.</w:t>
      </w: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comparison of research and development expenses for the three months ended September 30, 2026 and 2025 (in thousands, except percentages):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278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8"/>
        </w:trPr>
        <w:tc>
          <w:tcPr>
            <w:tcW w:w="5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1"/>
        </w:trPr>
        <w:tc>
          <w:tcPr>
            <w:tcW w:w="56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580" w:type="dxa"/>
            <w:vAlign w:val="bottom"/>
            <w:tcBorders>
              <w:bottom w:val="single" w:sz="8" w:color="auto"/>
            </w:tcBorders>
          </w:tcPr>
          <w:p>
            <w:pPr>
              <w:spacing w:after="0"/>
              <w:rPr>
                <w:sz w:val="20"/>
                <w:szCs w:val="20"/>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Descartes-08 for MG</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Descartes-08 for dermatomyositis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Early stage programs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employee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stock-based compensation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facilities and other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6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our research and development expenses were $15.6 million, compared to $13.8 million for the three months ended September 30, 2025, an increase of $1.8 million. The increase was primarily due to an increase in expenses for Descartes-08 for MG, primarily related to the expenses for the ongoing Phase 3 AURORA trial, coupled with expenses for Descartes-08 in dermatomyositis, primarily related to the expense for the ongoing Phase 2 TRITON trial. This increase was partially offset by a decrease in expenses for early stage programs, primarily related to our decision to no longer pursue development of Descartes-08 in systemic lupus erythematosus.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 expenses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our general and administrative expenses were $9.4 million, compared to $7.7 million for the three months ended September 30, 2025, an increase of $1.7 million. The increase was primarily the result of higher professional and consulting fees and employee-related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income</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income for the three months ended September 30, 2026 was $1.2 million, compared to $1.5 million for the three months ended September 30, 2025, a decrease of $0.3 million. The decrease in interest income was due to decreased cash and cash equivalents balance and lower interest rates.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2026 was $2.0 million. Interest expense is related to the Term Loan Facility (as defined below) with K2HV (as defined below) and consists of contractual interest expense as well as the amortization of debt issuance costs, debt discounts, deferred debt issuance costs, deferred debt discounts and the accretion of the final payment fee. There was no interest expense for the three months ended September 30,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change in fair value of warrant liability</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we recognized $0.2 million of income from the decrease in the fair value of warrant liability, compared to $0.5 million of income from the decrease in the fair value of warrant liability for the three months ended September 30, 2025, a change of $0.3 million. The decrease in fair value of the warrant liability in the current period was primarily driven by a decrease in the per-share price of our common stock, coupled with a decrease in the remaining expected life of the warrants.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change in fair value of derivative liability</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we recognized $3.3 million of income from the decrease in the fair value of the derivative liability. The decrease in the fair value of the embedded derivative was primarily due to the change in our stock price between June 30, 2026 and September 30, 2026. There was no change in fair value of the derivative liability for the three months ended September 30, 2025.</w:t>
      </w: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(loss) on change in fair value of contingent value rights liability</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we recognized $10.7 million of income from the decrease in the fair value of the contingent value rights, or CVR, liability, compared to $16.9 million of expense associated with the increase in the fair value of the CVR liability for the three months ended September 30, 2025, a change of $27.6 million. The decrease in the fair value of the CVR liability in the current period was primarily due to higher interest rates, partially offset by the passage of time.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net</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we recognized $0.1 million of other income, net, compared to no other income, net for the three months ended September 30,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loss for the three months ended September 30, 2026 was $11.5 million as compared to a net loss of $35.9 million for the three months ended September 30, 2025, a decrease of $24.4 million. The decrease in net loss was primarily due to the gains on the change in the fair value of the CVR liability and derivative liability, partially offset by interest expense and increases in research and development expenses and general and administrative expenses for the three months ended September 30, 2026.</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2026 and 2025</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02"/>
        </w:trPr>
        <w:tc>
          <w:tcPr>
            <w:tcW w:w="5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8"/>
        </w:trPr>
        <w:tc>
          <w:tcPr>
            <w:tcW w:w="5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7"/>
        </w:trPr>
        <w:tc>
          <w:tcPr>
            <w:tcW w:w="5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620" w:type="dxa"/>
            <w:vAlign w:val="bottom"/>
            <w:tcBorders>
              <w:bottom w:val="single" w:sz="8" w:color="auto"/>
            </w:tcBorders>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620" w:type="dxa"/>
            <w:vAlign w:val="bottom"/>
          </w:tcPr>
          <w:p>
            <w:pPr>
              <w:spacing w:after="0"/>
              <w:rPr>
                <w:sz w:val="19"/>
                <w:szCs w:val="19"/>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9"/>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and license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 revenue</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56"/>
        </w:trPr>
        <w:tc>
          <w:tcPr>
            <w:tcW w:w="5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3"/>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56"/>
        </w:trPr>
        <w:tc>
          <w:tcPr>
            <w:tcW w:w="5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57"/>
        </w:trPr>
        <w:tc>
          <w:tcPr>
            <w:tcW w:w="5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change in fair value of warrant liability</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change in fair value of derivative liability</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change in fair value of CVR liability</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57"/>
        </w:trPr>
        <w:tc>
          <w:tcPr>
            <w:tcW w:w="55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4"/>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NM - Not meaningful</w:t>
            </w: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Collaboration and license revenue</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did not recognize any collaboration and license revenue, compared to $0.4 million for the nine months ended September 30, 2025, a decrease of $0.4 million. The collaboration and license revenue recognized in the prior period was related to the sale of legacy intellectual property.</w:t>
      </w: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Grant revenue</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recognized $0.1 million of grant revenue, compared to $1.5 million for the nine months ended September 30, 2025, a decrease of $1.4 million. The decrease was primarily due to decreased expenses reimbursable under the grant from NINDS incurred during the nine months ended September 30,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comparison of research and development expenses for the nine months ended September 30, 2026 and 2025 (in thousands, except percentages):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8"/>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1"/>
        </w:trPr>
        <w:tc>
          <w:tcPr>
            <w:tcW w:w="56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580" w:type="dxa"/>
            <w:vAlign w:val="bottom"/>
            <w:tcBorders>
              <w:bottom w:val="single" w:sz="8" w:color="auto"/>
            </w:tcBorders>
          </w:tcPr>
          <w:p>
            <w:pPr>
              <w:spacing w:after="0"/>
              <w:rPr>
                <w:sz w:val="20"/>
                <w:szCs w:val="20"/>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Descartes-08 for MG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Descartes-08 for dermatomyositis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Early stage programs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employee expenses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stock-based compensation expense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facilities and other expenses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6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2026, our research and development expenses were $55.5 million, compared to $43.3 million for the nine months ended September 30, 2025, an increase of $12.2 million. The increase was primarily due to an increase in expenses for Descartes-08 for MG, primarily related to the expenses for the ongoing Phase 3 AURORA trial, coupled with expenses for Descartes-08 in dermatomyositis, primarily related to the expense for the ongoing Phase 2 TRITON trial. These increases were partially offset by a decrease in expenses for early stage programs, primarily related to our decision to no longer pursue development of Descartes-08 in systemic lupus erythematosus, coupled with a decrease in stock-based compensation expense.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 expenses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our general and administrative expenses were $25.2 million compared to $23.3 million for the nine months ended September 30, 2025, an increase of $1.9 million. The increase was primarily the result of higher professional and consulting fees, employee-related expenses and patent costs, partially offset by lower facilities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income</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Interest income for the nine months ended September 30, 2026 was $3.3 million, compared to $5.3 million for the nine months ended September 30, 2025. The decrease in interest income was due to decreased cash and cash equivalents balances and lower interest rates.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2026 was $2.8 million. Interest expense is related to the Term Loan Facility (as defined below) with K2HV (as defined below) and consists of contractual interest expense as well as the amortization of debt issuance costs, debt discounts, deferred debt issuance costs, deferred debt discounts and the accretion of the final payment fee. There was no interest expense for the nine months ended September 30,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change in fair value of warrant liability</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2026, we recognized $0.1 million of income from the decrease in the fair value of warrant liability, compared to $3.0 million of income from the decrease in the fair value of warrant liability for the nine months ended September 30, 2025, a change of $2.9 million. The decrease in fair value of the warrant liability in the current period was primarily driven by a decrease in the per-share price of our common stock, coupled with a decrease in the remaining expected life of the warrants.</w:t>
      </w: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on change in fair value of derivative liability</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we recognized $1.2 million of expense associated with the increase in the fair value of the derivative liability. The increase in the fair value of the derivative liability was primarily due to the change in our stock price between the Closing Date (as defined below) and September 30, 2026. There was no change in fair value of derivative liability for the nine months ended September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change in fair value of contingent value rights liability</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2026, we recognized $46.1 million of income from the decrease in the fair value of the CVR liability, compared to $18.7 million of income from the decrease in the fair value of the CVR liability for the nine months ended September 30, 2025, a change of $27.4 million. The decrease in the fair value of CVR liability was primarily due to changes in the timing of anticipated payments, coupled with an increase in interest rates during the nine months ended September 30, 2026.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 net</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we recognized $0.2 million of other income, net, compared to an immaterial amount of other expense, net for the nine months ended September 30, 2025, a change of $0.2 million. Other income in the current period is related to sublease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loss for the nine months ended September 30, 2026 was $34.9 million as compared to net loss of $37.7 million for the nine months ended September 30, 2025, a decrease of $2.8 million. The decrease in net loss was due to an increase in the gain on change in fair value of the CVR liability, partially offset by higher research and development expenses and interest expense, coupled with lower income associated with the change in the fair value of the warrant liability, interest income and revenues.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cash, cash equivalents, and restricted cash were $124.7 million as of September 30, 2026, of which $1.7 million was restricted cash related to lease commitments.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existing cash equivalents, we from time to time have received and may receive in the future research and development funding pursuant to our collaboration and license agreements and debt financing from loans. Currently, funding from payments under our collaboration agreements and the Loan Agreement represent our only sources of committed external funds.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liability associated with the contingent value rights agreement, or CVR Agreement, entered into on December 6, 2023, will be settled solely through cash flow received under the Sobi License (as defined below) and any other Gross Proceeds (as such term is defined in the CVR Agreement) net of certain agreed deductions. Under the CVR Agreement, 100% of all milestone payments, royalties, and other amounts paid to us or our controlled entities under the Sobi License, and any other Gross Proceeds, in each case net of certain agreed deductions, will be distributed to holders of the CVRs. There is no contractual obligation for us to fund any amount related to the CVR liability.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In-licenses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2026, the Company entered into the WestGene Agreement with WestGene to support the development of in vivo CAR-T-cell therapies for autoimmune diseases. Under the WestGene Agreement, WestGene granted the Company a non-exclusive, worldwide license, with the right to grant sublicenses, to certain technology and related intellectual property for the research, development, manufacture and commercialization of licensed products.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WestGene is responsible for performing certain development, manufacturing and related support activities pursuant to an agreed development plan and budget. The Company is responsible for funding such activities and generally controls future development, regulatory, commercialization and sublicensing activities for licensed products.</w:t>
      </w: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consideration for the rights granted under the WestGene Agreement, the Company is obligated to make an upfront payment and to fund specified development activities. The WestGene Agreement also provides for potential development, regulatory and sales-based milestone payments, royalties on net sales of licensed products and certain sublicense revenue-sharing payments, in each case subject to the terms of the WestGene Agreement. For further description of the WestGene Agreement, see Note 13, “Collaboration and License Agreements” to our unaudited consolidated financial statements included elsewhere in this Quarterly Report.</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September 2023, we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 For further description of the Biogen Agreement, see Note 13, “Collaboration and License Agreements” to our unaudited consolidated financial statements included elsewhere in this Quarterly Report.</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Effective September 2019, we entered into a non-exclusive, worldwide license agreement, or the NCI Agreement, with the U.S. Department of Health and Human Services, represented by the National Cancer Institute of the National Institutes of Health, or NCI. 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anti-B-cell maturation antigen CAR-T cell products for the treatment of MG, pemphigus vulgaris, and immune thrombocytopenic purpura according to methods designated in the NCI Agreement. In connection with our entry into the NCI Agreement, we paid to NCI a one-time $0.1 million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 For further description of the NCI Agreement, see Note 13, “Collaboration and License Agreements” to our unaudited consolidated financial statements included elsewhere in this Quarterly Report.</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Out-licenses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June 2020, we entered into a License and Development Agreement, or as so amended, the Sobi License, with Swedish Orphan Biovitrum AB (publ.), or Sobi. Sobi paid us a one-time, upfront payment of $75.0 million, and upon the closing of a private placement of our common stock to Sobi at a price of $138.468 per share, we received an additional $25.0 million from Sobi. We are eligible to receive $630.0 million in milestone payments upon the achievement of various development and regulatory milestones and sales thresholds for annual net sales of Nanoecapsulated Sirolimus plus Pegadricase, or NASP, and tiered royalty payments ranging from the low double digits on the lowest sales tier to the high teens on the highest sales tier. Sobi has agreed to fund the Phase 3 clinical program of NASP, which commenced in September 2020. In July 2022, we received $10.0 million for the completion of the enrollment of the DISSOLVE II trial. In July 2024, we received $30.0 million for the milestone associated with the initiation of a rolling biologics license application to the FDA for NASP for the potential treatment of chronic refractory gout by Sobi. Proceeds from milestone payments and royalties on sales of NASP, if any, are required to be distributed, net of certain agreed deductions, to holders of the CVRs. For further description of the Sobi License, see Note 12, “Revenue Arrangements” to our unaudited consolidated financial statements included elsewhere in this Quarterly Report.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Loan and Security Agreement with K2 HealthVentures LLC</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22, 2026, or the Closing Date, we entered into a Loan and Security Agreement, or the Loan Agreement, with K2 HealthVentures LLC, or K2HV, as administrative agent, certain financial institutions party thereto as lenders (including K2HV) and Ankura Trust Company, LLC, as collateral trustee. The Loan Agreement provides for a senior secured term loan facility with aggregate commitments of up to $150.0 million available in four tranches, or the Term Loan Facility, comprised of:</w:t>
      </w:r>
    </w:p>
    <w:p>
      <w:pPr>
        <w:spacing w:after="0" w:line="12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tranche term loan in an aggregate principal amount of $50.0 million, funded on the Closing Date, or the First Tranche;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tranche term loan in an aggregate principal amount of $25.0 million, available to be drawn between January 1, 2027 and December 1, 2027 subject to our achievement of specified clinical and financing milestones on or prior to December 1, 2027, or the Second Tranche;</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tranche term loan in an aggregate principal amount of $25.0 million, available to be drawn between January 1, 2028 and June 1, 2028 subject to our achievement of specified approval and sales milestones on or prior to June 1, 2028, or the Third Tranche;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fourth tranche term loan in an aggregate principal amount of up to $50.0 million, available in the lenders’ sole discretion.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Term Loan Facility bears interest at a variable annual rate equal to the greater of (i) 8.95% and (ii) the prime rate as quoted in The Wall Street Journal plus 2.20%, payable monthly in arrears on the first calendar day of each month. The Term Loan Facility matures on June 1, 2030 and provides for interest-only payments for the first 36 months following the Closing Date, followed by 12 equal monthly payments of principal and interest commencing on the amortization date of July 1, 2029.</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at our option, prepay all, but not less than all, of the outstanding principal balance together with accrued and unpaid interest and all amounts then due under the Loan Agreement, subject to a prepayment premium and an end of term fee. In addition, prior to repayment in full of the Term Loan Facility, the lenders may jointly elect to convert up to $15.0 million of the outstanding principal into shares of our common stock, and/or certain other securities issued in a qualifying financing (any such common stock and other securities, the Conversion Shares), subject to a $5.0 million conversion limit prior to the first anniversary of the Closing Date, at a conversion price equal to, at the lenders’ election, either (i) if the relevant Conversion Shares are common stock, $8.2526 per share of common stock or (ii) if the relevant Conversion Shares are shares of common stock or other securities issued in a qualifying financing, the lowest effective price per share or other security in our next qualified financing; provided, that to the extent such securities issued in a qualifying financing are convertible securities, the conversion price shall equal $1.00 for each $1.00 of notional principal represented by such convertible securities, or the Conversion Option. No prepayment premium applies to principal amounts converted into equity. The Loan Agreement also provides the lenders with certain registration rights, a right to participate in future qualified financings of the Company up to an aggregate of $5.0 million, and customary conversion mechanics and beneficial ownership limitations. As of September 30, 2026, no portion of the outstanding principal had been converted into equity.</w:t>
      </w:r>
    </w:p>
    <w:p>
      <w:pPr>
        <w:spacing w:after="0" w:line="13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Beginning April 1, 2027, the Loan Agreement requires us to maintain a minimum unrestricted cash balance at all times when our market capitalization is less than $750.0 million of at least 80% of our outstanding obligations to the lenders, subject to reduction to 50% upon achievement of the Second Tranche Milestone, as defined in the Loan Agreement, and will revert to 80% if the Third Tranche Milestone, as defined in the Loan Agreement, is not achieved by the applicable date. Beginning on January 1, 2029, the Loan Agreement requires us to maintain compliance with a minimum trailing three-month net product revenue covenant of $40.0 million, tested as of the last day of each calendar quarter, with required quarter-over-quarter growth.</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obligations under the Loan Agreement are secured by a first priority security interest in substantially all of our assets, excluding intellectual property, which is subject to a negative pledge. The Loan Agreement contains customary affirmative and negative covenants, including restrictions on additional indebtedness, liens, dividends, investments, asset sales, repurchase of equity, certain affiliate transactions, changes of control, mergers or acquisitions, as well as customary events of default. The Loan Agreement contemplates that the Company’s existing and future material domestic subsidiaries will be required to become co-borrowers or guarantors and to grant a security interest in their assets to secure the obligations under the Loan Agreement. As of September 30, 2026, we were in compliance with all covenants under the Loan Agreement.</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initial borrowing, we recognized a $7.4 million debt discount associated with the Compound Derivative (as defined below) and incurred approximately $2.8 million of debt issuance costs and an approximately $1.2 million original issue discount. The amortized cost of the Compound Derivative discount is included within “Long-term debt” in the consolidated balance sheet as of September 30, 2026. The debt issuance costs and original issue discount were allocated among the funded and contingent borrowing tranches, of which approximately $1.4 million and $0.6 million were allocated to the First Tranche, respectively, and the amortized cost is included within “Long-term debt” in the consolidated balance sheet as of September 30, 2026. The remaining $1.4 million and $0.6 million were allocated to Second Tranche and Third Tranche, respectively, and are deferred within “Long-term prepaid expenses and other assets” in the consolidated balance sheet as of September 30, 2026, and until the related tranche is funded. Deferred debt issuance costs and original issue discount are amortized to interest expense over the term of the Loan Agreement using the straight-line method.</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also required to pay a final payment fee equal to 6.95% of funded principal, or approximately $3.5 million based on the amount funded as of September 30, 2026, which is accreted to interest expense over the term of the Loan Agreement using the effective interest method.</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Embedded Derivative</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Loan Agreement, we identified certain embedded features that require separate accounting as derivatives, including the Conversion Option and certain default, acceleration, indemnification and contingent payment features, collectively referred to as the Compound Derivative.</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Compound Derivative, we recognized a debt discount and a corresponding derivative liability based on an initial estimated fair value of approximately $7.4 million. The discount will be amortized to interest expense over the term of the Loan Agreement using the effective interest method.</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Compound Derivative is remeasured at fair value each reporting period, with changes in fair value recognized in our consolidated statements of operations and comprehensive loss. As of September 30, 2026, the estimated fair value was approximately $8.6 million and is included within “Long-term debt” in the consolidated balance sheet as of September 30, 2026. We recorded a gain on the change in fair value of $3.3 million and a loss on the change in fair value of $1.2 million for the three and nine months ended September 30, 2026, respectively. The fair value of the Compound Derivative is driven primarily by the Conversion Option and was estimated using a binomial lattice model. The valuation is classified as Level 3 in the fair value hierarchy.</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“At the Market” Sales Agreement</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13, 2024, we entered into a Sales Agreement, or the Sales Agreement, with Leerink Partners LLC to sell shares of our common stock, from time to time, through an “at the market” equity offering program under which Leerink Partners LLC acts as sales agent. The shares of common stock sold pursuant to the Sales Agreement will be issued pursuant to our shelf registration statement on Form S-3 (File No. 333-283803), filed on December 13, 2024 with the SEC and related prospectus supplement, filed on January 8, 2025 with the SEC, for aggregate gross sales proceeds of up to $100.0 million.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sold 3,196,203 shares of our common stock pursuant to the Sales Agreement for net proceeds of approximately $22.8 million after commissions and expenses. As of September 30, 2026, approximately $75.5 million remains available under the at the market program. No shares were sold pursuant to the Sales Agreement during the nine months ended September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Quarterly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Term Loan Facility payments,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2026, we had an accumulated deficit of $857.3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regularly evaluate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or debt issuance, we may have to relinquish valuable rights to our technologies or product candidates, or grant licenses on terms that are not favorable to us. To the extent that we raise additional capital through the sale of equity instruments or through debt issuance, the ownership interest of our existing stockholders will be diluted, and other preferences may be necessary that adversely affect the rights of existing stockholders.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cash equivalents, and restricted cash as of September 30, 2026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w:t>
      </w: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curtail, delay, or discontinue one or more of our planned research or development programs or be unable to expand our operations, meet long-term obligations or otherwise capitalize on our commercialization of our product candidates.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clinical trials, preclinical development, manufacturing, laboratory testing and logistics;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satisfaction of the conditions precedent to draw further on the Term Loan Facility under the Loan Agreement;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that we pursue and the speed with which we pursue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from commercial sales of our product candidates for which we receive marketing approval;</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 due to Contractual Obligations and Other Commitments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required to make payments under the Term Loan Facility, which bears interest at a variable annual rate equal to the greater of (i) 8.95% and (ii) the prime rate as quoted in The Wall Street Journal plus 2.20%, payable monthly in arrears on the first calendar day of each month. As of September 30, 2026, accrued interest payable under the Term Loan Facility was approximately $0.4 million, which is included within “Accrued expenses and other current liabilities” on the accompanying consolidated balance sheet. As of September 30, 2026, based on current indebtedness and interest rates, we expect to pay $15.4 million in interest under the Term Loan Facility, in addition to the principal of $50.0 million and final payment fee of approximately $3.5 million.</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under agreement to lease approximately 32,294 square feet of laboratory and office space in Watertown, Massachusetts through May 2028. Remaining lease payments from September 30, 2026 through the end of the lease term total approximately $4.6 million. Payments made and remaining obligations on this lease liability are subject to potential reimbursement through deductions to CVR distributions as described in Note 5, “Fair Value Measurements” to our unaudited consolidated financial statements included elsewhere in this Quarterly Report and were reimbursed in the March 2025 CVR distribution.</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November 2023 we acquired two leases for office and laboratory space in Gaithersburg, Maryland, which expire in January 2027. Annualized rent is approximately $0.3 million and remaining lease payments from September 30, 2026 through the end of the lease term total approximately $0.1 million.</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February 2024, we entered into an agreement to lease approximately 19,199 square feet of integrated manufacturing and office space in Frederick, Maryland. In May 2024, we entered into an amendment to lease an additional approximately 7,842 square feet at the same site. In August 2024, we entered into a second amendment to lease an additional approximately 2,009 square feet at the same site. In March 2025, we entered into a third amendment to lease an additional approximately 6,439 square feet at the same site. The leases expire coterminously in June 2031. Annualized base rent under the leases is approximately $1.4 million and is subject to annual increases in accordance with the terms of the lease agreement. The leases provide for a tenant improvement allowance of $0.8 million. Remaining lease payments total $7.7 million through the end of the lease term.</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also party to certain license and collaboration agreements with WestGene, Biogen, NCI and Shenyang Sunshine Pharmaceutical Co., Ltd., or 3SBio. We may be obligated to make certain future payments which are contingent upon future events such as our achievement of specified regulatory and commercial milestones, or royalties on net product sales under these agreements. As of September 30, 2026, we were unable to estimate the timing or likelihood of achieving these milestones or generating future product sales. Payments made and remaining obligations on the license agreement with 3SBio are subject to</w:t>
      </w:r>
    </w:p>
    <w:p>
      <w:pPr>
        <w:spacing w:after="0" w:line="3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potential reimbursement through deductions to CVR distributions as described in Note 5, “Fair Value Measurements” to our unaudited consolidated financial statements included elsewhere in this Quarterly Report.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8500" w:type="dxa"/>
            <w:vAlign w:val="bottom"/>
          </w:tcPr>
          <w:p>
            <w:pPr>
              <w:spacing w:after="0"/>
              <w:rPr>
                <w:sz w:val="24"/>
                <w:szCs w:val="24"/>
                <w:color w:val="auto"/>
              </w:rPr>
            </w:pPr>
          </w:p>
        </w:tc>
        <w:tc>
          <w:tcPr>
            <w:tcW w:w="27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provided by:</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(56,229)</w:t>
            </w:r>
          </w:p>
        </w:tc>
      </w:tr>
      <w:tr>
        <w:trPr>
          <w:trHeight w:val="230"/>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r>
      <w:tr>
        <w:trPr>
          <w:trHeight w:val="229"/>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(69,160)</w:t>
            </w: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2026 was $70.9 million compared to $56.2 million for the nine months ended September 30, 2025. The increase in cash used in operating activities of approximately $14.7 million was primarily due to $68.7 million of net loss, adjusted for non-cash items, and $2.2 million of cash used in changes in operating assets and liabilities, in each case during the nine months ended September 30, 2026 compared to $48.2 million of net loss, adjusted for non-cash items, and $8.0 million of cash used in changes in operating assets and liabilities during the nine months ended September 30, 2025.</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2026 was $0.7 million compared to $5.0 million for the nine months ended September 30, 2025, a decrease of approximately $4.3 million. The net cash used in investing activities for the nine months ended September 30, 2026 and 2025 consisted of purchases of property and equipment. The decrease in cash used in investing activities is primarily driven by leasehold improvement expenditures during the nine months ended September 30, 2025 that did not recur in 2026.</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2026 was $69.6 million compared to net cash used in financing activities of $8.0 million for the nine months ended September 30, 2025, an increase of approximately $77.6 million. The net cash provided by financing activities in the nine months ended September 30, 2026 was primarily from approximately $46.0 million in proceeds from the issuance of Term Loan Facility, net, coupled with $22.8 million in proceeds from sales of our common stock pursuant to the Sales Agreement, net of commissions and expenses. The net cash used in financing activities in the nine months ended September 30, 2025 was primarily the result of payments for the CVR distribution.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recently adopted or issued accounting pronouncements refer to Note 2, “Summary of Significant Accounting Policies” to our unaudited consolidated financial statements included elsewhere in this Quarterly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2026, we did not have any off-balance sheet arrangements as defined in the rules and regulations of the SEC.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and judgments that affect the reported amounts of assets, liabilities, revenues and expenses, and disclosure of contingent assets and liabilities in our consolidated financial statements. Actual results may differ from these estimates under different assumptions or conditions. During the three and nine months ended September 30, 2026, there were no material changes, other than described in Note 2, “Summary of Significant Accounting Policies” and Note 5, “Fair Value Measurements – Embedded Derivative” in</w:t>
      </w: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to our critical accounting policies from those described in our Annual Report on Form 10-K for the year ended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market risk inherent in our financial instruments and in our financial position represents the potential loss arising from adverse changes in interest rates. As of September 30, 2026, we have an outstanding principal amount related to our Term Loan Facility of $50.0 million. The Term Loan Facility bears interest at the greater of (i) 8.95% and (ii) the prime rate as quoted in The Wall Street Journal plus 2.20%. Refer to Note 9, “Debt” to our unaudited consolidated financial statements included elsewhere in this Quarterly Report.</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2026 and December 31, 2025, we had cash, cash equivalents, and restricted cash of $124.7 million and $126.9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policy to hold marketable securities to maturity, a hypothetical change of one percentage point in interest rates would not have a material effect on the fair market value of our cash equivalents or short-term marketable securities. Refer to Note 5, “Fair Value Measurements” to our unaudited consolidated financial statements included elsewhere in this Quarterly Report.</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price risk</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Compound Derivative is accounted for at fair value at each reporting period. The primary feature of this derivative is the Conversion Option. As such, a market risk inherent in this financial instrument and in our financial position represents the potential loss arising from changes in the price per share of our common stock. Refer to Note 5, “Fair Value Measurements” to our unaudited consolidated financial statements included elsewhere in this Quarterly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September 30,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internal control over financial reporting. Accordingly, even an effective system of internal control over financial reporting can only provide reasonable assurance with respect to financial statement preparation and presentation in accordance with U.S. GAAP. Our internal controls over financial reporting are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 inadequate because of changes in conditions and the risk that the degree of compliance with policies or procedures may deteriorate over time.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September 30, 2026 that have materially affected, or are reasonably likely to materially affect, our internal control over financial reporting.</w:t>
      </w: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the risk factors previously disclosed in Item 1A of our Annual Report on Form 10-K for the year ended December 31, 2025. Other than the risk factors described below, there have been no material changes from the risk factors previously disclosed in such filings.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Issuing additional equity securities may cause dilution to our stockholders.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sufficient product revenue to fund our operations, we expect to finance our operations with our existing cash, cash equivalents and marketable securities, any current or future equity or debt financings, including under the Sales Agreement and Loan Agreement, and upfront and milestone and royalties payments, if any, received under any licenses or collaborations. If we raise additional capital through the sale of equity or convertible debt securities, are required to issue equity securities in conversion of our outstanding obligations pursuant to the Loan Agreement, or issue any equity or convertible debt securities in connection with a collaboration agreement or other contractual arrangement,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w:t>
      </w:r>
    </w:p>
    <w:p>
      <w:pPr>
        <w:spacing w:after="0" w:line="13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Loan Agreement place restrictions on our operating and financial flexibility. If we raise additional capital through debt financing, the terms of any new debt could further restrict our operating and financial flexibility.</w:t>
      </w:r>
    </w:p>
    <w:p>
      <w:pPr>
        <w:spacing w:after="0" w:line="10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May 2026, we entered into the Loan Agreement with K2HV. Our obligations under the Loan Agreement are secured by a security interest in substantially all of our assets, other than intellectual property assets.</w:t>
      </w:r>
    </w:p>
    <w:p>
      <w:pPr>
        <w:spacing w:after="0" w:line="10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Loan Agreement includes customary affirmative and negative covenants, as well as standard events of default, including an event of default based on the occurrence of a material adverse event. The negative covenants include, among others, restrictions on additional indebtedness, liens, dividends, investments, asset sales, repurchase of equity, certain affiliate transactions, changes of control and mergers or acquisitions. Beginning April 1, 2027, the Loan Agreement requires us to maintain a minimum unrestricted cash balance at all times when our market capitalization is less than $750.0 million of 80% of our outstanding obligations to the lenders, subject to reduction to 50% upon achievement of certain Second Tranche Milestones, and will revert to 80% if certain Third Tranche Milestones are not achieved by the applicable date. Beginning on January 1, 2029, the Loan Agreement requires us to maintain compliance with a minimum trailing three-month net product revenue covenant of $40.0 million, tested as of the last day of each calendar quarter, with required quarter-over-quarter growth. These restrictive covenants could limit our flexibility in operating our business and our ability to pursue business opportunities that we or our stockholders may consider beneficial. In addition, K2HV could declare a default upon the occurrence of any event that it interprets could be expected to have a material adverse effect, subject to the limitations specified in the Loan Agreement. Upon the occurrence and continuance of an event of default, K2HV may declare all outstanding obligations immediately due and payable and take such other actions as set forth in the Loan Agreement. Any declaration of an event of default could significantly harm our business and prospects and could cause the price of our common stock to decline. If we are liquidated, the rights of the lenders to repayment would be senior to the rights of the holders of our common stock to receive any proceeds from liquidation. We may not have enough available cash or be able to raise additional funds through equity or debt financings to repay these outstanding obligations at the time any event of default occurs. Further, if we raise any additional capital through debt financing, the terms of such additional debt could further restrict our operating and financial flexibility.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2026, no officer or director, as defined in Rule 16a-1(f) of the Exchange Act, informed us of the adoption, modification or termination of any “Rule 10b5-1 trading arrangement” or a “non-Rule 10b5-1 trading arrangement,” as those terms are defined in Item 408 of Regulation S-K .</w:t>
      </w: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91" w:lineRule="exact"/>
        <w:rPr>
          <w:sz w:val="20"/>
          <w:szCs w:val="20"/>
          <w:color w:val="auto"/>
        </w:rPr>
      </w:pPr>
    </w:p>
    <w:p>
      <w:pPr>
        <w:jc w:val="right"/>
        <w:ind w:right="42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99"/>
          </w:cols>
          <w:pgMar w:left="660" w:top="121"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5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34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18"/>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w w:val="98"/>
              </w:rPr>
              <w:t>Incorporated by Reference</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gridSpan w:val="3"/>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300" w:type="dxa"/>
            <w:vAlign w:val="bottom"/>
            <w:gridSpan w:val="25"/>
            <w:vMerge w:val="restart"/>
          </w:tcPr>
          <w:p>
            <w:pPr>
              <w:ind w:left="16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4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Filing</w:t>
            </w:r>
          </w:p>
        </w:tc>
        <w:tc>
          <w:tcPr>
            <w:tcW w:w="0" w:type="dxa"/>
            <w:vAlign w:val="bottom"/>
          </w:tcPr>
          <w:p>
            <w:pPr>
              <w:spacing w:after="0"/>
              <w:rPr>
                <w:sz w:val="1"/>
                <w:szCs w:val="1"/>
                <w:color w:val="auto"/>
              </w:rPr>
            </w:pPr>
          </w:p>
        </w:tc>
      </w:tr>
      <w:tr>
        <w:trPr>
          <w:trHeight w:val="243"/>
        </w:trPr>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300" w:type="dxa"/>
            <w:vAlign w:val="bottom"/>
            <w:gridSpan w:val="25"/>
            <w:vMerge w:val="continue"/>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83"/>
        </w:trPr>
        <w:tc>
          <w:tcPr>
            <w:tcW w:w="1100" w:type="dxa"/>
            <w:vAlign w:val="bottom"/>
            <w:tcBorders>
              <w:top w:val="single" w:sz="8" w:color="auto"/>
            </w:tcBorders>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560" w:type="dxa"/>
            <w:vAlign w:val="bottom"/>
            <w:tcBorders>
              <w:top w:val="single" w:sz="8" w:color="auto"/>
            </w:tcBorders>
            <w:gridSpan w:val="25"/>
          </w:tcPr>
          <w:p>
            <w:pPr>
              <w:spacing w:after="0" w:line="18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Agreement and Plan of Merger, dated November 13, 2023, by and among</w:t>
              </w:r>
            </w:hyperlink>
          </w:p>
        </w:tc>
        <w:tc>
          <w:tcPr>
            <w:tcW w:w="120" w:type="dxa"/>
            <w:vAlign w:val="bottom"/>
          </w:tcPr>
          <w:p>
            <w:pPr>
              <w:spacing w:after="0"/>
              <w:rPr>
                <w:sz w:val="15"/>
                <w:szCs w:val="15"/>
                <w:color w:val="auto"/>
              </w:rPr>
            </w:pPr>
          </w:p>
        </w:tc>
        <w:tc>
          <w:tcPr>
            <w:tcW w:w="6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5"/>
                <w:szCs w:val="15"/>
                <w:color w:val="auto"/>
              </w:rPr>
            </w:pPr>
          </w:p>
        </w:tc>
        <w:tc>
          <w:tcPr>
            <w:tcW w:w="13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001-37798</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11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Selecta Biosciences, Inc., Sakura Merger Sub I, Inc., Sakura Merger Sub</w:t>
              </w:r>
            </w:hyperlink>
          </w:p>
        </w:tc>
        <w:tc>
          <w:tcPr>
            <w:tcW w:w="380" w:type="dxa"/>
            <w:vAlign w:val="bottom"/>
            <w:gridSpan w:val="10"/>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II,</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4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LLC, and Cartesian Therapeutics, Inc.</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3.1(a)</w:t>
            </w:r>
          </w:p>
        </w:tc>
        <w:tc>
          <w:tcPr>
            <w:tcW w:w="20" w:type="dxa"/>
            <w:vAlign w:val="bottom"/>
          </w:tcPr>
          <w:p>
            <w:pPr>
              <w:spacing w:after="0"/>
              <w:rPr>
                <w:sz w:val="18"/>
                <w:szCs w:val="18"/>
                <w:color w:val="auto"/>
              </w:rPr>
            </w:pPr>
          </w:p>
        </w:tc>
        <w:tc>
          <w:tcPr>
            <w:tcW w:w="47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Restated Certificate of Incorporation of Selecta Biosciences, Inc.</w:t>
              </w:r>
            </w:hyperlink>
          </w:p>
        </w:tc>
        <w:tc>
          <w:tcPr>
            <w:tcW w:w="980" w:type="dxa"/>
            <w:vAlign w:val="bottom"/>
            <w:gridSpan w:val="14"/>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6/29/2016</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8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3.1(b)</w:t>
            </w:r>
          </w:p>
        </w:tc>
        <w:tc>
          <w:tcPr>
            <w:tcW w:w="20" w:type="dxa"/>
            <w:vAlign w:val="bottom"/>
          </w:tcPr>
          <w:p>
            <w:pPr>
              <w:spacing w:after="0"/>
              <w:rPr>
                <w:sz w:val="18"/>
                <w:szCs w:val="18"/>
                <w:color w:val="auto"/>
              </w:rPr>
            </w:pPr>
          </w:p>
        </w:tc>
        <w:tc>
          <w:tcPr>
            <w:tcW w:w="5680" w:type="dxa"/>
            <w:vAlign w:val="bottom"/>
            <w:gridSpan w:val="26"/>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Certificate of Amendment to the Restated Certificate of Incorporation of</w:t>
              </w:r>
            </w:hyperlink>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6/21/2022</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Selecta Biosciences, Inc., dated June 21, 2022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3.1(c)</w:t>
            </w:r>
          </w:p>
        </w:tc>
        <w:tc>
          <w:tcPr>
            <w:tcW w:w="20" w:type="dxa"/>
            <w:vAlign w:val="bottom"/>
          </w:tcPr>
          <w:p>
            <w:pPr>
              <w:spacing w:after="0"/>
              <w:rPr>
                <w:sz w:val="19"/>
                <w:szCs w:val="19"/>
                <w:color w:val="auto"/>
              </w:rPr>
            </w:pPr>
          </w:p>
        </w:tc>
        <w:tc>
          <w:tcPr>
            <w:tcW w:w="5680" w:type="dxa"/>
            <w:vAlign w:val="bottom"/>
            <w:gridSpan w:val="26"/>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Certificate of Amendment to the Restated Certificate of Incorporation of</w:t>
              </w:r>
            </w:hyperlink>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Selecta Biosciences, Inc., dated November 13, 2023</w:t>
              </w:r>
            </w:hyperlink>
          </w:p>
        </w:tc>
        <w:tc>
          <w:tcPr>
            <w:tcW w:w="146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3.1(d)</w:t>
            </w:r>
          </w:p>
        </w:tc>
        <w:tc>
          <w:tcPr>
            <w:tcW w:w="20" w:type="dxa"/>
            <w:vAlign w:val="bottom"/>
          </w:tcPr>
          <w:p>
            <w:pPr>
              <w:spacing w:after="0"/>
              <w:rPr>
                <w:sz w:val="19"/>
                <w:szCs w:val="19"/>
                <w:color w:val="auto"/>
              </w:rPr>
            </w:pPr>
          </w:p>
        </w:tc>
        <w:tc>
          <w:tcPr>
            <w:tcW w:w="5680" w:type="dxa"/>
            <w:vAlign w:val="bottom"/>
            <w:gridSpan w:val="26"/>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Certificate of Amendment to the Restated Certificate of Incorporation, as</w:t>
              </w:r>
            </w:hyperlink>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3/28/2024</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amended, of Cartesian Therapeutics, Inc., dated March 28, 2024.</w:t>
              </w:r>
            </w:hyperlink>
          </w:p>
        </w:tc>
        <w:tc>
          <w:tcPr>
            <w:tcW w:w="60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Amended and Restated By-laws of Cartesian Therapeutics, Inc.</w:t>
              </w:r>
            </w:hyperlink>
          </w:p>
        </w:tc>
        <w:tc>
          <w:tcPr>
            <w:tcW w:w="1100" w:type="dxa"/>
            <w:vAlign w:val="bottom"/>
            <w:gridSpan w:val="16"/>
          </w:tcPr>
          <w:p>
            <w:pPr>
              <w:spacing w:after="0"/>
              <w:rPr>
                <w:sz w:val="19"/>
                <w:szCs w:val="19"/>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10/30/2025</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4.1(a)</w:t>
            </w:r>
          </w:p>
        </w:tc>
        <w:tc>
          <w:tcPr>
            <w:tcW w:w="20" w:type="dxa"/>
            <w:vAlign w:val="bottom"/>
          </w:tcPr>
          <w:p>
            <w:pPr>
              <w:spacing w:after="0"/>
              <w:rPr>
                <w:sz w:val="18"/>
                <w:szCs w:val="18"/>
                <w:color w:val="auto"/>
              </w:rPr>
            </w:pPr>
          </w:p>
        </w:tc>
        <w:tc>
          <w:tcPr>
            <w:tcW w:w="5680" w:type="dxa"/>
            <w:vAlign w:val="bottom"/>
            <w:gridSpan w:val="26"/>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Certificate of Designation of Preferences, Rights and Limitations of Series</w:t>
              </w:r>
            </w:hyperlink>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A Non-Voting Convertible Preferred Stock</w:t>
              </w:r>
            </w:hyperlink>
          </w:p>
        </w:tc>
        <w:tc>
          <w:tcPr>
            <w:tcW w:w="22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4.1(b)</w:t>
            </w:r>
          </w:p>
        </w:tc>
        <w:tc>
          <w:tcPr>
            <w:tcW w:w="20" w:type="dxa"/>
            <w:vAlign w:val="bottom"/>
          </w:tcPr>
          <w:p>
            <w:pPr>
              <w:spacing w:after="0"/>
              <w:rPr>
                <w:sz w:val="19"/>
                <w:szCs w:val="19"/>
                <w:color w:val="auto"/>
              </w:rPr>
            </w:pPr>
          </w:p>
        </w:tc>
        <w:tc>
          <w:tcPr>
            <w:tcW w:w="5680" w:type="dxa"/>
            <w:vAlign w:val="bottom"/>
            <w:gridSpan w:val="26"/>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Certificate of Amendment to the Certificate of Designation of Series A Non-</w:t>
              </w:r>
            </w:hyperlink>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3/28/2024</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Voting Convertible Preferred Stock, dated March 26, 2024.</w:t>
              </w:r>
            </w:hyperlink>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gridSpan w:val="26"/>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Certificate of Designation of Preferences, Rights and Limitations of Series B</w:t>
              </w:r>
            </w:hyperlink>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7/2/2024</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74">
              <w:r>
                <w:rPr>
                  <w:rFonts w:ascii="Times New Roman" w:cs="Times New Roman" w:eastAsia="Times New Roman" w:hAnsi="Times New Roman"/>
                  <w:sz w:val="18"/>
                  <w:szCs w:val="18"/>
                  <w:color w:val="0000FF"/>
                  <w:w w:val="98"/>
                </w:rPr>
                <w:t>Non-Voting Convertible Preferred Stock</w:t>
              </w:r>
            </w:hyperlink>
          </w:p>
        </w:tc>
        <w:tc>
          <w:tcPr>
            <w:tcW w:w="2620" w:type="dxa"/>
            <w:vAlign w:val="bottom"/>
            <w:tcBorders>
              <w:top w:val="single" w:sz="8" w:color="0000FF"/>
            </w:tcBorders>
            <w:gridSpan w:val="20"/>
          </w:tcPr>
          <w:p>
            <w:pPr>
              <w:spacing w:after="0"/>
              <w:rPr>
                <w:sz w:val="13"/>
                <w:szCs w:val="13"/>
                <w:color w:val="auto"/>
              </w:rPr>
            </w:pPr>
          </w:p>
        </w:tc>
        <w:tc>
          <w:tcPr>
            <w:tcW w:w="1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 13a-14(a) or</w:t>
            </w:r>
          </w:p>
        </w:tc>
        <w:tc>
          <w:tcPr>
            <w:tcW w:w="360" w:type="dxa"/>
            <w:vAlign w:val="bottom"/>
            <w:gridSpan w:val="9"/>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gridSpan w:val="26"/>
          </w:tcPr>
          <w:p>
            <w:pPr>
              <w:spacing w:after="0" w:line="156" w:lineRule="exact"/>
              <w:rPr>
                <w:sz w:val="20"/>
                <w:szCs w:val="20"/>
                <w:color w:val="auto"/>
              </w:rPr>
            </w:pPr>
            <w:r>
              <w:rPr>
                <w:rFonts w:ascii="Times New Roman" w:cs="Times New Roman" w:eastAsia="Times New Roman" w:hAnsi="Times New Roman"/>
                <w:sz w:val="18"/>
                <w:szCs w:val="18"/>
                <w:color w:val="0000FF"/>
              </w:rPr>
              <w:t>Rule 15d-14(a) of the Securities Exchange Act of 1934, as adopted pursuant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tcBorders>
              <w:top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18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 13a-14(a) or</w:t>
            </w:r>
          </w:p>
        </w:tc>
        <w:tc>
          <w:tcPr>
            <w:tcW w:w="420" w:type="dxa"/>
            <w:vAlign w:val="bottom"/>
            <w:gridSpan w:val="12"/>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gridSpan w:val="26"/>
          </w:tcPr>
          <w:p>
            <w:pPr>
              <w:spacing w:after="0" w:line="156" w:lineRule="exact"/>
              <w:rPr>
                <w:sz w:val="20"/>
                <w:szCs w:val="20"/>
                <w:color w:val="auto"/>
              </w:rPr>
            </w:pPr>
            <w:r>
              <w:rPr>
                <w:rFonts w:ascii="Times New Roman" w:cs="Times New Roman" w:eastAsia="Times New Roman" w:hAnsi="Times New Roman"/>
                <w:sz w:val="18"/>
                <w:szCs w:val="18"/>
                <w:color w:val="0000FF"/>
              </w:rPr>
              <w:t>Rule 15d-14(a) of the Securities Exchange Act of 1934, as adopted pursuant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tcBorders>
              <w:top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18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76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Furnished</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 906 of</w:t>
            </w:r>
          </w:p>
        </w:tc>
        <w:tc>
          <w:tcPr>
            <w:tcW w:w="280" w:type="dxa"/>
            <w:vAlign w:val="bottom"/>
            <w:gridSpan w:val="6"/>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6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320" w:type="dxa"/>
            <w:vAlign w:val="bottom"/>
            <w:gridSpan w:val="8"/>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360" w:type="dxa"/>
            <w:vAlign w:val="bottom"/>
            <w:gridSpan w:val="2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3"/>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17"/>
                <w:szCs w:val="17"/>
                <w:color w:val="auto"/>
              </w:rPr>
            </w:pPr>
          </w:p>
        </w:tc>
        <w:tc>
          <w:tcPr>
            <w:tcW w:w="568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80" w:type="dxa"/>
            <w:vAlign w:val="bottom"/>
            <w:gridSpan w:val="26"/>
          </w:tcPr>
          <w:p>
            <w:pPr>
              <w:spacing w:after="0" w:line="184"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0"/>
                <w:szCs w:val="20"/>
                <w:color w:val="auto"/>
              </w:rPr>
            </w:pPr>
          </w:p>
        </w:tc>
        <w:tc>
          <w:tcPr>
            <w:tcW w:w="56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08"/>
        </w:trPr>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9"/>
                <w:szCs w:val="9"/>
                <w:color w:val="auto"/>
              </w:rPr>
            </w:pPr>
          </w:p>
        </w:tc>
        <w:tc>
          <w:tcPr>
            <w:tcW w:w="568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gridSpan w:val="26"/>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08"/>
        </w:trPr>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9"/>
                <w:szCs w:val="9"/>
                <w:color w:val="auto"/>
              </w:rPr>
            </w:pPr>
          </w:p>
        </w:tc>
        <w:tc>
          <w:tcPr>
            <w:tcW w:w="568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gridSpan w:val="26"/>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08"/>
        </w:trPr>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9"/>
                <w:szCs w:val="9"/>
                <w:color w:val="auto"/>
              </w:rPr>
            </w:pPr>
          </w:p>
        </w:tc>
        <w:tc>
          <w:tcPr>
            <w:tcW w:w="568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gridSpan w:val="26"/>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08"/>
        </w:trPr>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9"/>
                <w:szCs w:val="9"/>
                <w:color w:val="auto"/>
              </w:rPr>
            </w:pPr>
          </w:p>
        </w:tc>
        <w:tc>
          <w:tcPr>
            <w:tcW w:w="568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gridSpan w:val="26"/>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08"/>
        </w:trPr>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8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80" w:type="dxa"/>
            <w:vAlign w:val="bottom"/>
            <w:gridSpan w:val="26"/>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8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680" w:type="dxa"/>
            <w:vAlign w:val="bottom"/>
            <w:gridSpan w:val="26"/>
            <w:vMerge w:val="continue"/>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220" w:right="540" w:firstLine="7"/>
        <w:spacing w:after="0" w:line="237" w:lineRule="auto"/>
        <w:tabs>
          <w:tab w:leader="none" w:pos="13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annexes, schedules and exhibits have been omitted pursuant to Item 601(a)(5) of Regulation S-K. The Company agrees to furnish supplementally a copy of any omitted attachment to the SEC on a confidential basis upon request.</w:t>
      </w:r>
    </w:p>
    <w:p>
      <w:pPr>
        <w:spacing w:after="0" w:line="1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38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tc>
      </w:tr>
      <w:tr>
        <w:trPr>
          <w:trHeight w:val="28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4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r>
      <w:tr>
        <w:trPr>
          <w:trHeight w:val="216"/>
        </w:trPr>
        <w:tc>
          <w:tcPr>
            <w:tcW w:w="3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r>
      <w:tr>
        <w:trPr>
          <w:trHeight w:val="229"/>
        </w:trPr>
        <w:tc>
          <w:tcPr>
            <w:tcW w:w="3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Chief Executive Officer and Chairman of the Board</w:t>
            </w:r>
          </w:p>
        </w:tc>
      </w:tr>
      <w:tr>
        <w:trPr>
          <w:trHeight w:val="236"/>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54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4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Blaine Davis</w:t>
            </w:r>
          </w:p>
        </w:tc>
      </w:tr>
      <w:tr>
        <w:trPr>
          <w:trHeight w:val="216"/>
        </w:trPr>
        <w:tc>
          <w:tcPr>
            <w:tcW w:w="3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Blaine Davis</w:t>
            </w:r>
          </w:p>
        </w:tc>
      </w:tr>
      <w:tr>
        <w:trPr>
          <w:trHeight w:val="230"/>
        </w:trPr>
        <w:tc>
          <w:tcPr>
            <w:tcW w:w="3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Carsten Brunn, Ph.D., certify that:</w:t>
      </w:r>
    </w:p>
    <w:p>
      <w:pPr>
        <w:spacing w:after="0" w:line="225"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Cartesian Therapeutics, Inc.;</w:t>
      </w:r>
    </w:p>
    <w:p>
      <w:pPr>
        <w:spacing w:after="0" w:line="198"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00" w:right="120" w:hanging="401"/>
        <w:spacing w:after="0" w:line="266" w:lineRule="auto"/>
        <w:tabs>
          <w:tab w:leader="none" w:pos="127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401"/>
        <w:spacing w:after="0" w:line="266" w:lineRule="auto"/>
        <w:tabs>
          <w:tab w:leader="none" w:pos="128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220" w:hanging="401"/>
        <w:spacing w:after="0" w:line="312" w:lineRule="auto"/>
        <w:tabs>
          <w:tab w:leader="none" w:pos="127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220" w:hanging="401"/>
        <w:spacing w:after="0" w:line="266" w:lineRule="auto"/>
        <w:tabs>
          <w:tab w:leader="none" w:pos="128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480" w:hanging="401"/>
        <w:spacing w:after="0" w:line="282" w:lineRule="auto"/>
        <w:tabs>
          <w:tab w:leader="none" w:pos="126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160" w:hanging="401"/>
        <w:spacing w:after="0" w:line="282" w:lineRule="auto"/>
        <w:tabs>
          <w:tab w:leader="none" w:pos="127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2C2C2C"/>
              </w:rPr>
              <w:t>November 5, 2026</w:t>
            </w:r>
          </w:p>
        </w:tc>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r>
      <w:tr>
        <w:trPr>
          <w:trHeight w:val="216"/>
        </w:trPr>
        <w:tc>
          <w:tcPr>
            <w:tcW w:w="628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r>
      <w:tr>
        <w:trPr>
          <w:trHeight w:val="229"/>
        </w:trPr>
        <w:tc>
          <w:tcPr>
            <w:tcW w:w="6280" w:type="dxa"/>
            <w:vAlign w:val="bottom"/>
          </w:tcPr>
          <w:p>
            <w:pPr>
              <w:spacing w:after="0"/>
              <w:rPr>
                <w:sz w:val="19"/>
                <w:szCs w:val="19"/>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Chief Executive Officer and Chairman of the Board</w:t>
            </w:r>
          </w:p>
        </w:tc>
      </w:tr>
      <w:tr>
        <w:trPr>
          <w:trHeight w:val="236"/>
        </w:trPr>
        <w:tc>
          <w:tcPr>
            <w:tcW w:w="62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ectPr>
          <w:pgSz w:w="11900" w:h="16838" w:orient="portrait"/>
          <w:cols w:equalWidth="0" w:num="1">
            <w:col w:w="11240"/>
          </w:cols>
          <w:pgMar w:left="320" w:top="765"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Blaine Davis, certify that:</w:t>
      </w:r>
    </w:p>
    <w:p>
      <w:pPr>
        <w:spacing w:after="0" w:line="225"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Cartesian Therapeutics, Inc.;</w:t>
      </w:r>
    </w:p>
    <w:p>
      <w:pPr>
        <w:spacing w:after="0" w:line="184"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20" w:hanging="401"/>
        <w:spacing w:after="0" w:line="266" w:lineRule="auto"/>
        <w:tabs>
          <w:tab w:leader="none" w:pos="127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300" w:right="40" w:hanging="401"/>
        <w:spacing w:after="0" w:line="266" w:lineRule="auto"/>
        <w:tabs>
          <w:tab w:leader="none" w:pos="128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220" w:hanging="401"/>
        <w:spacing w:after="0" w:line="312" w:lineRule="auto"/>
        <w:tabs>
          <w:tab w:leader="none" w:pos="127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220" w:hanging="401"/>
        <w:spacing w:after="0" w:line="266" w:lineRule="auto"/>
        <w:tabs>
          <w:tab w:leader="none" w:pos="128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480" w:hanging="401"/>
        <w:spacing w:after="0" w:line="282" w:lineRule="auto"/>
        <w:tabs>
          <w:tab w:leader="none" w:pos="126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160" w:hanging="401"/>
        <w:spacing w:after="0" w:line="282" w:lineRule="auto"/>
        <w:tabs>
          <w:tab w:leader="none" w:pos="127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2C2C2C"/>
              </w:rPr>
              <w:t>November 5, 2026</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Blaine Davis</w:t>
            </w:r>
          </w:p>
        </w:tc>
      </w:tr>
      <w:tr>
        <w:trPr>
          <w:trHeight w:val="216"/>
        </w:trPr>
        <w:tc>
          <w:tcPr>
            <w:tcW w:w="592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Blaine Davis</w:t>
            </w:r>
          </w:p>
        </w:tc>
      </w:tr>
      <w:tr>
        <w:trPr>
          <w:trHeight w:val="230"/>
        </w:trPr>
        <w:tc>
          <w:tcPr>
            <w:tcW w:w="592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59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ectPr>
          <w:pgSz w:w="11900" w:h="16838" w:orient="portrait"/>
          <w:cols w:equalWidth="0" w:num="1">
            <w:col w:w="11240"/>
          </w:cols>
          <w:pgMar w:left="320" w:top="765"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42"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Cartesian Therapeutics, Inc. (the “Company”) for the period ended September 30, 2026 as filed with the Securities and Exchange Commission on the date hereof (the “Report”), each of the undersigned officers of the Company hereby certifies, pursuant to 18 U.S.C. Section 1350, that to his knowledge:</w:t>
      </w:r>
    </w:p>
    <w:p>
      <w:pPr>
        <w:spacing w:after="0" w:line="68" w:lineRule="exact"/>
        <w:rPr>
          <w:sz w:val="20"/>
          <w:szCs w:val="20"/>
          <w:color w:val="auto"/>
        </w:rPr>
      </w:pPr>
    </w:p>
    <w:p>
      <w:pPr>
        <w:ind w:left="660" w:hanging="328"/>
        <w:spacing w:after="0" w:line="282" w:lineRule="auto"/>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September 30, 2026 (the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2C2C2C"/>
              </w:rPr>
              <w:t>November 5, 2026</w:t>
            </w:r>
          </w:p>
        </w:tc>
        <w:tc>
          <w:tcPr>
            <w:tcW w:w="4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Carsten Brunn, Ph.D.</w:t>
            </w:r>
          </w:p>
        </w:tc>
      </w:tr>
      <w:tr>
        <w:trPr>
          <w:trHeight w:val="216"/>
        </w:trPr>
        <w:tc>
          <w:tcPr>
            <w:tcW w:w="6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Carsten Brunn, Ph.D.</w:t>
            </w:r>
          </w:p>
        </w:tc>
      </w:tr>
      <w:tr>
        <w:trPr>
          <w:trHeight w:val="230"/>
        </w:trPr>
        <w:tc>
          <w:tcPr>
            <w:tcW w:w="6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w w:val="99"/>
              </w:rPr>
              <w:t>President, Chief Executive Officer and Chairman of the Board</w:t>
            </w:r>
          </w:p>
        </w:tc>
      </w:tr>
      <w:tr>
        <w:trPr>
          <w:trHeight w:val="236"/>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72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2C2C2C"/>
              </w:rPr>
              <w:t>November 5, 2026</w:t>
            </w:r>
          </w:p>
        </w:tc>
        <w:tc>
          <w:tcPr>
            <w:tcW w:w="40" w:type="dxa"/>
            <w:vAlign w:val="bottom"/>
          </w:tcPr>
          <w:p>
            <w:pPr>
              <w:spacing w:after="0"/>
              <w:rPr>
                <w:sz w:val="24"/>
                <w:szCs w:val="24"/>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Blaine Davis</w:t>
            </w:r>
          </w:p>
        </w:tc>
      </w:tr>
      <w:tr>
        <w:trPr>
          <w:trHeight w:val="216"/>
        </w:trPr>
        <w:tc>
          <w:tcPr>
            <w:tcW w:w="6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Blaine Davis</w:t>
            </w:r>
          </w:p>
        </w:tc>
        <w:tc>
          <w:tcPr>
            <w:tcW w:w="20" w:type="dxa"/>
            <w:vAlign w:val="bottom"/>
          </w:tcPr>
          <w:p>
            <w:pPr>
              <w:spacing w:after="0"/>
              <w:rPr>
                <w:sz w:val="18"/>
                <w:szCs w:val="18"/>
                <w:color w:val="auto"/>
              </w:rPr>
            </w:pPr>
          </w:p>
        </w:tc>
      </w:tr>
      <w:tr>
        <w:trPr>
          <w:trHeight w:val="230"/>
        </w:trPr>
        <w:tc>
          <w:tcPr>
            <w:tcW w:w="6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1" w:lineRule="exact"/>
        <w:rPr>
          <w:sz w:val="20"/>
          <w:szCs w:val="20"/>
          <w:color w:val="auto"/>
        </w:rPr>
      </w:pP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3"/>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5" Type="http://schemas.openxmlformats.org/officeDocument/2006/relationships/image" Target="media/image59.png"/><Relationship Id="rId66" Type="http://schemas.openxmlformats.org/officeDocument/2006/relationships/hyperlink" Target="https://www.sec.gov/Archives/edgar/data/1453687/000119312523275461/d869185dex21.htm" TargetMode="External"/><Relationship Id="rId67" Type="http://schemas.openxmlformats.org/officeDocument/2006/relationships/hyperlink" Target="https://www.sec.gov/Archives/edgar/data/1453687/000110465916129891/a16-14002_1ex3d1.htm" TargetMode="External"/><Relationship Id="rId68" Type="http://schemas.openxmlformats.org/officeDocument/2006/relationships/hyperlink" Target="https://www.sec.gov/Archives/edgar/data/0001453687/000145368722000109/exhibit31_charteramendment.htm" TargetMode="External"/><Relationship Id="rId69" Type="http://schemas.openxmlformats.org/officeDocument/2006/relationships/hyperlink" Target="https://www.sec.gov/Archives/edgar/data/1453687/000119312523275461/d869185dex33.htm" TargetMode="External"/><Relationship Id="rId70" Type="http://schemas.openxmlformats.org/officeDocument/2006/relationships/hyperlink" Target="https://www.sec.gov/Archives/edgar/data/1453687/000145368724000048/exhibit32certificateofamen.htm" TargetMode="External"/><Relationship Id="rId71" Type="http://schemas.openxmlformats.org/officeDocument/2006/relationships/hyperlink" Target="https://www.sec.gov/Archives/edgar/data/1453687/000114036125039793/ef20057980_ex3-2.htm" TargetMode="External"/><Relationship Id="rId72" Type="http://schemas.openxmlformats.org/officeDocument/2006/relationships/hyperlink" Target="https://www.sec.gov/Archives/edgar/data/1453687/000119312523275461/d869185dex34.htm" TargetMode="External"/><Relationship Id="rId73" Type="http://schemas.openxmlformats.org/officeDocument/2006/relationships/hyperlink" Target="https://www.sec.gov/Archives/edgar/data/1453687/000145368724000048/exhibit31certificateofamen.htm" TargetMode="External"/><Relationship Id="rId74" Type="http://schemas.openxmlformats.org/officeDocument/2006/relationships/hyperlink" Target="https://www.sec.gov/Archives/edgar/data/1453687/000114036124032080/ef20031962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2026-11-05T06:13:22Z</dcterms:created>
  <dcterms:modified xsi:type="dcterms:W3CDTF">2026-11-05T06:13:22Z</dcterms:modified>
</cp:coreProperties>
</file>