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4,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On August 4, 2022, Selecta Biosciences, Inc. announced its financial results for the quarter ended June 30, 2022. The full text of the press release issued in connection with the announcement is furnished as Exhibit 99.1 to this Current Report and on Form 8-K.</w:t>
      </w:r>
    </w:p>
    <w:p>
      <w:pPr>
        <w:spacing w:after="0" w:line="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58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on August 4, 2022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25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Selecta Biosciences Reports Second Quarter 2022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Provides Business Update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i w:val="1"/>
          <w:iCs w:val="1"/>
          <w:color w:val="auto"/>
        </w:rPr>
        <w:t>— Completed enrollment of DISSOLVE II, triggering a $10 million milestone payment obligation from Swedish Orphan Biovitrum AB (publ.)</w:t>
      </w:r>
    </w:p>
    <w:p>
      <w:pPr>
        <w:spacing w:after="0" w:line="3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Sobi); DISSOLVE I &amp; II studies remain on track for joint topline data readout in Q1 2023 —</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 Sarepta extends Option and License agreement in exchange for a $2 million payment and notified Selecta of the achievement of certain</w:t>
      </w:r>
    </w:p>
    <w:p>
      <w:pPr>
        <w:spacing w:after="0" w:line="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i w:val="1"/>
          <w:iCs w:val="1"/>
          <w:color w:val="auto"/>
        </w:rPr>
        <w:t>pre-clinical milestones triggering a $4 million milestone payment obligation —</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i w:val="1"/>
          <w:iCs w:val="1"/>
          <w:color w:val="auto"/>
        </w:rPr>
        <w:t>— SEL-302, Selecta’s wholly owned gene therapy in combination with ImmTOR for the treatment of Methylmalonic Acidemia (MMA)</w:t>
      </w:r>
    </w:p>
    <w:p>
      <w:pPr>
        <w:spacing w:after="0" w:line="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i w:val="1"/>
          <w:iCs w:val="1"/>
          <w:color w:val="auto"/>
        </w:rPr>
        <w:t>remains on track to initiate a Phase 1 trial in Q4 2022 —</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i w:val="1"/>
          <w:iCs w:val="1"/>
          <w:color w:val="auto"/>
        </w:rPr>
        <w:t>— As of June 30, 2022, Selecta had approximately $143.4 million in cash, cash equivalents, restricted cash and marketable securities, which</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i w:val="1"/>
          <w:iCs w:val="1"/>
          <w:color w:val="auto"/>
        </w:rPr>
        <w:t>is expected to provide runway into mid-2024 —</w:t>
      </w:r>
    </w:p>
    <w:p>
      <w:pPr>
        <w:spacing w:after="0" w:line="21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i w:val="1"/>
          <w:iCs w:val="1"/>
          <w:color w:val="auto"/>
        </w:rPr>
        <w:t>— Selecta to host conference call today at 8:30 AM ET —</w:t>
      </w:r>
    </w:p>
    <w:p>
      <w:pPr>
        <w:spacing w:after="0" w:line="243"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0"/>
          <w:szCs w:val="20"/>
          <w:b w:val="1"/>
          <w:bCs w:val="1"/>
          <w:color w:val="auto"/>
        </w:rPr>
        <w:t xml:space="preserve">WATERTOWN, Mass., August 4, 2022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Selecta Biosciences,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SELB), a biotechnology company pioneering precision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immune tolerance with its clinically validated ImmTOR® platform to develop tolerogenic therapies for autoimmune diseases, unlock the potential of gene therapies and amplify the efficacy of biologic therapies</w:t>
      </w:r>
    </w:p>
    <w:p>
      <w:pPr>
        <w:spacing w:after="0"/>
        <w:rPr>
          <w:sz w:val="20"/>
          <w:szCs w:val="20"/>
          <w:color w:val="auto"/>
        </w:rPr>
      </w:pPr>
      <w:r>
        <w:rPr>
          <w:rFonts w:ascii="Times New Roman" w:cs="Times New Roman" w:eastAsia="Times New Roman" w:hAnsi="Times New Roman"/>
          <w:sz w:val="20"/>
          <w:szCs w:val="20"/>
          <w:color w:val="auto"/>
        </w:rPr>
        <w:t>, today reported financial results for the second quarter ended June 30, 2022 and provided a business update.</w:t>
      </w:r>
    </w:p>
    <w:p>
      <w:pPr>
        <w:spacing w:after="0" w:line="23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0"/>
          <w:szCs w:val="20"/>
          <w:color w:val="auto"/>
        </w:rPr>
        <w:t>“We continued to make steady progress in the second quarter of 2022, highlighted by the completion of enrollment in DISSOLVE II, triggering a $10 million milestone payment obligation from Sobi, and the completion of an underwritten equity offering raising gross proceeds of $38.7 million,” said Carsten Brunn, Ph.D., president and chief executive officer of Selecta. “Building on this momentum, we enter the second half of 2022 with a focused portfolio of proprietary programs and an expected financial runway into mid-2024. We remain on track clinically, with joint topline data from DISSOLVE I and II anticipated in Q1 2023 and the initiation of a Phase 1 trial of SEL-302, our wholly owned gene therapy in combination with ImmTOR for the treatment of MMA, anticipated in Q4 2022. We continue preclinical development across all three pillars of our pipeline: In partnership with Cyrus Bioscience we are progressing in identifying a proprietary IL-2 to combine with ImmTOR; we have progressed to IND-enabling studies and manufacturing scale-up work for Xork, our proprietary IgG protease as a pre-treatment to enable AAV gene therapies; and our collaborations toward the identification of a next-generation IgA protease for the treatment of IgA Nephropathy continue apace with candidate selection anticipated by year-end. We believe that collectively, these advancements bring us one step closer to our mission of re-imagining immunotherapy for autoimmune disease, unlocking the potential of AAV gene therapy and amplifying the efficacy of biologics.”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Program Highlights and Anticipated Upcoming Milestones: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Tolerogenic Therapies for Autoimmune Disease:</w:t>
      </w:r>
    </w:p>
    <w:p>
      <w:pPr>
        <w:spacing w:after="0" w:line="23" w:lineRule="exact"/>
        <w:rPr>
          <w:sz w:val="20"/>
          <w:szCs w:val="20"/>
          <w:color w:val="auto"/>
        </w:rPr>
      </w:pPr>
    </w:p>
    <w:p>
      <w:pPr>
        <w:ind w:left="660" w:right="260" w:hanging="328"/>
        <w:spacing w:after="0" w:line="232"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ImmTOR with proprietary IL-2 protein agonist (ImmTOR-IL™)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Preclinically, Selecta has observed synergistic activity when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ImmTOR is combined with engineered IL-2 molecules that are selective for Tregs. Furthermore, when ImmTOR-IL was co-administered with an antigen of interest, the resulting data suggested that ImmTOR-IL may have profound synergistic effects in expanding antigen-specific Tregs when compared to ImmTOR alone, positioning ImmTOR-IL as a potential first-in-class antigen-specific therapy for the treatment of autoimmune disease.</w:t>
      </w:r>
    </w:p>
    <w:p>
      <w:pPr>
        <w:spacing w:after="0" w:line="2" w:lineRule="exact"/>
        <w:rPr>
          <w:rFonts w:ascii="Times New Roman" w:cs="Times New Roman" w:eastAsia="Times New Roman" w:hAnsi="Times New Roman"/>
          <w:sz w:val="22"/>
          <w:szCs w:val="22"/>
          <w:color w:val="auto"/>
        </w:rPr>
      </w:pPr>
    </w:p>
    <w:p>
      <w:pPr>
        <w:ind w:left="1300" w:right="620" w:hanging="320"/>
        <w:spacing w:after="0" w:line="236"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is working with its partner, Cyrus Biotechnology, to develop a next generation IL-2 molecule to combine with ImmTOR and anticipates selecting an IL-2 candidate by year end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ind w:left="1300" w:right="180" w:hanging="320"/>
        <w:spacing w:after="0" w:line="247"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continues internal work on identifying additional target indications in autoimmune disease. Selecta plans to adopt a staged development approach, starting first with diseases driven by a single pathogenic antigen, such as Primary Biliary Cholangitis (PBC), then accelerating the development of across related indications.</w:t>
      </w:r>
    </w:p>
    <w:p>
      <w:pPr>
        <w:spacing w:after="0" w:line="190" w:lineRule="exact"/>
        <w:rPr>
          <w:rFonts w:ascii="Times New Roman" w:cs="Times New Roman" w:eastAsia="Times New Roman" w:hAnsi="Times New Roman"/>
          <w:sz w:val="20"/>
          <w:szCs w:val="20"/>
          <w:color w:val="auto"/>
        </w:rPr>
      </w:pPr>
    </w:p>
    <w:p>
      <w:pPr>
        <w:ind w:left="660" w:right="16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Primary biliary cholangitis (PBC)</w:t>
      </w:r>
      <w:r>
        <w:rPr>
          <w:rFonts w:ascii="Times New Roman" w:cs="Times New Roman" w:eastAsia="Times New Roman" w:hAnsi="Times New Roman"/>
          <w:sz w:val="20"/>
          <w:szCs w:val="20"/>
          <w:color w:val="auto"/>
        </w:rPr>
        <w:t>: Selecta intends to co-administer ImmTOR-IL with PDC-E2, the autoantigen implicated in PBC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continues IND-enabling work for this combination.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 Therapies:</w:t>
      </w:r>
    </w:p>
    <w:p>
      <w:pPr>
        <w:spacing w:after="0" w:line="32" w:lineRule="exact"/>
        <w:rPr>
          <w:sz w:val="20"/>
          <w:szCs w:val="20"/>
          <w:color w:val="auto"/>
        </w:rPr>
      </w:pPr>
    </w:p>
    <w:p>
      <w:pPr>
        <w:ind w:left="66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SEL-302 for MMA</w:t>
      </w:r>
      <w:r>
        <w:rPr>
          <w:rFonts w:ascii="Times New Roman" w:cs="Times New Roman" w:eastAsia="Times New Roman" w:hAnsi="Times New Roman"/>
          <w:sz w:val="20"/>
          <w:szCs w:val="20"/>
          <w:color w:val="auto"/>
        </w:rPr>
        <w:t>: Selecta expects to initiate a Phase 1 clinical trial of SEL-302, an AAV gene therapy combined with ImmTOR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treatment of MMA, in the fourth quarter of 2022.</w:t>
      </w:r>
    </w:p>
    <w:p>
      <w:pPr>
        <w:spacing w:after="0" w:line="211" w:lineRule="exact"/>
        <w:rPr>
          <w:rFonts w:ascii="Times New Roman" w:cs="Times New Roman" w:eastAsia="Times New Roman" w:hAnsi="Times New Roman"/>
          <w:sz w:val="20"/>
          <w:szCs w:val="20"/>
          <w:color w:val="auto"/>
        </w:rPr>
      </w:pPr>
    </w:p>
    <w:p>
      <w:pPr>
        <w:ind w:left="660" w:right="4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SEL-018 IgG Protease (Xork)</w:t>
      </w:r>
      <w:r>
        <w:rPr>
          <w:rFonts w:ascii="Times New Roman" w:cs="Times New Roman" w:eastAsia="Times New Roman" w:hAnsi="Times New Roman"/>
          <w:sz w:val="20"/>
          <w:szCs w:val="20"/>
          <w:color w:val="auto"/>
        </w:rPr>
        <w:t>: In collaboration with Genovis, Selecta continues to advance Xork, a next-generation IgG protease,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help address disease in patients who are ineligible for gene therapies due to pre-existing anti-AAV antibodies. </w:t>
      </w:r>
      <w:r>
        <w:rPr>
          <w:rFonts w:ascii="Times New Roman" w:cs="Times New Roman" w:eastAsia="Times New Roman" w:hAnsi="Times New Roman"/>
          <w:sz w:val="21"/>
          <w:szCs w:val="21"/>
          <w:color w:val="auto"/>
        </w:rPr>
        <w:t>Selecta believes</w:t>
      </w:r>
      <w:r>
        <w:rPr>
          <w:rFonts w:ascii="Times New Roman" w:cs="Times New Roman" w:eastAsia="Times New Roman" w:hAnsi="Times New Roman"/>
          <w:sz w:val="20"/>
          <w:szCs w:val="20"/>
          <w:color w:val="auto"/>
        </w:rPr>
        <w:t xml:space="preserve"> the novel combination of Xork and ImmTOR has the potential to address two of the key hurdles in gene therapy today: pre-existing immunity and the inability to re-dose AAV gene therapies due to the immune response to AAV capsids.</w:t>
      </w:r>
    </w:p>
    <w:p>
      <w:pPr>
        <w:spacing w:after="0" w:line="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IND-enabling studies and manufacturing scale-up activities are ongoing.</w:t>
      </w:r>
    </w:p>
    <w:p>
      <w:pPr>
        <w:spacing w:after="0" w:line="203" w:lineRule="exact"/>
        <w:rPr>
          <w:rFonts w:ascii="Times New Roman" w:cs="Times New Roman" w:eastAsia="Times New Roman" w:hAnsi="Times New Roman"/>
          <w:sz w:val="20"/>
          <w:szCs w:val="20"/>
          <w:color w:val="auto"/>
        </w:rPr>
      </w:pPr>
    </w:p>
    <w:p>
      <w:pPr>
        <w:ind w:left="660" w:right="440" w:hanging="328"/>
        <w:spacing w:after="0" w:line="24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ImmTOR-IL in Gene Therapy: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Building on our pre-clinical studies of ImmTOR-IL in inhibiting the formation of neutralizing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antibodies to AAV gene therapies, we are pleased to announce that we continue to see mitigating effects in mice at gene therapy doses of 10x our prior studies.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Biologic Therapies:</w:t>
      </w:r>
    </w:p>
    <w:p>
      <w:pPr>
        <w:spacing w:after="0" w:line="32" w:lineRule="exact"/>
        <w:rPr>
          <w:sz w:val="20"/>
          <w:szCs w:val="20"/>
          <w:color w:val="auto"/>
        </w:rPr>
      </w:pPr>
    </w:p>
    <w:p>
      <w:pPr>
        <w:ind w:left="660" w:right="420" w:hanging="328"/>
        <w:spacing w:after="0" w:line="23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SEL-212 for chronic refractory gout</w:t>
      </w:r>
      <w:r>
        <w:rPr>
          <w:rFonts w:ascii="Times New Roman" w:cs="Times New Roman" w:eastAsia="Times New Roman" w:hAnsi="Times New Roman"/>
          <w:sz w:val="20"/>
          <w:szCs w:val="20"/>
          <w:color w:val="auto"/>
        </w:rPr>
        <w:t>: Selecta continues to advance DISSOLVE, the Phase 3 development program of SEL-212,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has been licensed to Sobi.</w:t>
      </w:r>
    </w:p>
    <w:p>
      <w:pPr>
        <w:ind w:left="1300" w:right="20" w:hanging="320"/>
        <w:spacing w:after="0" w:line="232"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completed enrollment for DISSOLVE II in June 2022, with 153 study participants, triggering a $10 million milestone payment obligation from Sobi which has been received in Q3 2022.</w:t>
      </w: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I &amp; II trials are on track for completion in Q4 2022 with joint topline readout expected in Q1 2023.</w:t>
      </w:r>
    </w:p>
    <w:p>
      <w:pPr>
        <w:spacing w:after="0" w:line="230" w:lineRule="exact"/>
        <w:rPr>
          <w:rFonts w:ascii="Times New Roman" w:cs="Times New Roman" w:eastAsia="Times New Roman" w:hAnsi="Times New Roman"/>
          <w:sz w:val="20"/>
          <w:szCs w:val="20"/>
          <w:color w:val="auto"/>
        </w:rPr>
      </w:pPr>
    </w:p>
    <w:p>
      <w:pPr>
        <w:ind w:left="660" w:right="560" w:hanging="328"/>
        <w:spacing w:after="0" w:line="23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ImmTOR with IgA1 protease for IgA nephropathy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Selecta is working with both Ginkgo Bioworks and IGAN Biosciences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identify and develop a next generation IgA protease to combine with ImmTOR.</w:t>
      </w: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anticipates enzyme candidate selection by year end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Further Corporate and Partnership Updates:</w:t>
      </w:r>
    </w:p>
    <w:p>
      <w:pPr>
        <w:spacing w:after="0" w:line="32" w:lineRule="exact"/>
        <w:rPr>
          <w:sz w:val="20"/>
          <w:szCs w:val="20"/>
          <w:color w:val="auto"/>
        </w:rPr>
      </w:pPr>
    </w:p>
    <w:p>
      <w:pPr>
        <w:ind w:left="660" w:right="280" w:hanging="328"/>
        <w:spacing w:after="0" w:line="235"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Sarepta extended its Research License and Option Agreement for ImmTOR in Duchenne Muscular Dystrophy (DMD) and certain Limb-Girdle Muscular Dystrophies (LGMD) by nine months.</w:t>
      </w:r>
    </w:p>
    <w:p>
      <w:pPr>
        <w:spacing w:after="0" w:line="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in June 2022 Selecta was informed by Sarepta of the achievement of certain pre-clinical milestones.</w:t>
      </w:r>
    </w:p>
    <w:p>
      <w:pPr>
        <w:jc w:val="both"/>
        <w:ind w:left="1300" w:right="100" w:hanging="320"/>
        <w:spacing w:after="0" w:line="230" w:lineRule="auto"/>
        <w:tabs>
          <w:tab w:leader="none" w:pos="1289"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expects to receive a $2 million payment for extending Sarepta’s option periods under the agreement to Q1 2023, and an additional $4 million payment for achievement of the pre-clinical milestone. Receipt of both payments is expected in Q3 2022.</w:t>
      </w:r>
    </w:p>
    <w:p>
      <w:pPr>
        <w:ind w:left="660" w:right="120" w:hanging="328"/>
        <w:spacing w:after="0" w:line="232"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25th Annual Meeting of the American Society of Gene &amp; Cell Therapy (ASGCT) Selecta showcased six presentations, including three joint presentations with its partner Asklepios BioPharmaceutical, Inc. (AskBio). These presentations highlighted the immunogenic potential of empty AAV and the potential of ImmTOR and ImmTOR-IL in addressing key efficacy and safety challenges in gene therapy.</w:t>
      </w:r>
    </w:p>
    <w:p>
      <w:pPr>
        <w:spacing w:after="0" w:line="1" w:lineRule="exact"/>
        <w:rPr>
          <w:rFonts w:ascii="Times New Roman" w:cs="Times New Roman" w:eastAsia="Times New Roman" w:hAnsi="Times New Roman"/>
          <w:sz w:val="20"/>
          <w:szCs w:val="20"/>
          <w:color w:val="auto"/>
        </w:rPr>
      </w:pPr>
    </w:p>
    <w:p>
      <w:pPr>
        <w:ind w:left="1300" w:right="220" w:hanging="320"/>
        <w:spacing w:after="0" w:line="271" w:lineRule="auto"/>
        <w:tabs>
          <w:tab w:leader="none" w:pos="1289"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CSO, Kei Kishimoto, was awarded an ‘Outstanding Poster Presentation Award’ for the abstract titled: Combination of ImmTOR Tolerogenic Nanoparticles and IL-2 Mutein Synergistically Inhibits the Formation of Anti-AAV Antibodies.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2022 Financial Results:</w:t>
      </w:r>
    </w:p>
    <w:p>
      <w:pPr>
        <w:spacing w:after="0" w:line="25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Cash Position: </w:t>
      </w:r>
      <w:r>
        <w:rPr>
          <w:rFonts w:ascii="Times New Roman" w:cs="Times New Roman" w:eastAsia="Times New Roman" w:hAnsi="Times New Roman"/>
          <w:sz w:val="20"/>
          <w:szCs w:val="20"/>
          <w:color w:val="auto"/>
        </w:rPr>
        <w:t>Selecta had $143.4 million in cash, cash equivalents, marketable securities, and restricted cash as of June 30, 2022,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cash, cash equivalents, marketable securities, and restricted cash of $129.4 million as of December 31, 2021. The increase in cash was primarily due to proceeds from the completion of an equity offering during the second quarter, raising gross proceeds of $38.7 million. Net cash used in operating activities was $24.1</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765" w:right="359" w:bottom="1440" w:gutter="0" w:footer="0" w:header="0"/>
        </w:sectPr>
      </w:pPr>
    </w:p>
    <w:bookmarkStart w:id="5" w:name="page6"/>
    <w:bookmarkEnd w:id="5"/>
    <w:p>
      <w:pPr>
        <w:ind w:right="320"/>
        <w:spacing w:after="0" w:line="247" w:lineRule="auto"/>
        <w:rPr>
          <w:sz w:val="20"/>
          <w:szCs w:val="20"/>
          <w:color w:val="auto"/>
        </w:rPr>
      </w:pPr>
      <w:r>
        <w:rPr>
          <w:rFonts w:ascii="Times New Roman" w:cs="Times New Roman" w:eastAsia="Times New Roman" w:hAnsi="Times New Roman"/>
          <w:sz w:val="20"/>
          <w:szCs w:val="20"/>
          <w:color w:val="auto"/>
        </w:rPr>
        <w:t>million for the six months ended June 30, 2022, as compared to $18.2 million of cash used in operating activities for the same period in 2021.Selecta believes its available cash, cash equivalents, restricted cash, and marketable securities will be sufficient to meet its operating requirements into mid-2024.</w:t>
      </w:r>
    </w:p>
    <w:p>
      <w:pPr>
        <w:spacing w:after="0" w:line="190"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Collaboration and License Revenue: </w:t>
      </w:r>
      <w:r>
        <w:rPr>
          <w:rFonts w:ascii="Times New Roman" w:cs="Times New Roman" w:eastAsia="Times New Roman" w:hAnsi="Times New Roman"/>
          <w:sz w:val="20"/>
          <w:szCs w:val="20"/>
          <w:color w:val="auto"/>
        </w:rPr>
        <w:t>Collaboration and license revenue for the second quarter of 2022 was $39.3 million,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$19.7 million for the same period in 2021. Revenue was primarily driven by the shipment of clinical supply and the reimbursement of costs incurred for the Phase 3 DISSOLVE clinical program under the license agreement with Sobi and the shipment of manufactured supply under the Sarepta Agreement.</w:t>
      </w:r>
    </w:p>
    <w:p>
      <w:pPr>
        <w:spacing w:after="0" w:line="20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Expenses: </w:t>
      </w:r>
      <w:r>
        <w:rPr>
          <w:rFonts w:ascii="Times New Roman" w:cs="Times New Roman" w:eastAsia="Times New Roman" w:hAnsi="Times New Roman"/>
          <w:sz w:val="20"/>
          <w:szCs w:val="20"/>
          <w:color w:val="auto"/>
        </w:rPr>
        <w:t>Research and development expenses for the second quarter of 2022 were $19.2 million, as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$14.5 million for the same period in 2021. The increase in cost was primarily the result of expenses incurred for the SEL-212 clinical program, stock compensation, and salaries.</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General and Administrative Expenses: </w:t>
      </w:r>
      <w:r>
        <w:rPr>
          <w:rFonts w:ascii="Times New Roman" w:cs="Times New Roman" w:eastAsia="Times New Roman" w:hAnsi="Times New Roman"/>
          <w:sz w:val="20"/>
          <w:szCs w:val="20"/>
          <w:color w:val="auto"/>
        </w:rPr>
        <w:t>General and administrative expenses for the second quarter of 2022 were $6.2 million, as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$4.7 million for the same period in 2021. The increase in costs was primarily the result of expenses incurred for issuance costs for the 2022 equity offering and stock compensation.</w:t>
      </w:r>
    </w:p>
    <w:p>
      <w:pPr>
        <w:spacing w:after="0" w:line="18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For the second quarter of 2022, Selecta reported net income of $8.6 million, or basic net income per share of $0.06,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net income of $4.6 million, or $0.04 basic net income per share, for the same period in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Reminder</w:t>
      </w:r>
    </w:p>
    <w:p>
      <w:pPr>
        <w:spacing w:after="0" w:line="3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Selecta management will host a conference call at 8:30 AM ET today to provide a corporate update and review the company’s second quarter 2022 financial results. Individuals may participate in the live call via telephone by dialing (844) 845-4170 (domestic) or +1 (412) 717-9621 (international) and may access a teleconference replay for one week by dialing (877) 344-7529 (domestic) or +1 (412) 317-0088</w:t>
      </w:r>
    </w:p>
    <w:p>
      <w:pPr>
        <w:spacing w:after="0" w:line="1"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20"/>
          <w:szCs w:val="20"/>
          <w:color w:val="auto"/>
        </w:rPr>
        <w:t xml:space="preserve">(international) and using confirmation code 10157873. Investors and the public can access the live and archived webcast of this call and a copy of the presentation via the Investors &amp; Media section of the company’s website, </w:t>
      </w:r>
      <w:r>
        <w:rPr>
          <w:rFonts w:ascii="Times New Roman" w:cs="Times New Roman" w:eastAsia="Times New Roman" w:hAnsi="Times New Roman"/>
          <w:sz w:val="20"/>
          <w:szCs w:val="20"/>
          <w:u w:val="single" w:color="auto"/>
          <w:color w:val="0000FF"/>
        </w:rPr>
        <w:t>www.selectabio.com.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Selecta Biosciences, Inc.</w:t>
      </w:r>
    </w:p>
    <w:p>
      <w:pPr>
        <w:spacing w:after="0" w:line="32"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20"/>
          <w:szCs w:val="20"/>
          <w:u w:val="single" w:color="auto"/>
          <w:color w:val="0000FF"/>
        </w:rPr>
        <w:t>www.selectabio.com.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Selecta Forward-Looking Statements</w:t>
      </w:r>
    </w:p>
    <w:p>
      <w:pPr>
        <w:spacing w:after="0" w:line="3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0"/>
          <w:szCs w:val="20"/>
          <w:color w:val="auto"/>
        </w:rPr>
        <w:t>Any statements in this press release about the future expectations, plans and prospects of Selecta Biosciences, Inc. (the “Company”), including without limitation, statements regarding the Company’s cash runway,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5" w:right="339" w:bottom="1440" w:gutter="0" w:footer="0" w:header="0"/>
        </w:sectPr>
      </w:pPr>
    </w:p>
    <w:bookmarkStart w:id="6" w:name="page7"/>
    <w:bookmarkEnd w:id="6"/>
    <w:p>
      <w:pPr>
        <w:spacing w:after="0" w:line="232" w:lineRule="auto"/>
        <w:rPr>
          <w:sz w:val="20"/>
          <w:szCs w:val="20"/>
          <w:color w:val="auto"/>
        </w:rPr>
      </w:pPr>
      <w:r>
        <w:rPr>
          <w:rFonts w:ascii="Times New Roman" w:cs="Times New Roman" w:eastAsia="Times New Roman" w:hAnsi="Times New Roman"/>
          <w:sz w:val="20"/>
          <w:szCs w:val="20"/>
          <w:color w:val="auto"/>
        </w:rPr>
        <w:t>transgene expression, the potential of the ImmTOR technology platform generally, the anticipated timing for receipt of payments owed to the Company, and the Company’s ability to grow its strategic partnerships, enrollment in the Company's clinical trials and the Company's plans with respect to areas affected by geopolitical conflict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its common stock, risks related to geopolitical conflicts and pandemics and other important factors discussed in the “Risk Factors” section of the Company’s most recent Annual Report on Form 10-K,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Mackle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Advisors,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+1-929-469-3859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bmackle@lifesciadvisors.com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Leigh,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Communications,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+1-813-767-7801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bleigh@lifescicomms.com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76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138,057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 net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Long-term restricted cash</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188,068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98,462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as of June 30, 2022 and December</w:t>
            </w:r>
          </w:p>
        </w:tc>
        <w:tc>
          <w:tcPr>
            <w:tcW w:w="24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31, 2021</w:t>
            </w:r>
          </w:p>
        </w:tc>
        <w:tc>
          <w:tcPr>
            <w:tcW w:w="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 350,000,000 shares authorized; 152,713,211 and 123,622,965 shares issued and outstanding as of</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June 30, 2022 and December 31, 2021, respectively</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188,068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40" w:top="765"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39,273</w:t>
            </w:r>
          </w:p>
        </w:tc>
        <w:tc>
          <w:tcPr>
            <w:tcW w:w="100" w:type="dxa"/>
            <w:vAlign w:val="bottom"/>
          </w:tcPr>
          <w:p>
            <w:pPr>
              <w:spacing w:after="0"/>
              <w:rPr>
                <w:sz w:val="24"/>
                <w:szCs w:val="2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19,663</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73,272</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30,713</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19,182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27,467</w:t>
            </w: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6,231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9,952</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25,413</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48,639</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37,419</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13,860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0" w:type="dxa"/>
            <w:vAlign w:val="bottom"/>
          </w:tcPr>
          <w:p>
            <w:pPr>
              <w:spacing w:after="0"/>
              <w:rPr>
                <w:sz w:val="1"/>
                <w:szCs w:val="1"/>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8,601</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37,379</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(20,032)</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8,719</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37,465</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4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148,505,729</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113,524,110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136,436,316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112,140,815</w:t>
            </w:r>
          </w:p>
        </w:tc>
        <w:tc>
          <w:tcPr>
            <w:tcW w:w="0" w:type="dxa"/>
            <w:vAlign w:val="bottom"/>
          </w:tcPr>
          <w:p>
            <w:pPr>
              <w:spacing w:after="0"/>
              <w:rPr>
                <w:sz w:val="1"/>
                <w:szCs w:val="1"/>
                <w:color w:val="auto"/>
              </w:rPr>
            </w:pPr>
          </w:p>
        </w:tc>
      </w:tr>
      <w:tr>
        <w:trPr>
          <w:trHeight w:val="22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148,505,729</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121,177,998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136,966,312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112,140,815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00"/>
      </w:cols>
      <w:pgMar w:left="340" w:top="10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lvl w:ilvl="3">
      <w:lvlJc w:val="left"/>
      <w:lvlText w:val="\emdash "/>
      <w:numFmt w:val="bullet"/>
      <w:start w:val="1"/>
    </w:lvl>
    <w:lvl w:ilvl="4">
      <w:lvlJc w:val="left"/>
      <w:lvlText w:val="\emdash "/>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2022-08-04T07:03:18Z</dcterms:created>
  <dcterms:modified xsi:type="dcterms:W3CDTF">2022-08-04T07:03:18Z</dcterms:modified>
</cp:coreProperties>
</file>