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8"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0"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SCHEDULE 13D</w:t>
      </w:r>
    </w:p>
    <w:p>
      <w:pPr>
        <w:spacing w:after="0" w:line="23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(Amendment No. 7)*</w:t>
      </w:r>
    </w:p>
    <w:p>
      <w:pPr>
        <w:spacing w:after="0" w:line="193"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Selecta Biosciences, Inc.</w:t>
      </w:r>
    </w:p>
    <w:p>
      <w:pPr>
        <w:spacing w:after="0" w:line="3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(Name of Issuer)</w:t>
      </w:r>
    </w:p>
    <w:p>
      <w:pPr>
        <w:spacing w:after="0" w:line="20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Common Stock, $0.0001 par value per share</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(Title of Class of Securities)</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816212104</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(CUSIP Number)</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 Peter Strand</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Michael K. Bradshaw, Jr.</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Nelson Mullins Riley &amp; Scarborough LLP</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101 Constitution Avenue NW, Suite 900</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20001</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Tel: (202) 689-2800</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Fax: (202) 689-2860</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(Name, Address and Telephone Number of Person Authorized to Receive Notices and Communications)</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May 21, 2021</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(Date of Event which Requires Filing of this Statement)</w:t>
      </w:r>
    </w:p>
    <w:p>
      <w:pPr>
        <w:spacing w:after="0" w:line="211" w:lineRule="exact"/>
        <w:rPr>
          <w:sz w:val="24"/>
          <w:szCs w:val="24"/>
          <w:color w:val="auto"/>
        </w:rPr>
      </w:pPr>
    </w:p>
    <w:p>
      <w:pPr>
        <w:ind w:right="380"/>
        <w:spacing w:after="0" w:line="233" w:lineRule="exact"/>
        <w:rPr>
          <w:sz w:val="20"/>
          <w:szCs w:val="20"/>
          <w:color w:val="auto"/>
        </w:rPr>
      </w:pPr>
      <w:r>
        <w:rPr>
          <w:rFonts w:ascii="Arial" w:cs="Arial" w:eastAsia="Arial" w:hAnsi="Arial"/>
          <w:sz w:val="18"/>
          <w:szCs w:val="18"/>
          <w:color w:val="auto"/>
        </w:rPr>
        <w:t xml:space="preserve">If the filing person has previously filed a statement on Schedule 13G to report the acquisition that is the subject of this Schedule 13D, and is filing this schedule because of §§240.13d-1(e), 240.13d-1(f) or 240.13d-1(g), check the following box. </w:t>
      </w:r>
      <w:r>
        <w:rPr>
          <w:rFonts w:ascii="MS PGothic" w:cs="MS PGothic" w:eastAsia="MS PGothic" w:hAnsi="MS PGothic"/>
          <w:sz w:val="18"/>
          <w:szCs w:val="18"/>
          <w:color w:val="auto"/>
        </w:rPr>
        <w:t>☐</w:t>
      </w:r>
    </w:p>
    <w:p>
      <w:pPr>
        <w:spacing w:after="0" w:line="178" w:lineRule="exact"/>
        <w:rPr>
          <w:sz w:val="24"/>
          <w:szCs w:val="24"/>
          <w:color w:val="auto"/>
        </w:rPr>
      </w:pPr>
    </w:p>
    <w:p>
      <w:pPr>
        <w:spacing w:after="0" w:line="282" w:lineRule="auto"/>
        <w:rPr>
          <w:sz w:val="20"/>
          <w:szCs w:val="20"/>
          <w:color w:val="auto"/>
        </w:rPr>
      </w:pPr>
      <w:r>
        <w:rPr>
          <w:rFonts w:ascii="Arial" w:cs="Arial" w:eastAsia="Arial" w:hAnsi="Arial"/>
          <w:sz w:val="18"/>
          <w:szCs w:val="18"/>
          <w:b w:val="1"/>
          <w:bCs w:val="1"/>
          <w:color w:val="auto"/>
        </w:rPr>
        <w:t xml:space="preserve">Note: </w:t>
      </w:r>
      <w:r>
        <w:rPr>
          <w:rFonts w:ascii="Arial" w:cs="Arial" w:eastAsia="Arial" w:hAnsi="Arial"/>
          <w:sz w:val="18"/>
          <w:szCs w:val="18"/>
          <w:color w:val="auto"/>
        </w:rPr>
        <w:t>Schedules filed in paper format shall include a signed original and five copies of the schedule, including all exhibits. See §240.13d-7 for other parties</w:t>
      </w:r>
      <w:r>
        <w:rPr>
          <w:rFonts w:ascii="Arial" w:cs="Arial" w:eastAsia="Arial" w:hAnsi="Arial"/>
          <w:sz w:val="18"/>
          <w:szCs w:val="18"/>
          <w:b w:val="1"/>
          <w:bCs w:val="1"/>
          <w:color w:val="auto"/>
        </w:rPr>
        <w:t xml:space="preserve"> </w:t>
      </w:r>
      <w:r>
        <w:rPr>
          <w:rFonts w:ascii="Arial" w:cs="Arial" w:eastAsia="Arial" w:hAnsi="Arial"/>
          <w:sz w:val="18"/>
          <w:szCs w:val="18"/>
          <w:color w:val="auto"/>
        </w:rPr>
        <w:t>to whom copies are sent.</w:t>
      </w:r>
    </w:p>
    <w:p>
      <w:pPr>
        <w:spacing w:after="0" w:line="166" w:lineRule="exact"/>
        <w:rPr>
          <w:sz w:val="24"/>
          <w:szCs w:val="24"/>
          <w:color w:val="auto"/>
        </w:rPr>
      </w:pPr>
    </w:p>
    <w:p>
      <w:pPr>
        <w:ind w:left="460" w:right="240" w:hanging="448"/>
        <w:spacing w:after="0" w:line="308" w:lineRule="auto"/>
        <w:tabs>
          <w:tab w:leader="none" w:pos="460" w:val="left"/>
        </w:tabs>
        <w:numPr>
          <w:ilvl w:val="0"/>
          <w:numId w:val="1"/>
        </w:numPr>
        <w:rPr>
          <w:rFonts w:ascii="Arial" w:cs="Arial" w:eastAsia="Arial" w:hAnsi="Arial"/>
          <w:sz w:val="17"/>
          <w:szCs w:val="17"/>
          <w:color w:val="auto"/>
        </w:rPr>
      </w:pPr>
      <w:r>
        <w:rPr>
          <w:rFonts w:ascii="Arial" w:cs="Arial" w:eastAsia="Arial" w:hAnsi="Arial"/>
          <w:sz w:val="17"/>
          <w:szCs w:val="17"/>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46" w:lineRule="exact"/>
        <w:rPr>
          <w:sz w:val="24"/>
          <w:szCs w:val="24"/>
          <w:color w:val="auto"/>
        </w:rPr>
      </w:pPr>
    </w:p>
    <w:p>
      <w:pPr>
        <w:ind w:right="160"/>
        <w:spacing w:after="0" w:line="263" w:lineRule="auto"/>
        <w:rPr>
          <w:sz w:val="20"/>
          <w:szCs w:val="20"/>
          <w:color w:val="auto"/>
        </w:rPr>
      </w:pPr>
      <w:r>
        <w:rPr>
          <w:rFonts w:ascii="Arial" w:cs="Arial" w:eastAsia="Arial" w:hAnsi="Arial"/>
          <w:sz w:val="18"/>
          <w:szCs w:val="18"/>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596900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35" w:right="359" w:bottom="1440" w:gutter="0" w:footer="0" w:header="0"/>
        </w:sectPr>
      </w:pPr>
    </w:p>
    <w:bookmarkStart w:id="1" w:name="page2"/>
    <w:bookmarkEnd w:id="1"/>
    <w:p>
      <w:pPr>
        <w:spacing w:after="0"/>
        <w:tabs>
          <w:tab w:leader="none" w:pos="5500" w:val="left"/>
          <w:tab w:leader="none" w:pos="9880" w:val="left"/>
        </w:tabs>
        <w:rPr>
          <w:sz w:val="20"/>
          <w:szCs w:val="20"/>
          <w:color w:val="auto"/>
        </w:rPr>
      </w:pPr>
      <w:r>
        <w:rPr>
          <w:rFonts w:ascii="Arial" w:cs="Arial" w:eastAsia="Arial" w:hAnsi="Arial"/>
          <w:sz w:val="18"/>
          <w:szCs w:val="18"/>
          <w:b w:val="1"/>
          <w:bCs w:val="1"/>
          <w:color w:val="auto"/>
        </w:rPr>
        <w:t>CUSIP No</w:t>
      </w:r>
      <w:r>
        <w:rPr>
          <w:rFonts w:ascii="Arial" w:cs="Arial" w:eastAsia="Arial" w:hAnsi="Arial"/>
          <w:sz w:val="18"/>
          <w:szCs w:val="18"/>
          <w:color w:val="auto"/>
        </w:rPr>
        <w:t>.</w:t>
      </w:r>
      <w:r>
        <w:rPr>
          <w:rFonts w:ascii="Arial" w:cs="Arial" w:eastAsia="Arial" w:hAnsi="Arial"/>
          <w:sz w:val="18"/>
          <w:szCs w:val="18"/>
          <w:b w:val="1"/>
          <w:bCs w:val="1"/>
          <w:color w:val="auto"/>
        </w:rPr>
        <w:t xml:space="preserve"> 816212104</w:t>
      </w:r>
      <w:r>
        <w:rPr>
          <w:sz w:val="20"/>
          <w:szCs w:val="20"/>
          <w:color w:val="auto"/>
        </w:rPr>
        <w:tab/>
      </w:r>
      <w:r>
        <w:rPr>
          <w:rFonts w:ascii="Arial" w:cs="Arial" w:eastAsia="Arial" w:hAnsi="Arial"/>
          <w:sz w:val="18"/>
          <w:szCs w:val="18"/>
          <w:b w:val="1"/>
          <w:bCs w:val="1"/>
          <w:color w:val="auto"/>
        </w:rPr>
        <w:t>13D</w:t>
      </w:r>
      <w:r>
        <w:rPr>
          <w:sz w:val="20"/>
          <w:szCs w:val="20"/>
          <w:color w:val="auto"/>
        </w:rPr>
        <w:tab/>
      </w:r>
      <w:r>
        <w:rPr>
          <w:rFonts w:ascii="Arial" w:cs="Arial" w:eastAsia="Arial" w:hAnsi="Arial"/>
          <w:sz w:val="15"/>
          <w:szCs w:val="15"/>
          <w:b w:val="1"/>
          <w:bCs w:val="1"/>
          <w:color w:val="auto"/>
        </w:rPr>
        <w:t>Page 2 of 7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154305</wp:posOffset>
            </wp:positionV>
            <wp:extent cx="7132320" cy="46462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4646295"/>
                    </a:xfrm>
                    <a:prstGeom prst="rect">
                      <a:avLst/>
                    </a:prstGeom>
                    <a:noFill/>
                  </pic:spPr>
                </pic:pic>
              </a:graphicData>
            </a:graphic>
          </wp:anchor>
        </w:drawing>
      </w:r>
    </w:p>
    <w:p>
      <w:pPr>
        <w:spacing w:after="0" w:line="290" w:lineRule="exact"/>
        <w:rPr>
          <w:sz w:val="20"/>
          <w:szCs w:val="20"/>
          <w:color w:val="auto"/>
        </w:rPr>
      </w:pPr>
    </w:p>
    <w:p>
      <w:pPr>
        <w:ind w:left="580" w:right="8540" w:hanging="414"/>
        <w:spacing w:after="0" w:line="342" w:lineRule="auto"/>
        <w:tabs>
          <w:tab w:leader="none" w:pos="580" w:val="left"/>
        </w:tabs>
        <w:numPr>
          <w:ilvl w:val="0"/>
          <w:numId w:val="2"/>
        </w:numPr>
        <w:rPr>
          <w:rFonts w:ascii="Arial" w:cs="Arial" w:eastAsia="Arial" w:hAnsi="Arial"/>
          <w:sz w:val="16"/>
          <w:szCs w:val="16"/>
          <w:color w:val="auto"/>
        </w:rPr>
      </w:pPr>
      <w:r>
        <w:rPr>
          <w:rFonts w:ascii="Arial" w:cs="Arial" w:eastAsia="Arial" w:hAnsi="Arial"/>
          <w:sz w:val="16"/>
          <w:szCs w:val="16"/>
          <w:color w:val="auto"/>
        </w:rPr>
        <w:t>Names of Reporting Persons. Timothy A. Springer</w:t>
      </w:r>
    </w:p>
    <w:p>
      <w:pPr>
        <w:spacing w:after="0" w:line="42" w:lineRule="exact"/>
        <w:rPr>
          <w:rFonts w:ascii="Arial" w:cs="Arial" w:eastAsia="Arial" w:hAnsi="Arial"/>
          <w:sz w:val="16"/>
          <w:szCs w:val="16"/>
          <w:color w:val="auto"/>
        </w:rPr>
      </w:pPr>
    </w:p>
    <w:p>
      <w:pPr>
        <w:ind w:left="580" w:hanging="414"/>
        <w:spacing w:after="0"/>
        <w:tabs>
          <w:tab w:leader="none" w:pos="580" w:val="left"/>
        </w:tabs>
        <w:numPr>
          <w:ilvl w:val="0"/>
          <w:numId w:val="2"/>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23" w:lineRule="exact"/>
        <w:rPr>
          <w:rFonts w:ascii="Arial" w:cs="Arial" w:eastAsia="Arial" w:hAnsi="Arial"/>
          <w:sz w:val="18"/>
          <w:szCs w:val="18"/>
          <w:color w:val="auto"/>
        </w:rPr>
      </w:pPr>
    </w:p>
    <w:p>
      <w:pPr>
        <w:ind w:left="580"/>
        <w:spacing w:after="0" w:line="207" w:lineRule="exact"/>
        <w:rPr>
          <w:rFonts w:ascii="Arial" w:cs="Arial" w:eastAsia="Arial" w:hAnsi="Arial"/>
          <w:sz w:val="18"/>
          <w:szCs w:val="18"/>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rFonts w:ascii="Arial" w:cs="Arial" w:eastAsia="Arial" w:hAnsi="Arial"/>
          <w:sz w:val="18"/>
          <w:szCs w:val="18"/>
          <w:color w:val="auto"/>
        </w:rPr>
        <w:t xml:space="preserve"> (b) </w:t>
      </w:r>
      <w:r>
        <w:rPr>
          <w:rFonts w:ascii="MS PGothic" w:cs="MS PGothic" w:eastAsia="MS PGothic" w:hAnsi="MS PGothic"/>
          <w:sz w:val="18"/>
          <w:szCs w:val="18"/>
          <w:color w:val="auto"/>
        </w:rPr>
        <w:t>☐</w:t>
      </w:r>
    </w:p>
    <w:p>
      <w:pPr>
        <w:spacing w:after="0" w:line="129" w:lineRule="exact"/>
        <w:rPr>
          <w:rFonts w:ascii="Arial" w:cs="Arial" w:eastAsia="Arial" w:hAnsi="Arial"/>
          <w:sz w:val="18"/>
          <w:szCs w:val="18"/>
          <w:color w:val="auto"/>
        </w:rPr>
      </w:pPr>
    </w:p>
    <w:p>
      <w:pPr>
        <w:ind w:left="580" w:hanging="414"/>
        <w:spacing w:after="0"/>
        <w:tabs>
          <w:tab w:leader="none" w:pos="580" w:val="left"/>
        </w:tabs>
        <w:numPr>
          <w:ilvl w:val="0"/>
          <w:numId w:val="2"/>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144" w:lineRule="exact"/>
        <w:rPr>
          <w:rFonts w:ascii="Arial" w:cs="Arial" w:eastAsia="Arial" w:hAnsi="Arial"/>
          <w:sz w:val="18"/>
          <w:szCs w:val="18"/>
          <w:color w:val="auto"/>
        </w:rPr>
      </w:pPr>
    </w:p>
    <w:p>
      <w:pPr>
        <w:ind w:left="580" w:hanging="414"/>
        <w:spacing w:after="0"/>
        <w:tabs>
          <w:tab w:leader="none" w:pos="580" w:val="left"/>
        </w:tabs>
        <w:numPr>
          <w:ilvl w:val="0"/>
          <w:numId w:val="2"/>
        </w:numPr>
        <w:rPr>
          <w:rFonts w:ascii="Arial" w:cs="Arial" w:eastAsia="Arial" w:hAnsi="Arial"/>
          <w:sz w:val="18"/>
          <w:szCs w:val="18"/>
          <w:color w:val="auto"/>
        </w:rPr>
      </w:pPr>
      <w:r>
        <w:rPr>
          <w:rFonts w:ascii="Arial" w:cs="Arial" w:eastAsia="Arial" w:hAnsi="Arial"/>
          <w:sz w:val="18"/>
          <w:szCs w:val="18"/>
          <w:color w:val="auto"/>
        </w:rPr>
        <w:t>Source of Funds (See Instructions)</w:t>
      </w:r>
    </w:p>
    <w:p>
      <w:pPr>
        <w:spacing w:after="0" w:line="23" w:lineRule="exact"/>
        <w:rPr>
          <w:rFonts w:ascii="Arial" w:cs="Arial" w:eastAsia="Arial" w:hAnsi="Arial"/>
          <w:sz w:val="18"/>
          <w:szCs w:val="18"/>
          <w:color w:val="auto"/>
        </w:rPr>
      </w:pPr>
    </w:p>
    <w:p>
      <w:pPr>
        <w:ind w:left="580"/>
        <w:spacing w:after="0"/>
        <w:rPr>
          <w:rFonts w:ascii="Arial" w:cs="Arial" w:eastAsia="Arial" w:hAnsi="Arial"/>
          <w:sz w:val="18"/>
          <w:szCs w:val="18"/>
          <w:color w:val="auto"/>
        </w:rPr>
      </w:pPr>
      <w:r>
        <w:rPr>
          <w:rFonts w:ascii="Arial" w:cs="Arial" w:eastAsia="Arial" w:hAnsi="Arial"/>
          <w:sz w:val="18"/>
          <w:szCs w:val="18"/>
          <w:color w:val="auto"/>
        </w:rPr>
        <w:t>PF</w:t>
      </w:r>
    </w:p>
    <w:p>
      <w:pPr>
        <w:spacing w:after="0" w:line="129" w:lineRule="exact"/>
        <w:rPr>
          <w:rFonts w:ascii="Arial" w:cs="Arial" w:eastAsia="Arial" w:hAnsi="Arial"/>
          <w:sz w:val="18"/>
          <w:szCs w:val="18"/>
          <w:color w:val="auto"/>
        </w:rPr>
      </w:pPr>
    </w:p>
    <w:p>
      <w:pPr>
        <w:ind w:left="580" w:hanging="414"/>
        <w:spacing w:after="0"/>
        <w:tabs>
          <w:tab w:leader="none" w:pos="580" w:val="left"/>
        </w:tabs>
        <w:numPr>
          <w:ilvl w:val="0"/>
          <w:numId w:val="2"/>
        </w:numPr>
        <w:rPr>
          <w:rFonts w:ascii="Arial" w:cs="Arial" w:eastAsia="Arial" w:hAnsi="Arial"/>
          <w:sz w:val="18"/>
          <w:szCs w:val="18"/>
          <w:color w:val="auto"/>
        </w:rPr>
      </w:pPr>
      <w:r>
        <w:rPr>
          <w:rFonts w:ascii="Arial" w:cs="Arial" w:eastAsia="Arial" w:hAnsi="Arial"/>
          <w:sz w:val="18"/>
          <w:szCs w:val="18"/>
          <w:color w:val="auto"/>
        </w:rPr>
        <w:t>Check if Disclosure of Legal Proceedings Is Required Pursuant to Items 2(d) or 2(e)</w:t>
      </w:r>
    </w:p>
    <w:p>
      <w:pPr>
        <w:spacing w:after="0" w:line="144" w:lineRule="exact"/>
        <w:rPr>
          <w:rFonts w:ascii="Arial" w:cs="Arial" w:eastAsia="Arial" w:hAnsi="Arial"/>
          <w:sz w:val="18"/>
          <w:szCs w:val="18"/>
          <w:color w:val="auto"/>
        </w:rPr>
      </w:pPr>
    </w:p>
    <w:p>
      <w:pPr>
        <w:ind w:left="580" w:right="8020" w:hanging="414"/>
        <w:spacing w:after="0" w:line="277" w:lineRule="auto"/>
        <w:tabs>
          <w:tab w:leader="none" w:pos="580" w:val="left"/>
        </w:tabs>
        <w:numPr>
          <w:ilvl w:val="0"/>
          <w:numId w:val="2"/>
        </w:numPr>
        <w:rPr>
          <w:rFonts w:ascii="Arial" w:cs="Arial" w:eastAsia="Arial" w:hAnsi="Arial"/>
          <w:sz w:val="18"/>
          <w:szCs w:val="18"/>
          <w:color w:val="auto"/>
        </w:rPr>
      </w:pPr>
      <w:r>
        <w:rPr>
          <w:rFonts w:ascii="Arial" w:cs="Arial" w:eastAsia="Arial" w:hAnsi="Arial"/>
          <w:sz w:val="18"/>
          <w:szCs w:val="18"/>
          <w:color w:val="auto"/>
        </w:rPr>
        <w:t>Citizenship or Place of Organization United States</w:t>
      </w:r>
    </w:p>
    <w:p>
      <w:pPr>
        <w:spacing w:after="0" w:line="89" w:lineRule="exact"/>
        <w:rPr>
          <w:sz w:val="20"/>
          <w:szCs w:val="20"/>
          <w:color w:val="auto"/>
        </w:rPr>
      </w:pPr>
    </w:p>
    <w:tbl>
      <w:tblPr>
        <w:tblLayout w:type="fixed"/>
        <w:tblInd w:w="400" w:type="dxa"/>
        <w:tblCellMar>
          <w:top w:w="0" w:type="dxa"/>
          <w:left w:w="0" w:type="dxa"/>
          <w:bottom w:w="0" w:type="dxa"/>
          <w:right w:w="0" w:type="dxa"/>
        </w:tblCellMar>
      </w:tblPr>
      <w:tr>
        <w:trPr>
          <w:trHeight w:val="216"/>
        </w:trPr>
        <w:tc>
          <w:tcPr>
            <w:tcW w:w="1280" w:type="dxa"/>
            <w:vAlign w:val="bottom"/>
            <w:vMerge w:val="restart"/>
          </w:tcPr>
          <w:p>
            <w:pPr>
              <w:jc w:val="center"/>
              <w:ind w:right="290"/>
              <w:spacing w:after="0"/>
              <w:rPr>
                <w:sz w:val="20"/>
                <w:szCs w:val="20"/>
                <w:color w:val="auto"/>
              </w:rPr>
            </w:pPr>
            <w:r>
              <w:rPr>
                <w:rFonts w:ascii="Arial" w:cs="Arial" w:eastAsia="Arial" w:hAnsi="Arial"/>
                <w:sz w:val="18"/>
                <w:szCs w:val="18"/>
                <w:color w:val="auto"/>
                <w:w w:val="92"/>
              </w:rPr>
              <w:t>Number of</w:t>
            </w:r>
          </w:p>
        </w:tc>
        <w:tc>
          <w:tcPr>
            <w:tcW w:w="520" w:type="dxa"/>
            <w:vAlign w:val="bottom"/>
          </w:tcPr>
          <w:p>
            <w:pPr>
              <w:ind w:left="140"/>
              <w:spacing w:after="0"/>
              <w:rPr>
                <w:sz w:val="20"/>
                <w:szCs w:val="20"/>
                <w:color w:val="auto"/>
              </w:rPr>
            </w:pPr>
            <w:r>
              <w:rPr>
                <w:rFonts w:ascii="Arial" w:cs="Arial" w:eastAsia="Arial" w:hAnsi="Arial"/>
                <w:sz w:val="18"/>
                <w:szCs w:val="18"/>
                <w:color w:val="auto"/>
              </w:rPr>
              <w:t>7.</w:t>
            </w:r>
          </w:p>
        </w:tc>
        <w:tc>
          <w:tcPr>
            <w:tcW w:w="9020" w:type="dxa"/>
            <w:vAlign w:val="bottom"/>
          </w:tcPr>
          <w:p>
            <w:pPr>
              <w:ind w:left="16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03"/>
        </w:trPr>
        <w:tc>
          <w:tcPr>
            <w:tcW w:w="1280" w:type="dxa"/>
            <w:vAlign w:val="bottom"/>
            <w:vMerge w:val="continue"/>
          </w:tcPr>
          <w:p>
            <w:pPr>
              <w:spacing w:after="0"/>
              <w:rPr>
                <w:sz w:val="17"/>
                <w:szCs w:val="17"/>
                <w:color w:val="auto"/>
              </w:rPr>
            </w:pPr>
          </w:p>
        </w:tc>
        <w:tc>
          <w:tcPr>
            <w:tcW w:w="520" w:type="dxa"/>
            <w:vAlign w:val="bottom"/>
          </w:tcPr>
          <w:p>
            <w:pPr>
              <w:spacing w:after="0"/>
              <w:rPr>
                <w:sz w:val="17"/>
                <w:szCs w:val="17"/>
                <w:color w:val="auto"/>
              </w:rPr>
            </w:pPr>
          </w:p>
        </w:tc>
        <w:tc>
          <w:tcPr>
            <w:tcW w:w="9020" w:type="dxa"/>
            <w:vAlign w:val="bottom"/>
          </w:tcPr>
          <w:p>
            <w:pPr>
              <w:ind w:left="160"/>
              <w:spacing w:after="0" w:line="202" w:lineRule="exact"/>
              <w:rPr>
                <w:sz w:val="20"/>
                <w:szCs w:val="20"/>
                <w:color w:val="auto"/>
              </w:rPr>
            </w:pPr>
            <w:r>
              <w:rPr>
                <w:rFonts w:ascii="Arial" w:cs="Arial" w:eastAsia="Arial" w:hAnsi="Arial"/>
                <w:sz w:val="18"/>
                <w:szCs w:val="18"/>
                <w:color w:val="auto"/>
              </w:rPr>
              <w:t>28,630,453 shares</w:t>
            </w:r>
          </w:p>
        </w:tc>
        <w:tc>
          <w:tcPr>
            <w:tcW w:w="0" w:type="dxa"/>
            <w:vAlign w:val="bottom"/>
          </w:tcPr>
          <w:p>
            <w:pPr>
              <w:spacing w:after="0"/>
              <w:rPr>
                <w:sz w:val="1"/>
                <w:szCs w:val="1"/>
                <w:color w:val="auto"/>
              </w:rPr>
            </w:pPr>
          </w:p>
        </w:tc>
      </w:tr>
      <w:tr>
        <w:trPr>
          <w:trHeight w:val="89"/>
        </w:trPr>
        <w:tc>
          <w:tcPr>
            <w:tcW w:w="1280" w:type="dxa"/>
            <w:vAlign w:val="bottom"/>
            <w:vMerge w:val="restart"/>
          </w:tcPr>
          <w:p>
            <w:pPr>
              <w:jc w:val="center"/>
              <w:ind w:right="310"/>
              <w:spacing w:after="0"/>
              <w:rPr>
                <w:sz w:val="20"/>
                <w:szCs w:val="20"/>
                <w:color w:val="auto"/>
              </w:rPr>
            </w:pPr>
            <w:r>
              <w:rPr>
                <w:rFonts w:ascii="Arial" w:cs="Arial" w:eastAsia="Arial" w:hAnsi="Arial"/>
                <w:sz w:val="18"/>
                <w:szCs w:val="18"/>
                <w:color w:val="auto"/>
                <w:w w:val="84"/>
              </w:rPr>
              <w:t>Shares</w:t>
            </w:r>
          </w:p>
        </w:tc>
        <w:tc>
          <w:tcPr>
            <w:tcW w:w="520" w:type="dxa"/>
            <w:vAlign w:val="bottom"/>
            <w:tcBorders>
              <w:bottom w:val="single" w:sz="8" w:color="auto"/>
            </w:tcBorders>
          </w:tcPr>
          <w:p>
            <w:pPr>
              <w:spacing w:after="0"/>
              <w:rPr>
                <w:sz w:val="7"/>
                <w:szCs w:val="7"/>
                <w:color w:val="auto"/>
              </w:rPr>
            </w:pPr>
          </w:p>
        </w:tc>
        <w:tc>
          <w:tcPr>
            <w:tcW w:w="902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07"/>
        </w:trPr>
        <w:tc>
          <w:tcPr>
            <w:tcW w:w="1280" w:type="dxa"/>
            <w:vAlign w:val="bottom"/>
            <w:vMerge w:val="continue"/>
          </w:tcPr>
          <w:p>
            <w:pPr>
              <w:spacing w:after="0"/>
              <w:rPr>
                <w:sz w:val="9"/>
                <w:szCs w:val="9"/>
                <w:color w:val="auto"/>
              </w:rPr>
            </w:pPr>
          </w:p>
        </w:tc>
        <w:tc>
          <w:tcPr>
            <w:tcW w:w="520" w:type="dxa"/>
            <w:vAlign w:val="bottom"/>
            <w:vMerge w:val="restart"/>
          </w:tcPr>
          <w:p>
            <w:pPr>
              <w:ind w:left="140"/>
              <w:spacing w:after="0"/>
              <w:rPr>
                <w:sz w:val="20"/>
                <w:szCs w:val="20"/>
                <w:color w:val="auto"/>
              </w:rPr>
            </w:pPr>
            <w:r>
              <w:rPr>
                <w:rFonts w:ascii="Arial" w:cs="Arial" w:eastAsia="Arial" w:hAnsi="Arial"/>
                <w:sz w:val="18"/>
                <w:szCs w:val="18"/>
                <w:color w:val="auto"/>
              </w:rPr>
              <w:t>8.</w:t>
            </w:r>
          </w:p>
        </w:tc>
        <w:tc>
          <w:tcPr>
            <w:tcW w:w="9020" w:type="dxa"/>
            <w:vAlign w:val="bottom"/>
            <w:vMerge w:val="restart"/>
          </w:tcPr>
          <w:p>
            <w:pPr>
              <w:ind w:left="1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49"/>
        </w:trPr>
        <w:tc>
          <w:tcPr>
            <w:tcW w:w="1280" w:type="dxa"/>
            <w:vAlign w:val="bottom"/>
            <w:vMerge w:val="restart"/>
          </w:tcPr>
          <w:p>
            <w:pPr>
              <w:jc w:val="center"/>
              <w:ind w:right="310"/>
              <w:spacing w:after="0"/>
              <w:rPr>
                <w:sz w:val="20"/>
                <w:szCs w:val="20"/>
                <w:color w:val="auto"/>
              </w:rPr>
            </w:pPr>
            <w:r>
              <w:rPr>
                <w:rFonts w:ascii="Arial" w:cs="Arial" w:eastAsia="Arial" w:hAnsi="Arial"/>
                <w:sz w:val="18"/>
                <w:szCs w:val="18"/>
                <w:color w:val="auto"/>
                <w:w w:val="96"/>
              </w:rPr>
              <w:t>Beneficially</w:t>
            </w:r>
          </w:p>
        </w:tc>
        <w:tc>
          <w:tcPr>
            <w:tcW w:w="520" w:type="dxa"/>
            <w:vAlign w:val="bottom"/>
            <w:vMerge w:val="continue"/>
          </w:tcPr>
          <w:p>
            <w:pPr>
              <w:spacing w:after="0"/>
              <w:rPr>
                <w:sz w:val="12"/>
                <w:szCs w:val="12"/>
                <w:color w:val="auto"/>
              </w:rPr>
            </w:pPr>
          </w:p>
        </w:tc>
        <w:tc>
          <w:tcPr>
            <w:tcW w:w="90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128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9020" w:type="dxa"/>
            <w:vAlign w:val="bottom"/>
            <w:vMerge w:val="restart"/>
          </w:tcPr>
          <w:p>
            <w:pPr>
              <w:ind w:left="160"/>
              <w:spacing w:after="0"/>
              <w:rPr>
                <w:sz w:val="20"/>
                <w:szCs w:val="20"/>
                <w:color w:val="auto"/>
              </w:rPr>
            </w:pPr>
            <w:r>
              <w:rPr>
                <w:rFonts w:ascii="Arial" w:cs="Arial" w:eastAsia="Arial" w:hAnsi="Arial"/>
                <w:sz w:val="18"/>
                <w:szCs w:val="18"/>
                <w:color w:val="auto"/>
              </w:rPr>
              <w:t>0 shares</w:t>
            </w:r>
          </w:p>
        </w:tc>
        <w:tc>
          <w:tcPr>
            <w:tcW w:w="0" w:type="dxa"/>
            <w:vAlign w:val="bottom"/>
          </w:tcPr>
          <w:p>
            <w:pPr>
              <w:spacing w:after="0"/>
              <w:rPr>
                <w:sz w:val="1"/>
                <w:szCs w:val="1"/>
                <w:color w:val="auto"/>
              </w:rPr>
            </w:pPr>
          </w:p>
        </w:tc>
      </w:tr>
      <w:tr>
        <w:trPr>
          <w:trHeight w:val="163"/>
        </w:trPr>
        <w:tc>
          <w:tcPr>
            <w:tcW w:w="1280" w:type="dxa"/>
            <w:vAlign w:val="bottom"/>
            <w:vMerge w:val="restart"/>
          </w:tcPr>
          <w:p>
            <w:pPr>
              <w:jc w:val="center"/>
              <w:ind w:right="290"/>
              <w:spacing w:after="0"/>
              <w:rPr>
                <w:sz w:val="20"/>
                <w:szCs w:val="20"/>
                <w:color w:val="auto"/>
              </w:rPr>
            </w:pPr>
            <w:r>
              <w:rPr>
                <w:rFonts w:ascii="Arial" w:cs="Arial" w:eastAsia="Arial" w:hAnsi="Arial"/>
                <w:sz w:val="18"/>
                <w:szCs w:val="18"/>
                <w:color w:val="auto"/>
                <w:w w:val="91"/>
              </w:rPr>
              <w:t>Owned by</w:t>
            </w:r>
          </w:p>
        </w:tc>
        <w:tc>
          <w:tcPr>
            <w:tcW w:w="520" w:type="dxa"/>
            <w:vAlign w:val="bottom"/>
          </w:tcPr>
          <w:p>
            <w:pPr>
              <w:spacing w:after="0"/>
              <w:rPr>
                <w:sz w:val="14"/>
                <w:szCs w:val="14"/>
                <w:color w:val="auto"/>
              </w:rPr>
            </w:pPr>
          </w:p>
        </w:tc>
        <w:tc>
          <w:tcPr>
            <w:tcW w:w="9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61"/>
        </w:trPr>
        <w:tc>
          <w:tcPr>
            <w:tcW w:w="1280" w:type="dxa"/>
            <w:vAlign w:val="bottom"/>
            <w:vMerge w:val="continue"/>
          </w:tcPr>
          <w:p>
            <w:pPr>
              <w:spacing w:after="0"/>
              <w:rPr>
                <w:sz w:val="5"/>
                <w:szCs w:val="5"/>
                <w:color w:val="auto"/>
              </w:rPr>
            </w:pPr>
          </w:p>
        </w:tc>
        <w:tc>
          <w:tcPr>
            <w:tcW w:w="520" w:type="dxa"/>
            <w:vAlign w:val="bottom"/>
            <w:tcBorders>
              <w:bottom w:val="single" w:sz="8" w:color="auto"/>
            </w:tcBorders>
          </w:tcPr>
          <w:p>
            <w:pPr>
              <w:spacing w:after="0"/>
              <w:rPr>
                <w:sz w:val="5"/>
                <w:szCs w:val="5"/>
                <w:color w:val="auto"/>
              </w:rPr>
            </w:pPr>
          </w:p>
        </w:tc>
        <w:tc>
          <w:tcPr>
            <w:tcW w:w="90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88"/>
        </w:trPr>
        <w:tc>
          <w:tcPr>
            <w:tcW w:w="1280" w:type="dxa"/>
            <w:vAlign w:val="bottom"/>
          </w:tcPr>
          <w:p>
            <w:pPr>
              <w:jc w:val="center"/>
              <w:ind w:right="310"/>
              <w:spacing w:after="0" w:line="189" w:lineRule="exact"/>
              <w:rPr>
                <w:sz w:val="20"/>
                <w:szCs w:val="20"/>
                <w:color w:val="auto"/>
              </w:rPr>
            </w:pPr>
            <w:r>
              <w:rPr>
                <w:rFonts w:ascii="Arial" w:cs="Arial" w:eastAsia="Arial" w:hAnsi="Arial"/>
                <w:sz w:val="18"/>
                <w:szCs w:val="18"/>
                <w:color w:val="auto"/>
                <w:w w:val="87"/>
              </w:rPr>
              <w:t>Each</w:t>
            </w:r>
          </w:p>
        </w:tc>
        <w:tc>
          <w:tcPr>
            <w:tcW w:w="520" w:type="dxa"/>
            <w:vAlign w:val="bottom"/>
            <w:vMerge w:val="restart"/>
          </w:tcPr>
          <w:p>
            <w:pPr>
              <w:ind w:left="140"/>
              <w:spacing w:after="0"/>
              <w:rPr>
                <w:sz w:val="20"/>
                <w:szCs w:val="20"/>
                <w:color w:val="auto"/>
              </w:rPr>
            </w:pPr>
            <w:r>
              <w:rPr>
                <w:rFonts w:ascii="Arial" w:cs="Arial" w:eastAsia="Arial" w:hAnsi="Arial"/>
                <w:sz w:val="18"/>
                <w:szCs w:val="18"/>
                <w:color w:val="auto"/>
              </w:rPr>
              <w:t>9.</w:t>
            </w:r>
          </w:p>
        </w:tc>
        <w:tc>
          <w:tcPr>
            <w:tcW w:w="9020" w:type="dxa"/>
            <w:vAlign w:val="bottom"/>
            <w:vMerge w:val="restart"/>
          </w:tcPr>
          <w:p>
            <w:pPr>
              <w:ind w:left="16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68"/>
        </w:trPr>
        <w:tc>
          <w:tcPr>
            <w:tcW w:w="1280" w:type="dxa"/>
            <w:vAlign w:val="bottom"/>
            <w:vMerge w:val="restart"/>
          </w:tcPr>
          <w:p>
            <w:pPr>
              <w:jc w:val="center"/>
              <w:ind w:right="310"/>
              <w:spacing w:after="0"/>
              <w:rPr>
                <w:sz w:val="20"/>
                <w:szCs w:val="20"/>
                <w:color w:val="auto"/>
              </w:rPr>
            </w:pPr>
            <w:r>
              <w:rPr>
                <w:rFonts w:ascii="Arial" w:cs="Arial" w:eastAsia="Arial" w:hAnsi="Arial"/>
                <w:sz w:val="18"/>
                <w:szCs w:val="18"/>
                <w:color w:val="auto"/>
                <w:w w:val="92"/>
              </w:rPr>
              <w:t>Reporting</w:t>
            </w:r>
          </w:p>
        </w:tc>
        <w:tc>
          <w:tcPr>
            <w:tcW w:w="520" w:type="dxa"/>
            <w:vAlign w:val="bottom"/>
            <w:vMerge w:val="continue"/>
          </w:tcPr>
          <w:p>
            <w:pPr>
              <w:spacing w:after="0"/>
              <w:rPr>
                <w:sz w:val="5"/>
                <w:szCs w:val="5"/>
                <w:color w:val="auto"/>
              </w:rPr>
            </w:pPr>
          </w:p>
        </w:tc>
        <w:tc>
          <w:tcPr>
            <w:tcW w:w="90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48"/>
        </w:trPr>
        <w:tc>
          <w:tcPr>
            <w:tcW w:w="1280" w:type="dxa"/>
            <w:vAlign w:val="bottom"/>
            <w:vMerge w:val="continue"/>
          </w:tcPr>
          <w:p>
            <w:pPr>
              <w:spacing w:after="0"/>
              <w:rPr>
                <w:sz w:val="12"/>
                <w:szCs w:val="12"/>
                <w:color w:val="auto"/>
              </w:rPr>
            </w:pPr>
          </w:p>
        </w:tc>
        <w:tc>
          <w:tcPr>
            <w:tcW w:w="520" w:type="dxa"/>
            <w:vAlign w:val="bottom"/>
          </w:tcPr>
          <w:p>
            <w:pPr>
              <w:spacing w:after="0"/>
              <w:rPr>
                <w:sz w:val="12"/>
                <w:szCs w:val="12"/>
                <w:color w:val="auto"/>
              </w:rPr>
            </w:pPr>
          </w:p>
        </w:tc>
        <w:tc>
          <w:tcPr>
            <w:tcW w:w="9020" w:type="dxa"/>
            <w:vAlign w:val="bottom"/>
            <w:vMerge w:val="restart"/>
          </w:tcPr>
          <w:p>
            <w:pPr>
              <w:ind w:left="160"/>
              <w:spacing w:after="0"/>
              <w:rPr>
                <w:sz w:val="20"/>
                <w:szCs w:val="20"/>
                <w:color w:val="auto"/>
              </w:rPr>
            </w:pPr>
            <w:r>
              <w:rPr>
                <w:rFonts w:ascii="Arial" w:cs="Arial" w:eastAsia="Arial" w:hAnsi="Arial"/>
                <w:sz w:val="18"/>
                <w:szCs w:val="18"/>
                <w:color w:val="auto"/>
              </w:rPr>
              <w:t>28,630,453 shares</w:t>
            </w:r>
          </w:p>
        </w:tc>
        <w:tc>
          <w:tcPr>
            <w:tcW w:w="0" w:type="dxa"/>
            <w:vAlign w:val="bottom"/>
          </w:tcPr>
          <w:p>
            <w:pPr>
              <w:spacing w:after="0"/>
              <w:rPr>
                <w:sz w:val="1"/>
                <w:szCs w:val="1"/>
                <w:color w:val="auto"/>
              </w:rPr>
            </w:pPr>
          </w:p>
        </w:tc>
      </w:tr>
      <w:tr>
        <w:trPr>
          <w:trHeight w:val="82"/>
        </w:trPr>
        <w:tc>
          <w:tcPr>
            <w:tcW w:w="1280" w:type="dxa"/>
            <w:vAlign w:val="bottom"/>
            <w:vMerge w:val="restart"/>
          </w:tcPr>
          <w:p>
            <w:pPr>
              <w:jc w:val="center"/>
              <w:ind w:right="310"/>
              <w:spacing w:after="0"/>
              <w:rPr>
                <w:sz w:val="20"/>
                <w:szCs w:val="20"/>
                <w:color w:val="auto"/>
              </w:rPr>
            </w:pPr>
            <w:r>
              <w:rPr>
                <w:rFonts w:ascii="Arial" w:cs="Arial" w:eastAsia="Arial" w:hAnsi="Arial"/>
                <w:sz w:val="18"/>
                <w:szCs w:val="18"/>
                <w:color w:val="auto"/>
                <w:w w:val="84"/>
              </w:rPr>
              <w:t>Person</w:t>
            </w:r>
          </w:p>
        </w:tc>
        <w:tc>
          <w:tcPr>
            <w:tcW w:w="520" w:type="dxa"/>
            <w:vAlign w:val="bottom"/>
          </w:tcPr>
          <w:p>
            <w:pPr>
              <w:spacing w:after="0"/>
              <w:rPr>
                <w:sz w:val="7"/>
                <w:szCs w:val="7"/>
                <w:color w:val="auto"/>
              </w:rPr>
            </w:pPr>
          </w:p>
        </w:tc>
        <w:tc>
          <w:tcPr>
            <w:tcW w:w="90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61"/>
        </w:trPr>
        <w:tc>
          <w:tcPr>
            <w:tcW w:w="1280" w:type="dxa"/>
            <w:vAlign w:val="bottom"/>
            <w:vMerge w:val="continue"/>
          </w:tcPr>
          <w:p>
            <w:pPr>
              <w:spacing w:after="0"/>
              <w:rPr>
                <w:sz w:val="5"/>
                <w:szCs w:val="5"/>
                <w:color w:val="auto"/>
              </w:rPr>
            </w:pPr>
          </w:p>
        </w:tc>
        <w:tc>
          <w:tcPr>
            <w:tcW w:w="520" w:type="dxa"/>
            <w:vAlign w:val="bottom"/>
            <w:tcBorders>
              <w:bottom w:val="single" w:sz="8" w:color="auto"/>
            </w:tcBorders>
          </w:tcPr>
          <w:p>
            <w:pPr>
              <w:spacing w:after="0"/>
              <w:rPr>
                <w:sz w:val="5"/>
                <w:szCs w:val="5"/>
                <w:color w:val="auto"/>
              </w:rPr>
            </w:pPr>
          </w:p>
        </w:tc>
        <w:tc>
          <w:tcPr>
            <w:tcW w:w="90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53"/>
        </w:trPr>
        <w:tc>
          <w:tcPr>
            <w:tcW w:w="1280" w:type="dxa"/>
            <w:vAlign w:val="bottom"/>
            <w:vMerge w:val="continue"/>
          </w:tcPr>
          <w:p>
            <w:pPr>
              <w:spacing w:after="0"/>
              <w:rPr>
                <w:sz w:val="4"/>
                <w:szCs w:val="4"/>
                <w:color w:val="auto"/>
              </w:rPr>
            </w:pPr>
          </w:p>
        </w:tc>
        <w:tc>
          <w:tcPr>
            <w:tcW w:w="520" w:type="dxa"/>
            <w:vAlign w:val="bottom"/>
            <w:vMerge w:val="restart"/>
          </w:tcPr>
          <w:p>
            <w:pPr>
              <w:ind w:left="140"/>
              <w:spacing w:after="0"/>
              <w:rPr>
                <w:sz w:val="20"/>
                <w:szCs w:val="20"/>
                <w:color w:val="auto"/>
              </w:rPr>
            </w:pPr>
            <w:r>
              <w:rPr>
                <w:rFonts w:ascii="Arial" w:cs="Arial" w:eastAsia="Arial" w:hAnsi="Arial"/>
                <w:sz w:val="18"/>
                <w:szCs w:val="18"/>
                <w:color w:val="auto"/>
              </w:rPr>
              <w:t>10.</w:t>
            </w:r>
          </w:p>
        </w:tc>
        <w:tc>
          <w:tcPr>
            <w:tcW w:w="9020" w:type="dxa"/>
            <w:vAlign w:val="bottom"/>
            <w:vMerge w:val="restart"/>
          </w:tcPr>
          <w:p>
            <w:pPr>
              <w:ind w:left="16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218"/>
        </w:trPr>
        <w:tc>
          <w:tcPr>
            <w:tcW w:w="1280" w:type="dxa"/>
            <w:vAlign w:val="bottom"/>
          </w:tcPr>
          <w:p>
            <w:pPr>
              <w:jc w:val="center"/>
              <w:ind w:right="310"/>
              <w:spacing w:after="0"/>
              <w:rPr>
                <w:sz w:val="20"/>
                <w:szCs w:val="20"/>
                <w:color w:val="auto"/>
              </w:rPr>
            </w:pPr>
            <w:r>
              <w:rPr>
                <w:rFonts w:ascii="Arial" w:cs="Arial" w:eastAsia="Arial" w:hAnsi="Arial"/>
                <w:sz w:val="18"/>
                <w:szCs w:val="18"/>
                <w:color w:val="auto"/>
                <w:w w:val="99"/>
              </w:rPr>
              <w:t>With</w:t>
            </w:r>
          </w:p>
        </w:tc>
        <w:tc>
          <w:tcPr>
            <w:tcW w:w="520" w:type="dxa"/>
            <w:vAlign w:val="bottom"/>
            <w:vMerge w:val="continue"/>
          </w:tcPr>
          <w:p>
            <w:pPr>
              <w:spacing w:after="0"/>
              <w:rPr>
                <w:sz w:val="19"/>
                <w:szCs w:val="19"/>
                <w:color w:val="auto"/>
              </w:rPr>
            </w:pPr>
          </w:p>
        </w:tc>
        <w:tc>
          <w:tcPr>
            <w:tcW w:w="90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bl>
    <w:p>
      <w:pPr>
        <w:ind w:left="2500" w:hanging="132"/>
        <w:spacing w:after="0"/>
        <w:tabs>
          <w:tab w:leader="none" w:pos="2500" w:val="left"/>
        </w:tabs>
        <w:numPr>
          <w:ilvl w:val="1"/>
          <w:numId w:val="3"/>
        </w:numPr>
        <w:rPr>
          <w:rFonts w:ascii="Arial" w:cs="Arial" w:eastAsia="Arial" w:hAnsi="Arial"/>
          <w:sz w:val="18"/>
          <w:szCs w:val="18"/>
          <w:color w:val="auto"/>
        </w:rPr>
      </w:pPr>
      <w:r>
        <w:rPr>
          <w:rFonts w:ascii="Arial" w:cs="Arial" w:eastAsia="Arial" w:hAnsi="Arial"/>
          <w:sz w:val="18"/>
          <w:szCs w:val="18"/>
          <w:color w:val="auto"/>
        </w:rPr>
        <w:t>shares</w:t>
      </w:r>
    </w:p>
    <w:p>
      <w:pPr>
        <w:spacing w:after="0" w:line="128" w:lineRule="exact"/>
        <w:rPr>
          <w:rFonts w:ascii="Arial" w:cs="Arial" w:eastAsia="Arial" w:hAnsi="Arial"/>
          <w:sz w:val="18"/>
          <w:szCs w:val="18"/>
          <w:color w:val="auto"/>
        </w:rPr>
      </w:pPr>
    </w:p>
    <w:p>
      <w:pPr>
        <w:ind w:left="580" w:right="5840" w:hanging="414"/>
        <w:spacing w:after="0" w:line="277" w:lineRule="auto"/>
        <w:tabs>
          <w:tab w:leader="none" w:pos="580" w:val="left"/>
        </w:tabs>
        <w:numPr>
          <w:ilvl w:val="0"/>
          <w:numId w:val="3"/>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28,630,453 shares</w:t>
      </w:r>
    </w:p>
    <w:p>
      <w:pPr>
        <w:spacing w:after="0" w:line="89" w:lineRule="exact"/>
        <w:rPr>
          <w:rFonts w:ascii="Arial" w:cs="Arial" w:eastAsia="Arial" w:hAnsi="Arial"/>
          <w:sz w:val="18"/>
          <w:szCs w:val="18"/>
          <w:color w:val="auto"/>
        </w:rPr>
      </w:pPr>
    </w:p>
    <w:p>
      <w:pPr>
        <w:ind w:left="580" w:hanging="414"/>
        <w:spacing w:after="0"/>
        <w:tabs>
          <w:tab w:leader="none" w:pos="58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Check if the Aggregate Amount in Row (11) Excludes Certain Shares (See Instructions)</w:t>
      </w:r>
    </w:p>
    <w:p>
      <w:pPr>
        <w:spacing w:after="0" w:line="144" w:lineRule="exact"/>
        <w:rPr>
          <w:rFonts w:ascii="Arial" w:cs="Arial" w:eastAsia="Arial" w:hAnsi="Arial"/>
          <w:sz w:val="18"/>
          <w:szCs w:val="18"/>
          <w:color w:val="auto"/>
        </w:rPr>
      </w:pPr>
    </w:p>
    <w:p>
      <w:pPr>
        <w:ind w:left="580" w:right="6780" w:hanging="414"/>
        <w:spacing w:after="0" w:line="277" w:lineRule="auto"/>
        <w:tabs>
          <w:tab w:leader="none" w:pos="580" w:val="left"/>
        </w:tabs>
        <w:numPr>
          <w:ilvl w:val="0"/>
          <w:numId w:val="3"/>
        </w:numPr>
        <w:rPr>
          <w:rFonts w:ascii="Arial" w:cs="Arial" w:eastAsia="Arial" w:hAnsi="Arial"/>
          <w:sz w:val="18"/>
          <w:szCs w:val="18"/>
          <w:color w:val="auto"/>
        </w:rPr>
      </w:pPr>
      <w:r>
        <w:rPr>
          <w:rFonts w:ascii="Arial" w:cs="Arial" w:eastAsia="Arial" w:hAnsi="Arial"/>
          <w:sz w:val="18"/>
          <w:szCs w:val="18"/>
          <w:color w:val="auto"/>
        </w:rPr>
        <w:t>Percent of Class Represented by Amount in Row (11) 25.3%</w:t>
      </w:r>
    </w:p>
    <w:p>
      <w:pPr>
        <w:spacing w:after="0" w:line="89" w:lineRule="exact"/>
        <w:rPr>
          <w:rFonts w:ascii="Arial" w:cs="Arial" w:eastAsia="Arial" w:hAnsi="Arial"/>
          <w:sz w:val="18"/>
          <w:szCs w:val="18"/>
          <w:color w:val="auto"/>
        </w:rPr>
      </w:pPr>
    </w:p>
    <w:p>
      <w:pPr>
        <w:ind w:left="580" w:right="7480" w:hanging="414"/>
        <w:spacing w:after="0" w:line="277" w:lineRule="auto"/>
        <w:tabs>
          <w:tab w:leader="none" w:pos="5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Type of Reporting Person (See Instructions) IN, OO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460375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40" w:top="904" w:right="339" w:bottom="1440" w:gutter="0" w:footer="0" w:header="0"/>
        </w:sectPr>
      </w:pPr>
    </w:p>
    <w:bookmarkStart w:id="2" w:name="page3"/>
    <w:bookmarkEnd w:id="2"/>
    <w:p>
      <w:pPr>
        <w:spacing w:after="0"/>
        <w:tabs>
          <w:tab w:leader="none" w:pos="5500" w:val="left"/>
          <w:tab w:leader="none" w:pos="9880" w:val="left"/>
        </w:tabs>
        <w:rPr>
          <w:sz w:val="20"/>
          <w:szCs w:val="20"/>
          <w:color w:val="auto"/>
        </w:rPr>
      </w:pPr>
      <w:r>
        <w:rPr>
          <w:rFonts w:ascii="Arial" w:cs="Arial" w:eastAsia="Arial" w:hAnsi="Arial"/>
          <w:sz w:val="18"/>
          <w:szCs w:val="18"/>
          <w:b w:val="1"/>
          <w:bCs w:val="1"/>
          <w:color w:val="auto"/>
        </w:rPr>
        <w:t>CUSIP No</w:t>
      </w:r>
      <w:r>
        <w:rPr>
          <w:rFonts w:ascii="Arial" w:cs="Arial" w:eastAsia="Arial" w:hAnsi="Arial"/>
          <w:sz w:val="18"/>
          <w:szCs w:val="18"/>
          <w:color w:val="auto"/>
        </w:rPr>
        <w:t>.</w:t>
      </w:r>
      <w:r>
        <w:rPr>
          <w:rFonts w:ascii="Arial" w:cs="Arial" w:eastAsia="Arial" w:hAnsi="Arial"/>
          <w:sz w:val="18"/>
          <w:szCs w:val="18"/>
          <w:b w:val="1"/>
          <w:bCs w:val="1"/>
          <w:color w:val="auto"/>
        </w:rPr>
        <w:t xml:space="preserve"> 816212104</w:t>
      </w:r>
      <w:r>
        <w:rPr>
          <w:sz w:val="20"/>
          <w:szCs w:val="20"/>
          <w:color w:val="auto"/>
        </w:rPr>
        <w:tab/>
      </w:r>
      <w:r>
        <w:rPr>
          <w:rFonts w:ascii="Arial" w:cs="Arial" w:eastAsia="Arial" w:hAnsi="Arial"/>
          <w:sz w:val="18"/>
          <w:szCs w:val="18"/>
          <w:b w:val="1"/>
          <w:bCs w:val="1"/>
          <w:color w:val="auto"/>
        </w:rPr>
        <w:t>13D</w:t>
      </w:r>
      <w:r>
        <w:rPr>
          <w:sz w:val="20"/>
          <w:szCs w:val="20"/>
          <w:color w:val="auto"/>
        </w:rPr>
        <w:tab/>
      </w:r>
      <w:r>
        <w:rPr>
          <w:rFonts w:ascii="Arial" w:cs="Arial" w:eastAsia="Arial" w:hAnsi="Arial"/>
          <w:sz w:val="15"/>
          <w:szCs w:val="15"/>
          <w:b w:val="1"/>
          <w:bCs w:val="1"/>
          <w:color w:val="auto"/>
        </w:rPr>
        <w:t>Page 3 of 7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154305</wp:posOffset>
            </wp:positionV>
            <wp:extent cx="7132320" cy="464629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4646295"/>
                    </a:xfrm>
                    <a:prstGeom prst="rect">
                      <a:avLst/>
                    </a:prstGeom>
                    <a:noFill/>
                  </pic:spPr>
                </pic:pic>
              </a:graphicData>
            </a:graphic>
          </wp:anchor>
        </w:drawing>
      </w:r>
    </w:p>
    <w:p>
      <w:pPr>
        <w:spacing w:after="0" w:line="290" w:lineRule="exact"/>
        <w:rPr>
          <w:sz w:val="20"/>
          <w:szCs w:val="20"/>
          <w:color w:val="auto"/>
        </w:rPr>
      </w:pPr>
    </w:p>
    <w:p>
      <w:pPr>
        <w:ind w:left="580" w:right="8540" w:hanging="414"/>
        <w:spacing w:after="0" w:line="308" w:lineRule="auto"/>
        <w:tabs>
          <w:tab w:leader="none" w:pos="580" w:val="left"/>
        </w:tabs>
        <w:numPr>
          <w:ilvl w:val="0"/>
          <w:numId w:val="4"/>
        </w:numPr>
        <w:rPr>
          <w:rFonts w:ascii="Arial" w:cs="Arial" w:eastAsia="Arial" w:hAnsi="Arial"/>
          <w:sz w:val="17"/>
          <w:szCs w:val="17"/>
          <w:color w:val="auto"/>
        </w:rPr>
      </w:pPr>
      <w:r>
        <w:rPr>
          <w:rFonts w:ascii="Arial" w:cs="Arial" w:eastAsia="Arial" w:hAnsi="Arial"/>
          <w:sz w:val="17"/>
          <w:szCs w:val="17"/>
          <w:color w:val="auto"/>
        </w:rPr>
        <w:t>Names of Reporting Persons. TAS Partners LLC</w:t>
      </w:r>
    </w:p>
    <w:p>
      <w:pPr>
        <w:spacing w:after="0" w:line="65" w:lineRule="exact"/>
        <w:rPr>
          <w:rFonts w:ascii="Arial" w:cs="Arial" w:eastAsia="Arial" w:hAnsi="Arial"/>
          <w:sz w:val="17"/>
          <w:szCs w:val="17"/>
          <w:color w:val="auto"/>
        </w:rPr>
      </w:pPr>
    </w:p>
    <w:p>
      <w:pPr>
        <w:ind w:left="580" w:hanging="414"/>
        <w:spacing w:after="0"/>
        <w:tabs>
          <w:tab w:leader="none" w:pos="58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23" w:lineRule="exact"/>
        <w:rPr>
          <w:rFonts w:ascii="Arial" w:cs="Arial" w:eastAsia="Arial" w:hAnsi="Arial"/>
          <w:sz w:val="18"/>
          <w:szCs w:val="18"/>
          <w:color w:val="auto"/>
        </w:rPr>
      </w:pPr>
    </w:p>
    <w:p>
      <w:pPr>
        <w:ind w:left="580"/>
        <w:spacing w:after="0" w:line="207" w:lineRule="exact"/>
        <w:rPr>
          <w:rFonts w:ascii="Arial" w:cs="Arial" w:eastAsia="Arial" w:hAnsi="Arial"/>
          <w:sz w:val="18"/>
          <w:szCs w:val="18"/>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rFonts w:ascii="Arial" w:cs="Arial" w:eastAsia="Arial" w:hAnsi="Arial"/>
          <w:sz w:val="18"/>
          <w:szCs w:val="18"/>
          <w:color w:val="auto"/>
        </w:rPr>
        <w:t xml:space="preserve"> (b) </w:t>
      </w:r>
      <w:r>
        <w:rPr>
          <w:rFonts w:ascii="MS PGothic" w:cs="MS PGothic" w:eastAsia="MS PGothic" w:hAnsi="MS PGothic"/>
          <w:sz w:val="18"/>
          <w:szCs w:val="18"/>
          <w:color w:val="auto"/>
        </w:rPr>
        <w:t>☐</w:t>
      </w:r>
    </w:p>
    <w:p>
      <w:pPr>
        <w:spacing w:after="0" w:line="129" w:lineRule="exact"/>
        <w:rPr>
          <w:rFonts w:ascii="Arial" w:cs="Arial" w:eastAsia="Arial" w:hAnsi="Arial"/>
          <w:sz w:val="18"/>
          <w:szCs w:val="18"/>
          <w:color w:val="auto"/>
        </w:rPr>
      </w:pPr>
    </w:p>
    <w:p>
      <w:pPr>
        <w:ind w:left="580" w:hanging="414"/>
        <w:spacing w:after="0"/>
        <w:tabs>
          <w:tab w:leader="none" w:pos="580" w:val="left"/>
        </w:tabs>
        <w:numPr>
          <w:ilvl w:val="0"/>
          <w:numId w:val="4"/>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144" w:lineRule="exact"/>
        <w:rPr>
          <w:rFonts w:ascii="Arial" w:cs="Arial" w:eastAsia="Arial" w:hAnsi="Arial"/>
          <w:sz w:val="18"/>
          <w:szCs w:val="18"/>
          <w:color w:val="auto"/>
        </w:rPr>
      </w:pPr>
    </w:p>
    <w:p>
      <w:pPr>
        <w:ind w:left="580" w:hanging="414"/>
        <w:spacing w:after="0"/>
        <w:tabs>
          <w:tab w:leader="none" w:pos="580" w:val="left"/>
        </w:tabs>
        <w:numPr>
          <w:ilvl w:val="0"/>
          <w:numId w:val="4"/>
        </w:numPr>
        <w:rPr>
          <w:rFonts w:ascii="Arial" w:cs="Arial" w:eastAsia="Arial" w:hAnsi="Arial"/>
          <w:sz w:val="18"/>
          <w:szCs w:val="18"/>
          <w:color w:val="auto"/>
        </w:rPr>
      </w:pPr>
      <w:r>
        <w:rPr>
          <w:rFonts w:ascii="Arial" w:cs="Arial" w:eastAsia="Arial" w:hAnsi="Arial"/>
          <w:sz w:val="18"/>
          <w:szCs w:val="18"/>
          <w:color w:val="auto"/>
        </w:rPr>
        <w:t>Source of Funds (See Instructions)</w:t>
      </w:r>
    </w:p>
    <w:p>
      <w:pPr>
        <w:spacing w:after="0" w:line="23" w:lineRule="exact"/>
        <w:rPr>
          <w:rFonts w:ascii="Arial" w:cs="Arial" w:eastAsia="Arial" w:hAnsi="Arial"/>
          <w:sz w:val="18"/>
          <w:szCs w:val="18"/>
          <w:color w:val="auto"/>
        </w:rPr>
      </w:pPr>
    </w:p>
    <w:p>
      <w:pPr>
        <w:ind w:left="580"/>
        <w:spacing w:after="0"/>
        <w:rPr>
          <w:rFonts w:ascii="Arial" w:cs="Arial" w:eastAsia="Arial" w:hAnsi="Arial"/>
          <w:sz w:val="18"/>
          <w:szCs w:val="18"/>
          <w:color w:val="auto"/>
        </w:rPr>
      </w:pPr>
      <w:r>
        <w:rPr>
          <w:rFonts w:ascii="Arial" w:cs="Arial" w:eastAsia="Arial" w:hAnsi="Arial"/>
          <w:sz w:val="18"/>
          <w:szCs w:val="18"/>
          <w:color w:val="auto"/>
        </w:rPr>
        <w:t>OO</w:t>
      </w:r>
    </w:p>
    <w:p>
      <w:pPr>
        <w:spacing w:after="0" w:line="129" w:lineRule="exact"/>
        <w:rPr>
          <w:rFonts w:ascii="Arial" w:cs="Arial" w:eastAsia="Arial" w:hAnsi="Arial"/>
          <w:sz w:val="18"/>
          <w:szCs w:val="18"/>
          <w:color w:val="auto"/>
        </w:rPr>
      </w:pPr>
    </w:p>
    <w:p>
      <w:pPr>
        <w:ind w:left="580" w:hanging="414"/>
        <w:spacing w:after="0"/>
        <w:tabs>
          <w:tab w:leader="none" w:pos="58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Check if Disclosure of Legal Proceedings Is Required Pursuant to Items 2(d) or 2(e)</w:t>
      </w:r>
    </w:p>
    <w:p>
      <w:pPr>
        <w:spacing w:after="0" w:line="144" w:lineRule="exact"/>
        <w:rPr>
          <w:rFonts w:ascii="Arial" w:cs="Arial" w:eastAsia="Arial" w:hAnsi="Arial"/>
          <w:sz w:val="18"/>
          <w:szCs w:val="18"/>
          <w:color w:val="auto"/>
        </w:rPr>
      </w:pPr>
    </w:p>
    <w:p>
      <w:pPr>
        <w:ind w:left="580" w:right="8020" w:hanging="414"/>
        <w:spacing w:after="0" w:line="277" w:lineRule="auto"/>
        <w:tabs>
          <w:tab w:leader="none" w:pos="580" w:val="left"/>
        </w:tabs>
        <w:numPr>
          <w:ilvl w:val="0"/>
          <w:numId w:val="4"/>
        </w:numPr>
        <w:rPr>
          <w:rFonts w:ascii="Arial" w:cs="Arial" w:eastAsia="Arial" w:hAnsi="Arial"/>
          <w:sz w:val="18"/>
          <w:szCs w:val="18"/>
          <w:color w:val="auto"/>
        </w:rPr>
      </w:pPr>
      <w:r>
        <w:rPr>
          <w:rFonts w:ascii="Arial" w:cs="Arial" w:eastAsia="Arial" w:hAnsi="Arial"/>
          <w:sz w:val="18"/>
          <w:szCs w:val="18"/>
          <w:color w:val="auto"/>
        </w:rPr>
        <w:t>Citizenship or Place of Organization Delaware</w:t>
      </w:r>
    </w:p>
    <w:p>
      <w:pPr>
        <w:spacing w:after="0" w:line="89" w:lineRule="exact"/>
        <w:rPr>
          <w:sz w:val="20"/>
          <w:szCs w:val="20"/>
          <w:color w:val="auto"/>
        </w:rPr>
      </w:pPr>
    </w:p>
    <w:tbl>
      <w:tblPr>
        <w:tblLayout w:type="fixed"/>
        <w:tblInd w:w="400" w:type="dxa"/>
        <w:tblCellMar>
          <w:top w:w="0" w:type="dxa"/>
          <w:left w:w="0" w:type="dxa"/>
          <w:bottom w:w="0" w:type="dxa"/>
          <w:right w:w="0" w:type="dxa"/>
        </w:tblCellMar>
      </w:tblPr>
      <w:tr>
        <w:trPr>
          <w:trHeight w:val="216"/>
        </w:trPr>
        <w:tc>
          <w:tcPr>
            <w:tcW w:w="1280" w:type="dxa"/>
            <w:vAlign w:val="bottom"/>
            <w:vMerge w:val="restart"/>
          </w:tcPr>
          <w:p>
            <w:pPr>
              <w:jc w:val="center"/>
              <w:ind w:right="290"/>
              <w:spacing w:after="0"/>
              <w:rPr>
                <w:sz w:val="20"/>
                <w:szCs w:val="20"/>
                <w:color w:val="auto"/>
              </w:rPr>
            </w:pPr>
            <w:r>
              <w:rPr>
                <w:rFonts w:ascii="Arial" w:cs="Arial" w:eastAsia="Arial" w:hAnsi="Arial"/>
                <w:sz w:val="18"/>
                <w:szCs w:val="18"/>
                <w:color w:val="auto"/>
                <w:w w:val="92"/>
              </w:rPr>
              <w:t>Number of</w:t>
            </w:r>
          </w:p>
        </w:tc>
        <w:tc>
          <w:tcPr>
            <w:tcW w:w="520" w:type="dxa"/>
            <w:vAlign w:val="bottom"/>
          </w:tcPr>
          <w:p>
            <w:pPr>
              <w:ind w:left="140"/>
              <w:spacing w:after="0"/>
              <w:rPr>
                <w:sz w:val="20"/>
                <w:szCs w:val="20"/>
                <w:color w:val="auto"/>
              </w:rPr>
            </w:pPr>
            <w:r>
              <w:rPr>
                <w:rFonts w:ascii="Arial" w:cs="Arial" w:eastAsia="Arial" w:hAnsi="Arial"/>
                <w:sz w:val="18"/>
                <w:szCs w:val="18"/>
                <w:color w:val="auto"/>
              </w:rPr>
              <w:t>7.</w:t>
            </w:r>
          </w:p>
        </w:tc>
        <w:tc>
          <w:tcPr>
            <w:tcW w:w="9020" w:type="dxa"/>
            <w:vAlign w:val="bottom"/>
          </w:tcPr>
          <w:p>
            <w:pPr>
              <w:ind w:left="16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03"/>
        </w:trPr>
        <w:tc>
          <w:tcPr>
            <w:tcW w:w="1280" w:type="dxa"/>
            <w:vAlign w:val="bottom"/>
            <w:vMerge w:val="continue"/>
          </w:tcPr>
          <w:p>
            <w:pPr>
              <w:spacing w:after="0"/>
              <w:rPr>
                <w:sz w:val="17"/>
                <w:szCs w:val="17"/>
                <w:color w:val="auto"/>
              </w:rPr>
            </w:pPr>
          </w:p>
        </w:tc>
        <w:tc>
          <w:tcPr>
            <w:tcW w:w="520" w:type="dxa"/>
            <w:vAlign w:val="bottom"/>
          </w:tcPr>
          <w:p>
            <w:pPr>
              <w:spacing w:after="0"/>
              <w:rPr>
                <w:sz w:val="17"/>
                <w:szCs w:val="17"/>
                <w:color w:val="auto"/>
              </w:rPr>
            </w:pPr>
          </w:p>
        </w:tc>
        <w:tc>
          <w:tcPr>
            <w:tcW w:w="9020" w:type="dxa"/>
            <w:vAlign w:val="bottom"/>
          </w:tcPr>
          <w:p>
            <w:pPr>
              <w:ind w:left="160"/>
              <w:spacing w:after="0" w:line="202" w:lineRule="exact"/>
              <w:rPr>
                <w:sz w:val="20"/>
                <w:szCs w:val="20"/>
                <w:color w:val="auto"/>
              </w:rPr>
            </w:pPr>
            <w:r>
              <w:rPr>
                <w:rFonts w:ascii="Arial" w:cs="Arial" w:eastAsia="Arial" w:hAnsi="Arial"/>
                <w:sz w:val="18"/>
                <w:szCs w:val="18"/>
                <w:color w:val="auto"/>
              </w:rPr>
              <w:t>21,124,870 shares</w:t>
            </w:r>
          </w:p>
        </w:tc>
        <w:tc>
          <w:tcPr>
            <w:tcW w:w="0" w:type="dxa"/>
            <w:vAlign w:val="bottom"/>
          </w:tcPr>
          <w:p>
            <w:pPr>
              <w:spacing w:after="0"/>
              <w:rPr>
                <w:sz w:val="1"/>
                <w:szCs w:val="1"/>
                <w:color w:val="auto"/>
              </w:rPr>
            </w:pPr>
          </w:p>
        </w:tc>
      </w:tr>
      <w:tr>
        <w:trPr>
          <w:trHeight w:val="89"/>
        </w:trPr>
        <w:tc>
          <w:tcPr>
            <w:tcW w:w="1280" w:type="dxa"/>
            <w:vAlign w:val="bottom"/>
            <w:vMerge w:val="restart"/>
          </w:tcPr>
          <w:p>
            <w:pPr>
              <w:jc w:val="center"/>
              <w:ind w:right="310"/>
              <w:spacing w:after="0"/>
              <w:rPr>
                <w:sz w:val="20"/>
                <w:szCs w:val="20"/>
                <w:color w:val="auto"/>
              </w:rPr>
            </w:pPr>
            <w:r>
              <w:rPr>
                <w:rFonts w:ascii="Arial" w:cs="Arial" w:eastAsia="Arial" w:hAnsi="Arial"/>
                <w:sz w:val="18"/>
                <w:szCs w:val="18"/>
                <w:color w:val="auto"/>
                <w:w w:val="84"/>
              </w:rPr>
              <w:t>Shares</w:t>
            </w:r>
          </w:p>
        </w:tc>
        <w:tc>
          <w:tcPr>
            <w:tcW w:w="520" w:type="dxa"/>
            <w:vAlign w:val="bottom"/>
            <w:tcBorders>
              <w:bottom w:val="single" w:sz="8" w:color="auto"/>
            </w:tcBorders>
          </w:tcPr>
          <w:p>
            <w:pPr>
              <w:spacing w:after="0"/>
              <w:rPr>
                <w:sz w:val="7"/>
                <w:szCs w:val="7"/>
                <w:color w:val="auto"/>
              </w:rPr>
            </w:pPr>
          </w:p>
        </w:tc>
        <w:tc>
          <w:tcPr>
            <w:tcW w:w="902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07"/>
        </w:trPr>
        <w:tc>
          <w:tcPr>
            <w:tcW w:w="1280" w:type="dxa"/>
            <w:vAlign w:val="bottom"/>
            <w:vMerge w:val="continue"/>
          </w:tcPr>
          <w:p>
            <w:pPr>
              <w:spacing w:after="0"/>
              <w:rPr>
                <w:sz w:val="9"/>
                <w:szCs w:val="9"/>
                <w:color w:val="auto"/>
              </w:rPr>
            </w:pPr>
          </w:p>
        </w:tc>
        <w:tc>
          <w:tcPr>
            <w:tcW w:w="520" w:type="dxa"/>
            <w:vAlign w:val="bottom"/>
            <w:vMerge w:val="restart"/>
          </w:tcPr>
          <w:p>
            <w:pPr>
              <w:ind w:left="140"/>
              <w:spacing w:after="0"/>
              <w:rPr>
                <w:sz w:val="20"/>
                <w:szCs w:val="20"/>
                <w:color w:val="auto"/>
              </w:rPr>
            </w:pPr>
            <w:r>
              <w:rPr>
                <w:rFonts w:ascii="Arial" w:cs="Arial" w:eastAsia="Arial" w:hAnsi="Arial"/>
                <w:sz w:val="18"/>
                <w:szCs w:val="18"/>
                <w:color w:val="auto"/>
              </w:rPr>
              <w:t>8.</w:t>
            </w:r>
          </w:p>
        </w:tc>
        <w:tc>
          <w:tcPr>
            <w:tcW w:w="9020" w:type="dxa"/>
            <w:vAlign w:val="bottom"/>
            <w:vMerge w:val="restart"/>
          </w:tcPr>
          <w:p>
            <w:pPr>
              <w:ind w:left="1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48"/>
        </w:trPr>
        <w:tc>
          <w:tcPr>
            <w:tcW w:w="1280" w:type="dxa"/>
            <w:vAlign w:val="bottom"/>
            <w:vMerge w:val="restart"/>
          </w:tcPr>
          <w:p>
            <w:pPr>
              <w:jc w:val="center"/>
              <w:ind w:right="310"/>
              <w:spacing w:after="0"/>
              <w:rPr>
                <w:sz w:val="20"/>
                <w:szCs w:val="20"/>
                <w:color w:val="auto"/>
              </w:rPr>
            </w:pPr>
            <w:r>
              <w:rPr>
                <w:rFonts w:ascii="Arial" w:cs="Arial" w:eastAsia="Arial" w:hAnsi="Arial"/>
                <w:sz w:val="18"/>
                <w:szCs w:val="18"/>
                <w:color w:val="auto"/>
                <w:w w:val="96"/>
              </w:rPr>
              <w:t>Beneficially</w:t>
            </w:r>
          </w:p>
        </w:tc>
        <w:tc>
          <w:tcPr>
            <w:tcW w:w="520" w:type="dxa"/>
            <w:vAlign w:val="bottom"/>
            <w:vMerge w:val="continue"/>
          </w:tcPr>
          <w:p>
            <w:pPr>
              <w:spacing w:after="0"/>
              <w:rPr>
                <w:sz w:val="12"/>
                <w:szCs w:val="12"/>
                <w:color w:val="auto"/>
              </w:rPr>
            </w:pPr>
          </w:p>
        </w:tc>
        <w:tc>
          <w:tcPr>
            <w:tcW w:w="90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128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9020" w:type="dxa"/>
            <w:vAlign w:val="bottom"/>
            <w:vMerge w:val="restart"/>
          </w:tcPr>
          <w:p>
            <w:pPr>
              <w:ind w:left="160"/>
              <w:spacing w:after="0"/>
              <w:rPr>
                <w:sz w:val="20"/>
                <w:szCs w:val="20"/>
                <w:color w:val="auto"/>
              </w:rPr>
            </w:pPr>
            <w:r>
              <w:rPr>
                <w:rFonts w:ascii="Arial" w:cs="Arial" w:eastAsia="Arial" w:hAnsi="Arial"/>
                <w:sz w:val="18"/>
                <w:szCs w:val="18"/>
                <w:color w:val="auto"/>
              </w:rPr>
              <w:t>0 shares</w:t>
            </w:r>
          </w:p>
        </w:tc>
        <w:tc>
          <w:tcPr>
            <w:tcW w:w="0" w:type="dxa"/>
            <w:vAlign w:val="bottom"/>
          </w:tcPr>
          <w:p>
            <w:pPr>
              <w:spacing w:after="0"/>
              <w:rPr>
                <w:sz w:val="1"/>
                <w:szCs w:val="1"/>
                <w:color w:val="auto"/>
              </w:rPr>
            </w:pPr>
          </w:p>
        </w:tc>
      </w:tr>
      <w:tr>
        <w:trPr>
          <w:trHeight w:val="163"/>
        </w:trPr>
        <w:tc>
          <w:tcPr>
            <w:tcW w:w="1280" w:type="dxa"/>
            <w:vAlign w:val="bottom"/>
            <w:vMerge w:val="restart"/>
          </w:tcPr>
          <w:p>
            <w:pPr>
              <w:jc w:val="center"/>
              <w:ind w:right="290"/>
              <w:spacing w:after="0"/>
              <w:rPr>
                <w:sz w:val="20"/>
                <w:szCs w:val="20"/>
                <w:color w:val="auto"/>
              </w:rPr>
            </w:pPr>
            <w:r>
              <w:rPr>
                <w:rFonts w:ascii="Arial" w:cs="Arial" w:eastAsia="Arial" w:hAnsi="Arial"/>
                <w:sz w:val="18"/>
                <w:szCs w:val="18"/>
                <w:color w:val="auto"/>
                <w:w w:val="91"/>
              </w:rPr>
              <w:t>Owned by</w:t>
            </w:r>
          </w:p>
        </w:tc>
        <w:tc>
          <w:tcPr>
            <w:tcW w:w="520" w:type="dxa"/>
            <w:vAlign w:val="bottom"/>
          </w:tcPr>
          <w:p>
            <w:pPr>
              <w:spacing w:after="0"/>
              <w:rPr>
                <w:sz w:val="14"/>
                <w:szCs w:val="14"/>
                <w:color w:val="auto"/>
              </w:rPr>
            </w:pPr>
          </w:p>
        </w:tc>
        <w:tc>
          <w:tcPr>
            <w:tcW w:w="9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61"/>
        </w:trPr>
        <w:tc>
          <w:tcPr>
            <w:tcW w:w="1280" w:type="dxa"/>
            <w:vAlign w:val="bottom"/>
            <w:vMerge w:val="continue"/>
          </w:tcPr>
          <w:p>
            <w:pPr>
              <w:spacing w:after="0"/>
              <w:rPr>
                <w:sz w:val="5"/>
                <w:szCs w:val="5"/>
                <w:color w:val="auto"/>
              </w:rPr>
            </w:pPr>
          </w:p>
        </w:tc>
        <w:tc>
          <w:tcPr>
            <w:tcW w:w="520" w:type="dxa"/>
            <w:vAlign w:val="bottom"/>
            <w:tcBorders>
              <w:bottom w:val="single" w:sz="8" w:color="auto"/>
            </w:tcBorders>
          </w:tcPr>
          <w:p>
            <w:pPr>
              <w:spacing w:after="0"/>
              <w:rPr>
                <w:sz w:val="5"/>
                <w:szCs w:val="5"/>
                <w:color w:val="auto"/>
              </w:rPr>
            </w:pPr>
          </w:p>
        </w:tc>
        <w:tc>
          <w:tcPr>
            <w:tcW w:w="90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88"/>
        </w:trPr>
        <w:tc>
          <w:tcPr>
            <w:tcW w:w="1280" w:type="dxa"/>
            <w:vAlign w:val="bottom"/>
          </w:tcPr>
          <w:p>
            <w:pPr>
              <w:jc w:val="center"/>
              <w:ind w:right="310"/>
              <w:spacing w:after="0" w:line="189" w:lineRule="exact"/>
              <w:rPr>
                <w:sz w:val="20"/>
                <w:szCs w:val="20"/>
                <w:color w:val="auto"/>
              </w:rPr>
            </w:pPr>
            <w:r>
              <w:rPr>
                <w:rFonts w:ascii="Arial" w:cs="Arial" w:eastAsia="Arial" w:hAnsi="Arial"/>
                <w:sz w:val="18"/>
                <w:szCs w:val="18"/>
                <w:color w:val="auto"/>
                <w:w w:val="87"/>
              </w:rPr>
              <w:t>Each</w:t>
            </w:r>
          </w:p>
        </w:tc>
        <w:tc>
          <w:tcPr>
            <w:tcW w:w="520" w:type="dxa"/>
            <w:vAlign w:val="bottom"/>
            <w:vMerge w:val="restart"/>
          </w:tcPr>
          <w:p>
            <w:pPr>
              <w:ind w:left="140"/>
              <w:spacing w:after="0"/>
              <w:rPr>
                <w:sz w:val="20"/>
                <w:szCs w:val="20"/>
                <w:color w:val="auto"/>
              </w:rPr>
            </w:pPr>
            <w:r>
              <w:rPr>
                <w:rFonts w:ascii="Arial" w:cs="Arial" w:eastAsia="Arial" w:hAnsi="Arial"/>
                <w:sz w:val="18"/>
                <w:szCs w:val="18"/>
                <w:color w:val="auto"/>
              </w:rPr>
              <w:t>9.</w:t>
            </w:r>
          </w:p>
        </w:tc>
        <w:tc>
          <w:tcPr>
            <w:tcW w:w="9020" w:type="dxa"/>
            <w:vAlign w:val="bottom"/>
            <w:vMerge w:val="restart"/>
          </w:tcPr>
          <w:p>
            <w:pPr>
              <w:ind w:left="16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68"/>
        </w:trPr>
        <w:tc>
          <w:tcPr>
            <w:tcW w:w="1280" w:type="dxa"/>
            <w:vAlign w:val="bottom"/>
            <w:vMerge w:val="restart"/>
          </w:tcPr>
          <w:p>
            <w:pPr>
              <w:jc w:val="center"/>
              <w:ind w:right="310"/>
              <w:spacing w:after="0"/>
              <w:rPr>
                <w:sz w:val="20"/>
                <w:szCs w:val="20"/>
                <w:color w:val="auto"/>
              </w:rPr>
            </w:pPr>
            <w:r>
              <w:rPr>
                <w:rFonts w:ascii="Arial" w:cs="Arial" w:eastAsia="Arial" w:hAnsi="Arial"/>
                <w:sz w:val="18"/>
                <w:szCs w:val="18"/>
                <w:color w:val="auto"/>
                <w:w w:val="92"/>
              </w:rPr>
              <w:t>Reporting</w:t>
            </w:r>
          </w:p>
        </w:tc>
        <w:tc>
          <w:tcPr>
            <w:tcW w:w="520" w:type="dxa"/>
            <w:vAlign w:val="bottom"/>
            <w:vMerge w:val="continue"/>
          </w:tcPr>
          <w:p>
            <w:pPr>
              <w:spacing w:after="0"/>
              <w:rPr>
                <w:sz w:val="5"/>
                <w:szCs w:val="5"/>
                <w:color w:val="auto"/>
              </w:rPr>
            </w:pPr>
          </w:p>
        </w:tc>
        <w:tc>
          <w:tcPr>
            <w:tcW w:w="90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48"/>
        </w:trPr>
        <w:tc>
          <w:tcPr>
            <w:tcW w:w="1280" w:type="dxa"/>
            <w:vAlign w:val="bottom"/>
            <w:vMerge w:val="continue"/>
          </w:tcPr>
          <w:p>
            <w:pPr>
              <w:spacing w:after="0"/>
              <w:rPr>
                <w:sz w:val="12"/>
                <w:szCs w:val="12"/>
                <w:color w:val="auto"/>
              </w:rPr>
            </w:pPr>
          </w:p>
        </w:tc>
        <w:tc>
          <w:tcPr>
            <w:tcW w:w="520" w:type="dxa"/>
            <w:vAlign w:val="bottom"/>
          </w:tcPr>
          <w:p>
            <w:pPr>
              <w:spacing w:after="0"/>
              <w:rPr>
                <w:sz w:val="12"/>
                <w:szCs w:val="12"/>
                <w:color w:val="auto"/>
              </w:rPr>
            </w:pPr>
          </w:p>
        </w:tc>
        <w:tc>
          <w:tcPr>
            <w:tcW w:w="9020" w:type="dxa"/>
            <w:vAlign w:val="bottom"/>
            <w:vMerge w:val="restart"/>
          </w:tcPr>
          <w:p>
            <w:pPr>
              <w:ind w:left="160"/>
              <w:spacing w:after="0"/>
              <w:rPr>
                <w:sz w:val="20"/>
                <w:szCs w:val="20"/>
                <w:color w:val="auto"/>
              </w:rPr>
            </w:pPr>
            <w:r>
              <w:rPr>
                <w:rFonts w:ascii="Arial" w:cs="Arial" w:eastAsia="Arial" w:hAnsi="Arial"/>
                <w:sz w:val="18"/>
                <w:szCs w:val="18"/>
                <w:color w:val="auto"/>
              </w:rPr>
              <w:t>21,124,870 shares</w:t>
            </w:r>
          </w:p>
        </w:tc>
        <w:tc>
          <w:tcPr>
            <w:tcW w:w="0" w:type="dxa"/>
            <w:vAlign w:val="bottom"/>
          </w:tcPr>
          <w:p>
            <w:pPr>
              <w:spacing w:after="0"/>
              <w:rPr>
                <w:sz w:val="1"/>
                <w:szCs w:val="1"/>
                <w:color w:val="auto"/>
              </w:rPr>
            </w:pPr>
          </w:p>
        </w:tc>
      </w:tr>
      <w:tr>
        <w:trPr>
          <w:trHeight w:val="82"/>
        </w:trPr>
        <w:tc>
          <w:tcPr>
            <w:tcW w:w="1280" w:type="dxa"/>
            <w:vAlign w:val="bottom"/>
            <w:vMerge w:val="restart"/>
          </w:tcPr>
          <w:p>
            <w:pPr>
              <w:jc w:val="center"/>
              <w:ind w:right="310"/>
              <w:spacing w:after="0"/>
              <w:rPr>
                <w:sz w:val="20"/>
                <w:szCs w:val="20"/>
                <w:color w:val="auto"/>
              </w:rPr>
            </w:pPr>
            <w:r>
              <w:rPr>
                <w:rFonts w:ascii="Arial" w:cs="Arial" w:eastAsia="Arial" w:hAnsi="Arial"/>
                <w:sz w:val="18"/>
                <w:szCs w:val="18"/>
                <w:color w:val="auto"/>
                <w:w w:val="84"/>
              </w:rPr>
              <w:t>Person</w:t>
            </w:r>
          </w:p>
        </w:tc>
        <w:tc>
          <w:tcPr>
            <w:tcW w:w="520" w:type="dxa"/>
            <w:vAlign w:val="bottom"/>
          </w:tcPr>
          <w:p>
            <w:pPr>
              <w:spacing w:after="0"/>
              <w:rPr>
                <w:sz w:val="7"/>
                <w:szCs w:val="7"/>
                <w:color w:val="auto"/>
              </w:rPr>
            </w:pPr>
          </w:p>
        </w:tc>
        <w:tc>
          <w:tcPr>
            <w:tcW w:w="90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61"/>
        </w:trPr>
        <w:tc>
          <w:tcPr>
            <w:tcW w:w="1280" w:type="dxa"/>
            <w:vAlign w:val="bottom"/>
            <w:vMerge w:val="continue"/>
          </w:tcPr>
          <w:p>
            <w:pPr>
              <w:spacing w:after="0"/>
              <w:rPr>
                <w:sz w:val="5"/>
                <w:szCs w:val="5"/>
                <w:color w:val="auto"/>
              </w:rPr>
            </w:pPr>
          </w:p>
        </w:tc>
        <w:tc>
          <w:tcPr>
            <w:tcW w:w="520" w:type="dxa"/>
            <w:vAlign w:val="bottom"/>
            <w:tcBorders>
              <w:bottom w:val="single" w:sz="8" w:color="auto"/>
            </w:tcBorders>
          </w:tcPr>
          <w:p>
            <w:pPr>
              <w:spacing w:after="0"/>
              <w:rPr>
                <w:sz w:val="5"/>
                <w:szCs w:val="5"/>
                <w:color w:val="auto"/>
              </w:rPr>
            </w:pPr>
          </w:p>
        </w:tc>
        <w:tc>
          <w:tcPr>
            <w:tcW w:w="90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53"/>
        </w:trPr>
        <w:tc>
          <w:tcPr>
            <w:tcW w:w="1280" w:type="dxa"/>
            <w:vAlign w:val="bottom"/>
            <w:vMerge w:val="continue"/>
          </w:tcPr>
          <w:p>
            <w:pPr>
              <w:spacing w:after="0"/>
              <w:rPr>
                <w:sz w:val="4"/>
                <w:szCs w:val="4"/>
                <w:color w:val="auto"/>
              </w:rPr>
            </w:pPr>
          </w:p>
        </w:tc>
        <w:tc>
          <w:tcPr>
            <w:tcW w:w="520" w:type="dxa"/>
            <w:vAlign w:val="bottom"/>
            <w:vMerge w:val="restart"/>
          </w:tcPr>
          <w:p>
            <w:pPr>
              <w:ind w:left="140"/>
              <w:spacing w:after="0"/>
              <w:rPr>
                <w:sz w:val="20"/>
                <w:szCs w:val="20"/>
                <w:color w:val="auto"/>
              </w:rPr>
            </w:pPr>
            <w:r>
              <w:rPr>
                <w:rFonts w:ascii="Arial" w:cs="Arial" w:eastAsia="Arial" w:hAnsi="Arial"/>
                <w:sz w:val="18"/>
                <w:szCs w:val="18"/>
                <w:color w:val="auto"/>
              </w:rPr>
              <w:t>10.</w:t>
            </w:r>
          </w:p>
        </w:tc>
        <w:tc>
          <w:tcPr>
            <w:tcW w:w="9020" w:type="dxa"/>
            <w:vAlign w:val="bottom"/>
            <w:vMerge w:val="restart"/>
          </w:tcPr>
          <w:p>
            <w:pPr>
              <w:ind w:left="16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218"/>
        </w:trPr>
        <w:tc>
          <w:tcPr>
            <w:tcW w:w="1280" w:type="dxa"/>
            <w:vAlign w:val="bottom"/>
          </w:tcPr>
          <w:p>
            <w:pPr>
              <w:jc w:val="center"/>
              <w:ind w:right="310"/>
              <w:spacing w:after="0"/>
              <w:rPr>
                <w:sz w:val="20"/>
                <w:szCs w:val="20"/>
                <w:color w:val="auto"/>
              </w:rPr>
            </w:pPr>
            <w:r>
              <w:rPr>
                <w:rFonts w:ascii="Arial" w:cs="Arial" w:eastAsia="Arial" w:hAnsi="Arial"/>
                <w:sz w:val="18"/>
                <w:szCs w:val="18"/>
                <w:color w:val="auto"/>
                <w:w w:val="99"/>
              </w:rPr>
              <w:t>With</w:t>
            </w:r>
          </w:p>
        </w:tc>
        <w:tc>
          <w:tcPr>
            <w:tcW w:w="520" w:type="dxa"/>
            <w:vAlign w:val="bottom"/>
            <w:vMerge w:val="continue"/>
          </w:tcPr>
          <w:p>
            <w:pPr>
              <w:spacing w:after="0"/>
              <w:rPr>
                <w:sz w:val="19"/>
                <w:szCs w:val="19"/>
                <w:color w:val="auto"/>
              </w:rPr>
            </w:pPr>
          </w:p>
        </w:tc>
        <w:tc>
          <w:tcPr>
            <w:tcW w:w="90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bl>
    <w:p>
      <w:pPr>
        <w:ind w:left="2500" w:hanging="132"/>
        <w:spacing w:after="0"/>
        <w:tabs>
          <w:tab w:leader="none" w:pos="2500" w:val="left"/>
        </w:tabs>
        <w:numPr>
          <w:ilvl w:val="1"/>
          <w:numId w:val="5"/>
        </w:numPr>
        <w:rPr>
          <w:rFonts w:ascii="Arial" w:cs="Arial" w:eastAsia="Arial" w:hAnsi="Arial"/>
          <w:sz w:val="18"/>
          <w:szCs w:val="18"/>
          <w:color w:val="auto"/>
        </w:rPr>
      </w:pPr>
      <w:r>
        <w:rPr>
          <w:rFonts w:ascii="Arial" w:cs="Arial" w:eastAsia="Arial" w:hAnsi="Arial"/>
          <w:sz w:val="18"/>
          <w:szCs w:val="18"/>
          <w:color w:val="auto"/>
        </w:rPr>
        <w:t>shares</w:t>
      </w:r>
    </w:p>
    <w:p>
      <w:pPr>
        <w:spacing w:after="0" w:line="128" w:lineRule="exact"/>
        <w:rPr>
          <w:rFonts w:ascii="Arial" w:cs="Arial" w:eastAsia="Arial" w:hAnsi="Arial"/>
          <w:sz w:val="18"/>
          <w:szCs w:val="18"/>
          <w:color w:val="auto"/>
        </w:rPr>
      </w:pPr>
    </w:p>
    <w:p>
      <w:pPr>
        <w:ind w:left="580" w:right="5840" w:hanging="414"/>
        <w:spacing w:after="0" w:line="277" w:lineRule="auto"/>
        <w:tabs>
          <w:tab w:leader="none" w:pos="580" w:val="left"/>
        </w:tabs>
        <w:numPr>
          <w:ilvl w:val="0"/>
          <w:numId w:val="5"/>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21,124,870 shares</w:t>
      </w:r>
    </w:p>
    <w:p>
      <w:pPr>
        <w:spacing w:after="0" w:line="89" w:lineRule="exact"/>
        <w:rPr>
          <w:rFonts w:ascii="Arial" w:cs="Arial" w:eastAsia="Arial" w:hAnsi="Arial"/>
          <w:sz w:val="18"/>
          <w:szCs w:val="18"/>
          <w:color w:val="auto"/>
        </w:rPr>
      </w:pPr>
    </w:p>
    <w:p>
      <w:pPr>
        <w:ind w:left="580" w:hanging="414"/>
        <w:spacing w:after="0"/>
        <w:tabs>
          <w:tab w:leader="none" w:pos="580" w:val="left"/>
        </w:tabs>
        <w:numPr>
          <w:ilvl w:val="0"/>
          <w:numId w:val="5"/>
        </w:numPr>
        <w:rPr>
          <w:rFonts w:ascii="Arial" w:cs="Arial" w:eastAsia="Arial" w:hAnsi="Arial"/>
          <w:sz w:val="18"/>
          <w:szCs w:val="18"/>
          <w:color w:val="auto"/>
        </w:rPr>
      </w:pPr>
      <w:r>
        <w:rPr>
          <w:rFonts w:ascii="Arial" w:cs="Arial" w:eastAsia="Arial" w:hAnsi="Arial"/>
          <w:sz w:val="18"/>
          <w:szCs w:val="18"/>
          <w:color w:val="auto"/>
        </w:rPr>
        <w:t>Check if the Aggregate Amount in Row (11) Excludes Certain Shares (See Instructions)</w:t>
      </w:r>
    </w:p>
    <w:p>
      <w:pPr>
        <w:spacing w:after="0" w:line="144" w:lineRule="exact"/>
        <w:rPr>
          <w:rFonts w:ascii="Arial" w:cs="Arial" w:eastAsia="Arial" w:hAnsi="Arial"/>
          <w:sz w:val="18"/>
          <w:szCs w:val="18"/>
          <w:color w:val="auto"/>
        </w:rPr>
      </w:pPr>
    </w:p>
    <w:p>
      <w:pPr>
        <w:ind w:left="580" w:right="6780" w:hanging="414"/>
        <w:spacing w:after="0" w:line="277" w:lineRule="auto"/>
        <w:tabs>
          <w:tab w:leader="none" w:pos="580" w:val="left"/>
        </w:tabs>
        <w:numPr>
          <w:ilvl w:val="0"/>
          <w:numId w:val="5"/>
        </w:numPr>
        <w:rPr>
          <w:rFonts w:ascii="Arial" w:cs="Arial" w:eastAsia="Arial" w:hAnsi="Arial"/>
          <w:sz w:val="18"/>
          <w:szCs w:val="18"/>
          <w:color w:val="auto"/>
        </w:rPr>
      </w:pPr>
      <w:r>
        <w:rPr>
          <w:rFonts w:ascii="Arial" w:cs="Arial" w:eastAsia="Arial" w:hAnsi="Arial"/>
          <w:sz w:val="18"/>
          <w:szCs w:val="18"/>
          <w:color w:val="auto"/>
        </w:rPr>
        <w:t>Percent of Class Represented by Amount in Row (11) 18.7%</w:t>
      </w:r>
    </w:p>
    <w:p>
      <w:pPr>
        <w:spacing w:after="0" w:line="89" w:lineRule="exact"/>
        <w:rPr>
          <w:rFonts w:ascii="Arial" w:cs="Arial" w:eastAsia="Arial" w:hAnsi="Arial"/>
          <w:sz w:val="18"/>
          <w:szCs w:val="18"/>
          <w:color w:val="auto"/>
        </w:rPr>
      </w:pPr>
    </w:p>
    <w:p>
      <w:pPr>
        <w:ind w:left="580" w:hanging="414"/>
        <w:spacing w:after="0"/>
        <w:tabs>
          <w:tab w:leader="none" w:pos="5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3" w:lineRule="exact"/>
        <w:rPr>
          <w:rFonts w:ascii="Arial" w:cs="Arial" w:eastAsia="Arial" w:hAnsi="Arial"/>
          <w:sz w:val="18"/>
          <w:szCs w:val="18"/>
          <w:color w:val="auto"/>
        </w:rPr>
      </w:pPr>
    </w:p>
    <w:p>
      <w:pPr>
        <w:ind w:left="580"/>
        <w:spacing w:after="0"/>
        <w:rPr>
          <w:rFonts w:ascii="Arial" w:cs="Arial" w:eastAsia="Arial" w:hAnsi="Arial"/>
          <w:sz w:val="18"/>
          <w:szCs w:val="18"/>
          <w:color w:val="auto"/>
        </w:rPr>
      </w:pPr>
      <w:r>
        <w:rPr>
          <w:rFonts w:ascii="Arial" w:cs="Arial" w:eastAsia="Arial" w:hAnsi="Arial"/>
          <w:sz w:val="18"/>
          <w:szCs w:val="18"/>
          <w:color w:val="auto"/>
        </w:rPr>
        <w:t>OO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485775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40" w:top="904" w:right="339" w:bottom="1440" w:gutter="0" w:footer="0" w:header="0"/>
        </w:sectPr>
      </w:pPr>
    </w:p>
    <w:bookmarkStart w:id="3" w:name="page4"/>
    <w:bookmarkEnd w:id="3"/>
    <w:p>
      <w:pPr>
        <w:spacing w:after="0"/>
        <w:tabs>
          <w:tab w:leader="none" w:pos="5500" w:val="left"/>
          <w:tab w:leader="none" w:pos="9880" w:val="left"/>
        </w:tabs>
        <w:rPr>
          <w:sz w:val="20"/>
          <w:szCs w:val="20"/>
          <w:color w:val="auto"/>
        </w:rPr>
      </w:pPr>
      <w:r>
        <w:rPr>
          <w:rFonts w:ascii="Arial" w:cs="Arial" w:eastAsia="Arial" w:hAnsi="Arial"/>
          <w:sz w:val="18"/>
          <w:szCs w:val="18"/>
          <w:b w:val="1"/>
          <w:bCs w:val="1"/>
          <w:color w:val="auto"/>
        </w:rPr>
        <w:t>CUSIP No</w:t>
      </w:r>
      <w:r>
        <w:rPr>
          <w:rFonts w:ascii="Arial" w:cs="Arial" w:eastAsia="Arial" w:hAnsi="Arial"/>
          <w:sz w:val="18"/>
          <w:szCs w:val="18"/>
          <w:color w:val="auto"/>
        </w:rPr>
        <w:t>.</w:t>
      </w:r>
      <w:r>
        <w:rPr>
          <w:rFonts w:ascii="Arial" w:cs="Arial" w:eastAsia="Arial" w:hAnsi="Arial"/>
          <w:sz w:val="18"/>
          <w:szCs w:val="18"/>
          <w:b w:val="1"/>
          <w:bCs w:val="1"/>
          <w:color w:val="auto"/>
        </w:rPr>
        <w:t xml:space="preserve"> 816212104</w:t>
      </w:r>
      <w:r>
        <w:rPr>
          <w:sz w:val="20"/>
          <w:szCs w:val="20"/>
          <w:color w:val="auto"/>
        </w:rPr>
        <w:tab/>
      </w:r>
      <w:r>
        <w:rPr>
          <w:rFonts w:ascii="Arial" w:cs="Arial" w:eastAsia="Arial" w:hAnsi="Arial"/>
          <w:sz w:val="18"/>
          <w:szCs w:val="18"/>
          <w:b w:val="1"/>
          <w:bCs w:val="1"/>
          <w:color w:val="auto"/>
        </w:rPr>
        <w:t>13D</w:t>
      </w:r>
      <w:r>
        <w:rPr>
          <w:sz w:val="20"/>
          <w:szCs w:val="20"/>
          <w:color w:val="auto"/>
        </w:rPr>
        <w:tab/>
      </w:r>
      <w:r>
        <w:rPr>
          <w:rFonts w:ascii="Arial" w:cs="Arial" w:eastAsia="Arial" w:hAnsi="Arial"/>
          <w:sz w:val="15"/>
          <w:szCs w:val="15"/>
          <w:b w:val="1"/>
          <w:bCs w:val="1"/>
          <w:color w:val="auto"/>
        </w:rPr>
        <w:t>Page 4 of 7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154305</wp:posOffset>
            </wp:positionV>
            <wp:extent cx="7132320" cy="464629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4646295"/>
                    </a:xfrm>
                    <a:prstGeom prst="rect">
                      <a:avLst/>
                    </a:prstGeom>
                    <a:noFill/>
                  </pic:spPr>
                </pic:pic>
              </a:graphicData>
            </a:graphic>
          </wp:anchor>
        </w:drawing>
      </w:r>
    </w:p>
    <w:p>
      <w:pPr>
        <w:spacing w:after="0" w:line="290" w:lineRule="exact"/>
        <w:rPr>
          <w:sz w:val="20"/>
          <w:szCs w:val="20"/>
          <w:color w:val="auto"/>
        </w:rPr>
      </w:pPr>
    </w:p>
    <w:p>
      <w:pPr>
        <w:ind w:left="580" w:right="8540" w:hanging="414"/>
        <w:spacing w:after="0" w:line="277" w:lineRule="auto"/>
        <w:tabs>
          <w:tab w:leader="none" w:pos="580" w:val="left"/>
        </w:tabs>
        <w:numPr>
          <w:ilvl w:val="0"/>
          <w:numId w:val="6"/>
        </w:numPr>
        <w:rPr>
          <w:rFonts w:ascii="Arial" w:cs="Arial" w:eastAsia="Arial" w:hAnsi="Arial"/>
          <w:sz w:val="18"/>
          <w:szCs w:val="18"/>
          <w:color w:val="auto"/>
        </w:rPr>
      </w:pPr>
      <w:r>
        <w:rPr>
          <w:rFonts w:ascii="Arial" w:cs="Arial" w:eastAsia="Arial" w:hAnsi="Arial"/>
          <w:sz w:val="18"/>
          <w:szCs w:val="18"/>
          <w:color w:val="auto"/>
        </w:rPr>
        <w:t>Names of Reporting Persons. Chafen Lu</w:t>
      </w:r>
    </w:p>
    <w:p>
      <w:pPr>
        <w:spacing w:after="0" w:line="89" w:lineRule="exact"/>
        <w:rPr>
          <w:rFonts w:ascii="Arial" w:cs="Arial" w:eastAsia="Arial" w:hAnsi="Arial"/>
          <w:sz w:val="18"/>
          <w:szCs w:val="18"/>
          <w:color w:val="auto"/>
        </w:rPr>
      </w:pPr>
    </w:p>
    <w:p>
      <w:pPr>
        <w:ind w:left="580" w:hanging="414"/>
        <w:spacing w:after="0"/>
        <w:tabs>
          <w:tab w:leader="none" w:pos="580" w:val="left"/>
        </w:tabs>
        <w:numPr>
          <w:ilvl w:val="0"/>
          <w:numId w:val="6"/>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23" w:lineRule="exact"/>
        <w:rPr>
          <w:rFonts w:ascii="Arial" w:cs="Arial" w:eastAsia="Arial" w:hAnsi="Arial"/>
          <w:sz w:val="18"/>
          <w:szCs w:val="18"/>
          <w:color w:val="auto"/>
        </w:rPr>
      </w:pPr>
    </w:p>
    <w:p>
      <w:pPr>
        <w:ind w:left="580"/>
        <w:spacing w:after="0" w:line="207" w:lineRule="exact"/>
        <w:rPr>
          <w:rFonts w:ascii="Arial" w:cs="Arial" w:eastAsia="Arial" w:hAnsi="Arial"/>
          <w:sz w:val="18"/>
          <w:szCs w:val="18"/>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rFonts w:ascii="Arial" w:cs="Arial" w:eastAsia="Arial" w:hAnsi="Arial"/>
          <w:sz w:val="18"/>
          <w:szCs w:val="18"/>
          <w:color w:val="auto"/>
        </w:rPr>
        <w:t xml:space="preserve"> (b) </w:t>
      </w:r>
      <w:r>
        <w:rPr>
          <w:rFonts w:ascii="MS PGothic" w:cs="MS PGothic" w:eastAsia="MS PGothic" w:hAnsi="MS PGothic"/>
          <w:sz w:val="18"/>
          <w:szCs w:val="18"/>
          <w:color w:val="auto"/>
        </w:rPr>
        <w:t>☐</w:t>
      </w:r>
    </w:p>
    <w:p>
      <w:pPr>
        <w:spacing w:after="0" w:line="129" w:lineRule="exact"/>
        <w:rPr>
          <w:rFonts w:ascii="Arial" w:cs="Arial" w:eastAsia="Arial" w:hAnsi="Arial"/>
          <w:sz w:val="18"/>
          <w:szCs w:val="18"/>
          <w:color w:val="auto"/>
        </w:rPr>
      </w:pPr>
    </w:p>
    <w:p>
      <w:pPr>
        <w:ind w:left="580" w:hanging="414"/>
        <w:spacing w:after="0"/>
        <w:tabs>
          <w:tab w:leader="none" w:pos="580" w:val="left"/>
        </w:tabs>
        <w:numPr>
          <w:ilvl w:val="0"/>
          <w:numId w:val="6"/>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144" w:lineRule="exact"/>
        <w:rPr>
          <w:rFonts w:ascii="Arial" w:cs="Arial" w:eastAsia="Arial" w:hAnsi="Arial"/>
          <w:sz w:val="18"/>
          <w:szCs w:val="18"/>
          <w:color w:val="auto"/>
        </w:rPr>
      </w:pPr>
    </w:p>
    <w:p>
      <w:pPr>
        <w:ind w:left="580" w:hanging="414"/>
        <w:spacing w:after="0"/>
        <w:tabs>
          <w:tab w:leader="none" w:pos="580" w:val="left"/>
        </w:tabs>
        <w:numPr>
          <w:ilvl w:val="0"/>
          <w:numId w:val="6"/>
        </w:numPr>
        <w:rPr>
          <w:rFonts w:ascii="Arial" w:cs="Arial" w:eastAsia="Arial" w:hAnsi="Arial"/>
          <w:sz w:val="18"/>
          <w:szCs w:val="18"/>
          <w:color w:val="auto"/>
        </w:rPr>
      </w:pPr>
      <w:r>
        <w:rPr>
          <w:rFonts w:ascii="Arial" w:cs="Arial" w:eastAsia="Arial" w:hAnsi="Arial"/>
          <w:sz w:val="18"/>
          <w:szCs w:val="18"/>
          <w:color w:val="auto"/>
        </w:rPr>
        <w:t>Source of Funds (See Instructions)</w:t>
      </w:r>
    </w:p>
    <w:p>
      <w:pPr>
        <w:spacing w:after="0" w:line="23" w:lineRule="exact"/>
        <w:rPr>
          <w:rFonts w:ascii="Arial" w:cs="Arial" w:eastAsia="Arial" w:hAnsi="Arial"/>
          <w:sz w:val="18"/>
          <w:szCs w:val="18"/>
          <w:color w:val="auto"/>
        </w:rPr>
      </w:pPr>
    </w:p>
    <w:p>
      <w:pPr>
        <w:ind w:left="580"/>
        <w:spacing w:after="0"/>
        <w:rPr>
          <w:rFonts w:ascii="Arial" w:cs="Arial" w:eastAsia="Arial" w:hAnsi="Arial"/>
          <w:sz w:val="18"/>
          <w:szCs w:val="18"/>
          <w:color w:val="auto"/>
        </w:rPr>
      </w:pPr>
      <w:r>
        <w:rPr>
          <w:rFonts w:ascii="Arial" w:cs="Arial" w:eastAsia="Arial" w:hAnsi="Arial"/>
          <w:sz w:val="18"/>
          <w:szCs w:val="18"/>
          <w:color w:val="auto"/>
        </w:rPr>
        <w:t>PF</w:t>
      </w:r>
    </w:p>
    <w:p>
      <w:pPr>
        <w:spacing w:after="0" w:line="129" w:lineRule="exact"/>
        <w:rPr>
          <w:rFonts w:ascii="Arial" w:cs="Arial" w:eastAsia="Arial" w:hAnsi="Arial"/>
          <w:sz w:val="18"/>
          <w:szCs w:val="18"/>
          <w:color w:val="auto"/>
        </w:rPr>
      </w:pPr>
    </w:p>
    <w:p>
      <w:pPr>
        <w:ind w:left="580" w:hanging="414"/>
        <w:spacing w:after="0"/>
        <w:tabs>
          <w:tab w:leader="none" w:pos="580" w:val="left"/>
        </w:tabs>
        <w:numPr>
          <w:ilvl w:val="0"/>
          <w:numId w:val="6"/>
        </w:numPr>
        <w:rPr>
          <w:rFonts w:ascii="Arial" w:cs="Arial" w:eastAsia="Arial" w:hAnsi="Arial"/>
          <w:sz w:val="18"/>
          <w:szCs w:val="18"/>
          <w:color w:val="auto"/>
        </w:rPr>
      </w:pPr>
      <w:r>
        <w:rPr>
          <w:rFonts w:ascii="Arial" w:cs="Arial" w:eastAsia="Arial" w:hAnsi="Arial"/>
          <w:sz w:val="18"/>
          <w:szCs w:val="18"/>
          <w:color w:val="auto"/>
        </w:rPr>
        <w:t>Check if Disclosure of Legal Proceedings Is Required Pursuant to Items 2(d) or 2(e)</w:t>
      </w:r>
    </w:p>
    <w:p>
      <w:pPr>
        <w:spacing w:after="0" w:line="144" w:lineRule="exact"/>
        <w:rPr>
          <w:rFonts w:ascii="Arial" w:cs="Arial" w:eastAsia="Arial" w:hAnsi="Arial"/>
          <w:sz w:val="18"/>
          <w:szCs w:val="18"/>
          <w:color w:val="auto"/>
        </w:rPr>
      </w:pPr>
    </w:p>
    <w:p>
      <w:pPr>
        <w:ind w:left="580" w:right="8020" w:hanging="414"/>
        <w:spacing w:after="0" w:line="277" w:lineRule="auto"/>
        <w:tabs>
          <w:tab w:leader="none" w:pos="580" w:val="left"/>
        </w:tabs>
        <w:numPr>
          <w:ilvl w:val="0"/>
          <w:numId w:val="6"/>
        </w:numPr>
        <w:rPr>
          <w:rFonts w:ascii="Arial" w:cs="Arial" w:eastAsia="Arial" w:hAnsi="Arial"/>
          <w:sz w:val="18"/>
          <w:szCs w:val="18"/>
          <w:color w:val="auto"/>
        </w:rPr>
      </w:pPr>
      <w:r>
        <w:rPr>
          <w:rFonts w:ascii="Arial" w:cs="Arial" w:eastAsia="Arial" w:hAnsi="Arial"/>
          <w:sz w:val="18"/>
          <w:szCs w:val="18"/>
          <w:color w:val="auto"/>
        </w:rPr>
        <w:t>Citizenship or Place of Organization United States</w:t>
      </w:r>
    </w:p>
    <w:p>
      <w:pPr>
        <w:spacing w:after="0" w:line="89" w:lineRule="exact"/>
        <w:rPr>
          <w:sz w:val="20"/>
          <w:szCs w:val="20"/>
          <w:color w:val="auto"/>
        </w:rPr>
      </w:pPr>
    </w:p>
    <w:tbl>
      <w:tblPr>
        <w:tblLayout w:type="fixed"/>
        <w:tblInd w:w="400" w:type="dxa"/>
        <w:tblCellMar>
          <w:top w:w="0" w:type="dxa"/>
          <w:left w:w="0" w:type="dxa"/>
          <w:bottom w:w="0" w:type="dxa"/>
          <w:right w:w="0" w:type="dxa"/>
        </w:tblCellMar>
      </w:tblPr>
      <w:tr>
        <w:trPr>
          <w:trHeight w:val="216"/>
        </w:trPr>
        <w:tc>
          <w:tcPr>
            <w:tcW w:w="1280" w:type="dxa"/>
            <w:vAlign w:val="bottom"/>
            <w:vMerge w:val="restart"/>
          </w:tcPr>
          <w:p>
            <w:pPr>
              <w:jc w:val="center"/>
              <w:ind w:right="290"/>
              <w:spacing w:after="0"/>
              <w:rPr>
                <w:sz w:val="20"/>
                <w:szCs w:val="20"/>
                <w:color w:val="auto"/>
              </w:rPr>
            </w:pPr>
            <w:r>
              <w:rPr>
                <w:rFonts w:ascii="Arial" w:cs="Arial" w:eastAsia="Arial" w:hAnsi="Arial"/>
                <w:sz w:val="18"/>
                <w:szCs w:val="18"/>
                <w:color w:val="auto"/>
                <w:w w:val="92"/>
              </w:rPr>
              <w:t>Number of</w:t>
            </w:r>
          </w:p>
        </w:tc>
        <w:tc>
          <w:tcPr>
            <w:tcW w:w="520" w:type="dxa"/>
            <w:vAlign w:val="bottom"/>
          </w:tcPr>
          <w:p>
            <w:pPr>
              <w:ind w:left="140"/>
              <w:spacing w:after="0"/>
              <w:rPr>
                <w:sz w:val="20"/>
                <w:szCs w:val="20"/>
                <w:color w:val="auto"/>
              </w:rPr>
            </w:pPr>
            <w:r>
              <w:rPr>
                <w:rFonts w:ascii="Arial" w:cs="Arial" w:eastAsia="Arial" w:hAnsi="Arial"/>
                <w:sz w:val="18"/>
                <w:szCs w:val="18"/>
                <w:color w:val="auto"/>
              </w:rPr>
              <w:t>7.</w:t>
            </w:r>
          </w:p>
        </w:tc>
        <w:tc>
          <w:tcPr>
            <w:tcW w:w="9020" w:type="dxa"/>
            <w:vAlign w:val="bottom"/>
          </w:tcPr>
          <w:p>
            <w:pPr>
              <w:ind w:left="16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03"/>
        </w:trPr>
        <w:tc>
          <w:tcPr>
            <w:tcW w:w="1280" w:type="dxa"/>
            <w:vAlign w:val="bottom"/>
            <w:vMerge w:val="continue"/>
          </w:tcPr>
          <w:p>
            <w:pPr>
              <w:spacing w:after="0"/>
              <w:rPr>
                <w:sz w:val="17"/>
                <w:szCs w:val="17"/>
                <w:color w:val="auto"/>
              </w:rPr>
            </w:pPr>
          </w:p>
        </w:tc>
        <w:tc>
          <w:tcPr>
            <w:tcW w:w="520" w:type="dxa"/>
            <w:vAlign w:val="bottom"/>
          </w:tcPr>
          <w:p>
            <w:pPr>
              <w:spacing w:after="0"/>
              <w:rPr>
                <w:sz w:val="17"/>
                <w:szCs w:val="17"/>
                <w:color w:val="auto"/>
              </w:rPr>
            </w:pPr>
          </w:p>
        </w:tc>
        <w:tc>
          <w:tcPr>
            <w:tcW w:w="9020" w:type="dxa"/>
            <w:vAlign w:val="bottom"/>
          </w:tcPr>
          <w:p>
            <w:pPr>
              <w:ind w:left="160"/>
              <w:spacing w:after="0" w:line="202" w:lineRule="exact"/>
              <w:rPr>
                <w:sz w:val="20"/>
                <w:szCs w:val="20"/>
                <w:color w:val="auto"/>
              </w:rPr>
            </w:pPr>
            <w:r>
              <w:rPr>
                <w:rFonts w:ascii="Arial" w:cs="Arial" w:eastAsia="Arial" w:hAnsi="Arial"/>
                <w:sz w:val="18"/>
                <w:szCs w:val="18"/>
                <w:color w:val="auto"/>
              </w:rPr>
              <w:t>86,418 shares</w:t>
            </w:r>
          </w:p>
        </w:tc>
        <w:tc>
          <w:tcPr>
            <w:tcW w:w="0" w:type="dxa"/>
            <w:vAlign w:val="bottom"/>
          </w:tcPr>
          <w:p>
            <w:pPr>
              <w:spacing w:after="0"/>
              <w:rPr>
                <w:sz w:val="1"/>
                <w:szCs w:val="1"/>
                <w:color w:val="auto"/>
              </w:rPr>
            </w:pPr>
          </w:p>
        </w:tc>
      </w:tr>
      <w:tr>
        <w:trPr>
          <w:trHeight w:val="89"/>
        </w:trPr>
        <w:tc>
          <w:tcPr>
            <w:tcW w:w="1280" w:type="dxa"/>
            <w:vAlign w:val="bottom"/>
            <w:vMerge w:val="restart"/>
          </w:tcPr>
          <w:p>
            <w:pPr>
              <w:jc w:val="center"/>
              <w:ind w:right="310"/>
              <w:spacing w:after="0"/>
              <w:rPr>
                <w:sz w:val="20"/>
                <w:szCs w:val="20"/>
                <w:color w:val="auto"/>
              </w:rPr>
            </w:pPr>
            <w:r>
              <w:rPr>
                <w:rFonts w:ascii="Arial" w:cs="Arial" w:eastAsia="Arial" w:hAnsi="Arial"/>
                <w:sz w:val="18"/>
                <w:szCs w:val="18"/>
                <w:color w:val="auto"/>
                <w:w w:val="84"/>
              </w:rPr>
              <w:t>Shares</w:t>
            </w:r>
          </w:p>
        </w:tc>
        <w:tc>
          <w:tcPr>
            <w:tcW w:w="520" w:type="dxa"/>
            <w:vAlign w:val="bottom"/>
            <w:tcBorders>
              <w:bottom w:val="single" w:sz="8" w:color="auto"/>
            </w:tcBorders>
          </w:tcPr>
          <w:p>
            <w:pPr>
              <w:spacing w:after="0"/>
              <w:rPr>
                <w:sz w:val="7"/>
                <w:szCs w:val="7"/>
                <w:color w:val="auto"/>
              </w:rPr>
            </w:pPr>
          </w:p>
        </w:tc>
        <w:tc>
          <w:tcPr>
            <w:tcW w:w="902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07"/>
        </w:trPr>
        <w:tc>
          <w:tcPr>
            <w:tcW w:w="1280" w:type="dxa"/>
            <w:vAlign w:val="bottom"/>
            <w:vMerge w:val="continue"/>
          </w:tcPr>
          <w:p>
            <w:pPr>
              <w:spacing w:after="0"/>
              <w:rPr>
                <w:sz w:val="9"/>
                <w:szCs w:val="9"/>
                <w:color w:val="auto"/>
              </w:rPr>
            </w:pPr>
          </w:p>
        </w:tc>
        <w:tc>
          <w:tcPr>
            <w:tcW w:w="520" w:type="dxa"/>
            <w:vAlign w:val="bottom"/>
            <w:vMerge w:val="restart"/>
          </w:tcPr>
          <w:p>
            <w:pPr>
              <w:ind w:left="140"/>
              <w:spacing w:after="0"/>
              <w:rPr>
                <w:sz w:val="20"/>
                <w:szCs w:val="20"/>
                <w:color w:val="auto"/>
              </w:rPr>
            </w:pPr>
            <w:r>
              <w:rPr>
                <w:rFonts w:ascii="Arial" w:cs="Arial" w:eastAsia="Arial" w:hAnsi="Arial"/>
                <w:sz w:val="18"/>
                <w:szCs w:val="18"/>
                <w:color w:val="auto"/>
              </w:rPr>
              <w:t>8.</w:t>
            </w:r>
          </w:p>
        </w:tc>
        <w:tc>
          <w:tcPr>
            <w:tcW w:w="9020" w:type="dxa"/>
            <w:vAlign w:val="bottom"/>
            <w:vMerge w:val="restart"/>
          </w:tcPr>
          <w:p>
            <w:pPr>
              <w:ind w:left="1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49"/>
        </w:trPr>
        <w:tc>
          <w:tcPr>
            <w:tcW w:w="1280" w:type="dxa"/>
            <w:vAlign w:val="bottom"/>
            <w:vMerge w:val="restart"/>
          </w:tcPr>
          <w:p>
            <w:pPr>
              <w:jc w:val="center"/>
              <w:ind w:right="310"/>
              <w:spacing w:after="0"/>
              <w:rPr>
                <w:sz w:val="20"/>
                <w:szCs w:val="20"/>
                <w:color w:val="auto"/>
              </w:rPr>
            </w:pPr>
            <w:r>
              <w:rPr>
                <w:rFonts w:ascii="Arial" w:cs="Arial" w:eastAsia="Arial" w:hAnsi="Arial"/>
                <w:sz w:val="18"/>
                <w:szCs w:val="18"/>
                <w:color w:val="auto"/>
                <w:w w:val="96"/>
              </w:rPr>
              <w:t>Beneficially</w:t>
            </w:r>
          </w:p>
        </w:tc>
        <w:tc>
          <w:tcPr>
            <w:tcW w:w="520" w:type="dxa"/>
            <w:vAlign w:val="bottom"/>
            <w:vMerge w:val="continue"/>
          </w:tcPr>
          <w:p>
            <w:pPr>
              <w:spacing w:after="0"/>
              <w:rPr>
                <w:sz w:val="12"/>
                <w:szCs w:val="12"/>
                <w:color w:val="auto"/>
              </w:rPr>
            </w:pPr>
          </w:p>
        </w:tc>
        <w:tc>
          <w:tcPr>
            <w:tcW w:w="90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128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9020" w:type="dxa"/>
            <w:vAlign w:val="bottom"/>
            <w:vMerge w:val="restart"/>
          </w:tcPr>
          <w:p>
            <w:pPr>
              <w:ind w:left="160"/>
              <w:spacing w:after="0"/>
              <w:rPr>
                <w:sz w:val="20"/>
                <w:szCs w:val="20"/>
                <w:color w:val="auto"/>
              </w:rPr>
            </w:pPr>
            <w:r>
              <w:rPr>
                <w:rFonts w:ascii="Arial" w:cs="Arial" w:eastAsia="Arial" w:hAnsi="Arial"/>
                <w:sz w:val="18"/>
                <w:szCs w:val="18"/>
                <w:color w:val="auto"/>
              </w:rPr>
              <w:t>0 shares</w:t>
            </w:r>
          </w:p>
        </w:tc>
        <w:tc>
          <w:tcPr>
            <w:tcW w:w="0" w:type="dxa"/>
            <w:vAlign w:val="bottom"/>
          </w:tcPr>
          <w:p>
            <w:pPr>
              <w:spacing w:after="0"/>
              <w:rPr>
                <w:sz w:val="1"/>
                <w:szCs w:val="1"/>
                <w:color w:val="auto"/>
              </w:rPr>
            </w:pPr>
          </w:p>
        </w:tc>
      </w:tr>
      <w:tr>
        <w:trPr>
          <w:trHeight w:val="163"/>
        </w:trPr>
        <w:tc>
          <w:tcPr>
            <w:tcW w:w="1280" w:type="dxa"/>
            <w:vAlign w:val="bottom"/>
            <w:vMerge w:val="restart"/>
          </w:tcPr>
          <w:p>
            <w:pPr>
              <w:jc w:val="center"/>
              <w:ind w:right="290"/>
              <w:spacing w:after="0"/>
              <w:rPr>
                <w:sz w:val="20"/>
                <w:szCs w:val="20"/>
                <w:color w:val="auto"/>
              </w:rPr>
            </w:pPr>
            <w:r>
              <w:rPr>
                <w:rFonts w:ascii="Arial" w:cs="Arial" w:eastAsia="Arial" w:hAnsi="Arial"/>
                <w:sz w:val="18"/>
                <w:szCs w:val="18"/>
                <w:color w:val="auto"/>
                <w:w w:val="91"/>
              </w:rPr>
              <w:t>Owned by</w:t>
            </w:r>
          </w:p>
        </w:tc>
        <w:tc>
          <w:tcPr>
            <w:tcW w:w="520" w:type="dxa"/>
            <w:vAlign w:val="bottom"/>
          </w:tcPr>
          <w:p>
            <w:pPr>
              <w:spacing w:after="0"/>
              <w:rPr>
                <w:sz w:val="14"/>
                <w:szCs w:val="14"/>
                <w:color w:val="auto"/>
              </w:rPr>
            </w:pPr>
          </w:p>
        </w:tc>
        <w:tc>
          <w:tcPr>
            <w:tcW w:w="9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61"/>
        </w:trPr>
        <w:tc>
          <w:tcPr>
            <w:tcW w:w="1280" w:type="dxa"/>
            <w:vAlign w:val="bottom"/>
            <w:vMerge w:val="continue"/>
          </w:tcPr>
          <w:p>
            <w:pPr>
              <w:spacing w:after="0"/>
              <w:rPr>
                <w:sz w:val="5"/>
                <w:szCs w:val="5"/>
                <w:color w:val="auto"/>
              </w:rPr>
            </w:pPr>
          </w:p>
        </w:tc>
        <w:tc>
          <w:tcPr>
            <w:tcW w:w="520" w:type="dxa"/>
            <w:vAlign w:val="bottom"/>
            <w:tcBorders>
              <w:bottom w:val="single" w:sz="8" w:color="auto"/>
            </w:tcBorders>
          </w:tcPr>
          <w:p>
            <w:pPr>
              <w:spacing w:after="0"/>
              <w:rPr>
                <w:sz w:val="5"/>
                <w:szCs w:val="5"/>
                <w:color w:val="auto"/>
              </w:rPr>
            </w:pPr>
          </w:p>
        </w:tc>
        <w:tc>
          <w:tcPr>
            <w:tcW w:w="90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88"/>
        </w:trPr>
        <w:tc>
          <w:tcPr>
            <w:tcW w:w="1280" w:type="dxa"/>
            <w:vAlign w:val="bottom"/>
          </w:tcPr>
          <w:p>
            <w:pPr>
              <w:jc w:val="center"/>
              <w:ind w:right="310"/>
              <w:spacing w:after="0" w:line="189" w:lineRule="exact"/>
              <w:rPr>
                <w:sz w:val="20"/>
                <w:szCs w:val="20"/>
                <w:color w:val="auto"/>
              </w:rPr>
            </w:pPr>
            <w:r>
              <w:rPr>
                <w:rFonts w:ascii="Arial" w:cs="Arial" w:eastAsia="Arial" w:hAnsi="Arial"/>
                <w:sz w:val="18"/>
                <w:szCs w:val="18"/>
                <w:color w:val="auto"/>
                <w:w w:val="87"/>
              </w:rPr>
              <w:t>Each</w:t>
            </w:r>
          </w:p>
        </w:tc>
        <w:tc>
          <w:tcPr>
            <w:tcW w:w="520" w:type="dxa"/>
            <w:vAlign w:val="bottom"/>
            <w:vMerge w:val="restart"/>
          </w:tcPr>
          <w:p>
            <w:pPr>
              <w:ind w:left="140"/>
              <w:spacing w:after="0"/>
              <w:rPr>
                <w:sz w:val="20"/>
                <w:szCs w:val="20"/>
                <w:color w:val="auto"/>
              </w:rPr>
            </w:pPr>
            <w:r>
              <w:rPr>
                <w:rFonts w:ascii="Arial" w:cs="Arial" w:eastAsia="Arial" w:hAnsi="Arial"/>
                <w:sz w:val="18"/>
                <w:szCs w:val="18"/>
                <w:color w:val="auto"/>
              </w:rPr>
              <w:t>9.</w:t>
            </w:r>
          </w:p>
        </w:tc>
        <w:tc>
          <w:tcPr>
            <w:tcW w:w="9020" w:type="dxa"/>
            <w:vAlign w:val="bottom"/>
            <w:vMerge w:val="restart"/>
          </w:tcPr>
          <w:p>
            <w:pPr>
              <w:ind w:left="16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68"/>
        </w:trPr>
        <w:tc>
          <w:tcPr>
            <w:tcW w:w="1280" w:type="dxa"/>
            <w:vAlign w:val="bottom"/>
            <w:vMerge w:val="restart"/>
          </w:tcPr>
          <w:p>
            <w:pPr>
              <w:jc w:val="center"/>
              <w:ind w:right="310"/>
              <w:spacing w:after="0"/>
              <w:rPr>
                <w:sz w:val="20"/>
                <w:szCs w:val="20"/>
                <w:color w:val="auto"/>
              </w:rPr>
            </w:pPr>
            <w:r>
              <w:rPr>
                <w:rFonts w:ascii="Arial" w:cs="Arial" w:eastAsia="Arial" w:hAnsi="Arial"/>
                <w:sz w:val="18"/>
                <w:szCs w:val="18"/>
                <w:color w:val="auto"/>
                <w:w w:val="92"/>
              </w:rPr>
              <w:t>Reporting</w:t>
            </w:r>
          </w:p>
        </w:tc>
        <w:tc>
          <w:tcPr>
            <w:tcW w:w="520" w:type="dxa"/>
            <w:vAlign w:val="bottom"/>
            <w:vMerge w:val="continue"/>
          </w:tcPr>
          <w:p>
            <w:pPr>
              <w:spacing w:after="0"/>
              <w:rPr>
                <w:sz w:val="5"/>
                <w:szCs w:val="5"/>
                <w:color w:val="auto"/>
              </w:rPr>
            </w:pPr>
          </w:p>
        </w:tc>
        <w:tc>
          <w:tcPr>
            <w:tcW w:w="90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48"/>
        </w:trPr>
        <w:tc>
          <w:tcPr>
            <w:tcW w:w="1280" w:type="dxa"/>
            <w:vAlign w:val="bottom"/>
            <w:vMerge w:val="continue"/>
          </w:tcPr>
          <w:p>
            <w:pPr>
              <w:spacing w:after="0"/>
              <w:rPr>
                <w:sz w:val="12"/>
                <w:szCs w:val="12"/>
                <w:color w:val="auto"/>
              </w:rPr>
            </w:pPr>
          </w:p>
        </w:tc>
        <w:tc>
          <w:tcPr>
            <w:tcW w:w="520" w:type="dxa"/>
            <w:vAlign w:val="bottom"/>
          </w:tcPr>
          <w:p>
            <w:pPr>
              <w:spacing w:after="0"/>
              <w:rPr>
                <w:sz w:val="12"/>
                <w:szCs w:val="12"/>
                <w:color w:val="auto"/>
              </w:rPr>
            </w:pPr>
          </w:p>
        </w:tc>
        <w:tc>
          <w:tcPr>
            <w:tcW w:w="9020" w:type="dxa"/>
            <w:vAlign w:val="bottom"/>
            <w:vMerge w:val="restart"/>
          </w:tcPr>
          <w:p>
            <w:pPr>
              <w:ind w:left="160"/>
              <w:spacing w:after="0"/>
              <w:rPr>
                <w:sz w:val="20"/>
                <w:szCs w:val="20"/>
                <w:color w:val="auto"/>
              </w:rPr>
            </w:pPr>
            <w:r>
              <w:rPr>
                <w:rFonts w:ascii="Arial" w:cs="Arial" w:eastAsia="Arial" w:hAnsi="Arial"/>
                <w:sz w:val="18"/>
                <w:szCs w:val="18"/>
                <w:color w:val="auto"/>
              </w:rPr>
              <w:t>86,418 shares</w:t>
            </w:r>
          </w:p>
        </w:tc>
        <w:tc>
          <w:tcPr>
            <w:tcW w:w="0" w:type="dxa"/>
            <w:vAlign w:val="bottom"/>
          </w:tcPr>
          <w:p>
            <w:pPr>
              <w:spacing w:after="0"/>
              <w:rPr>
                <w:sz w:val="1"/>
                <w:szCs w:val="1"/>
                <w:color w:val="auto"/>
              </w:rPr>
            </w:pPr>
          </w:p>
        </w:tc>
      </w:tr>
      <w:tr>
        <w:trPr>
          <w:trHeight w:val="82"/>
        </w:trPr>
        <w:tc>
          <w:tcPr>
            <w:tcW w:w="1280" w:type="dxa"/>
            <w:vAlign w:val="bottom"/>
            <w:vMerge w:val="restart"/>
          </w:tcPr>
          <w:p>
            <w:pPr>
              <w:jc w:val="center"/>
              <w:ind w:right="310"/>
              <w:spacing w:after="0"/>
              <w:rPr>
                <w:sz w:val="20"/>
                <w:szCs w:val="20"/>
                <w:color w:val="auto"/>
              </w:rPr>
            </w:pPr>
            <w:r>
              <w:rPr>
                <w:rFonts w:ascii="Arial" w:cs="Arial" w:eastAsia="Arial" w:hAnsi="Arial"/>
                <w:sz w:val="18"/>
                <w:szCs w:val="18"/>
                <w:color w:val="auto"/>
                <w:w w:val="84"/>
              </w:rPr>
              <w:t>Person</w:t>
            </w:r>
          </w:p>
        </w:tc>
        <w:tc>
          <w:tcPr>
            <w:tcW w:w="520" w:type="dxa"/>
            <w:vAlign w:val="bottom"/>
          </w:tcPr>
          <w:p>
            <w:pPr>
              <w:spacing w:after="0"/>
              <w:rPr>
                <w:sz w:val="7"/>
                <w:szCs w:val="7"/>
                <w:color w:val="auto"/>
              </w:rPr>
            </w:pPr>
          </w:p>
        </w:tc>
        <w:tc>
          <w:tcPr>
            <w:tcW w:w="90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61"/>
        </w:trPr>
        <w:tc>
          <w:tcPr>
            <w:tcW w:w="1280" w:type="dxa"/>
            <w:vAlign w:val="bottom"/>
            <w:vMerge w:val="continue"/>
          </w:tcPr>
          <w:p>
            <w:pPr>
              <w:spacing w:after="0"/>
              <w:rPr>
                <w:sz w:val="5"/>
                <w:szCs w:val="5"/>
                <w:color w:val="auto"/>
              </w:rPr>
            </w:pPr>
          </w:p>
        </w:tc>
        <w:tc>
          <w:tcPr>
            <w:tcW w:w="520" w:type="dxa"/>
            <w:vAlign w:val="bottom"/>
            <w:tcBorders>
              <w:bottom w:val="single" w:sz="8" w:color="auto"/>
            </w:tcBorders>
          </w:tcPr>
          <w:p>
            <w:pPr>
              <w:spacing w:after="0"/>
              <w:rPr>
                <w:sz w:val="5"/>
                <w:szCs w:val="5"/>
                <w:color w:val="auto"/>
              </w:rPr>
            </w:pPr>
          </w:p>
        </w:tc>
        <w:tc>
          <w:tcPr>
            <w:tcW w:w="90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53"/>
        </w:trPr>
        <w:tc>
          <w:tcPr>
            <w:tcW w:w="1280" w:type="dxa"/>
            <w:vAlign w:val="bottom"/>
            <w:vMerge w:val="continue"/>
          </w:tcPr>
          <w:p>
            <w:pPr>
              <w:spacing w:after="0"/>
              <w:rPr>
                <w:sz w:val="4"/>
                <w:szCs w:val="4"/>
                <w:color w:val="auto"/>
              </w:rPr>
            </w:pPr>
          </w:p>
        </w:tc>
        <w:tc>
          <w:tcPr>
            <w:tcW w:w="520" w:type="dxa"/>
            <w:vAlign w:val="bottom"/>
            <w:vMerge w:val="restart"/>
          </w:tcPr>
          <w:p>
            <w:pPr>
              <w:ind w:left="140"/>
              <w:spacing w:after="0"/>
              <w:rPr>
                <w:sz w:val="20"/>
                <w:szCs w:val="20"/>
                <w:color w:val="auto"/>
              </w:rPr>
            </w:pPr>
            <w:r>
              <w:rPr>
                <w:rFonts w:ascii="Arial" w:cs="Arial" w:eastAsia="Arial" w:hAnsi="Arial"/>
                <w:sz w:val="18"/>
                <w:szCs w:val="18"/>
                <w:color w:val="auto"/>
              </w:rPr>
              <w:t>10.</w:t>
            </w:r>
          </w:p>
        </w:tc>
        <w:tc>
          <w:tcPr>
            <w:tcW w:w="9020" w:type="dxa"/>
            <w:vAlign w:val="bottom"/>
            <w:vMerge w:val="restart"/>
          </w:tcPr>
          <w:p>
            <w:pPr>
              <w:ind w:left="16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218"/>
        </w:trPr>
        <w:tc>
          <w:tcPr>
            <w:tcW w:w="1280" w:type="dxa"/>
            <w:vAlign w:val="bottom"/>
          </w:tcPr>
          <w:p>
            <w:pPr>
              <w:jc w:val="center"/>
              <w:ind w:right="310"/>
              <w:spacing w:after="0"/>
              <w:rPr>
                <w:sz w:val="20"/>
                <w:szCs w:val="20"/>
                <w:color w:val="auto"/>
              </w:rPr>
            </w:pPr>
            <w:r>
              <w:rPr>
                <w:rFonts w:ascii="Arial" w:cs="Arial" w:eastAsia="Arial" w:hAnsi="Arial"/>
                <w:sz w:val="18"/>
                <w:szCs w:val="18"/>
                <w:color w:val="auto"/>
                <w:w w:val="99"/>
              </w:rPr>
              <w:t>With</w:t>
            </w:r>
          </w:p>
        </w:tc>
        <w:tc>
          <w:tcPr>
            <w:tcW w:w="520" w:type="dxa"/>
            <w:vAlign w:val="bottom"/>
            <w:vMerge w:val="continue"/>
          </w:tcPr>
          <w:p>
            <w:pPr>
              <w:spacing w:after="0"/>
              <w:rPr>
                <w:sz w:val="19"/>
                <w:szCs w:val="19"/>
                <w:color w:val="auto"/>
              </w:rPr>
            </w:pPr>
          </w:p>
        </w:tc>
        <w:tc>
          <w:tcPr>
            <w:tcW w:w="90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bl>
    <w:p>
      <w:pPr>
        <w:ind w:left="2500" w:hanging="132"/>
        <w:spacing w:after="0"/>
        <w:tabs>
          <w:tab w:leader="none" w:pos="2500" w:val="left"/>
        </w:tabs>
        <w:numPr>
          <w:ilvl w:val="1"/>
          <w:numId w:val="7"/>
        </w:numPr>
        <w:rPr>
          <w:rFonts w:ascii="Arial" w:cs="Arial" w:eastAsia="Arial" w:hAnsi="Arial"/>
          <w:sz w:val="18"/>
          <w:szCs w:val="18"/>
          <w:color w:val="auto"/>
        </w:rPr>
      </w:pPr>
      <w:r>
        <w:rPr>
          <w:rFonts w:ascii="Arial" w:cs="Arial" w:eastAsia="Arial" w:hAnsi="Arial"/>
          <w:sz w:val="18"/>
          <w:szCs w:val="18"/>
          <w:color w:val="auto"/>
        </w:rPr>
        <w:t>shares</w:t>
      </w:r>
    </w:p>
    <w:p>
      <w:pPr>
        <w:spacing w:after="0" w:line="128" w:lineRule="exact"/>
        <w:rPr>
          <w:rFonts w:ascii="Arial" w:cs="Arial" w:eastAsia="Arial" w:hAnsi="Arial"/>
          <w:sz w:val="18"/>
          <w:szCs w:val="18"/>
          <w:color w:val="auto"/>
        </w:rPr>
      </w:pPr>
    </w:p>
    <w:p>
      <w:pPr>
        <w:ind w:left="580" w:right="5840" w:hanging="414"/>
        <w:spacing w:after="0" w:line="277" w:lineRule="auto"/>
        <w:tabs>
          <w:tab w:leader="none" w:pos="580" w:val="left"/>
        </w:tabs>
        <w:numPr>
          <w:ilvl w:val="0"/>
          <w:numId w:val="7"/>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86,418 shares</w:t>
      </w:r>
    </w:p>
    <w:p>
      <w:pPr>
        <w:spacing w:after="0" w:line="89" w:lineRule="exact"/>
        <w:rPr>
          <w:rFonts w:ascii="Arial" w:cs="Arial" w:eastAsia="Arial" w:hAnsi="Arial"/>
          <w:sz w:val="18"/>
          <w:szCs w:val="18"/>
          <w:color w:val="auto"/>
        </w:rPr>
      </w:pPr>
    </w:p>
    <w:p>
      <w:pPr>
        <w:ind w:left="580" w:hanging="414"/>
        <w:spacing w:after="0"/>
        <w:tabs>
          <w:tab w:leader="none" w:pos="580" w:val="left"/>
        </w:tabs>
        <w:numPr>
          <w:ilvl w:val="0"/>
          <w:numId w:val="7"/>
        </w:numPr>
        <w:rPr>
          <w:rFonts w:ascii="Arial" w:cs="Arial" w:eastAsia="Arial" w:hAnsi="Arial"/>
          <w:sz w:val="18"/>
          <w:szCs w:val="18"/>
          <w:color w:val="auto"/>
        </w:rPr>
      </w:pPr>
      <w:r>
        <w:rPr>
          <w:rFonts w:ascii="Arial" w:cs="Arial" w:eastAsia="Arial" w:hAnsi="Arial"/>
          <w:sz w:val="18"/>
          <w:szCs w:val="18"/>
          <w:color w:val="auto"/>
        </w:rPr>
        <w:t>Check if the Aggregate Amount in Row (11) Excludes Certain Shares (See Instructions)</w:t>
      </w:r>
    </w:p>
    <w:p>
      <w:pPr>
        <w:spacing w:after="0" w:line="144" w:lineRule="exact"/>
        <w:rPr>
          <w:rFonts w:ascii="Arial" w:cs="Arial" w:eastAsia="Arial" w:hAnsi="Arial"/>
          <w:sz w:val="18"/>
          <w:szCs w:val="18"/>
          <w:color w:val="auto"/>
        </w:rPr>
      </w:pPr>
    </w:p>
    <w:p>
      <w:pPr>
        <w:ind w:left="580" w:right="6780" w:hanging="414"/>
        <w:spacing w:after="0" w:line="277" w:lineRule="auto"/>
        <w:tabs>
          <w:tab w:leader="none" w:pos="580" w:val="left"/>
        </w:tabs>
        <w:numPr>
          <w:ilvl w:val="0"/>
          <w:numId w:val="7"/>
        </w:numPr>
        <w:rPr>
          <w:rFonts w:ascii="Arial" w:cs="Arial" w:eastAsia="Arial" w:hAnsi="Arial"/>
          <w:sz w:val="18"/>
          <w:szCs w:val="18"/>
          <w:color w:val="auto"/>
        </w:rPr>
      </w:pPr>
      <w:r>
        <w:rPr>
          <w:rFonts w:ascii="Arial" w:cs="Arial" w:eastAsia="Arial" w:hAnsi="Arial"/>
          <w:sz w:val="18"/>
          <w:szCs w:val="18"/>
          <w:color w:val="auto"/>
        </w:rPr>
        <w:t>Percent of Class Represented by Amount in Row (11) 0.1%</w:t>
      </w:r>
    </w:p>
    <w:p>
      <w:pPr>
        <w:spacing w:after="0" w:line="89" w:lineRule="exact"/>
        <w:rPr>
          <w:rFonts w:ascii="Arial" w:cs="Arial" w:eastAsia="Arial" w:hAnsi="Arial"/>
          <w:sz w:val="18"/>
          <w:szCs w:val="18"/>
          <w:color w:val="auto"/>
        </w:rPr>
      </w:pPr>
    </w:p>
    <w:p>
      <w:pPr>
        <w:ind w:left="580" w:right="7480" w:hanging="414"/>
        <w:spacing w:after="0" w:line="277" w:lineRule="auto"/>
        <w:tabs>
          <w:tab w:leader="none" w:pos="5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Type of Reporting Person (See Instructions) IN, OO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460375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40" w:top="904" w:right="339" w:bottom="1440" w:gutter="0" w:footer="0" w:header="0"/>
        </w:sectPr>
      </w:pPr>
    </w:p>
    <w:bookmarkStart w:id="4" w:name="page5"/>
    <w:bookmarkEnd w:id="4"/>
    <w:p>
      <w:pPr>
        <w:ind w:left="20"/>
        <w:spacing w:after="0"/>
        <w:tabs>
          <w:tab w:leader="none" w:pos="5520" w:val="left"/>
          <w:tab w:leader="none" w:pos="9900" w:val="left"/>
        </w:tabs>
        <w:rPr>
          <w:sz w:val="20"/>
          <w:szCs w:val="20"/>
          <w:color w:val="auto"/>
        </w:rPr>
      </w:pPr>
      <w:r>
        <w:rPr>
          <w:rFonts w:ascii="Arial" w:cs="Arial" w:eastAsia="Arial" w:hAnsi="Arial"/>
          <w:sz w:val="18"/>
          <w:szCs w:val="18"/>
          <w:b w:val="1"/>
          <w:bCs w:val="1"/>
          <w:color w:val="auto"/>
        </w:rPr>
        <w:t>CUSIP No</w:t>
      </w:r>
      <w:r>
        <w:rPr>
          <w:rFonts w:ascii="Arial" w:cs="Arial" w:eastAsia="Arial" w:hAnsi="Arial"/>
          <w:sz w:val="18"/>
          <w:szCs w:val="18"/>
          <w:color w:val="auto"/>
        </w:rPr>
        <w:t>.</w:t>
      </w:r>
      <w:r>
        <w:rPr>
          <w:rFonts w:ascii="Arial" w:cs="Arial" w:eastAsia="Arial" w:hAnsi="Arial"/>
          <w:sz w:val="18"/>
          <w:szCs w:val="18"/>
          <w:b w:val="1"/>
          <w:bCs w:val="1"/>
          <w:color w:val="auto"/>
        </w:rPr>
        <w:t xml:space="preserve"> 816212104</w:t>
      </w:r>
      <w:r>
        <w:rPr>
          <w:sz w:val="20"/>
          <w:szCs w:val="20"/>
          <w:color w:val="auto"/>
        </w:rPr>
        <w:tab/>
      </w:r>
      <w:r>
        <w:rPr>
          <w:rFonts w:ascii="Arial" w:cs="Arial" w:eastAsia="Arial" w:hAnsi="Arial"/>
          <w:sz w:val="18"/>
          <w:szCs w:val="18"/>
          <w:b w:val="1"/>
          <w:bCs w:val="1"/>
          <w:color w:val="auto"/>
        </w:rPr>
        <w:t>13D</w:t>
      </w:r>
      <w:r>
        <w:rPr>
          <w:sz w:val="20"/>
          <w:szCs w:val="20"/>
          <w:color w:val="auto"/>
        </w:rPr>
        <w:tab/>
      </w:r>
      <w:r>
        <w:rPr>
          <w:rFonts w:ascii="Arial" w:cs="Arial" w:eastAsia="Arial" w:hAnsi="Arial"/>
          <w:sz w:val="15"/>
          <w:szCs w:val="15"/>
          <w:b w:val="1"/>
          <w:bCs w:val="1"/>
          <w:color w:val="auto"/>
        </w:rPr>
        <w:t>Page 5 of 7 Pages</w:t>
      </w:r>
    </w:p>
    <w:p>
      <w:pPr>
        <w:spacing w:after="0" w:line="229"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This Amendment No. 7 to the statement on Schedule 13D (this “Statement”) with respect to the shares of common stock, par value $0.0001 per share (the “Shares”), of Selecta Biosciences, Inc., a Delaware corporation (the “Issuer”), originally filed by Timothy A. Springer (“Dr. Springer”), TAS Partners LLC (“TAS”), Chafen Lu (“Dr. Lu” and, collectively, the “Reporting Persons”) and Leukon Investments, LP (“Leukon”) filed on March 27, 2019, as amended by Amendment No. 1 to the statement on Schedule 13D filed on August 23, 2019, Amendment No. 2 to the statement on Schedule 13D filed on September 16, 2019, Amendment No. 3 to the statement on Schedule 13D filed on December 17, 2019, Amendment No. 4 to the statement on Schedule 13D filed on January 2, 2020, Amendment No. 5 to the statement on Schedule 13D filed on October 15, 2020 and Amendment No. 6 to the statement on Schedule 13D filed on October 23, 2020 (such statement and amendments, as further amended herein, the “Schedule 13D”), amends the Schedule 13D as set forth below.</w:t>
      </w:r>
    </w:p>
    <w:p>
      <w:pPr>
        <w:spacing w:after="0" w:line="166"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All capitalized terms contained herein but not otherwise defined shall have the meanings ascribed to such terms in the Schedule 13D. Except as specifically amended by this Amendment No. 7, items in the Schedule 13D are unchanged.</w:t>
      </w:r>
    </w:p>
    <w:p>
      <w:pPr>
        <w:spacing w:after="0" w:line="170" w:lineRule="exact"/>
        <w:rPr>
          <w:sz w:val="20"/>
          <w:szCs w:val="20"/>
          <w:color w:val="auto"/>
        </w:rPr>
      </w:pPr>
    </w:p>
    <w:p>
      <w:pPr>
        <w:ind w:left="20"/>
        <w:spacing w:after="0"/>
        <w:tabs>
          <w:tab w:leader="none" w:pos="1000" w:val="left"/>
        </w:tabs>
        <w:rPr>
          <w:sz w:val="20"/>
          <w:szCs w:val="20"/>
          <w:color w:val="auto"/>
        </w:rPr>
      </w:pPr>
      <w:r>
        <w:rPr>
          <w:rFonts w:ascii="Arial" w:cs="Arial" w:eastAsia="Arial" w:hAnsi="Arial"/>
          <w:sz w:val="18"/>
          <w:szCs w:val="18"/>
          <w:color w:val="auto"/>
        </w:rPr>
        <w:t>Item 3.</w:t>
      </w:r>
      <w:r>
        <w:rPr>
          <w:sz w:val="20"/>
          <w:szCs w:val="20"/>
          <w:color w:val="auto"/>
        </w:rPr>
        <w:tab/>
      </w:r>
      <w:r>
        <w:rPr>
          <w:rFonts w:ascii="Arial" w:cs="Arial" w:eastAsia="Arial" w:hAnsi="Arial"/>
          <w:sz w:val="16"/>
          <w:szCs w:val="16"/>
          <w:u w:val="single" w:color="auto"/>
          <w:color w:val="auto"/>
        </w:rPr>
        <w:t>Source and Amount of Funds or Other Consideration</w:t>
      </w:r>
      <w:r>
        <w:rPr>
          <w:rFonts w:ascii="Arial" w:cs="Arial" w:eastAsia="Arial" w:hAnsi="Arial"/>
          <w:sz w:val="16"/>
          <w:szCs w:val="16"/>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Item 3 of the Schedule 13D is hereby amended to be supplemented by the following:</w:t>
      </w:r>
    </w:p>
    <w:p>
      <w:pPr>
        <w:spacing w:after="0" w:line="225" w:lineRule="exact"/>
        <w:rPr>
          <w:sz w:val="20"/>
          <w:szCs w:val="20"/>
          <w:color w:val="auto"/>
        </w:rPr>
      </w:pPr>
    </w:p>
    <w:p>
      <w:pPr>
        <w:jc w:val="both"/>
        <w:ind w:right="60"/>
        <w:spacing w:after="0" w:line="259" w:lineRule="auto"/>
        <w:rPr>
          <w:sz w:val="20"/>
          <w:szCs w:val="20"/>
          <w:color w:val="auto"/>
        </w:rPr>
      </w:pPr>
      <w:r>
        <w:rPr>
          <w:rFonts w:ascii="Arial" w:cs="Arial" w:eastAsia="Arial" w:hAnsi="Arial"/>
          <w:sz w:val="18"/>
          <w:szCs w:val="18"/>
          <w:color w:val="auto"/>
        </w:rPr>
        <w:t>On May 21, 2021, TAS entered into a Purchase Agreement with Polaris Venture Partners V, L.P., Polaris Venture Partners Founders’ Fund V, L.P., Polaris Venture Partners Entrepreneurs’ Fund V, L.P. and Polaris Venture Partners Special Founders’ Fund V, L.P. (collectively, the “Polaris Entities”), pursuant to which TAS purchased 2,773,479 Shares from the Polaris Entities at a purchase price of $3.19 per share, or $8,847,398.01 in the aggregate, payable in cash. TAS drew from its investment capital for such acquisition.</w:t>
      </w:r>
    </w:p>
    <w:p>
      <w:pPr>
        <w:spacing w:after="0" w:line="187"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On May 24, 2021, TAS purchased 590,000 Shares on the open market at a weighted average price of $3.3764 per share for an aggregate purchase price of approximately $1,992,083 (excluding commissions). TAS drew from its investment capital for such acquisition.</w:t>
      </w:r>
    </w:p>
    <w:p>
      <w:pPr>
        <w:spacing w:after="0" w:line="170"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On May 25, 2021, TAS purchased 383,830 Shares on the open market at a weighted average price of $3.5487 per share for an aggregate purchase price of approximately $1,362,096 (excluding commissions). TAS drew from its investment capital for such acquisition.</w:t>
      </w:r>
    </w:p>
    <w:p>
      <w:pPr>
        <w:spacing w:after="0" w:line="170"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On May 26, 2021, TAS purchased 926,170 Shares on the open market at a weighted average price of $4.0011 per share for an aggregate purchase price of approximately $3,705,699 (excluding commissions). TAS drew from its investment capital for such acquisition.</w:t>
      </w:r>
    </w:p>
    <w:p>
      <w:pPr>
        <w:spacing w:after="0" w:line="170" w:lineRule="exact"/>
        <w:rPr>
          <w:sz w:val="20"/>
          <w:szCs w:val="20"/>
          <w:color w:val="auto"/>
        </w:rPr>
      </w:pPr>
    </w:p>
    <w:p>
      <w:pPr>
        <w:ind w:left="20"/>
        <w:spacing w:after="0"/>
        <w:tabs>
          <w:tab w:leader="none" w:pos="1000" w:val="left"/>
        </w:tabs>
        <w:rPr>
          <w:sz w:val="20"/>
          <w:szCs w:val="20"/>
          <w:color w:val="auto"/>
        </w:rPr>
      </w:pPr>
      <w:r>
        <w:rPr>
          <w:rFonts w:ascii="Arial" w:cs="Arial" w:eastAsia="Arial" w:hAnsi="Arial"/>
          <w:sz w:val="18"/>
          <w:szCs w:val="18"/>
          <w:color w:val="auto"/>
        </w:rPr>
        <w:t>Item 5.</w:t>
      </w:r>
      <w:r>
        <w:rPr>
          <w:sz w:val="20"/>
          <w:szCs w:val="20"/>
          <w:color w:val="auto"/>
        </w:rPr>
        <w:tab/>
      </w:r>
      <w:r>
        <w:rPr>
          <w:rFonts w:ascii="Arial" w:cs="Arial" w:eastAsia="Arial" w:hAnsi="Arial"/>
          <w:sz w:val="16"/>
          <w:szCs w:val="16"/>
          <w:u w:val="single" w:color="auto"/>
          <w:color w:val="auto"/>
        </w:rPr>
        <w:t>Interest in Securities of the Issuer</w:t>
      </w:r>
      <w:r>
        <w:rPr>
          <w:rFonts w:ascii="Arial" w:cs="Arial" w:eastAsia="Arial" w:hAnsi="Arial"/>
          <w:sz w:val="16"/>
          <w:szCs w:val="16"/>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Item 5 of Schedule 13D is hereby amended and restated in full as follows: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information set forth under Item 3 and the cover page of the Schedule 13D is incorporated herein by reference into this Item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 w:name="page6"/>
    <w:bookmarkEnd w:id="5"/>
    <w:p>
      <w:pPr>
        <w:ind w:left="20"/>
        <w:spacing w:after="0"/>
        <w:tabs>
          <w:tab w:leader="none" w:pos="5520" w:val="left"/>
          <w:tab w:leader="none" w:pos="9900" w:val="left"/>
        </w:tabs>
        <w:rPr>
          <w:sz w:val="20"/>
          <w:szCs w:val="20"/>
          <w:color w:val="auto"/>
        </w:rPr>
      </w:pPr>
      <w:r>
        <w:rPr>
          <w:rFonts w:ascii="Arial" w:cs="Arial" w:eastAsia="Arial" w:hAnsi="Arial"/>
          <w:sz w:val="18"/>
          <w:szCs w:val="18"/>
          <w:b w:val="1"/>
          <w:bCs w:val="1"/>
          <w:color w:val="auto"/>
        </w:rPr>
        <w:t>CUSIP No</w:t>
      </w:r>
      <w:r>
        <w:rPr>
          <w:rFonts w:ascii="Arial" w:cs="Arial" w:eastAsia="Arial" w:hAnsi="Arial"/>
          <w:sz w:val="18"/>
          <w:szCs w:val="18"/>
          <w:color w:val="auto"/>
        </w:rPr>
        <w:t>.</w:t>
      </w:r>
      <w:r>
        <w:rPr>
          <w:rFonts w:ascii="Arial" w:cs="Arial" w:eastAsia="Arial" w:hAnsi="Arial"/>
          <w:sz w:val="18"/>
          <w:szCs w:val="18"/>
          <w:b w:val="1"/>
          <w:bCs w:val="1"/>
          <w:color w:val="auto"/>
        </w:rPr>
        <w:t xml:space="preserve"> 816212104</w:t>
      </w:r>
      <w:r>
        <w:rPr>
          <w:sz w:val="20"/>
          <w:szCs w:val="20"/>
          <w:color w:val="auto"/>
        </w:rPr>
        <w:tab/>
      </w:r>
      <w:r>
        <w:rPr>
          <w:rFonts w:ascii="Arial" w:cs="Arial" w:eastAsia="Arial" w:hAnsi="Arial"/>
          <w:sz w:val="18"/>
          <w:szCs w:val="18"/>
          <w:b w:val="1"/>
          <w:bCs w:val="1"/>
          <w:color w:val="auto"/>
        </w:rPr>
        <w:t>13D</w:t>
      </w:r>
      <w:r>
        <w:rPr>
          <w:sz w:val="20"/>
          <w:szCs w:val="20"/>
          <w:color w:val="auto"/>
        </w:rPr>
        <w:tab/>
      </w:r>
      <w:r>
        <w:rPr>
          <w:rFonts w:ascii="Arial" w:cs="Arial" w:eastAsia="Arial" w:hAnsi="Arial"/>
          <w:sz w:val="15"/>
          <w:szCs w:val="15"/>
          <w:b w:val="1"/>
          <w:bCs w:val="1"/>
          <w:color w:val="auto"/>
        </w:rPr>
        <w:t>Page 6 of 7 Pages</w:t>
      </w:r>
    </w:p>
    <w:p>
      <w:pPr>
        <w:spacing w:after="0" w:line="229" w:lineRule="exact"/>
        <w:rPr>
          <w:sz w:val="20"/>
          <w:szCs w:val="20"/>
          <w:color w:val="auto"/>
        </w:rPr>
      </w:pPr>
    </w:p>
    <w:p>
      <w:pPr>
        <w:ind w:right="160" w:firstLine="8"/>
        <w:spacing w:after="0" w:line="286" w:lineRule="auto"/>
        <w:tabs>
          <w:tab w:leader="none" w:pos="245"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percentages of beneficial ownership reported in this Item 5, and on each Reporting Person’s cover page to this Statement, are based on a total of 113,193,597 Shares issued and outstanding as of May 7, 2021, as reported on the Issuer’s Quarterly Report on Form 10-Q, dated May 13, 2021. All of the Share numbers reported below, and on each Reporting Person’s cover page to this Statement, are as of May 26, 2021.</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The Reporting Persons, in the aggregate, beneficially own 28,630,453 Shares, representing approximately 25.3% of such class of securities.</w:t>
      </w:r>
    </w:p>
    <w:p>
      <w:pPr>
        <w:spacing w:after="0" w:line="225"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Dr. Springer is the beneficial owner of a total of 28,630,453 Shares, representing approximately 25.3% of the outstanding Shares and consisting of (i) 7,293,625 Shares held directly, (ii) 79,130 Shares underlying warrants exercisable within 60 days of May 26, 2021 and held directly, (iii) 46,410 Shares issuable upon exercise of outstanding options within 60 days of May 26, 2021 and held directly, (iv) 19,154,427 Shares held by TAS, (v) 1,970,443 Shares underlying warrants exercisable within 60 days of May 26, 2021 held by TAS, and (vi) 86,418 Shares held by Dr. Lu.</w:t>
      </w:r>
    </w:p>
    <w:p>
      <w:pPr>
        <w:spacing w:after="0" w:line="171" w:lineRule="exact"/>
        <w:rPr>
          <w:sz w:val="20"/>
          <w:szCs w:val="20"/>
          <w:color w:val="auto"/>
        </w:rPr>
      </w:pPr>
    </w:p>
    <w:p>
      <w:pPr>
        <w:jc w:val="both"/>
        <w:ind w:right="180"/>
        <w:spacing w:after="0" w:line="263" w:lineRule="auto"/>
        <w:rPr>
          <w:sz w:val="20"/>
          <w:szCs w:val="20"/>
          <w:color w:val="auto"/>
        </w:rPr>
      </w:pPr>
      <w:r>
        <w:rPr>
          <w:rFonts w:ascii="Arial" w:cs="Arial" w:eastAsia="Arial" w:hAnsi="Arial"/>
          <w:sz w:val="18"/>
          <w:szCs w:val="18"/>
          <w:color w:val="auto"/>
        </w:rPr>
        <w:t>TAS is the beneficial owner of a total of 21,124,870 Shares, representing approximately 18.7% of the outstanding Shares and consisting of (i) 19,154,427 Shares and (ii) 1,970,443 Shares underlying warrants exercisable within 60 days of May 26, 2021. TAS holds all such Shares directly. Dr. Springer is the sole managing member of TAS.</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color w:val="auto"/>
        </w:rPr>
        <w:t>Dr. Lu is the beneficial owner of a total of 86,418 Shares, representing approximately 0.1% of the outstanding Shares. Dr. Lu holds all such Shares directly.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Dr. Lu is the spouse of Dr. Springer.</w:t>
      </w:r>
    </w:p>
    <w:p>
      <w:pPr>
        <w:spacing w:after="0" w:line="211" w:lineRule="exact"/>
        <w:rPr>
          <w:sz w:val="20"/>
          <w:szCs w:val="20"/>
          <w:color w:val="auto"/>
        </w:rPr>
      </w:pPr>
    </w:p>
    <w:p>
      <w:pPr>
        <w:ind w:right="240" w:firstLine="8"/>
        <w:spacing w:after="0" w:line="263" w:lineRule="auto"/>
        <w:tabs>
          <w:tab w:leader="none" w:pos="255" w:val="left"/>
        </w:tabs>
        <w:numPr>
          <w:ilvl w:val="0"/>
          <w:numId w:val="9"/>
        </w:numPr>
        <w:rPr>
          <w:rFonts w:ascii="Arial" w:cs="Arial" w:eastAsia="Arial" w:hAnsi="Arial"/>
          <w:sz w:val="18"/>
          <w:szCs w:val="18"/>
          <w:color w:val="auto"/>
        </w:rPr>
      </w:pPr>
      <w:r>
        <w:rPr>
          <w:rFonts w:ascii="Arial" w:cs="Arial" w:eastAsia="Arial" w:hAnsi="Arial"/>
          <w:sz w:val="18"/>
          <w:szCs w:val="18"/>
          <w:color w:val="auto"/>
        </w:rPr>
        <w:t>Dr. Springer exercises sole voting and dispositive power over the Shares held by him directly and the Shares held by TAS. Dr. Springer disclaims beneficial ownership of the Shares held by TAS, except to the extent of his pecuniary interest therein. Dr. Lu exercises sole voting and dispositive power over the Shares held by her directly.</w:t>
      </w:r>
    </w:p>
    <w:p>
      <w:pPr>
        <w:spacing w:after="0" w:line="183" w:lineRule="exact"/>
        <w:rPr>
          <w:rFonts w:ascii="Arial" w:cs="Arial" w:eastAsia="Arial" w:hAnsi="Arial"/>
          <w:sz w:val="18"/>
          <w:szCs w:val="18"/>
          <w:color w:val="auto"/>
        </w:rPr>
      </w:pPr>
    </w:p>
    <w:p>
      <w:pPr>
        <w:ind w:right="560" w:firstLine="8"/>
        <w:spacing w:after="0" w:line="277" w:lineRule="auto"/>
        <w:tabs>
          <w:tab w:leader="none" w:pos="245"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Reporting Persons have not engaged in any transactions with respect to the Shares during the 60 days before the date of this filing, except as described herein and in Item 3 of Schedule 13D.</w:t>
      </w:r>
    </w:p>
    <w:p>
      <w:pPr>
        <w:spacing w:after="0" w:line="170" w:lineRule="exact"/>
        <w:rPr>
          <w:rFonts w:ascii="Arial" w:cs="Arial" w:eastAsia="Arial" w:hAnsi="Arial"/>
          <w:sz w:val="18"/>
          <w:szCs w:val="18"/>
          <w:color w:val="auto"/>
        </w:rPr>
      </w:pPr>
    </w:p>
    <w:p>
      <w:pPr>
        <w:ind w:right="240" w:firstLine="8"/>
        <w:spacing w:after="0" w:line="277" w:lineRule="auto"/>
        <w:tabs>
          <w:tab w:leader="none" w:pos="255" w:val="left"/>
        </w:tabs>
        <w:numPr>
          <w:ilvl w:val="0"/>
          <w:numId w:val="9"/>
        </w:numPr>
        <w:rPr>
          <w:rFonts w:ascii="Arial" w:cs="Arial" w:eastAsia="Arial" w:hAnsi="Arial"/>
          <w:sz w:val="18"/>
          <w:szCs w:val="18"/>
          <w:color w:val="auto"/>
        </w:rPr>
      </w:pPr>
      <w:r>
        <w:rPr>
          <w:rFonts w:ascii="Arial" w:cs="Arial" w:eastAsia="Arial" w:hAnsi="Arial"/>
          <w:sz w:val="18"/>
          <w:szCs w:val="18"/>
          <w:color w:val="auto"/>
        </w:rPr>
        <w:t>No person other than the Reporting Persons is known to have the right to receive or the power to direct the receipt of dividends from, or the proceeds from the sale of, the Shares.</w:t>
      </w:r>
    </w:p>
    <w:p>
      <w:pPr>
        <w:spacing w:after="0" w:line="170" w:lineRule="exact"/>
        <w:rPr>
          <w:rFonts w:ascii="Arial" w:cs="Arial" w:eastAsia="Arial" w:hAnsi="Arial"/>
          <w:sz w:val="18"/>
          <w:szCs w:val="18"/>
          <w:color w:val="auto"/>
        </w:rPr>
      </w:pPr>
    </w:p>
    <w:p>
      <w:pPr>
        <w:ind w:left="260" w:hanging="252"/>
        <w:spacing w:after="0"/>
        <w:tabs>
          <w:tab w:leader="none" w:pos="260" w:val="left"/>
        </w:tabs>
        <w:numPr>
          <w:ilvl w:val="0"/>
          <w:numId w:val="9"/>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225"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color w:val="auto"/>
        </w:rPr>
        <w:t>Item 7.</w:t>
      </w:r>
      <w:r>
        <w:rPr>
          <w:sz w:val="20"/>
          <w:szCs w:val="20"/>
          <w:color w:val="auto"/>
        </w:rPr>
        <w:tab/>
      </w:r>
      <w:r>
        <w:rPr>
          <w:rFonts w:ascii="Arial" w:cs="Arial" w:eastAsia="Arial" w:hAnsi="Arial"/>
          <w:sz w:val="16"/>
          <w:szCs w:val="16"/>
          <w:u w:val="single" w:color="auto"/>
          <w:color w:val="auto"/>
        </w:rPr>
        <w:t>Material to Be Filed as Exhibits</w:t>
      </w:r>
      <w:r>
        <w:rPr>
          <w:rFonts w:ascii="Arial" w:cs="Arial" w:eastAsia="Arial" w:hAnsi="Arial"/>
          <w:sz w:val="16"/>
          <w:szCs w:val="16"/>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Item 7 of the Schedule 13D is hereby amended to be supplemented by the following:</w:t>
      </w:r>
    </w:p>
    <w:p>
      <w:pPr>
        <w:spacing w:after="0" w:line="221"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Exhibit No.</w:t>
      </w:r>
      <w:r>
        <w:rPr>
          <w:sz w:val="20"/>
          <w:szCs w:val="20"/>
          <w:color w:val="auto"/>
        </w:rPr>
        <w:tab/>
      </w:r>
      <w:r>
        <w:rPr>
          <w:rFonts w:ascii="Arial" w:cs="Arial" w:eastAsia="Arial" w:hAnsi="Arial"/>
          <w:sz w:val="17"/>
          <w:szCs w:val="17"/>
          <w:b w:val="1"/>
          <w:bCs w:val="1"/>
          <w:color w:val="auto"/>
        </w:rPr>
        <w:t>Exhibit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50" w:lineRule="exact"/>
        <w:rPr>
          <w:sz w:val="20"/>
          <w:szCs w:val="20"/>
          <w:color w:val="auto"/>
        </w:rPr>
      </w:pPr>
    </w:p>
    <w:p>
      <w:pPr>
        <w:spacing w:after="0"/>
        <w:tabs>
          <w:tab w:leader="none" w:pos="1120" w:val="left"/>
        </w:tabs>
        <w:rPr>
          <w:rFonts w:ascii="Arial" w:cs="Arial" w:eastAsia="Arial" w:hAnsi="Arial"/>
          <w:sz w:val="16"/>
          <w:szCs w:val="16"/>
          <w:u w:val="single" w:color="auto"/>
          <w:color w:val="0000EE"/>
        </w:rPr>
      </w:pPr>
      <w:r>
        <w:rPr>
          <w:rFonts w:ascii="Arial" w:cs="Arial" w:eastAsia="Arial" w:hAnsi="Arial"/>
          <w:sz w:val="18"/>
          <w:szCs w:val="18"/>
          <w:color w:val="auto"/>
        </w:rPr>
        <w:t>99.6</w:t>
      </w:r>
      <w:r>
        <w:rPr>
          <w:sz w:val="20"/>
          <w:szCs w:val="20"/>
          <w:color w:val="auto"/>
        </w:rPr>
        <w:tab/>
      </w:r>
      <w:hyperlink w:anchor="page8">
        <w:r>
          <w:rPr>
            <w:rFonts w:ascii="Arial" w:cs="Arial" w:eastAsia="Arial" w:hAnsi="Arial"/>
            <w:sz w:val="16"/>
            <w:szCs w:val="16"/>
            <w:u w:val="single" w:color="auto"/>
            <w:color w:val="0000EE"/>
          </w:rPr>
          <w:t>Purchase Agreement, dated May 21, 2021, by and among TAS and the Polaris Entities.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3716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[signature page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306070</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 w:name="page7"/>
    <w:bookmarkEnd w:id="6"/>
    <w:p>
      <w:pPr>
        <w:ind w:left="20"/>
        <w:spacing w:after="0"/>
        <w:tabs>
          <w:tab w:leader="none" w:pos="5520" w:val="left"/>
          <w:tab w:leader="none" w:pos="9900" w:val="left"/>
        </w:tabs>
        <w:rPr>
          <w:sz w:val="20"/>
          <w:szCs w:val="20"/>
          <w:color w:val="auto"/>
        </w:rPr>
      </w:pPr>
      <w:r>
        <w:rPr>
          <w:rFonts w:ascii="Arial" w:cs="Arial" w:eastAsia="Arial" w:hAnsi="Arial"/>
          <w:sz w:val="18"/>
          <w:szCs w:val="18"/>
          <w:b w:val="1"/>
          <w:bCs w:val="1"/>
          <w:color w:val="auto"/>
        </w:rPr>
        <w:t>CUSIP No</w:t>
      </w:r>
      <w:r>
        <w:rPr>
          <w:rFonts w:ascii="Arial" w:cs="Arial" w:eastAsia="Arial" w:hAnsi="Arial"/>
          <w:sz w:val="18"/>
          <w:szCs w:val="18"/>
          <w:color w:val="auto"/>
        </w:rPr>
        <w:t>.</w:t>
      </w:r>
      <w:r>
        <w:rPr>
          <w:rFonts w:ascii="Arial" w:cs="Arial" w:eastAsia="Arial" w:hAnsi="Arial"/>
          <w:sz w:val="18"/>
          <w:szCs w:val="18"/>
          <w:b w:val="1"/>
          <w:bCs w:val="1"/>
          <w:color w:val="auto"/>
        </w:rPr>
        <w:t xml:space="preserve"> 816212104</w:t>
      </w:r>
      <w:r>
        <w:rPr>
          <w:sz w:val="20"/>
          <w:szCs w:val="20"/>
          <w:color w:val="auto"/>
        </w:rPr>
        <w:tab/>
      </w:r>
      <w:r>
        <w:rPr>
          <w:rFonts w:ascii="Arial" w:cs="Arial" w:eastAsia="Arial" w:hAnsi="Arial"/>
          <w:sz w:val="18"/>
          <w:szCs w:val="18"/>
          <w:b w:val="1"/>
          <w:bCs w:val="1"/>
          <w:color w:val="auto"/>
        </w:rPr>
        <w:t>13D</w:t>
      </w:r>
      <w:r>
        <w:rPr>
          <w:sz w:val="20"/>
          <w:szCs w:val="20"/>
          <w:color w:val="auto"/>
        </w:rPr>
        <w:tab/>
      </w:r>
      <w:r>
        <w:rPr>
          <w:rFonts w:ascii="Arial" w:cs="Arial" w:eastAsia="Arial" w:hAnsi="Arial"/>
          <w:sz w:val="15"/>
          <w:szCs w:val="15"/>
          <w:b w:val="1"/>
          <w:bCs w:val="1"/>
          <w:color w:val="auto"/>
        </w:rPr>
        <w:t>Page 7 of 7 Pages</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SIGNATURES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Date: May 27, 2021</w:t>
      </w:r>
    </w:p>
    <w:p>
      <w:pPr>
        <w:spacing w:after="0" w:line="225"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/s/ Timothy A. Springer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14605</wp:posOffset>
            </wp:positionV>
            <wp:extent cx="284607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16"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Timothy A Springer</w:t>
      </w:r>
    </w:p>
    <w:p>
      <w:pPr>
        <w:spacing w:after="0" w:line="225"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/s/ Chafen Lu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14605</wp:posOffset>
            </wp:positionV>
            <wp:extent cx="284607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16"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Chafen Lu</w:t>
      </w:r>
    </w:p>
    <w:p>
      <w:pPr>
        <w:spacing w:after="0" w:line="252"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TAS Partners LLC</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7320" w:type="dxa"/>
            <w:vAlign w:val="bottom"/>
          </w:tcPr>
          <w:p>
            <w:pPr>
              <w:ind w:left="6760"/>
              <w:spacing w:after="0"/>
              <w:rPr>
                <w:sz w:val="20"/>
                <w:szCs w:val="20"/>
                <w:color w:val="auto"/>
              </w:rPr>
            </w:pPr>
            <w:r>
              <w:rPr>
                <w:rFonts w:ascii="Arial" w:cs="Arial" w:eastAsia="Arial" w:hAnsi="Arial"/>
                <w:sz w:val="18"/>
                <w:szCs w:val="18"/>
                <w:color w:val="auto"/>
              </w:rPr>
              <w:t>By:</w:t>
            </w:r>
          </w:p>
        </w:tc>
        <w:tc>
          <w:tcPr>
            <w:tcW w:w="3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Timothy A. Springer</w:t>
            </w:r>
          </w:p>
        </w:tc>
      </w:tr>
      <w:tr>
        <w:trPr>
          <w:trHeight w:val="202"/>
        </w:trPr>
        <w:tc>
          <w:tcPr>
            <w:tcW w:w="7320" w:type="dxa"/>
            <w:vAlign w:val="bottom"/>
          </w:tcPr>
          <w:p>
            <w:pPr>
              <w:ind w:left="6760"/>
              <w:spacing w:after="0" w:line="201" w:lineRule="exact"/>
              <w:rPr>
                <w:sz w:val="20"/>
                <w:szCs w:val="20"/>
                <w:color w:val="auto"/>
              </w:rPr>
            </w:pPr>
            <w:r>
              <w:rPr>
                <w:rFonts w:ascii="Arial" w:cs="Arial" w:eastAsia="Arial" w:hAnsi="Arial"/>
                <w:sz w:val="18"/>
                <w:szCs w:val="18"/>
                <w:color w:val="auto"/>
              </w:rPr>
              <w:t>Name:</w:t>
            </w:r>
          </w:p>
        </w:tc>
        <w:tc>
          <w:tcPr>
            <w:tcW w:w="3920" w:type="dxa"/>
            <w:vAlign w:val="bottom"/>
          </w:tcPr>
          <w:p>
            <w:pPr>
              <w:spacing w:after="0" w:line="201" w:lineRule="exact"/>
              <w:rPr>
                <w:sz w:val="20"/>
                <w:szCs w:val="20"/>
                <w:color w:val="auto"/>
              </w:rPr>
            </w:pPr>
            <w:r>
              <w:rPr>
                <w:rFonts w:ascii="Arial" w:cs="Arial" w:eastAsia="Arial" w:hAnsi="Arial"/>
                <w:sz w:val="18"/>
                <w:szCs w:val="18"/>
                <w:color w:val="auto"/>
              </w:rPr>
              <w:t>Timothy A. Springer</w:t>
            </w:r>
          </w:p>
        </w:tc>
      </w:tr>
      <w:tr>
        <w:trPr>
          <w:trHeight w:val="230"/>
        </w:trPr>
        <w:tc>
          <w:tcPr>
            <w:tcW w:w="7320" w:type="dxa"/>
            <w:vAlign w:val="bottom"/>
          </w:tcPr>
          <w:p>
            <w:pPr>
              <w:ind w:left="6760"/>
              <w:spacing w:after="0"/>
              <w:rPr>
                <w:sz w:val="20"/>
                <w:szCs w:val="20"/>
                <w:color w:val="auto"/>
              </w:rPr>
            </w:pPr>
            <w:r>
              <w:rPr>
                <w:rFonts w:ascii="Arial" w:cs="Arial" w:eastAsia="Arial" w:hAnsi="Arial"/>
                <w:sz w:val="18"/>
                <w:szCs w:val="18"/>
                <w:color w:val="auto"/>
              </w:rPr>
              <w:t>Title:</w:t>
            </w:r>
          </w:p>
        </w:tc>
        <w:tc>
          <w:tcPr>
            <w:tcW w:w="3920" w:type="dxa"/>
            <w:vAlign w:val="bottom"/>
          </w:tcPr>
          <w:p>
            <w:pPr>
              <w:spacing w:after="0"/>
              <w:rPr>
                <w:sz w:val="20"/>
                <w:szCs w:val="20"/>
                <w:color w:val="auto"/>
              </w:rPr>
            </w:pPr>
            <w:r>
              <w:rPr>
                <w:rFonts w:ascii="Arial" w:cs="Arial" w:eastAsia="Arial" w:hAnsi="Arial"/>
                <w:sz w:val="18"/>
                <w:szCs w:val="18"/>
                <w:color w:val="auto"/>
              </w:rPr>
              <w:t>Manager</w:t>
            </w:r>
          </w:p>
        </w:tc>
      </w:tr>
      <w:tr>
        <w:trPr>
          <w:trHeight w:val="439"/>
        </w:trPr>
        <w:tc>
          <w:tcPr>
            <w:tcW w:w="7320" w:type="dxa"/>
            <w:vAlign w:val="bottom"/>
            <w:tcBorders>
              <w:bottom w:val="single" w:sz="8" w:color="auto"/>
            </w:tcBorders>
          </w:tcPr>
          <w:p>
            <w:pPr>
              <w:spacing w:after="0"/>
              <w:rPr>
                <w:sz w:val="24"/>
                <w:szCs w:val="24"/>
                <w:color w:val="auto"/>
              </w:rPr>
            </w:pPr>
          </w:p>
        </w:tc>
        <w:tc>
          <w:tcPr>
            <w:tcW w:w="39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7" w:name="page8"/>
    <w:bookmarkEnd w:id="7"/>
    <w:p>
      <w:pPr>
        <w:jc w:val="right"/>
        <w:spacing w:after="0"/>
        <w:rPr>
          <w:sz w:val="20"/>
          <w:szCs w:val="20"/>
          <w:color w:val="auto"/>
        </w:rPr>
      </w:pPr>
      <w:r>
        <w:rPr>
          <w:rFonts w:ascii="Arial" w:cs="Arial" w:eastAsia="Arial" w:hAnsi="Arial"/>
          <w:sz w:val="18"/>
          <w:szCs w:val="18"/>
          <w:b w:val="1"/>
          <w:bCs w:val="1"/>
          <w:color w:val="auto"/>
        </w:rPr>
        <w:t>Exhibit 99.6</w:t>
      </w: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auto"/>
        </w:rPr>
        <w:t>Execution Version</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PURCHASE AGREEMENT</w:t>
      </w:r>
    </w:p>
    <w:p>
      <w:pPr>
        <w:spacing w:after="0" w:line="229" w:lineRule="exact"/>
        <w:rPr>
          <w:sz w:val="20"/>
          <w:szCs w:val="20"/>
          <w:color w:val="auto"/>
        </w:rPr>
      </w:pPr>
    </w:p>
    <w:p>
      <w:pPr>
        <w:ind w:right="160" w:firstLine="648"/>
        <w:spacing w:after="0" w:line="263" w:lineRule="auto"/>
        <w:rPr>
          <w:sz w:val="20"/>
          <w:szCs w:val="20"/>
          <w:color w:val="auto"/>
        </w:rPr>
      </w:pPr>
      <w:r>
        <w:rPr>
          <w:rFonts w:ascii="Arial" w:cs="Arial" w:eastAsia="Arial" w:hAnsi="Arial"/>
          <w:sz w:val="18"/>
          <w:szCs w:val="18"/>
          <w:color w:val="auto"/>
        </w:rPr>
        <w:t>This PURCHASE AGREEMENT (this “</w:t>
      </w:r>
      <w:r>
        <w:rPr>
          <w:rFonts w:ascii="Arial" w:cs="Arial" w:eastAsia="Arial" w:hAnsi="Arial"/>
          <w:sz w:val="18"/>
          <w:szCs w:val="18"/>
          <w:u w:val="single" w:color="auto"/>
          <w:color w:val="auto"/>
        </w:rPr>
        <w:t>Agreement</w:t>
      </w:r>
      <w:r>
        <w:rPr>
          <w:rFonts w:ascii="Arial" w:cs="Arial" w:eastAsia="Arial" w:hAnsi="Arial"/>
          <w:sz w:val="18"/>
          <w:szCs w:val="18"/>
          <w:color w:val="auto"/>
        </w:rPr>
        <w:t>”) is made and entered into as of May 21, 2021 (the “</w:t>
      </w:r>
      <w:r>
        <w:rPr>
          <w:rFonts w:ascii="Arial" w:cs="Arial" w:eastAsia="Arial" w:hAnsi="Arial"/>
          <w:sz w:val="18"/>
          <w:szCs w:val="18"/>
          <w:u w:val="single" w:color="auto"/>
          <w:color w:val="auto"/>
        </w:rPr>
        <w:t>Trade Date</w:t>
      </w:r>
      <w:r>
        <w:rPr>
          <w:rFonts w:ascii="Arial" w:cs="Arial" w:eastAsia="Arial" w:hAnsi="Arial"/>
          <w:sz w:val="18"/>
          <w:szCs w:val="18"/>
          <w:color w:val="auto"/>
        </w:rPr>
        <w:t xml:space="preserve">”) by and among each of the entities listed in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attached hereto (each a “</w:t>
      </w:r>
      <w:r>
        <w:rPr>
          <w:rFonts w:ascii="Arial" w:cs="Arial" w:eastAsia="Arial" w:hAnsi="Arial"/>
          <w:sz w:val="18"/>
          <w:szCs w:val="18"/>
          <w:u w:val="single" w:color="auto"/>
          <w:color w:val="auto"/>
        </w:rPr>
        <w:t>Seller</w:t>
      </w:r>
      <w:r>
        <w:rPr>
          <w:rFonts w:ascii="Arial" w:cs="Arial" w:eastAsia="Arial" w:hAnsi="Arial"/>
          <w:sz w:val="18"/>
          <w:szCs w:val="18"/>
          <w:color w:val="auto"/>
        </w:rPr>
        <w:t>” and collectively, the “</w:t>
      </w:r>
      <w:r>
        <w:rPr>
          <w:rFonts w:ascii="Arial" w:cs="Arial" w:eastAsia="Arial" w:hAnsi="Arial"/>
          <w:sz w:val="18"/>
          <w:szCs w:val="18"/>
          <w:u w:val="single" w:color="auto"/>
          <w:color w:val="auto"/>
        </w:rPr>
        <w:t>Sellers</w:t>
      </w:r>
      <w:r>
        <w:rPr>
          <w:rFonts w:ascii="Arial" w:cs="Arial" w:eastAsia="Arial" w:hAnsi="Arial"/>
          <w:sz w:val="18"/>
          <w:szCs w:val="18"/>
          <w:color w:val="auto"/>
        </w:rPr>
        <w:t>”), and TAS Partners LLC, a Delaware limited liability company (the “</w:t>
      </w:r>
      <w:r>
        <w:rPr>
          <w:rFonts w:ascii="Arial" w:cs="Arial" w:eastAsia="Arial" w:hAnsi="Arial"/>
          <w:sz w:val="18"/>
          <w:szCs w:val="18"/>
          <w:u w:val="single" w:color="auto"/>
          <w:color w:val="auto"/>
        </w:rPr>
        <w:t>Purchaser</w:t>
      </w:r>
      <w:r>
        <w:rPr>
          <w:rFonts w:ascii="Arial" w:cs="Arial" w:eastAsia="Arial" w:hAnsi="Arial"/>
          <w:sz w:val="18"/>
          <w:szCs w:val="18"/>
          <w:color w:val="auto"/>
        </w:rPr>
        <w:t>”).</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WHEREAS, Sellers, severally and not jointly, desire to sell shares of the issued and outstanding common stock, $0.0001 par value per share</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Company Shares</w:t>
      </w:r>
      <w:r>
        <w:rPr>
          <w:rFonts w:ascii="Arial" w:cs="Arial" w:eastAsia="Arial" w:hAnsi="Arial"/>
          <w:sz w:val="16"/>
          <w:szCs w:val="16"/>
          <w:color w:val="auto"/>
        </w:rPr>
        <w:t>”), of Selecta Biosciences, Inc., a Delaware corporation (the “</w:t>
      </w:r>
      <w:r>
        <w:rPr>
          <w:rFonts w:ascii="Arial" w:cs="Arial" w:eastAsia="Arial" w:hAnsi="Arial"/>
          <w:sz w:val="16"/>
          <w:szCs w:val="16"/>
          <w:u w:val="single" w:color="auto"/>
          <w:color w:val="auto"/>
        </w:rPr>
        <w:t>Company</w:t>
      </w:r>
      <w:r>
        <w:rPr>
          <w:rFonts w:ascii="Arial" w:cs="Arial" w:eastAsia="Arial" w:hAnsi="Arial"/>
          <w:sz w:val="16"/>
          <w:szCs w:val="16"/>
          <w:color w:val="auto"/>
        </w:rPr>
        <w:t xml:space="preserve">”), in the amounts provided in in </w:t>
      </w:r>
      <w:r>
        <w:rPr>
          <w:rFonts w:ascii="Arial" w:cs="Arial" w:eastAsia="Arial" w:hAnsi="Arial"/>
          <w:sz w:val="16"/>
          <w:szCs w:val="16"/>
          <w:u w:val="single" w:color="auto"/>
          <w:color w:val="auto"/>
        </w:rPr>
        <w:t>Exhibit A</w:t>
      </w:r>
      <w:r>
        <w:rPr>
          <w:rFonts w:ascii="Arial" w:cs="Arial" w:eastAsia="Arial" w:hAnsi="Arial"/>
          <w:sz w:val="16"/>
          <w:szCs w:val="16"/>
          <w:color w:val="auto"/>
        </w:rPr>
        <w:t xml:space="preserve"> attached hereto; andG</w:t>
      </w:r>
    </w:p>
    <w:p>
      <w:pPr>
        <w:spacing w:after="0" w:line="234"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 xml:space="preserve">WHEREAS, the Purchaser desires to purchase, an aggregate of 2,773,479 Company Shares from the Sellers for the aggregate purchase price set forth in </w:t>
      </w:r>
      <w:r>
        <w:rPr>
          <w:rFonts w:ascii="Arial" w:cs="Arial" w:eastAsia="Arial" w:hAnsi="Arial"/>
          <w:sz w:val="18"/>
          <w:szCs w:val="18"/>
          <w:u w:val="single" w:color="auto"/>
          <w:color w:val="auto"/>
        </w:rPr>
        <w:t>Section 1.2</w:t>
      </w:r>
      <w:r>
        <w:rPr>
          <w:rFonts w:ascii="Arial" w:cs="Arial" w:eastAsia="Arial" w:hAnsi="Arial"/>
          <w:sz w:val="18"/>
          <w:szCs w:val="18"/>
          <w:color w:val="auto"/>
        </w:rPr>
        <w:t xml:space="preserve"> herein.</w:t>
      </w:r>
    </w:p>
    <w:p>
      <w:pPr>
        <w:spacing w:after="0" w:line="170" w:lineRule="exact"/>
        <w:rPr>
          <w:sz w:val="20"/>
          <w:szCs w:val="20"/>
          <w:color w:val="auto"/>
        </w:rPr>
      </w:pPr>
    </w:p>
    <w:p>
      <w:pPr>
        <w:ind w:right="380" w:firstLine="648"/>
        <w:spacing w:after="0" w:line="277" w:lineRule="auto"/>
        <w:rPr>
          <w:sz w:val="20"/>
          <w:szCs w:val="20"/>
          <w:color w:val="auto"/>
        </w:rPr>
      </w:pPr>
      <w:r>
        <w:rPr>
          <w:rFonts w:ascii="Arial" w:cs="Arial" w:eastAsia="Arial" w:hAnsi="Arial"/>
          <w:sz w:val="18"/>
          <w:szCs w:val="18"/>
          <w:color w:val="auto"/>
        </w:rPr>
        <w:t>NOW, THEREFORE, in consideration of the foregoing premises and the covenants, agreements and representations and warranties contained herein, the receipt and sufficiency of which are hereby acknowledged, the parties hereto agree as follows: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PURCHASE AND SALE; CLOSING</w:t>
      </w:r>
    </w:p>
    <w:p>
      <w:pPr>
        <w:spacing w:after="0" w:line="225" w:lineRule="exact"/>
        <w:rPr>
          <w:sz w:val="20"/>
          <w:szCs w:val="20"/>
          <w:color w:val="auto"/>
        </w:rPr>
      </w:pPr>
    </w:p>
    <w:p>
      <w:pPr>
        <w:ind w:right="20" w:firstLine="1296"/>
        <w:spacing w:after="0" w:line="291" w:lineRule="auto"/>
        <w:rPr>
          <w:sz w:val="20"/>
          <w:szCs w:val="20"/>
          <w:color w:val="auto"/>
        </w:rPr>
      </w:pPr>
      <w:r>
        <w:rPr>
          <w:rFonts w:ascii="Arial" w:cs="Arial" w:eastAsia="Arial" w:hAnsi="Arial"/>
          <w:sz w:val="16"/>
          <w:szCs w:val="16"/>
          <w:color w:val="auto"/>
        </w:rPr>
        <w:t xml:space="preserve">Section 1.1 </w:t>
      </w:r>
      <w:r>
        <w:rPr>
          <w:rFonts w:ascii="Arial" w:cs="Arial" w:eastAsia="Arial" w:hAnsi="Arial"/>
          <w:sz w:val="16"/>
          <w:szCs w:val="16"/>
          <w:u w:val="single" w:color="auto"/>
          <w:color w:val="auto"/>
        </w:rPr>
        <w:t>Purchase and Sale</w:t>
      </w:r>
      <w:r>
        <w:rPr>
          <w:rFonts w:ascii="Arial" w:cs="Arial" w:eastAsia="Arial" w:hAnsi="Arial"/>
          <w:sz w:val="16"/>
          <w:szCs w:val="16"/>
          <w:color w:val="auto"/>
        </w:rPr>
        <w:t xml:space="preserve">. On the Trade Date, upon the terms and subject to the conditions of this Agreement, the Sellers, severally and not jointly, agree to sell, convey, assign, transfer and deliver to Purchaser that number of Company Shares set forth opposite such Seller’s name on </w:t>
      </w:r>
      <w:r>
        <w:rPr>
          <w:rFonts w:ascii="Arial" w:cs="Arial" w:eastAsia="Arial" w:hAnsi="Arial"/>
          <w:sz w:val="16"/>
          <w:szCs w:val="16"/>
          <w:u w:val="single" w:color="auto"/>
          <w:color w:val="auto"/>
        </w:rPr>
        <w:t>Exhibit A</w:t>
      </w:r>
      <w:r>
        <w:rPr>
          <w:rFonts w:ascii="Arial" w:cs="Arial" w:eastAsia="Arial" w:hAnsi="Arial"/>
          <w:sz w:val="16"/>
          <w:szCs w:val="16"/>
          <w:color w:val="auto"/>
        </w:rPr>
        <w:t xml:space="preserve"> attached hereto, and the Purchaser agrees to purchase such Company Shares from such Seller (the “</w:t>
      </w:r>
      <w:r>
        <w:rPr>
          <w:rFonts w:ascii="Arial" w:cs="Arial" w:eastAsia="Arial" w:hAnsi="Arial"/>
          <w:sz w:val="16"/>
          <w:szCs w:val="16"/>
          <w:u w:val="single" w:color="auto"/>
          <w:color w:val="auto"/>
        </w:rPr>
        <w:t>Purchased Shares</w:t>
      </w:r>
      <w:r>
        <w:rPr>
          <w:rFonts w:ascii="Arial" w:cs="Arial" w:eastAsia="Arial" w:hAnsi="Arial"/>
          <w:sz w:val="16"/>
          <w:szCs w:val="16"/>
          <w:color w:val="auto"/>
        </w:rPr>
        <w:t>”) at the Per Share Purchase Price (as defined below), which at delivery by each of the Sellers to the Purchaser shall be free and clear of any and all mortgages, pledges, encumbrances, liens, security interests, options, charges, claims, deeds of trust, deeds to secure debt, title retention agreements, rights of first refusal or offer, limitations on voting rights, proxies, voting agreements, stop transfer instructions or limitations on transfer or other agreements or claims of any kind or nature whatsoever, other than those imposed by applicable federal and state securities laws (collectively, “</w:t>
      </w:r>
      <w:r>
        <w:rPr>
          <w:rFonts w:ascii="Arial" w:cs="Arial" w:eastAsia="Arial" w:hAnsi="Arial"/>
          <w:sz w:val="16"/>
          <w:szCs w:val="16"/>
          <w:u w:val="single" w:color="auto"/>
          <w:color w:val="auto"/>
        </w:rPr>
        <w:t>Liens</w:t>
      </w:r>
      <w:r>
        <w:rPr>
          <w:rFonts w:ascii="Arial" w:cs="Arial" w:eastAsia="Arial" w:hAnsi="Arial"/>
          <w:sz w:val="16"/>
          <w:szCs w:val="16"/>
          <w:color w:val="auto"/>
        </w:rPr>
        <w:t>”).</w:t>
      </w:r>
    </w:p>
    <w:p>
      <w:pPr>
        <w:spacing w:after="0" w:line="166" w:lineRule="exact"/>
        <w:rPr>
          <w:sz w:val="20"/>
          <w:szCs w:val="20"/>
          <w:color w:val="auto"/>
        </w:rPr>
      </w:pPr>
    </w:p>
    <w:p>
      <w:pPr>
        <w:ind w:right="20" w:firstLine="1296"/>
        <w:spacing w:after="0" w:line="259" w:lineRule="auto"/>
        <w:rPr>
          <w:sz w:val="20"/>
          <w:szCs w:val="20"/>
          <w:color w:val="auto"/>
        </w:rPr>
      </w:pPr>
      <w:r>
        <w:rPr>
          <w:rFonts w:ascii="Arial" w:cs="Arial" w:eastAsia="Arial" w:hAnsi="Arial"/>
          <w:sz w:val="18"/>
          <w:szCs w:val="18"/>
          <w:color w:val="auto"/>
        </w:rPr>
        <w:t xml:space="preserve">Section 1.2 </w:t>
      </w:r>
      <w:r>
        <w:rPr>
          <w:rFonts w:ascii="Arial" w:cs="Arial" w:eastAsia="Arial" w:hAnsi="Arial"/>
          <w:sz w:val="18"/>
          <w:szCs w:val="18"/>
          <w:u w:val="single" w:color="auto"/>
          <w:color w:val="auto"/>
        </w:rPr>
        <w:t>Purchase Price</w:t>
      </w:r>
      <w:r>
        <w:rPr>
          <w:rFonts w:ascii="Arial" w:cs="Arial" w:eastAsia="Arial" w:hAnsi="Arial"/>
          <w:sz w:val="18"/>
          <w:szCs w:val="18"/>
          <w:color w:val="auto"/>
        </w:rPr>
        <w:t>. Upon the terms and subject to the conditions of this Agreement, in consideration of the aforesaid sale, conveyance, assignment, transfer and delivery of the Purchased Shares to the Purchaser, the Purchaser shall pay to each Seller for each Purchased Share to be purchased from such Seller a price per Purchased Share of $3.19 (the “</w:t>
      </w:r>
      <w:r>
        <w:rPr>
          <w:rFonts w:ascii="Arial" w:cs="Arial" w:eastAsia="Arial" w:hAnsi="Arial"/>
          <w:sz w:val="18"/>
          <w:szCs w:val="18"/>
          <w:u w:val="single" w:color="auto"/>
          <w:color w:val="auto"/>
        </w:rPr>
        <w:t>Per Share Purchase Price</w:t>
      </w:r>
      <w:r>
        <w:rPr>
          <w:rFonts w:ascii="Arial" w:cs="Arial" w:eastAsia="Arial" w:hAnsi="Arial"/>
          <w:sz w:val="18"/>
          <w:szCs w:val="18"/>
          <w:color w:val="auto"/>
        </w:rPr>
        <w:t>”), for an aggregate purchase price of $8,847,398.01 (the “</w:t>
      </w:r>
      <w:r>
        <w:rPr>
          <w:rFonts w:ascii="Arial" w:cs="Arial" w:eastAsia="Arial" w:hAnsi="Arial"/>
          <w:sz w:val="18"/>
          <w:szCs w:val="18"/>
          <w:u w:val="single" w:color="auto"/>
          <w:color w:val="auto"/>
        </w:rPr>
        <w:t>Aggregate Purchase Price</w:t>
      </w:r>
      <w:r>
        <w:rPr>
          <w:rFonts w:ascii="Arial" w:cs="Arial" w:eastAsia="Arial" w:hAnsi="Arial"/>
          <w:sz w:val="18"/>
          <w:szCs w:val="18"/>
          <w:color w:val="auto"/>
        </w:rPr>
        <w:t>”), in immediately available cash.</w:t>
      </w:r>
    </w:p>
    <w:p>
      <w:pPr>
        <w:spacing w:after="0" w:line="187" w:lineRule="exact"/>
        <w:rPr>
          <w:sz w:val="20"/>
          <w:szCs w:val="20"/>
          <w:color w:val="auto"/>
        </w:rPr>
      </w:pPr>
    </w:p>
    <w:p>
      <w:pPr>
        <w:ind w:right="140" w:firstLine="1296"/>
        <w:spacing w:after="0" w:line="286" w:lineRule="auto"/>
        <w:rPr>
          <w:sz w:val="20"/>
          <w:szCs w:val="20"/>
          <w:color w:val="auto"/>
        </w:rPr>
      </w:pPr>
      <w:r>
        <w:rPr>
          <w:rFonts w:ascii="Arial" w:cs="Arial" w:eastAsia="Arial" w:hAnsi="Arial"/>
          <w:sz w:val="17"/>
          <w:szCs w:val="17"/>
          <w:color w:val="auto"/>
        </w:rPr>
        <w:t xml:space="preserve">Section 1.3 </w:t>
      </w:r>
      <w:r>
        <w:rPr>
          <w:rFonts w:ascii="Arial" w:cs="Arial" w:eastAsia="Arial" w:hAnsi="Arial"/>
          <w:sz w:val="17"/>
          <w:szCs w:val="17"/>
          <w:u w:val="single" w:color="auto"/>
          <w:color w:val="auto"/>
        </w:rPr>
        <w:t>Expenses</w:t>
      </w:r>
      <w:r>
        <w:rPr>
          <w:rFonts w:ascii="Arial" w:cs="Arial" w:eastAsia="Arial" w:hAnsi="Arial"/>
          <w:sz w:val="17"/>
          <w:szCs w:val="17"/>
          <w:color w:val="auto"/>
        </w:rPr>
        <w:t>. Except as expressly set forth in this Agreement, all fees and expenses incurred by each party hereto in connection with the matters contemplated by this Agreement shall be borne by the party incurring such fee or expense, including, without limitation, the fees and expenses of any investment banks, attorneys, accountants or other experts or advisors retained by such party.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405765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ind w:right="300" w:firstLine="1296"/>
        <w:spacing w:after="0" w:line="255" w:lineRule="auto"/>
        <w:rPr>
          <w:sz w:val="20"/>
          <w:szCs w:val="20"/>
          <w:color w:val="auto"/>
        </w:rPr>
      </w:pPr>
      <w:r>
        <w:rPr>
          <w:rFonts w:ascii="Arial" w:cs="Arial" w:eastAsia="Arial" w:hAnsi="Arial"/>
          <w:sz w:val="18"/>
          <w:szCs w:val="18"/>
          <w:color w:val="auto"/>
        </w:rPr>
        <w:t xml:space="preserve">Section 1.4 </w:t>
      </w:r>
      <w:r>
        <w:rPr>
          <w:rFonts w:ascii="Arial" w:cs="Arial" w:eastAsia="Arial" w:hAnsi="Arial"/>
          <w:sz w:val="18"/>
          <w:szCs w:val="18"/>
          <w:u w:val="single" w:color="auto"/>
          <w:color w:val="auto"/>
        </w:rPr>
        <w:t>Closing</w:t>
      </w:r>
      <w:r>
        <w:rPr>
          <w:rFonts w:ascii="Arial" w:cs="Arial" w:eastAsia="Arial" w:hAnsi="Arial"/>
          <w:sz w:val="18"/>
          <w:szCs w:val="18"/>
          <w:color w:val="auto"/>
        </w:rPr>
        <w:t>. The settlement of the transactions contemplated by this Agreement (the “</w:t>
      </w:r>
      <w:r>
        <w:rPr>
          <w:rFonts w:ascii="Arial" w:cs="Arial" w:eastAsia="Arial" w:hAnsi="Arial"/>
          <w:sz w:val="18"/>
          <w:szCs w:val="18"/>
          <w:u w:val="single" w:color="auto"/>
          <w:color w:val="auto"/>
        </w:rPr>
        <w:t>Closing</w:t>
      </w:r>
      <w:r>
        <w:rPr>
          <w:rFonts w:ascii="Arial" w:cs="Arial" w:eastAsia="Arial" w:hAnsi="Arial"/>
          <w:sz w:val="18"/>
          <w:szCs w:val="18"/>
          <w:color w:val="auto"/>
        </w:rPr>
        <w:t>”) shall take place at 12:00 pm (New York time) on May 24, 2021 or such other time and date as the parties mutually agree (the “</w:t>
      </w:r>
      <w:r>
        <w:rPr>
          <w:rFonts w:ascii="Arial" w:cs="Arial" w:eastAsia="Arial" w:hAnsi="Arial"/>
          <w:sz w:val="18"/>
          <w:szCs w:val="18"/>
          <w:u w:val="single" w:color="auto"/>
          <w:color w:val="auto"/>
        </w:rPr>
        <w:t>Closing Date</w:t>
      </w:r>
      <w:r>
        <w:rPr>
          <w:rFonts w:ascii="Arial" w:cs="Arial" w:eastAsia="Arial" w:hAnsi="Arial"/>
          <w:sz w:val="18"/>
          <w:szCs w:val="18"/>
          <w:color w:val="auto"/>
        </w:rPr>
        <w:t>”), provided that the obligations of the Sellers and Purchaser to consummate the transactions contemplated by this Agreement shall be conditioned on there being no injunction or other order, judgment, law, regulation, decree or ruling or other legal restraint or prohibition having been issued, enacted or promulgated by a court or other governmental authority of competent jurisdiction that would have the effect of prohibiting or preventing the consummation of the transactions contemplated hereunder.</w:t>
      </w:r>
    </w:p>
    <w:p>
      <w:pPr>
        <w:spacing w:after="0" w:line="19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 xml:space="preserve">Section 1.5 </w:t>
      </w:r>
      <w:r>
        <w:rPr>
          <w:rFonts w:ascii="Arial" w:cs="Arial" w:eastAsia="Arial" w:hAnsi="Arial"/>
          <w:sz w:val="18"/>
          <w:szCs w:val="18"/>
          <w:u w:val="single" w:color="auto"/>
          <w:color w:val="auto"/>
        </w:rPr>
        <w:t>Closing Delivery</w:t>
      </w:r>
      <w:r>
        <w:rPr>
          <w:rFonts w:ascii="Arial" w:cs="Arial" w:eastAsia="Arial" w:hAnsi="Arial"/>
          <w:sz w:val="18"/>
          <w:szCs w:val="18"/>
          <w:color w:val="auto"/>
        </w:rPr>
        <w:t>.</w:t>
      </w:r>
    </w:p>
    <w:p>
      <w:pPr>
        <w:spacing w:after="0" w:line="225" w:lineRule="exact"/>
        <w:rPr>
          <w:sz w:val="20"/>
          <w:szCs w:val="20"/>
          <w:color w:val="auto"/>
        </w:rPr>
      </w:pPr>
    </w:p>
    <w:p>
      <w:pPr>
        <w:ind w:right="20" w:firstLine="1952"/>
        <w:spacing w:after="0" w:line="296" w:lineRule="auto"/>
        <w:tabs>
          <w:tab w:leader="none" w:pos="2189" w:val="left"/>
        </w:tabs>
        <w:numPr>
          <w:ilvl w:val="0"/>
          <w:numId w:val="10"/>
        </w:numPr>
        <w:rPr>
          <w:rFonts w:ascii="Arial" w:cs="Arial" w:eastAsia="Arial" w:hAnsi="Arial"/>
          <w:sz w:val="16"/>
          <w:szCs w:val="16"/>
          <w:color w:val="auto"/>
        </w:rPr>
      </w:pPr>
      <w:r>
        <w:rPr>
          <w:rFonts w:ascii="Arial" w:cs="Arial" w:eastAsia="Arial" w:hAnsi="Arial"/>
          <w:sz w:val="16"/>
          <w:szCs w:val="16"/>
          <w:color w:val="auto"/>
        </w:rPr>
        <w:t xml:space="preserve">At the Closing, in accordance with </w:t>
      </w:r>
      <w:r>
        <w:rPr>
          <w:rFonts w:ascii="Arial" w:cs="Arial" w:eastAsia="Arial" w:hAnsi="Arial"/>
          <w:sz w:val="16"/>
          <w:szCs w:val="16"/>
          <w:u w:val="single" w:color="auto"/>
          <w:color w:val="auto"/>
        </w:rPr>
        <w:t>Section 1.1</w:t>
      </w:r>
      <w:r>
        <w:rPr>
          <w:rFonts w:ascii="Arial" w:cs="Arial" w:eastAsia="Arial" w:hAnsi="Arial"/>
          <w:sz w:val="16"/>
          <w:szCs w:val="16"/>
          <w:color w:val="auto"/>
        </w:rPr>
        <w:t xml:space="preserve"> hereof, Sellers shall, severally and not jointly, deliver or cause its broker(s) to deliver the Purchased Shares to the Purchaser’s broker through the facilities of the Depository Trust Company’s DWAC system. At or prior to the Closing Date, Purchaser shall deliver a letter to Sellers and Purchaser or their brokers, in a form reasonably acceptable to Sellers, which letter shall include all necessary information for Sellers and/or its brokers to deliver the Purchased Shares via DWAC, including the Purchaser’s broker name, DTC number, account number, phone number and number of Purchased Shares to be so transferred, instructing Purchaser’s broker to accept the DWAC.</w:t>
      </w:r>
    </w:p>
    <w:p>
      <w:pPr>
        <w:spacing w:after="0" w:line="161" w:lineRule="exact"/>
        <w:rPr>
          <w:rFonts w:ascii="Arial" w:cs="Arial" w:eastAsia="Arial" w:hAnsi="Arial"/>
          <w:sz w:val="16"/>
          <w:szCs w:val="16"/>
          <w:color w:val="auto"/>
        </w:rPr>
      </w:pPr>
    </w:p>
    <w:p>
      <w:pPr>
        <w:ind w:firstLine="1952"/>
        <w:spacing w:after="0" w:line="263" w:lineRule="auto"/>
        <w:tabs>
          <w:tab w:leader="none" w:pos="2199" w:val="left"/>
        </w:tabs>
        <w:numPr>
          <w:ilvl w:val="0"/>
          <w:numId w:val="10"/>
        </w:numPr>
        <w:rPr>
          <w:rFonts w:ascii="Arial" w:cs="Arial" w:eastAsia="Arial" w:hAnsi="Arial"/>
          <w:sz w:val="18"/>
          <w:szCs w:val="18"/>
          <w:color w:val="auto"/>
        </w:rPr>
      </w:pPr>
      <w:r>
        <w:rPr>
          <w:rFonts w:ascii="Arial" w:cs="Arial" w:eastAsia="Arial" w:hAnsi="Arial"/>
          <w:sz w:val="18"/>
          <w:szCs w:val="18"/>
          <w:color w:val="auto"/>
        </w:rPr>
        <w:t xml:space="preserve">At the Closing, Purchaser shall deliver or cause to be delivered to each Seller the Aggregate Purchase Price to be paid to such Seller as set forth on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attached hereto, by wire transfer of immediately available funds to the account or accounts designated by the Sellers in writing prior to the Closing.</w:t>
      </w:r>
    </w:p>
    <w:p>
      <w:pPr>
        <w:spacing w:after="0" w:line="1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ARTICLE II</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u w:val="single" w:color="auto"/>
          <w:color w:val="auto"/>
        </w:rPr>
        <w:t>REPRESENTATIONS AND WARRANTIES OF SELLERS</w:t>
      </w:r>
    </w:p>
    <w:p>
      <w:pPr>
        <w:spacing w:after="0" w:line="225" w:lineRule="exact"/>
        <w:rPr>
          <w:sz w:val="20"/>
          <w:szCs w:val="20"/>
          <w:color w:val="auto"/>
        </w:rPr>
      </w:pPr>
    </w:p>
    <w:p>
      <w:pPr>
        <w:ind w:right="400" w:firstLine="648"/>
        <w:spacing w:after="0" w:line="277" w:lineRule="auto"/>
        <w:rPr>
          <w:sz w:val="20"/>
          <w:szCs w:val="20"/>
          <w:color w:val="auto"/>
        </w:rPr>
      </w:pPr>
      <w:r>
        <w:rPr>
          <w:rFonts w:ascii="Arial" w:cs="Arial" w:eastAsia="Arial" w:hAnsi="Arial"/>
          <w:sz w:val="18"/>
          <w:szCs w:val="18"/>
          <w:color w:val="auto"/>
        </w:rPr>
        <w:t>Each Seller, severally with respect to itself only and not with respect to any other such party, hereby makes the following representations and warranties to the Purchaser:</w:t>
      </w:r>
    </w:p>
    <w:p>
      <w:pPr>
        <w:spacing w:after="0" w:line="170" w:lineRule="exact"/>
        <w:rPr>
          <w:sz w:val="20"/>
          <w:szCs w:val="20"/>
          <w:color w:val="auto"/>
        </w:rPr>
      </w:pPr>
    </w:p>
    <w:p>
      <w:pPr>
        <w:ind w:right="60" w:firstLine="1296"/>
        <w:spacing w:after="0" w:line="259" w:lineRule="auto"/>
        <w:rPr>
          <w:sz w:val="20"/>
          <w:szCs w:val="20"/>
          <w:color w:val="auto"/>
        </w:rPr>
      </w:pPr>
      <w:r>
        <w:rPr>
          <w:rFonts w:ascii="Arial" w:cs="Arial" w:eastAsia="Arial" w:hAnsi="Arial"/>
          <w:sz w:val="18"/>
          <w:szCs w:val="18"/>
          <w:color w:val="auto"/>
        </w:rPr>
        <w:t xml:space="preserve">Section 2.1 </w:t>
      </w:r>
      <w:r>
        <w:rPr>
          <w:rFonts w:ascii="Arial" w:cs="Arial" w:eastAsia="Arial" w:hAnsi="Arial"/>
          <w:sz w:val="18"/>
          <w:szCs w:val="18"/>
          <w:u w:val="single" w:color="auto"/>
          <w:color w:val="auto"/>
        </w:rPr>
        <w:t>Existence; Authority</w:t>
      </w:r>
      <w:r>
        <w:rPr>
          <w:rFonts w:ascii="Arial" w:cs="Arial" w:eastAsia="Arial" w:hAnsi="Arial"/>
          <w:sz w:val="18"/>
          <w:szCs w:val="18"/>
          <w:color w:val="auto"/>
        </w:rPr>
        <w:t>. The Seller is duly organized, validly existing and in good standing under the laws of the jurisdiction of its organization. The Seller has all requisite power and authority to execute and deliver this Agreement, to perform its obligations hereunder and to consummate the transactions contemplated hereby and has taken all necessary action to authorize the execution, delivery and performance of this Agreement.</w:t>
      </w:r>
    </w:p>
    <w:p>
      <w:pPr>
        <w:spacing w:after="0" w:line="187" w:lineRule="exact"/>
        <w:rPr>
          <w:sz w:val="20"/>
          <w:szCs w:val="20"/>
          <w:color w:val="auto"/>
        </w:rPr>
      </w:pPr>
    </w:p>
    <w:p>
      <w:pPr>
        <w:ind w:right="80" w:firstLine="1296"/>
        <w:spacing w:after="0" w:line="259" w:lineRule="auto"/>
        <w:rPr>
          <w:sz w:val="20"/>
          <w:szCs w:val="20"/>
          <w:color w:val="auto"/>
        </w:rPr>
      </w:pPr>
      <w:r>
        <w:rPr>
          <w:rFonts w:ascii="Arial" w:cs="Arial" w:eastAsia="Arial" w:hAnsi="Arial"/>
          <w:sz w:val="18"/>
          <w:szCs w:val="18"/>
          <w:color w:val="auto"/>
        </w:rPr>
        <w:t xml:space="preserve">Section 2.2 </w:t>
      </w:r>
      <w:r>
        <w:rPr>
          <w:rFonts w:ascii="Arial" w:cs="Arial" w:eastAsia="Arial" w:hAnsi="Arial"/>
          <w:sz w:val="18"/>
          <w:szCs w:val="18"/>
          <w:u w:val="single" w:color="auto"/>
          <w:color w:val="auto"/>
        </w:rPr>
        <w:t>Enforceability</w:t>
      </w:r>
      <w:r>
        <w:rPr>
          <w:rFonts w:ascii="Arial" w:cs="Arial" w:eastAsia="Arial" w:hAnsi="Arial"/>
          <w:sz w:val="18"/>
          <w:szCs w:val="18"/>
          <w:color w:val="auto"/>
        </w:rPr>
        <w:t>. This Agreement has been duly and validly executed and delivered by the Seller, and, assuming due and valid authorization, execution and delivery by the Purchaser, this Agreement constitutes the legal, valid and binding obligation of the Seller, enforceable against such person in accordance with its terms, except as such enforceability may be affected by bankruptcy, insolvency, moratorium and other similar laws relating to or affecting creditors’ rights generally and general equitable principles.</w:t>
      </w:r>
    </w:p>
    <w:p>
      <w:pPr>
        <w:spacing w:after="0" w:line="395"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908" w:right="379" w:bottom="1440" w:gutter="0" w:footer="0" w:header="0"/>
        </w:sectPr>
      </w:pPr>
    </w:p>
    <w:bookmarkStart w:id="9" w:name="page10"/>
    <w:bookmarkEnd w:id="9"/>
    <w:p>
      <w:pPr>
        <w:ind w:right="160" w:firstLine="1296"/>
        <w:spacing w:after="0" w:line="286" w:lineRule="auto"/>
        <w:rPr>
          <w:sz w:val="20"/>
          <w:szCs w:val="20"/>
          <w:color w:val="auto"/>
        </w:rPr>
      </w:pPr>
      <w:r>
        <w:rPr>
          <w:rFonts w:ascii="Arial" w:cs="Arial" w:eastAsia="Arial" w:hAnsi="Arial"/>
          <w:sz w:val="17"/>
          <w:szCs w:val="17"/>
          <w:color w:val="auto"/>
        </w:rPr>
        <w:t xml:space="preserve">Section 2.3 </w:t>
      </w:r>
      <w:r>
        <w:rPr>
          <w:rFonts w:ascii="Arial" w:cs="Arial" w:eastAsia="Arial" w:hAnsi="Arial"/>
          <w:sz w:val="17"/>
          <w:szCs w:val="17"/>
          <w:u w:val="single" w:color="auto"/>
          <w:color w:val="auto"/>
        </w:rPr>
        <w:t>Ownership</w:t>
      </w:r>
      <w:r>
        <w:rPr>
          <w:rFonts w:ascii="Arial" w:cs="Arial" w:eastAsia="Arial" w:hAnsi="Arial"/>
          <w:sz w:val="17"/>
          <w:szCs w:val="17"/>
          <w:color w:val="auto"/>
        </w:rPr>
        <w:t xml:space="preserve">. The Seller is the beneficial owner of the Purchased Shares identified in </w:t>
      </w:r>
      <w:r>
        <w:rPr>
          <w:rFonts w:ascii="Arial" w:cs="Arial" w:eastAsia="Arial" w:hAnsi="Arial"/>
          <w:sz w:val="17"/>
          <w:szCs w:val="17"/>
          <w:u w:val="single" w:color="auto"/>
          <w:color w:val="auto"/>
        </w:rPr>
        <w:t>Exhibit A</w:t>
      </w:r>
      <w:r>
        <w:rPr>
          <w:rFonts w:ascii="Arial" w:cs="Arial" w:eastAsia="Arial" w:hAnsi="Arial"/>
          <w:sz w:val="17"/>
          <w:szCs w:val="17"/>
          <w:color w:val="auto"/>
        </w:rPr>
        <w:t xml:space="preserve"> attached hereto free and clear of any and all Liens. The Seller has full power and authority to transfer full legal ownership of such Purchased Shares to Purchaser, and the Seller is not required to obtain the approval of any person or governmental agency or organization to effect the sale of such Purchased Shares.</w:t>
      </w:r>
    </w:p>
    <w:p>
      <w:pPr>
        <w:spacing w:after="0" w:line="165" w:lineRule="exact"/>
        <w:rPr>
          <w:sz w:val="20"/>
          <w:szCs w:val="20"/>
          <w:color w:val="auto"/>
        </w:rPr>
      </w:pPr>
    </w:p>
    <w:p>
      <w:pPr>
        <w:ind w:right="20" w:firstLine="1296"/>
        <w:spacing w:after="0" w:line="259" w:lineRule="auto"/>
        <w:rPr>
          <w:sz w:val="20"/>
          <w:szCs w:val="20"/>
          <w:color w:val="auto"/>
        </w:rPr>
      </w:pPr>
      <w:r>
        <w:rPr>
          <w:rFonts w:ascii="Arial" w:cs="Arial" w:eastAsia="Arial" w:hAnsi="Arial"/>
          <w:sz w:val="18"/>
          <w:szCs w:val="18"/>
          <w:color w:val="auto"/>
        </w:rPr>
        <w:t xml:space="preserve">Section 2.4 </w:t>
      </w:r>
      <w:r>
        <w:rPr>
          <w:rFonts w:ascii="Arial" w:cs="Arial" w:eastAsia="Arial" w:hAnsi="Arial"/>
          <w:sz w:val="18"/>
          <w:szCs w:val="18"/>
          <w:u w:val="single" w:color="auto"/>
          <w:color w:val="auto"/>
        </w:rPr>
        <w:t>Absence of Litigation</w:t>
      </w:r>
      <w:r>
        <w:rPr>
          <w:rFonts w:ascii="Arial" w:cs="Arial" w:eastAsia="Arial" w:hAnsi="Arial"/>
          <w:sz w:val="18"/>
          <w:szCs w:val="18"/>
          <w:color w:val="auto"/>
        </w:rPr>
        <w:t>. There is no suit, action, investigation or proceeding pending or, to the knowledge of the Seller, threatened against the Seller that would impair the ability of Seller, to perform its obligations hereunder or to consummate the transactions contemplated hereby. The Seller is not in bankruptcy under the United States Bankruptcy Code and, to the knowledge of the Seller, no filings for bankruptcy of the Seller are contemplated or threatened.</w:t>
      </w:r>
    </w:p>
    <w:p>
      <w:pPr>
        <w:spacing w:after="0" w:line="187" w:lineRule="exact"/>
        <w:rPr>
          <w:sz w:val="20"/>
          <w:szCs w:val="20"/>
          <w:color w:val="auto"/>
        </w:rPr>
      </w:pPr>
    </w:p>
    <w:p>
      <w:pPr>
        <w:ind w:right="80" w:firstLine="1296"/>
        <w:spacing w:after="0" w:line="263" w:lineRule="auto"/>
        <w:rPr>
          <w:sz w:val="20"/>
          <w:szCs w:val="20"/>
          <w:color w:val="auto"/>
        </w:rPr>
      </w:pPr>
      <w:r>
        <w:rPr>
          <w:rFonts w:ascii="Arial" w:cs="Arial" w:eastAsia="Arial" w:hAnsi="Arial"/>
          <w:sz w:val="18"/>
          <w:szCs w:val="18"/>
          <w:color w:val="auto"/>
        </w:rPr>
        <w:t xml:space="preserve">Section 2.5 </w:t>
      </w:r>
      <w:r>
        <w:rPr>
          <w:rFonts w:ascii="Arial" w:cs="Arial" w:eastAsia="Arial" w:hAnsi="Arial"/>
          <w:sz w:val="18"/>
          <w:szCs w:val="18"/>
          <w:u w:val="single" w:color="auto"/>
          <w:color w:val="auto"/>
        </w:rPr>
        <w:t>Information</w:t>
      </w:r>
      <w:r>
        <w:rPr>
          <w:rFonts w:ascii="Arial" w:cs="Arial" w:eastAsia="Arial" w:hAnsi="Arial"/>
          <w:sz w:val="18"/>
          <w:szCs w:val="18"/>
          <w:color w:val="auto"/>
        </w:rPr>
        <w:t>. The Seller represents that it is not aware of material, nonpublic information with respect to the Company or any securities of the Company (including the Purchased Shares). The Seller further represents and warrants that its sale of the Purchased Shares is either in compliance with or not subject to the Company’s insider trading policies.</w:t>
      </w:r>
    </w:p>
    <w:p>
      <w:pPr>
        <w:spacing w:after="0" w:line="184" w:lineRule="exact"/>
        <w:rPr>
          <w:sz w:val="20"/>
          <w:szCs w:val="20"/>
          <w:color w:val="auto"/>
        </w:rPr>
      </w:pPr>
    </w:p>
    <w:p>
      <w:pPr>
        <w:ind w:right="100" w:firstLine="1296"/>
        <w:spacing w:after="0" w:line="257" w:lineRule="auto"/>
        <w:rPr>
          <w:sz w:val="20"/>
          <w:szCs w:val="20"/>
          <w:color w:val="auto"/>
        </w:rPr>
      </w:pPr>
      <w:r>
        <w:rPr>
          <w:rFonts w:ascii="Arial" w:cs="Arial" w:eastAsia="Arial" w:hAnsi="Arial"/>
          <w:sz w:val="18"/>
          <w:szCs w:val="18"/>
          <w:color w:val="auto"/>
        </w:rPr>
        <w:t xml:space="preserve">Section 2.6 </w:t>
      </w:r>
      <w:r>
        <w:rPr>
          <w:rFonts w:ascii="Arial" w:cs="Arial" w:eastAsia="Arial" w:hAnsi="Arial"/>
          <w:sz w:val="18"/>
          <w:szCs w:val="18"/>
          <w:u w:val="single" w:color="auto"/>
          <w:color w:val="auto"/>
        </w:rPr>
        <w:t>Other Acknowledgements</w:t>
      </w:r>
      <w:r>
        <w:rPr>
          <w:rFonts w:ascii="Arial" w:cs="Arial" w:eastAsia="Arial" w:hAnsi="Arial"/>
          <w:sz w:val="18"/>
          <w:szCs w:val="18"/>
          <w:color w:val="auto"/>
        </w:rPr>
        <w:t>. The Seller represents that it is a sophisticated investor. The Seller further represents that it has adequate information concerning the business and financial condition of the Company to make an informed decision regarding the sale of the Purchased Shares and has, independently and without reliance upon Purchaser, made its own analysis and decision to sell the Purchased Shares. The Seller acknowledges that none of Purchaser or any of its Affiliates has made or makes any representations or warranties, whether express or implied, of any kind except as expressly set forth in this Agreement.</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III</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REPRESENTATIONS AND WARRANTIES OF</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PURCHASER</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Purchaser makes the following representations and warranties to the Sellers:</w:t>
      </w:r>
    </w:p>
    <w:p>
      <w:pPr>
        <w:spacing w:after="0" w:line="225" w:lineRule="exact"/>
        <w:rPr>
          <w:sz w:val="20"/>
          <w:szCs w:val="20"/>
          <w:color w:val="auto"/>
        </w:rPr>
      </w:pPr>
    </w:p>
    <w:p>
      <w:pPr>
        <w:ind w:firstLine="1296"/>
        <w:spacing w:after="0" w:line="259" w:lineRule="auto"/>
        <w:rPr>
          <w:sz w:val="20"/>
          <w:szCs w:val="20"/>
          <w:color w:val="auto"/>
        </w:rPr>
      </w:pPr>
      <w:r>
        <w:rPr>
          <w:rFonts w:ascii="Arial" w:cs="Arial" w:eastAsia="Arial" w:hAnsi="Arial"/>
          <w:sz w:val="18"/>
          <w:szCs w:val="18"/>
          <w:color w:val="auto"/>
        </w:rPr>
        <w:t xml:space="preserve">Section 3.1 </w:t>
      </w:r>
      <w:r>
        <w:rPr>
          <w:rFonts w:ascii="Arial" w:cs="Arial" w:eastAsia="Arial" w:hAnsi="Arial"/>
          <w:sz w:val="18"/>
          <w:szCs w:val="18"/>
          <w:u w:val="single" w:color="auto"/>
          <w:color w:val="auto"/>
        </w:rPr>
        <w:t>Existence; Authority</w:t>
      </w:r>
      <w:r>
        <w:rPr>
          <w:rFonts w:ascii="Arial" w:cs="Arial" w:eastAsia="Arial" w:hAnsi="Arial"/>
          <w:sz w:val="18"/>
          <w:szCs w:val="18"/>
          <w:color w:val="auto"/>
        </w:rPr>
        <w:t>. The Purchaser is duly organized, validly existing and in good standing under the laws of the jurisdiction of its organization. The Purchaser has all requisite power and authority to execute and deliver this Agreement, to perform its obligations hereunder and to consummate the transactions contemplated hereby and has taken all necessary action to authorize the execution, delivery and performance of this Agreement.</w:t>
      </w:r>
    </w:p>
    <w:p>
      <w:pPr>
        <w:spacing w:after="0" w:line="187" w:lineRule="exact"/>
        <w:rPr>
          <w:sz w:val="20"/>
          <w:szCs w:val="20"/>
          <w:color w:val="auto"/>
        </w:rPr>
      </w:pPr>
    </w:p>
    <w:p>
      <w:pPr>
        <w:ind w:right="40" w:firstLine="1296"/>
        <w:spacing w:after="0" w:line="259" w:lineRule="auto"/>
        <w:rPr>
          <w:sz w:val="20"/>
          <w:szCs w:val="20"/>
          <w:color w:val="auto"/>
        </w:rPr>
      </w:pPr>
      <w:r>
        <w:rPr>
          <w:rFonts w:ascii="Arial" w:cs="Arial" w:eastAsia="Arial" w:hAnsi="Arial"/>
          <w:sz w:val="18"/>
          <w:szCs w:val="18"/>
          <w:color w:val="auto"/>
        </w:rPr>
        <w:t xml:space="preserve">Section 3.2 </w:t>
      </w:r>
      <w:r>
        <w:rPr>
          <w:rFonts w:ascii="Arial" w:cs="Arial" w:eastAsia="Arial" w:hAnsi="Arial"/>
          <w:sz w:val="18"/>
          <w:szCs w:val="18"/>
          <w:u w:val="single" w:color="auto"/>
          <w:color w:val="auto"/>
        </w:rPr>
        <w:t>Enforceability</w:t>
      </w:r>
      <w:r>
        <w:rPr>
          <w:rFonts w:ascii="Arial" w:cs="Arial" w:eastAsia="Arial" w:hAnsi="Arial"/>
          <w:sz w:val="18"/>
          <w:szCs w:val="18"/>
          <w:color w:val="auto"/>
        </w:rPr>
        <w:t>. This Agreement has been duly and validly executed and delivered by the Purchaser and, assuming due and valid authorization, execution and delivery by the Sellers, this Agreement constitutes the legal, valid and binding obligation of the Purchaser, enforceable against it in accordance with its terms, except as such enforceability may be affected by bankruptcy, insolvency, moratorium and other similar laws relating to or affecting creditors’ rights generally and general equitable principles.</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10" w:name="page11"/>
    <w:bookmarkEnd w:id="10"/>
    <w:p>
      <w:pPr>
        <w:ind w:right="280" w:firstLine="1296"/>
        <w:spacing w:after="0" w:line="263" w:lineRule="auto"/>
        <w:rPr>
          <w:sz w:val="20"/>
          <w:szCs w:val="20"/>
          <w:color w:val="auto"/>
        </w:rPr>
      </w:pPr>
      <w:r>
        <w:rPr>
          <w:rFonts w:ascii="Arial" w:cs="Arial" w:eastAsia="Arial" w:hAnsi="Arial"/>
          <w:sz w:val="18"/>
          <w:szCs w:val="18"/>
          <w:color w:val="auto"/>
        </w:rPr>
        <w:t xml:space="preserve">Section 3.3 </w:t>
      </w:r>
      <w:r>
        <w:rPr>
          <w:rFonts w:ascii="Arial" w:cs="Arial" w:eastAsia="Arial" w:hAnsi="Arial"/>
          <w:sz w:val="18"/>
          <w:szCs w:val="18"/>
          <w:u w:val="single" w:color="auto"/>
          <w:color w:val="auto"/>
        </w:rPr>
        <w:t>Absence of Litigation</w:t>
      </w:r>
      <w:r>
        <w:rPr>
          <w:rFonts w:ascii="Arial" w:cs="Arial" w:eastAsia="Arial" w:hAnsi="Arial"/>
          <w:sz w:val="18"/>
          <w:szCs w:val="18"/>
          <w:color w:val="auto"/>
        </w:rPr>
        <w:t>. There is no suit, action, investigation or proceeding pending or, to the knowledge of the Purchaser, threatened against such party that could impair the ability of the Purchaser to perform its obligations hereunder or to consummate the transactions contemplated hereby.</w:t>
      </w:r>
    </w:p>
    <w:p>
      <w:pPr>
        <w:spacing w:after="0" w:line="184" w:lineRule="exact"/>
        <w:rPr>
          <w:sz w:val="20"/>
          <w:szCs w:val="20"/>
          <w:color w:val="auto"/>
        </w:rPr>
      </w:pPr>
    </w:p>
    <w:p>
      <w:pPr>
        <w:ind w:right="100" w:firstLine="1296"/>
        <w:spacing w:after="0" w:line="296" w:lineRule="auto"/>
        <w:rPr>
          <w:sz w:val="20"/>
          <w:szCs w:val="20"/>
          <w:color w:val="auto"/>
        </w:rPr>
      </w:pPr>
      <w:r>
        <w:rPr>
          <w:rFonts w:ascii="Arial" w:cs="Arial" w:eastAsia="Arial" w:hAnsi="Arial"/>
          <w:sz w:val="16"/>
          <w:szCs w:val="16"/>
          <w:color w:val="auto"/>
        </w:rPr>
        <w:t xml:space="preserve">Section 3.4 </w:t>
      </w:r>
      <w:r>
        <w:rPr>
          <w:rFonts w:ascii="Arial" w:cs="Arial" w:eastAsia="Arial" w:hAnsi="Arial"/>
          <w:sz w:val="16"/>
          <w:szCs w:val="16"/>
          <w:u w:val="single" w:color="auto"/>
          <w:color w:val="auto"/>
        </w:rPr>
        <w:t>Other Acknowledgments</w:t>
      </w:r>
      <w:r>
        <w:rPr>
          <w:rFonts w:ascii="Arial" w:cs="Arial" w:eastAsia="Arial" w:hAnsi="Arial"/>
          <w:sz w:val="16"/>
          <w:szCs w:val="16"/>
          <w:color w:val="auto"/>
        </w:rPr>
        <w:t>. The Purchaser represents that it is a sophisticated investor. The Purchaser further represents that it has adequate information concerning the business and financial condition of the Company to make an informed decision regarding the purchase of the Purchased Shares and has, independently and without reliance upon the Seller, made its own analysis and decision to purchase the Purchased Shares. The Purchaser acknowledges that neither the Sellers nor any of their respective partners, managers, directors, officers, subsidiaries or Affiliates has made or makes any representations or warranties, whether express or implied, of any kind except as expressly set forth in this Agreement.</w:t>
      </w:r>
    </w:p>
    <w:p>
      <w:pPr>
        <w:spacing w:after="0" w:line="161" w:lineRule="exact"/>
        <w:rPr>
          <w:sz w:val="20"/>
          <w:szCs w:val="20"/>
          <w:color w:val="auto"/>
        </w:rPr>
      </w:pPr>
    </w:p>
    <w:p>
      <w:pPr>
        <w:ind w:firstLine="1296"/>
        <w:spacing w:after="0" w:line="257" w:lineRule="auto"/>
        <w:rPr>
          <w:sz w:val="20"/>
          <w:szCs w:val="20"/>
          <w:color w:val="auto"/>
        </w:rPr>
      </w:pPr>
      <w:r>
        <w:rPr>
          <w:rFonts w:ascii="Arial" w:cs="Arial" w:eastAsia="Arial" w:hAnsi="Arial"/>
          <w:sz w:val="18"/>
          <w:szCs w:val="18"/>
          <w:color w:val="auto"/>
        </w:rPr>
        <w:t xml:space="preserve">Section 3.5 </w:t>
      </w:r>
      <w:r>
        <w:rPr>
          <w:rFonts w:ascii="Arial" w:cs="Arial" w:eastAsia="Arial" w:hAnsi="Arial"/>
          <w:sz w:val="18"/>
          <w:szCs w:val="18"/>
          <w:u w:val="single" w:color="auto"/>
          <w:color w:val="auto"/>
        </w:rPr>
        <w:t>Restricted Securities</w:t>
      </w:r>
      <w:r>
        <w:rPr>
          <w:rFonts w:ascii="Arial" w:cs="Arial" w:eastAsia="Arial" w:hAnsi="Arial"/>
          <w:sz w:val="18"/>
          <w:szCs w:val="18"/>
          <w:color w:val="auto"/>
        </w:rPr>
        <w:t>. The Purchaser understands that the Purchased Shares are or may be characterized as “restricted securities” under the federal securities laws inasmuch as they are securities acquired in a transaction not involving a public offering and that under such laws and applicable regulations such securities may be resold without registration under the Securities Act of 1933, as amended (the “</w:t>
      </w:r>
      <w:r>
        <w:rPr>
          <w:rFonts w:ascii="Arial" w:cs="Arial" w:eastAsia="Arial" w:hAnsi="Arial"/>
          <w:sz w:val="18"/>
          <w:szCs w:val="18"/>
          <w:u w:val="single" w:color="auto"/>
          <w:color w:val="auto"/>
        </w:rPr>
        <w:t>Securities Act</w:t>
      </w:r>
      <w:r>
        <w:rPr>
          <w:rFonts w:ascii="Arial" w:cs="Arial" w:eastAsia="Arial" w:hAnsi="Arial"/>
          <w:sz w:val="18"/>
          <w:szCs w:val="18"/>
          <w:color w:val="auto"/>
        </w:rPr>
        <w:t>”), only in certain limited circumstances. In this connection, the Purchaser represents that it is familiar with Rule 144 of the Securities Act, as presently in effect, and understands the resale limitations imposed thereby and by the Securities Act.</w:t>
      </w:r>
    </w:p>
    <w:p>
      <w:pPr>
        <w:spacing w:after="0" w:line="188" w:lineRule="exact"/>
        <w:rPr>
          <w:sz w:val="20"/>
          <w:szCs w:val="20"/>
          <w:color w:val="auto"/>
        </w:rPr>
      </w:pPr>
    </w:p>
    <w:p>
      <w:pPr>
        <w:jc w:val="both"/>
        <w:ind w:right="40" w:firstLine="1296"/>
        <w:spacing w:after="0" w:line="263" w:lineRule="auto"/>
        <w:rPr>
          <w:sz w:val="20"/>
          <w:szCs w:val="20"/>
          <w:color w:val="auto"/>
        </w:rPr>
      </w:pPr>
      <w:r>
        <w:rPr>
          <w:rFonts w:ascii="Arial" w:cs="Arial" w:eastAsia="Arial" w:hAnsi="Arial"/>
          <w:sz w:val="18"/>
          <w:szCs w:val="18"/>
          <w:color w:val="auto"/>
        </w:rPr>
        <w:t xml:space="preserve">Section 3.6 </w:t>
      </w:r>
      <w:r>
        <w:rPr>
          <w:rFonts w:ascii="Arial" w:cs="Arial" w:eastAsia="Arial" w:hAnsi="Arial"/>
          <w:sz w:val="18"/>
          <w:szCs w:val="18"/>
          <w:u w:val="single" w:color="auto"/>
          <w:color w:val="auto"/>
        </w:rPr>
        <w:t>Information</w:t>
      </w:r>
      <w:r>
        <w:rPr>
          <w:rFonts w:ascii="Arial" w:cs="Arial" w:eastAsia="Arial" w:hAnsi="Arial"/>
          <w:sz w:val="18"/>
          <w:szCs w:val="18"/>
          <w:color w:val="auto"/>
        </w:rPr>
        <w:t>. The Purchaser represents that it is not aware of material, nonpublic information with respect to the Company or any securities of the Company (including the Purchased Shares). The Purchaser further represents and warrants that its purchase of the Purchased Shares is in compliance with the Company’s insider trading policies.</w:t>
      </w:r>
    </w:p>
    <w:p>
      <w:pPr>
        <w:spacing w:after="0" w:line="1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ARTICLE IV</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u w:val="single" w:color="auto"/>
          <w:color w:val="auto"/>
        </w:rPr>
        <w:t>CONDITIONS TO CLOSING</w:t>
      </w:r>
    </w:p>
    <w:p>
      <w:pPr>
        <w:spacing w:after="0" w:line="225" w:lineRule="exact"/>
        <w:rPr>
          <w:sz w:val="20"/>
          <w:szCs w:val="20"/>
          <w:color w:val="auto"/>
        </w:rPr>
      </w:pPr>
    </w:p>
    <w:p>
      <w:pPr>
        <w:ind w:right="380" w:firstLine="1296"/>
        <w:spacing w:after="0" w:line="277" w:lineRule="auto"/>
        <w:rPr>
          <w:sz w:val="20"/>
          <w:szCs w:val="20"/>
          <w:color w:val="auto"/>
        </w:rPr>
      </w:pPr>
      <w:r>
        <w:rPr>
          <w:rFonts w:ascii="Arial" w:cs="Arial" w:eastAsia="Arial" w:hAnsi="Arial"/>
          <w:sz w:val="18"/>
          <w:szCs w:val="18"/>
          <w:color w:val="auto"/>
        </w:rPr>
        <w:t xml:space="preserve">Section 4.1 </w:t>
      </w:r>
      <w:r>
        <w:rPr>
          <w:rFonts w:ascii="Arial" w:cs="Arial" w:eastAsia="Arial" w:hAnsi="Arial"/>
          <w:sz w:val="18"/>
          <w:szCs w:val="18"/>
          <w:u w:val="single" w:color="auto"/>
          <w:color w:val="auto"/>
        </w:rPr>
        <w:t>Conditions of Purchaser’s Obligations at Closing</w:t>
      </w:r>
      <w:r>
        <w:rPr>
          <w:rFonts w:ascii="Arial" w:cs="Arial" w:eastAsia="Arial" w:hAnsi="Arial"/>
          <w:sz w:val="18"/>
          <w:szCs w:val="18"/>
          <w:color w:val="auto"/>
        </w:rPr>
        <w:t xml:space="preserve">. The obligations of the Purchaser under </w:t>
      </w:r>
      <w:r>
        <w:rPr>
          <w:rFonts w:ascii="Arial" w:cs="Arial" w:eastAsia="Arial" w:hAnsi="Arial"/>
          <w:sz w:val="18"/>
          <w:szCs w:val="18"/>
          <w:u w:val="single" w:color="auto"/>
          <w:color w:val="auto"/>
        </w:rPr>
        <w:t>Article I</w:t>
      </w:r>
      <w:r>
        <w:rPr>
          <w:rFonts w:ascii="Arial" w:cs="Arial" w:eastAsia="Arial" w:hAnsi="Arial"/>
          <w:sz w:val="18"/>
          <w:szCs w:val="18"/>
          <w:color w:val="auto"/>
        </w:rPr>
        <w:t xml:space="preserve"> of this Agreement are subject to the fulfillment on or before the Closing of each of the following conditions:</w:t>
      </w:r>
    </w:p>
    <w:p>
      <w:pPr>
        <w:spacing w:after="0" w:line="170" w:lineRule="exact"/>
        <w:rPr>
          <w:sz w:val="20"/>
          <w:szCs w:val="20"/>
          <w:color w:val="auto"/>
        </w:rPr>
      </w:pPr>
    </w:p>
    <w:p>
      <w:pPr>
        <w:ind w:right="40" w:firstLine="1952"/>
        <w:spacing w:after="0" w:line="308" w:lineRule="auto"/>
        <w:tabs>
          <w:tab w:leader="none" w:pos="2188" w:val="left"/>
        </w:tabs>
        <w:numPr>
          <w:ilvl w:val="0"/>
          <w:numId w:val="11"/>
        </w:numPr>
        <w:rPr>
          <w:rFonts w:ascii="Arial" w:cs="Arial" w:eastAsia="Arial" w:hAnsi="Arial"/>
          <w:sz w:val="17"/>
          <w:szCs w:val="17"/>
          <w:color w:val="auto"/>
        </w:rPr>
      </w:pPr>
      <w:r>
        <w:rPr>
          <w:rFonts w:ascii="Arial" w:cs="Arial" w:eastAsia="Arial" w:hAnsi="Arial"/>
          <w:sz w:val="17"/>
          <w:szCs w:val="17"/>
          <w:u w:val="single" w:color="auto"/>
          <w:color w:val="auto"/>
        </w:rPr>
        <w:t>Representations and Warranties</w:t>
      </w:r>
      <w:r>
        <w:rPr>
          <w:rFonts w:ascii="Arial" w:cs="Arial" w:eastAsia="Arial" w:hAnsi="Arial"/>
          <w:sz w:val="17"/>
          <w:szCs w:val="17"/>
          <w:color w:val="auto"/>
        </w:rPr>
        <w:t xml:space="preserve">. The representations and warranties of the Sellers contained in </w:t>
      </w:r>
      <w:r>
        <w:rPr>
          <w:rFonts w:ascii="Arial" w:cs="Arial" w:eastAsia="Arial" w:hAnsi="Arial"/>
          <w:sz w:val="17"/>
          <w:szCs w:val="17"/>
          <w:u w:val="single" w:color="auto"/>
          <w:color w:val="auto"/>
        </w:rPr>
        <w:t>Article II</w:t>
      </w:r>
      <w:r>
        <w:rPr>
          <w:rFonts w:ascii="Arial" w:cs="Arial" w:eastAsia="Arial" w:hAnsi="Arial"/>
          <w:sz w:val="17"/>
          <w:szCs w:val="17"/>
          <w:color w:val="auto"/>
        </w:rPr>
        <w:t xml:space="preserve"> shall be true on and as of the Closing with the same effect as though such representations and warranties had been made on and as of the date of the Closing.</w:t>
      </w:r>
    </w:p>
    <w:p>
      <w:pPr>
        <w:spacing w:after="0" w:line="146" w:lineRule="exact"/>
        <w:rPr>
          <w:rFonts w:ascii="Arial" w:cs="Arial" w:eastAsia="Arial" w:hAnsi="Arial"/>
          <w:sz w:val="17"/>
          <w:szCs w:val="17"/>
          <w:color w:val="auto"/>
        </w:rPr>
      </w:pPr>
    </w:p>
    <w:p>
      <w:pPr>
        <w:ind w:right="260" w:firstLine="1952"/>
        <w:spacing w:after="0" w:line="277" w:lineRule="auto"/>
        <w:tabs>
          <w:tab w:leader="none" w:pos="2199" w:val="left"/>
        </w:tabs>
        <w:numPr>
          <w:ilvl w:val="0"/>
          <w:numId w:val="11"/>
        </w:numPr>
        <w:rPr>
          <w:rFonts w:ascii="Arial" w:cs="Arial" w:eastAsia="Arial" w:hAnsi="Arial"/>
          <w:sz w:val="18"/>
          <w:szCs w:val="18"/>
          <w:color w:val="auto"/>
        </w:rPr>
      </w:pPr>
      <w:r>
        <w:rPr>
          <w:rFonts w:ascii="Arial" w:cs="Arial" w:eastAsia="Arial" w:hAnsi="Arial"/>
          <w:sz w:val="18"/>
          <w:szCs w:val="18"/>
          <w:u w:val="single" w:color="auto"/>
          <w:color w:val="auto"/>
        </w:rPr>
        <w:t>Performance</w:t>
      </w:r>
      <w:r>
        <w:rPr>
          <w:rFonts w:ascii="Arial" w:cs="Arial" w:eastAsia="Arial" w:hAnsi="Arial"/>
          <w:sz w:val="18"/>
          <w:szCs w:val="18"/>
          <w:color w:val="auto"/>
        </w:rPr>
        <w:t>. Each Seller shall have performed and complied in all material respects with all agreements, obligations and conditions contained in this Agreement that are required to be performed or complied with by it on or before the Closing.</w:t>
      </w:r>
    </w:p>
    <w:p>
      <w:pPr>
        <w:spacing w:after="0" w:line="379"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908" w:right="379" w:bottom="1440" w:gutter="0" w:footer="0" w:header="0"/>
        </w:sectPr>
      </w:pPr>
    </w:p>
    <w:bookmarkStart w:id="11" w:name="page12"/>
    <w:bookmarkEnd w:id="11"/>
    <w:p>
      <w:pPr>
        <w:ind w:right="340" w:firstLine="1952"/>
        <w:spacing w:after="0" w:line="263" w:lineRule="auto"/>
        <w:tabs>
          <w:tab w:leader="none" w:pos="2188" w:val="left"/>
        </w:tabs>
        <w:numPr>
          <w:ilvl w:val="0"/>
          <w:numId w:val="12"/>
        </w:numPr>
        <w:rPr>
          <w:rFonts w:ascii="Arial" w:cs="Arial" w:eastAsia="Arial" w:hAnsi="Arial"/>
          <w:sz w:val="18"/>
          <w:szCs w:val="18"/>
          <w:color w:val="auto"/>
        </w:rPr>
      </w:pPr>
      <w:r>
        <w:rPr>
          <w:rFonts w:ascii="Arial" w:cs="Arial" w:eastAsia="Arial" w:hAnsi="Arial"/>
          <w:sz w:val="18"/>
          <w:szCs w:val="18"/>
          <w:u w:val="single" w:color="auto"/>
          <w:color w:val="auto"/>
        </w:rPr>
        <w:t>Qualifications</w:t>
      </w:r>
      <w:r>
        <w:rPr>
          <w:rFonts w:ascii="Arial" w:cs="Arial" w:eastAsia="Arial" w:hAnsi="Arial"/>
          <w:sz w:val="18"/>
          <w:szCs w:val="18"/>
          <w:color w:val="auto"/>
        </w:rPr>
        <w:t>. All authorizations, approvals or permits, if any, of any governmental authority or regulatory body of the United States or of any state that are required in connection with the lawful purchase of the Purchased Shares pursuant to this Agreement shall be duly obtained and effective as of the Closing.</w:t>
      </w:r>
    </w:p>
    <w:p>
      <w:pPr>
        <w:spacing w:after="0" w:line="184" w:lineRule="exact"/>
        <w:rPr>
          <w:sz w:val="20"/>
          <w:szCs w:val="20"/>
          <w:color w:val="auto"/>
        </w:rPr>
      </w:pPr>
    </w:p>
    <w:p>
      <w:pPr>
        <w:ind w:right="120" w:firstLine="1296"/>
        <w:spacing w:after="0" w:line="277" w:lineRule="auto"/>
        <w:rPr>
          <w:sz w:val="20"/>
          <w:szCs w:val="20"/>
          <w:color w:val="auto"/>
        </w:rPr>
      </w:pPr>
      <w:r>
        <w:rPr>
          <w:rFonts w:ascii="Arial" w:cs="Arial" w:eastAsia="Arial" w:hAnsi="Arial"/>
          <w:sz w:val="18"/>
          <w:szCs w:val="18"/>
          <w:color w:val="auto"/>
        </w:rPr>
        <w:t xml:space="preserve">Section 4.2 </w:t>
      </w:r>
      <w:r>
        <w:rPr>
          <w:rFonts w:ascii="Arial" w:cs="Arial" w:eastAsia="Arial" w:hAnsi="Arial"/>
          <w:sz w:val="18"/>
          <w:szCs w:val="18"/>
          <w:u w:val="single" w:color="auto"/>
          <w:color w:val="auto"/>
        </w:rPr>
        <w:t>Conditions of Sellers’ Obligations at Closing</w:t>
      </w:r>
      <w:r>
        <w:rPr>
          <w:rFonts w:ascii="Arial" w:cs="Arial" w:eastAsia="Arial" w:hAnsi="Arial"/>
          <w:sz w:val="18"/>
          <w:szCs w:val="18"/>
          <w:color w:val="auto"/>
        </w:rPr>
        <w:t xml:space="preserve">. The obligations of the Sellers under </w:t>
      </w:r>
      <w:r>
        <w:rPr>
          <w:rFonts w:ascii="Arial" w:cs="Arial" w:eastAsia="Arial" w:hAnsi="Arial"/>
          <w:sz w:val="18"/>
          <w:szCs w:val="18"/>
          <w:u w:val="single" w:color="auto"/>
          <w:color w:val="auto"/>
        </w:rPr>
        <w:t>Article I</w:t>
      </w:r>
      <w:r>
        <w:rPr>
          <w:rFonts w:ascii="Arial" w:cs="Arial" w:eastAsia="Arial" w:hAnsi="Arial"/>
          <w:sz w:val="18"/>
          <w:szCs w:val="18"/>
          <w:color w:val="auto"/>
        </w:rPr>
        <w:t xml:space="preserve"> of this Agreement are subject to the fulfillment on or before the Closing of each of the following conditions:</w:t>
      </w:r>
    </w:p>
    <w:p>
      <w:pPr>
        <w:spacing w:after="0" w:line="170" w:lineRule="exact"/>
        <w:rPr>
          <w:sz w:val="20"/>
          <w:szCs w:val="20"/>
          <w:color w:val="auto"/>
        </w:rPr>
      </w:pPr>
    </w:p>
    <w:p>
      <w:pPr>
        <w:ind w:firstLine="1952"/>
        <w:spacing w:after="0" w:line="308" w:lineRule="auto"/>
        <w:tabs>
          <w:tab w:leader="none" w:pos="2188" w:val="left"/>
        </w:tabs>
        <w:numPr>
          <w:ilvl w:val="0"/>
          <w:numId w:val="13"/>
        </w:numPr>
        <w:rPr>
          <w:rFonts w:ascii="Arial" w:cs="Arial" w:eastAsia="Arial" w:hAnsi="Arial"/>
          <w:sz w:val="17"/>
          <w:szCs w:val="17"/>
          <w:color w:val="auto"/>
        </w:rPr>
      </w:pPr>
      <w:r>
        <w:rPr>
          <w:rFonts w:ascii="Arial" w:cs="Arial" w:eastAsia="Arial" w:hAnsi="Arial"/>
          <w:sz w:val="17"/>
          <w:szCs w:val="17"/>
          <w:u w:val="single" w:color="auto"/>
          <w:color w:val="auto"/>
        </w:rPr>
        <w:t>Representations and Warranties</w:t>
      </w:r>
      <w:r>
        <w:rPr>
          <w:rFonts w:ascii="Arial" w:cs="Arial" w:eastAsia="Arial" w:hAnsi="Arial"/>
          <w:sz w:val="17"/>
          <w:szCs w:val="17"/>
          <w:color w:val="auto"/>
        </w:rPr>
        <w:t xml:space="preserve">. The representations and warranties of Purchaser contained in </w:t>
      </w:r>
      <w:r>
        <w:rPr>
          <w:rFonts w:ascii="Arial" w:cs="Arial" w:eastAsia="Arial" w:hAnsi="Arial"/>
          <w:sz w:val="17"/>
          <w:szCs w:val="17"/>
          <w:u w:val="single" w:color="auto"/>
          <w:color w:val="auto"/>
        </w:rPr>
        <w:t>Article III</w:t>
      </w:r>
      <w:r>
        <w:rPr>
          <w:rFonts w:ascii="Arial" w:cs="Arial" w:eastAsia="Arial" w:hAnsi="Arial"/>
          <w:sz w:val="17"/>
          <w:szCs w:val="17"/>
          <w:color w:val="auto"/>
        </w:rPr>
        <w:t xml:space="preserve"> shall be true on and as of the Closing with the same effect as though such representations and warranties had been made on and as of the date of the Closing.</w:t>
      </w:r>
    </w:p>
    <w:p>
      <w:pPr>
        <w:spacing w:after="0" w:line="146" w:lineRule="exact"/>
        <w:rPr>
          <w:rFonts w:ascii="Arial" w:cs="Arial" w:eastAsia="Arial" w:hAnsi="Arial"/>
          <w:sz w:val="17"/>
          <w:szCs w:val="17"/>
          <w:color w:val="auto"/>
        </w:rPr>
      </w:pPr>
    </w:p>
    <w:p>
      <w:pPr>
        <w:ind w:right="220" w:firstLine="1952"/>
        <w:spacing w:after="0" w:line="263" w:lineRule="auto"/>
        <w:tabs>
          <w:tab w:leader="none" w:pos="2199" w:val="left"/>
        </w:tabs>
        <w:numPr>
          <w:ilvl w:val="0"/>
          <w:numId w:val="13"/>
        </w:numPr>
        <w:rPr>
          <w:rFonts w:ascii="Arial" w:cs="Arial" w:eastAsia="Arial" w:hAnsi="Arial"/>
          <w:sz w:val="18"/>
          <w:szCs w:val="18"/>
          <w:color w:val="auto"/>
        </w:rPr>
      </w:pPr>
      <w:r>
        <w:rPr>
          <w:rFonts w:ascii="Arial" w:cs="Arial" w:eastAsia="Arial" w:hAnsi="Arial"/>
          <w:sz w:val="18"/>
          <w:szCs w:val="18"/>
          <w:u w:val="single" w:color="auto"/>
          <w:color w:val="auto"/>
        </w:rPr>
        <w:t>Payment of Purchase Price; Performance</w:t>
      </w:r>
      <w:r>
        <w:rPr>
          <w:rFonts w:ascii="Arial" w:cs="Arial" w:eastAsia="Arial" w:hAnsi="Arial"/>
          <w:sz w:val="18"/>
          <w:szCs w:val="18"/>
          <w:color w:val="auto"/>
        </w:rPr>
        <w:t xml:space="preserve">. Purchaser shall have delivered the Aggregate Purchase Price as specified in </w:t>
      </w:r>
      <w:r>
        <w:rPr>
          <w:rFonts w:ascii="Arial" w:cs="Arial" w:eastAsia="Arial" w:hAnsi="Arial"/>
          <w:sz w:val="18"/>
          <w:szCs w:val="18"/>
          <w:u w:val="single" w:color="auto"/>
          <w:color w:val="auto"/>
        </w:rPr>
        <w:t>Section 1.2</w:t>
      </w:r>
      <w:r>
        <w:rPr>
          <w:rFonts w:ascii="Arial" w:cs="Arial" w:eastAsia="Arial" w:hAnsi="Arial"/>
          <w:sz w:val="18"/>
          <w:szCs w:val="18"/>
          <w:color w:val="auto"/>
        </w:rPr>
        <w:t>, and Purchaser shall have performed and complied in all material respects with all other agreements, obligations and conditions contained in this Agreement that are required to be performed or complied with by the Purchaser on or before the Closing.</w:t>
      </w:r>
    </w:p>
    <w:p>
      <w:pPr>
        <w:spacing w:after="0" w:line="183" w:lineRule="exact"/>
        <w:rPr>
          <w:rFonts w:ascii="Arial" w:cs="Arial" w:eastAsia="Arial" w:hAnsi="Arial"/>
          <w:sz w:val="18"/>
          <w:szCs w:val="18"/>
          <w:color w:val="auto"/>
        </w:rPr>
      </w:pPr>
    </w:p>
    <w:p>
      <w:pPr>
        <w:jc w:val="both"/>
        <w:ind w:right="340" w:firstLine="1952"/>
        <w:spacing w:after="0" w:line="263" w:lineRule="auto"/>
        <w:tabs>
          <w:tab w:leader="none" w:pos="2188" w:val="left"/>
        </w:tabs>
        <w:numPr>
          <w:ilvl w:val="0"/>
          <w:numId w:val="13"/>
        </w:numPr>
        <w:rPr>
          <w:rFonts w:ascii="Arial" w:cs="Arial" w:eastAsia="Arial" w:hAnsi="Arial"/>
          <w:sz w:val="18"/>
          <w:szCs w:val="18"/>
          <w:color w:val="auto"/>
        </w:rPr>
      </w:pPr>
      <w:r>
        <w:rPr>
          <w:rFonts w:ascii="Arial" w:cs="Arial" w:eastAsia="Arial" w:hAnsi="Arial"/>
          <w:sz w:val="18"/>
          <w:szCs w:val="18"/>
          <w:u w:val="single" w:color="auto"/>
          <w:color w:val="auto"/>
        </w:rPr>
        <w:t>Qualifications</w:t>
      </w:r>
      <w:r>
        <w:rPr>
          <w:rFonts w:ascii="Arial" w:cs="Arial" w:eastAsia="Arial" w:hAnsi="Arial"/>
          <w:sz w:val="18"/>
          <w:szCs w:val="18"/>
          <w:color w:val="auto"/>
        </w:rPr>
        <w:t>. All authorizations, approvals, or permits, if any, of any governmental authority or regulatory body of the United States or of any state that are required in connection with the lawful purchase of the Purchased Shares pursuant to this Agreement shall be duly obtained and effective as of the Closing.</w:t>
      </w:r>
    </w:p>
    <w:p>
      <w:pPr>
        <w:spacing w:after="0" w:line="18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ARTICLE V</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u w:val="single" w:color="auto"/>
          <w:color w:val="auto"/>
        </w:rPr>
        <w:t>MISCELLANEOUS</w:t>
      </w:r>
    </w:p>
    <w:p>
      <w:pPr>
        <w:spacing w:after="0" w:line="225" w:lineRule="exact"/>
        <w:rPr>
          <w:sz w:val="20"/>
          <w:szCs w:val="20"/>
          <w:color w:val="auto"/>
        </w:rPr>
      </w:pPr>
    </w:p>
    <w:p>
      <w:pPr>
        <w:ind w:right="80" w:firstLine="1296"/>
        <w:spacing w:after="0" w:line="296" w:lineRule="auto"/>
        <w:rPr>
          <w:sz w:val="20"/>
          <w:szCs w:val="20"/>
          <w:color w:val="auto"/>
        </w:rPr>
      </w:pPr>
      <w:r>
        <w:rPr>
          <w:rFonts w:ascii="Arial" w:cs="Arial" w:eastAsia="Arial" w:hAnsi="Arial"/>
          <w:sz w:val="16"/>
          <w:szCs w:val="16"/>
          <w:color w:val="auto"/>
        </w:rPr>
        <w:t xml:space="preserve">Section 5.1 </w:t>
      </w:r>
      <w:r>
        <w:rPr>
          <w:rFonts w:ascii="Arial" w:cs="Arial" w:eastAsia="Arial" w:hAnsi="Arial"/>
          <w:sz w:val="16"/>
          <w:szCs w:val="16"/>
          <w:u w:val="single" w:color="auto"/>
          <w:color w:val="auto"/>
        </w:rPr>
        <w:t>Survival</w:t>
      </w:r>
      <w:r>
        <w:rPr>
          <w:rFonts w:ascii="Arial" w:cs="Arial" w:eastAsia="Arial" w:hAnsi="Arial"/>
          <w:sz w:val="16"/>
          <w:szCs w:val="16"/>
          <w:color w:val="auto"/>
        </w:rPr>
        <w:t>. Each of the representations, warranties, covenants, and agreements in this Agreement or pursuant hereto shall survive the Closing. Notwithstanding any knowledge of facts determined or determinable by any party by investigation, each party shall have the right to fully rely on the representations, warranties, covenants and agreements of the other parties contained in this Agreement. Each representation, warranty, covenant and agreement of the parties contained in this Agreement is independent of each other representation, warranty, covenant and agreement. Except as expressly set forth in this Agreement, no party has made any representation warranty, covenant or agreement.</w:t>
      </w:r>
    </w:p>
    <w:p>
      <w:pPr>
        <w:spacing w:after="0" w:line="161"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 xml:space="preserve">Section 5.2 </w:t>
      </w:r>
      <w:r>
        <w:rPr>
          <w:rFonts w:ascii="Arial" w:cs="Arial" w:eastAsia="Arial" w:hAnsi="Arial"/>
          <w:sz w:val="16"/>
          <w:szCs w:val="16"/>
          <w:u w:val="single" w:color="auto"/>
          <w:color w:val="auto"/>
        </w:rPr>
        <w:t>Notices</w:t>
      </w:r>
      <w:r>
        <w:rPr>
          <w:rFonts w:ascii="Arial" w:cs="Arial" w:eastAsia="Arial" w:hAnsi="Arial"/>
          <w:sz w:val="16"/>
          <w:szCs w:val="16"/>
          <w:color w:val="auto"/>
        </w:rPr>
        <w:t>. All notices, requests, claims, demands and other communications hereunder shall be in writing and shall be deemed</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effectively given: (a) upon personal delivery to the party to be notified, (b) when sent by confirmed electronic mail or facsimile if sent during normal</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business hours of the recipient; if not, then on the next business day, (c) five (5) days after having been sent by registered or certified mail, return receipt</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requested, postage prepaid, or (d) one (1) day after deposit with a nationally recognized overnight courier, specifying next day delivery, with written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verification of receipt. All communications shall be sent to the respective parties as follows (or at such other addresses as shall be specified by notice given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in accordance with this </w:t>
      </w:r>
      <w:r>
        <w:rPr>
          <w:rFonts w:ascii="Arial" w:cs="Arial" w:eastAsia="Arial" w:hAnsi="Arial"/>
          <w:sz w:val="18"/>
          <w:szCs w:val="18"/>
          <w:u w:val="single" w:color="auto"/>
          <w:color w:val="auto"/>
        </w:rPr>
        <w:t>Section 5.2</w:t>
      </w:r>
      <w:r>
        <w:rPr>
          <w:rFonts w:ascii="Arial" w:cs="Arial" w:eastAsia="Arial" w:hAnsi="Arial"/>
          <w:sz w:val="18"/>
          <w:szCs w:val="18"/>
          <w:color w:val="auto"/>
        </w:rPr>
        <w:t>):</w:t>
      </w:r>
    </w:p>
    <w:p>
      <w:pPr>
        <w:spacing w:after="0" w:line="21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If to the Purchaser:</w:t>
      </w:r>
    </w:p>
    <w:p>
      <w:pPr>
        <w:spacing w:after="0" w:line="225"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Timothy A. Springer</w:t>
      </w:r>
    </w:p>
    <w:p>
      <w:pPr>
        <w:spacing w:after="0" w:line="23"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36 Woodman Road</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Newton, MA 02467</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Email: springer@crystal.harvard.edu</w:t>
      </w:r>
    </w:p>
    <w:p>
      <w:pPr>
        <w:spacing w:after="0" w:line="200" w:lineRule="exact"/>
        <w:rPr>
          <w:sz w:val="20"/>
          <w:szCs w:val="20"/>
          <w:color w:val="auto"/>
        </w:rPr>
      </w:pPr>
    </w:p>
    <w:p>
      <w:pPr>
        <w:spacing w:after="0" w:line="220"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908" w:right="399" w:bottom="1440" w:gutter="0" w:footer="0" w:header="0"/>
        </w:sectPr>
      </w:pPr>
    </w:p>
    <w:bookmarkStart w:id="12" w:name="page13"/>
    <w:bookmarkEnd w:id="12"/>
    <w:p>
      <w:pPr>
        <w:ind w:left="1300"/>
        <w:spacing w:after="0"/>
        <w:rPr>
          <w:sz w:val="20"/>
          <w:szCs w:val="20"/>
          <w:color w:val="auto"/>
        </w:rPr>
      </w:pPr>
      <w:r>
        <w:rPr>
          <w:rFonts w:ascii="Arial" w:cs="Arial" w:eastAsia="Arial" w:hAnsi="Arial"/>
          <w:sz w:val="18"/>
          <w:szCs w:val="18"/>
          <w:color w:val="auto"/>
        </w:rPr>
        <w:t>With a copy to (which shall not constitute notice):</w:t>
      </w:r>
    </w:p>
    <w:p>
      <w:pPr>
        <w:spacing w:after="0" w:line="225"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Nelson Mullins Riley &amp; Scarborough LLP</w:t>
      </w:r>
    </w:p>
    <w:p>
      <w:pPr>
        <w:spacing w:after="0" w:line="23"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101 Constitution Avenue NW, Suite 900</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Washington, DC 20001</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Attention: Michael K. Bradshaw, Jr.</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Email: mike.bradshaw@nelsonmullins.com</w:t>
      </w:r>
    </w:p>
    <w:p>
      <w:pPr>
        <w:spacing w:after="0" w:line="21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If to any Seller:</w:t>
      </w:r>
    </w:p>
    <w:p>
      <w:pPr>
        <w:spacing w:after="0" w:line="225"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Polaris Partners</w:t>
      </w:r>
    </w:p>
    <w:p>
      <w:pPr>
        <w:spacing w:after="0" w:line="23"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One Letterman Drive, Suite C3600</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San Francisco, CA 94129</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Attention: Harold Friedman</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Email: hfriedman@polarispartners.com</w:t>
      </w:r>
    </w:p>
    <w:p>
      <w:pPr>
        <w:spacing w:after="0" w:line="21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With a copy to (which shall not constitute notice):</w:t>
      </w:r>
    </w:p>
    <w:p>
      <w:pPr>
        <w:spacing w:after="0" w:line="225"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Gunderson Dettmer Stough Villeneuve Franklin &amp; Hachigian, LLP</w:t>
      </w:r>
    </w:p>
    <w:p>
      <w:pPr>
        <w:spacing w:after="0" w:line="23"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One Marina Park Drive</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Suite 900</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Boston, MA 02210</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Attention: Nicholas J. Guttilla</w:t>
      </w:r>
    </w:p>
    <w:p>
      <w:pPr>
        <w:spacing w:after="0" w:line="9" w:lineRule="exact"/>
        <w:rPr>
          <w:sz w:val="20"/>
          <w:szCs w:val="20"/>
          <w:color w:val="auto"/>
        </w:rPr>
      </w:pPr>
    </w:p>
    <w:p>
      <w:pPr>
        <w:ind w:left="2720"/>
        <w:spacing w:after="0"/>
        <w:rPr>
          <w:sz w:val="20"/>
          <w:szCs w:val="20"/>
          <w:color w:val="auto"/>
        </w:rPr>
      </w:pPr>
      <w:r>
        <w:rPr>
          <w:rFonts w:ascii="Arial" w:cs="Arial" w:eastAsia="Arial" w:hAnsi="Arial"/>
          <w:sz w:val="18"/>
          <w:szCs w:val="18"/>
          <w:color w:val="auto"/>
        </w:rPr>
        <w:t>Emma Eriksson Broomhead</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Email: nguttilla@gunder.com</w:t>
      </w:r>
    </w:p>
    <w:p>
      <w:pPr>
        <w:spacing w:after="0" w:line="9" w:lineRule="exact"/>
        <w:rPr>
          <w:sz w:val="20"/>
          <w:szCs w:val="20"/>
          <w:color w:val="auto"/>
        </w:rPr>
      </w:pPr>
    </w:p>
    <w:p>
      <w:pPr>
        <w:ind w:left="2720"/>
        <w:spacing w:after="0"/>
        <w:rPr>
          <w:sz w:val="20"/>
          <w:szCs w:val="20"/>
          <w:color w:val="auto"/>
        </w:rPr>
      </w:pPr>
      <w:r>
        <w:rPr>
          <w:rFonts w:ascii="Arial" w:cs="Arial" w:eastAsia="Arial" w:hAnsi="Arial"/>
          <w:sz w:val="18"/>
          <w:szCs w:val="18"/>
          <w:color w:val="auto"/>
        </w:rPr>
        <w:t>ebroomhead@gunder.com</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Facsimile: (617) 648-9199</w:t>
      </w:r>
    </w:p>
    <w:p>
      <w:pPr>
        <w:spacing w:after="0" w:line="211" w:lineRule="exact"/>
        <w:rPr>
          <w:sz w:val="20"/>
          <w:szCs w:val="20"/>
          <w:color w:val="auto"/>
        </w:rPr>
      </w:pPr>
    </w:p>
    <w:p>
      <w:pPr>
        <w:ind w:firstLine="1296"/>
        <w:spacing w:after="0" w:line="263" w:lineRule="auto"/>
        <w:rPr>
          <w:sz w:val="20"/>
          <w:szCs w:val="20"/>
          <w:color w:val="auto"/>
        </w:rPr>
      </w:pPr>
      <w:r>
        <w:rPr>
          <w:rFonts w:ascii="Arial" w:cs="Arial" w:eastAsia="Arial" w:hAnsi="Arial"/>
          <w:sz w:val="18"/>
          <w:szCs w:val="18"/>
          <w:color w:val="auto"/>
        </w:rPr>
        <w:t xml:space="preserve">Section 5.3 </w:t>
      </w:r>
      <w:r>
        <w:rPr>
          <w:rFonts w:ascii="Arial" w:cs="Arial" w:eastAsia="Arial" w:hAnsi="Arial"/>
          <w:sz w:val="18"/>
          <w:szCs w:val="18"/>
          <w:u w:val="single" w:color="auto"/>
          <w:color w:val="auto"/>
        </w:rPr>
        <w:t>Certain Definitions</w:t>
      </w:r>
      <w:r>
        <w:rPr>
          <w:rFonts w:ascii="Arial" w:cs="Arial" w:eastAsia="Arial" w:hAnsi="Arial"/>
          <w:sz w:val="18"/>
          <w:szCs w:val="18"/>
          <w:color w:val="auto"/>
        </w:rPr>
        <w:t>. As used in this Agreement, (a) the term “</w:t>
      </w:r>
      <w:r>
        <w:rPr>
          <w:rFonts w:ascii="Arial" w:cs="Arial" w:eastAsia="Arial" w:hAnsi="Arial"/>
          <w:sz w:val="18"/>
          <w:szCs w:val="18"/>
          <w:u w:val="single" w:color="auto"/>
          <w:color w:val="auto"/>
        </w:rPr>
        <w:t>Affiliate</w:t>
      </w:r>
      <w:r>
        <w:rPr>
          <w:rFonts w:ascii="Arial" w:cs="Arial" w:eastAsia="Arial" w:hAnsi="Arial"/>
          <w:sz w:val="18"/>
          <w:szCs w:val="18"/>
          <w:color w:val="auto"/>
        </w:rPr>
        <w:t>” shall have the meaning set forth in Rule 12b-2 under the Securities Exchange Act of 1934, as amended, and shall include persons who become Affiliates of any person subsequent to the date hereof; and (b) Purchaser and the Sellers are referred to herein individually as a “</w:t>
      </w:r>
      <w:r>
        <w:rPr>
          <w:rFonts w:ascii="Arial" w:cs="Arial" w:eastAsia="Arial" w:hAnsi="Arial"/>
          <w:sz w:val="18"/>
          <w:szCs w:val="18"/>
          <w:u w:val="single" w:color="auto"/>
          <w:color w:val="auto"/>
        </w:rPr>
        <w:t>party</w:t>
      </w:r>
      <w:r>
        <w:rPr>
          <w:rFonts w:ascii="Arial" w:cs="Arial" w:eastAsia="Arial" w:hAnsi="Arial"/>
          <w:sz w:val="18"/>
          <w:szCs w:val="18"/>
          <w:color w:val="auto"/>
        </w:rPr>
        <w:t>” and collectively as “</w:t>
      </w:r>
      <w:r>
        <w:rPr>
          <w:rFonts w:ascii="Arial" w:cs="Arial" w:eastAsia="Arial" w:hAnsi="Arial"/>
          <w:sz w:val="18"/>
          <w:szCs w:val="18"/>
          <w:u w:val="single" w:color="auto"/>
          <w:color w:val="auto"/>
        </w:rPr>
        <w:t>parties</w:t>
      </w:r>
      <w:r>
        <w:rPr>
          <w:rFonts w:ascii="Arial" w:cs="Arial" w:eastAsia="Arial" w:hAnsi="Arial"/>
          <w:sz w:val="18"/>
          <w:szCs w:val="18"/>
          <w:color w:val="auto"/>
        </w:rPr>
        <w:t>.”</w:t>
      </w:r>
    </w:p>
    <w:p>
      <w:pPr>
        <w:spacing w:after="0" w:line="184" w:lineRule="exact"/>
        <w:rPr>
          <w:sz w:val="20"/>
          <w:szCs w:val="20"/>
          <w:color w:val="auto"/>
        </w:rPr>
      </w:pPr>
    </w:p>
    <w:p>
      <w:pPr>
        <w:ind w:right="100" w:firstLine="1296"/>
        <w:spacing w:after="0" w:line="259" w:lineRule="auto"/>
        <w:rPr>
          <w:sz w:val="20"/>
          <w:szCs w:val="20"/>
          <w:color w:val="auto"/>
        </w:rPr>
      </w:pPr>
      <w:r>
        <w:rPr>
          <w:rFonts w:ascii="Arial" w:cs="Arial" w:eastAsia="Arial" w:hAnsi="Arial"/>
          <w:sz w:val="18"/>
          <w:szCs w:val="18"/>
          <w:color w:val="auto"/>
        </w:rPr>
        <w:t xml:space="preserve">Section 5.4 </w:t>
      </w:r>
      <w:r>
        <w:rPr>
          <w:rFonts w:ascii="Arial" w:cs="Arial" w:eastAsia="Arial" w:hAnsi="Arial"/>
          <w:sz w:val="18"/>
          <w:szCs w:val="18"/>
          <w:u w:val="single" w:color="auto"/>
          <w:color w:val="auto"/>
        </w:rPr>
        <w:t>No Waiver</w:t>
      </w:r>
      <w:r>
        <w:rPr>
          <w:rFonts w:ascii="Arial" w:cs="Arial" w:eastAsia="Arial" w:hAnsi="Arial"/>
          <w:sz w:val="18"/>
          <w:szCs w:val="18"/>
          <w:color w:val="auto"/>
        </w:rPr>
        <w:t>. Any waiver by any party hereto of a breach of any provision of this Agreement shall not operate as or be construed to be a waiver of any other breach of such provision or of any breach of any other provision of this Agreement. The failure of a party hereto to insist upon strict adherence to any term of this Agreement on one or more occasions shall not be considered a waiver or deprive that party of the right thereafter to insist upon strict adherence to that term or any other term of this Agreement.</w:t>
      </w:r>
    </w:p>
    <w:p>
      <w:pPr>
        <w:spacing w:after="0" w:line="395" w:lineRule="exact"/>
        <w:rPr>
          <w:sz w:val="20"/>
          <w:szCs w:val="20"/>
          <w:color w:val="auto"/>
        </w:rPr>
      </w:pPr>
    </w:p>
    <w:p>
      <w:pPr>
        <w:jc w:val="center"/>
        <w:ind w:right="-139"/>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00"/>
          </w:cols>
          <w:pgMar w:left="320" w:top="908" w:right="479" w:bottom="1440" w:gutter="0" w:footer="0" w:header="0"/>
        </w:sectPr>
      </w:pPr>
    </w:p>
    <w:bookmarkStart w:id="13" w:name="page14"/>
    <w:bookmarkEnd w:id="13"/>
    <w:p>
      <w:pPr>
        <w:ind w:firstLine="1296"/>
        <w:spacing w:after="0" w:line="293" w:lineRule="auto"/>
        <w:rPr>
          <w:sz w:val="20"/>
          <w:szCs w:val="20"/>
          <w:color w:val="auto"/>
        </w:rPr>
      </w:pPr>
      <w:r>
        <w:rPr>
          <w:rFonts w:ascii="Arial" w:cs="Arial" w:eastAsia="Arial" w:hAnsi="Arial"/>
          <w:sz w:val="16"/>
          <w:szCs w:val="16"/>
          <w:color w:val="auto"/>
        </w:rPr>
        <w:t xml:space="preserve">Section 5.5 </w:t>
      </w:r>
      <w:r>
        <w:rPr>
          <w:rFonts w:ascii="Arial" w:cs="Arial" w:eastAsia="Arial" w:hAnsi="Arial"/>
          <w:sz w:val="16"/>
          <w:szCs w:val="16"/>
          <w:u w:val="single" w:color="auto"/>
          <w:color w:val="auto"/>
        </w:rPr>
        <w:t>Severability</w:t>
      </w:r>
      <w:r>
        <w:rPr>
          <w:rFonts w:ascii="Arial" w:cs="Arial" w:eastAsia="Arial" w:hAnsi="Arial"/>
          <w:sz w:val="16"/>
          <w:szCs w:val="16"/>
          <w:color w:val="auto"/>
        </w:rPr>
        <w:t>. If any term, provision, covenant or restriction of this Agreement is held by a court of competent jurisdiction or other authority to be invalid or unenforceable, the remainder of the terms, provisions, covenants and restrictions of this Agreement shall remain in full force and effect and shall in no way be affected, impaired or invalidated by such holding. The parties agree that the court making any such determination of invalidity or unenforceability shall have the power to reduce the scope, duration or area of, delete specific words or phrases in, or replace any such invalid or unenforceable provision with one that is valid and enforceable and that comes closest to expressing the intention of such invalid or unenforceable provision, and this Agreement shall be enforceable as so modified after the expiration of the time within which the judgment may be appealed.</w:t>
      </w:r>
    </w:p>
    <w:p>
      <w:pPr>
        <w:spacing w:after="0" w:line="164" w:lineRule="exact"/>
        <w:rPr>
          <w:sz w:val="20"/>
          <w:szCs w:val="20"/>
          <w:color w:val="auto"/>
        </w:rPr>
      </w:pPr>
    </w:p>
    <w:p>
      <w:pPr>
        <w:ind w:right="60" w:firstLine="1296"/>
        <w:spacing w:after="0" w:line="279" w:lineRule="auto"/>
        <w:rPr>
          <w:sz w:val="20"/>
          <w:szCs w:val="20"/>
          <w:color w:val="auto"/>
        </w:rPr>
      </w:pPr>
      <w:r>
        <w:rPr>
          <w:rFonts w:ascii="Arial" w:cs="Arial" w:eastAsia="Arial" w:hAnsi="Arial"/>
          <w:sz w:val="17"/>
          <w:szCs w:val="17"/>
          <w:color w:val="auto"/>
        </w:rPr>
        <w:t xml:space="preserve">Section 5.6 </w:t>
      </w:r>
      <w:r>
        <w:rPr>
          <w:rFonts w:ascii="Arial" w:cs="Arial" w:eastAsia="Arial" w:hAnsi="Arial"/>
          <w:sz w:val="17"/>
          <w:szCs w:val="17"/>
          <w:u w:val="single" w:color="auto"/>
          <w:color w:val="auto"/>
        </w:rPr>
        <w:t>Successors and Assigns</w:t>
      </w:r>
      <w:r>
        <w:rPr>
          <w:rFonts w:ascii="Arial" w:cs="Arial" w:eastAsia="Arial" w:hAnsi="Arial"/>
          <w:sz w:val="17"/>
          <w:szCs w:val="17"/>
          <w:color w:val="auto"/>
        </w:rPr>
        <w:t>. This Agreement shall be binding upon and inure to the benefit of the parties hereto and their respective successors and assigns; provided that this Agreement (and any of the rights, interests or obligations of any party hereunder) may not be assigned by any party without the prior written consent of the other parties hereto (such consent not to be unreasonably withheld). Any purported assignment of a party's rights under this Agreement in violation of the preceding sentence shall be null and void.</w:t>
      </w:r>
    </w:p>
    <w:p>
      <w:pPr>
        <w:spacing w:after="0" w:line="171" w:lineRule="exact"/>
        <w:rPr>
          <w:sz w:val="20"/>
          <w:szCs w:val="20"/>
          <w:color w:val="auto"/>
        </w:rPr>
      </w:pPr>
    </w:p>
    <w:p>
      <w:pPr>
        <w:ind w:right="280" w:firstLine="1296"/>
        <w:spacing w:after="0" w:line="257" w:lineRule="auto"/>
        <w:rPr>
          <w:sz w:val="20"/>
          <w:szCs w:val="20"/>
          <w:color w:val="auto"/>
        </w:rPr>
      </w:pPr>
      <w:r>
        <w:rPr>
          <w:rFonts w:ascii="Arial" w:cs="Arial" w:eastAsia="Arial" w:hAnsi="Arial"/>
          <w:sz w:val="18"/>
          <w:szCs w:val="18"/>
          <w:color w:val="auto"/>
        </w:rPr>
        <w:t xml:space="preserve">Section 5.7 </w:t>
      </w:r>
      <w:r>
        <w:rPr>
          <w:rFonts w:ascii="Arial" w:cs="Arial" w:eastAsia="Arial" w:hAnsi="Arial"/>
          <w:sz w:val="18"/>
          <w:szCs w:val="18"/>
          <w:u w:val="single" w:color="auto"/>
          <w:color w:val="auto"/>
        </w:rPr>
        <w:t>Entire Agreement; Amendments</w:t>
      </w:r>
      <w:r>
        <w:rPr>
          <w:rFonts w:ascii="Arial" w:cs="Arial" w:eastAsia="Arial" w:hAnsi="Arial"/>
          <w:sz w:val="18"/>
          <w:szCs w:val="18"/>
          <w:color w:val="auto"/>
        </w:rPr>
        <w:t>. This Agreement constitutes the entire agreement between the parties with respect to the subject matter hereof and supersedes all other prior agreements and understandings, both written and oral, among the parties with respect to the subject matter hereof and, except as expressly set forth herein, is not intended to confer upon any person other than the parties hereto any rights or remedies hereunder. This Agreement may be amended only by a written instrument duly executed by the parties hereto or their respective permitted successors or assigns.</w:t>
      </w:r>
    </w:p>
    <w:p>
      <w:pPr>
        <w:spacing w:after="0" w:line="188" w:lineRule="exact"/>
        <w:rPr>
          <w:sz w:val="20"/>
          <w:szCs w:val="20"/>
          <w:color w:val="auto"/>
        </w:rPr>
      </w:pPr>
    </w:p>
    <w:p>
      <w:pPr>
        <w:ind w:right="180" w:firstLine="1296"/>
        <w:spacing w:after="0" w:line="277" w:lineRule="auto"/>
        <w:rPr>
          <w:sz w:val="20"/>
          <w:szCs w:val="20"/>
          <w:color w:val="auto"/>
        </w:rPr>
      </w:pPr>
      <w:r>
        <w:rPr>
          <w:rFonts w:ascii="Arial" w:cs="Arial" w:eastAsia="Arial" w:hAnsi="Arial"/>
          <w:sz w:val="18"/>
          <w:szCs w:val="18"/>
          <w:color w:val="auto"/>
        </w:rPr>
        <w:t xml:space="preserve">Section 5.8 </w:t>
      </w:r>
      <w:r>
        <w:rPr>
          <w:rFonts w:ascii="Arial" w:cs="Arial" w:eastAsia="Arial" w:hAnsi="Arial"/>
          <w:sz w:val="18"/>
          <w:szCs w:val="18"/>
          <w:u w:val="single" w:color="auto"/>
          <w:color w:val="auto"/>
        </w:rPr>
        <w:t>Headings</w:t>
      </w:r>
      <w:r>
        <w:rPr>
          <w:rFonts w:ascii="Arial" w:cs="Arial" w:eastAsia="Arial" w:hAnsi="Arial"/>
          <w:sz w:val="18"/>
          <w:szCs w:val="18"/>
          <w:color w:val="auto"/>
        </w:rPr>
        <w:t>. The section headings contained in this Agreement are for reference purposes only and shall not affect in any way the meaning or interpretation of this Agreement.</w:t>
      </w:r>
    </w:p>
    <w:p>
      <w:pPr>
        <w:spacing w:after="0" w:line="170" w:lineRule="exact"/>
        <w:rPr>
          <w:sz w:val="20"/>
          <w:szCs w:val="20"/>
          <w:color w:val="auto"/>
        </w:rPr>
      </w:pPr>
    </w:p>
    <w:p>
      <w:pPr>
        <w:ind w:right="20" w:firstLine="1296"/>
        <w:spacing w:after="0" w:line="308" w:lineRule="auto"/>
        <w:rPr>
          <w:sz w:val="20"/>
          <w:szCs w:val="20"/>
          <w:color w:val="auto"/>
        </w:rPr>
      </w:pPr>
      <w:r>
        <w:rPr>
          <w:rFonts w:ascii="Arial" w:cs="Arial" w:eastAsia="Arial" w:hAnsi="Arial"/>
          <w:sz w:val="17"/>
          <w:szCs w:val="17"/>
          <w:color w:val="auto"/>
        </w:rPr>
        <w:t xml:space="preserve">Section 5.9 </w:t>
      </w:r>
      <w:r>
        <w:rPr>
          <w:rFonts w:ascii="Arial" w:cs="Arial" w:eastAsia="Arial" w:hAnsi="Arial"/>
          <w:sz w:val="17"/>
          <w:szCs w:val="17"/>
          <w:u w:val="single" w:color="auto"/>
          <w:color w:val="auto"/>
        </w:rPr>
        <w:t>Governing Law</w:t>
      </w:r>
      <w:r>
        <w:rPr>
          <w:rFonts w:ascii="Arial" w:cs="Arial" w:eastAsia="Arial" w:hAnsi="Arial"/>
          <w:sz w:val="17"/>
          <w:szCs w:val="17"/>
          <w:color w:val="auto"/>
        </w:rPr>
        <w:t>. This Agreement shall be governed by and construed and enforced in accordance with the laws of the State of Delaware, without giving effect to choice of law principles thereof that would cause the application of the laws of any other jurisdiction</w:t>
      </w:r>
    </w:p>
    <w:p>
      <w:pPr>
        <w:spacing w:after="0" w:line="146" w:lineRule="exact"/>
        <w:rPr>
          <w:sz w:val="20"/>
          <w:szCs w:val="20"/>
          <w:color w:val="auto"/>
        </w:rPr>
      </w:pPr>
    </w:p>
    <w:p>
      <w:pPr>
        <w:ind w:right="540" w:firstLine="1296"/>
        <w:spacing w:after="0" w:line="277" w:lineRule="auto"/>
        <w:rPr>
          <w:sz w:val="20"/>
          <w:szCs w:val="20"/>
          <w:color w:val="auto"/>
        </w:rPr>
      </w:pPr>
      <w:r>
        <w:rPr>
          <w:rFonts w:ascii="Arial" w:cs="Arial" w:eastAsia="Arial" w:hAnsi="Arial"/>
          <w:sz w:val="18"/>
          <w:szCs w:val="18"/>
          <w:color w:val="auto"/>
        </w:rPr>
        <w:t xml:space="preserve">Section 5.10 </w:t>
      </w:r>
      <w:r>
        <w:rPr>
          <w:rFonts w:ascii="Arial" w:cs="Arial" w:eastAsia="Arial" w:hAnsi="Arial"/>
          <w:sz w:val="18"/>
          <w:szCs w:val="18"/>
          <w:u w:val="single" w:color="auto"/>
          <w:color w:val="auto"/>
        </w:rPr>
        <w:t>Waiver of Jury Trial</w:t>
      </w:r>
      <w:r>
        <w:rPr>
          <w:rFonts w:ascii="Arial" w:cs="Arial" w:eastAsia="Arial" w:hAnsi="Arial"/>
          <w:sz w:val="18"/>
          <w:szCs w:val="18"/>
          <w:color w:val="auto"/>
        </w:rPr>
        <w:t>. EACH OF THE PARTIES HERETO HEREBY IRREVOCABLY WAIVES THE RIGHT TO A TRIAL BY JURY.</w:t>
      </w:r>
    </w:p>
    <w:p>
      <w:pPr>
        <w:spacing w:after="0" w:line="170" w:lineRule="exact"/>
        <w:rPr>
          <w:sz w:val="20"/>
          <w:szCs w:val="20"/>
          <w:color w:val="auto"/>
        </w:rPr>
      </w:pPr>
    </w:p>
    <w:p>
      <w:pPr>
        <w:ind w:right="20" w:firstLine="1296"/>
        <w:spacing w:after="0" w:line="259" w:lineRule="auto"/>
        <w:rPr>
          <w:sz w:val="20"/>
          <w:szCs w:val="20"/>
          <w:color w:val="auto"/>
        </w:rPr>
      </w:pPr>
      <w:r>
        <w:rPr>
          <w:rFonts w:ascii="Arial" w:cs="Arial" w:eastAsia="Arial" w:hAnsi="Arial"/>
          <w:sz w:val="18"/>
          <w:szCs w:val="18"/>
          <w:color w:val="auto"/>
        </w:rPr>
        <w:t xml:space="preserve">Section 5.11 </w:t>
      </w:r>
      <w:r>
        <w:rPr>
          <w:rFonts w:ascii="Arial" w:cs="Arial" w:eastAsia="Arial" w:hAnsi="Arial"/>
          <w:sz w:val="18"/>
          <w:szCs w:val="18"/>
          <w:u w:val="single" w:color="auto"/>
          <w:color w:val="auto"/>
        </w:rPr>
        <w:t>Dispute Resolution</w:t>
      </w:r>
      <w:r>
        <w:rPr>
          <w:rFonts w:ascii="Arial" w:cs="Arial" w:eastAsia="Arial" w:hAnsi="Arial"/>
          <w:sz w:val="18"/>
          <w:szCs w:val="18"/>
          <w:color w:val="auto"/>
        </w:rPr>
        <w:t xml:space="preserve">. The parties hereby agree to arbitrate any and all disputes arising under or related to this Agreement, including disputes related to the interpretation of this Agreement, under the Delaware Rapid Arbitration Act, 10 </w:t>
      </w:r>
      <w:r>
        <w:rPr>
          <w:rFonts w:ascii="Arial" w:cs="Arial" w:eastAsia="Arial" w:hAnsi="Arial"/>
          <w:sz w:val="18"/>
          <w:szCs w:val="18"/>
          <w:i w:val="1"/>
          <w:iCs w:val="1"/>
          <w:color w:val="auto"/>
        </w:rPr>
        <w:t>Del. C.</w:t>
      </w:r>
      <w:r>
        <w:rPr>
          <w:rFonts w:ascii="Arial" w:cs="Arial" w:eastAsia="Arial" w:hAnsi="Arial"/>
          <w:sz w:val="18"/>
          <w:szCs w:val="18"/>
          <w:color w:val="auto"/>
        </w:rPr>
        <w:t xml:space="preserve"> § 5801, </w:t>
      </w:r>
      <w:r>
        <w:rPr>
          <w:rFonts w:ascii="Arial" w:cs="Arial" w:eastAsia="Arial" w:hAnsi="Arial"/>
          <w:sz w:val="18"/>
          <w:szCs w:val="18"/>
          <w:i w:val="1"/>
          <w:iCs w:val="1"/>
          <w:color w:val="auto"/>
        </w:rPr>
        <w:t>et seq.</w:t>
      </w:r>
      <w:r>
        <w:rPr>
          <w:rFonts w:ascii="Arial" w:cs="Arial" w:eastAsia="Arial" w:hAnsi="Arial"/>
          <w:sz w:val="18"/>
          <w:szCs w:val="18"/>
          <w:color w:val="auto"/>
        </w:rPr>
        <w:t>. This provision shall be governed by Delaware law, without reference to the law chosen for any other provision of this Agreement. All parties waive the right to seek or to receive punitive or consequential damages in connection with a dispute under this Agreement.</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4" w:name="page15"/>
    <w:bookmarkEnd w:id="14"/>
    <w:p>
      <w:pPr>
        <w:ind w:right="420" w:firstLine="1296"/>
        <w:spacing w:after="0" w:line="308" w:lineRule="auto"/>
        <w:rPr>
          <w:sz w:val="20"/>
          <w:szCs w:val="20"/>
          <w:color w:val="auto"/>
        </w:rPr>
      </w:pPr>
      <w:r>
        <w:rPr>
          <w:rFonts w:ascii="Arial" w:cs="Arial" w:eastAsia="Arial" w:hAnsi="Arial"/>
          <w:sz w:val="17"/>
          <w:szCs w:val="17"/>
          <w:color w:val="auto"/>
        </w:rPr>
        <w:t xml:space="preserve">Section 5.12 </w:t>
      </w:r>
      <w:r>
        <w:rPr>
          <w:rFonts w:ascii="Arial" w:cs="Arial" w:eastAsia="Arial" w:hAnsi="Arial"/>
          <w:sz w:val="17"/>
          <w:szCs w:val="17"/>
          <w:u w:val="single" w:color="auto"/>
          <w:color w:val="auto"/>
        </w:rPr>
        <w:t>Counterparts; Facsimile</w:t>
      </w:r>
      <w:r>
        <w:rPr>
          <w:rFonts w:ascii="Arial" w:cs="Arial" w:eastAsia="Arial" w:hAnsi="Arial"/>
          <w:sz w:val="17"/>
          <w:szCs w:val="17"/>
          <w:color w:val="auto"/>
        </w:rPr>
        <w:t>. This Agreement may be executed in counterparts, including by facsimile or PDF electronic transmission, each of which shall be deemed an original, but all of which together shall constitute one and the same Agreement.</w:t>
      </w:r>
    </w:p>
    <w:p>
      <w:pPr>
        <w:spacing w:after="0" w:line="146" w:lineRule="exact"/>
        <w:rPr>
          <w:sz w:val="20"/>
          <w:szCs w:val="20"/>
          <w:color w:val="auto"/>
        </w:rPr>
      </w:pPr>
    </w:p>
    <w:p>
      <w:pPr>
        <w:ind w:firstLine="1296"/>
        <w:spacing w:after="0" w:line="259" w:lineRule="auto"/>
        <w:rPr>
          <w:sz w:val="20"/>
          <w:szCs w:val="20"/>
          <w:color w:val="auto"/>
        </w:rPr>
      </w:pPr>
      <w:r>
        <w:rPr>
          <w:rFonts w:ascii="Arial" w:cs="Arial" w:eastAsia="Arial" w:hAnsi="Arial"/>
          <w:sz w:val="18"/>
          <w:szCs w:val="18"/>
          <w:color w:val="auto"/>
        </w:rPr>
        <w:t xml:space="preserve">Section 5.13 </w:t>
      </w:r>
      <w:r>
        <w:rPr>
          <w:rFonts w:ascii="Arial" w:cs="Arial" w:eastAsia="Arial" w:hAnsi="Arial"/>
          <w:sz w:val="18"/>
          <w:szCs w:val="18"/>
          <w:u w:val="single" w:color="auto"/>
          <w:color w:val="auto"/>
        </w:rPr>
        <w:t>Further Assurances</w:t>
      </w:r>
      <w:r>
        <w:rPr>
          <w:rFonts w:ascii="Arial" w:cs="Arial" w:eastAsia="Arial" w:hAnsi="Arial"/>
          <w:sz w:val="18"/>
          <w:szCs w:val="18"/>
          <w:color w:val="auto"/>
        </w:rPr>
        <w:t>. Upon the terms and subject to the conditions of this Agreement, each of the parties hereto agrees to execute such additional documents, to use commercially reasonable efforts to take, or cause to be taken, all actions, and to do, or cause to be done, and to assist and cooperate with the other parties in doing, all things necessary, proper or advisable to consummate or make effective, in the most expeditious manner practicable, the transactions contemplated by this Agreement.</w:t>
      </w:r>
    </w:p>
    <w:p>
      <w:pPr>
        <w:spacing w:after="0" w:line="187" w:lineRule="exact"/>
        <w:rPr>
          <w:sz w:val="20"/>
          <w:szCs w:val="20"/>
          <w:color w:val="auto"/>
        </w:rPr>
      </w:pPr>
    </w:p>
    <w:p>
      <w:pPr>
        <w:ind w:right="320" w:firstLine="1296"/>
        <w:spacing w:after="0" w:line="286" w:lineRule="auto"/>
        <w:rPr>
          <w:sz w:val="20"/>
          <w:szCs w:val="20"/>
          <w:color w:val="auto"/>
        </w:rPr>
      </w:pPr>
      <w:r>
        <w:rPr>
          <w:rFonts w:ascii="Arial" w:cs="Arial" w:eastAsia="Arial" w:hAnsi="Arial"/>
          <w:sz w:val="17"/>
          <w:szCs w:val="17"/>
          <w:color w:val="auto"/>
        </w:rPr>
        <w:t xml:space="preserve">Section 5.14 </w:t>
      </w:r>
      <w:r>
        <w:rPr>
          <w:rFonts w:ascii="Arial" w:cs="Arial" w:eastAsia="Arial" w:hAnsi="Arial"/>
          <w:sz w:val="17"/>
          <w:szCs w:val="17"/>
          <w:u w:val="single" w:color="auto"/>
          <w:color w:val="auto"/>
        </w:rPr>
        <w:t>Interpretation</w:t>
      </w:r>
      <w:r>
        <w:rPr>
          <w:rFonts w:ascii="Arial" w:cs="Arial" w:eastAsia="Arial" w:hAnsi="Arial"/>
          <w:sz w:val="17"/>
          <w:szCs w:val="17"/>
          <w:color w:val="auto"/>
        </w:rPr>
        <w:t>. The parties acknowledge and agree that this Agreement has been negotiated at arm's length and among parties equally sophisticated and knowledgeable in the matters covered hereby. Accordingly, any rule of law or legal decision that would require interpretation of any ambiguities in this Agreement against the party that has drafted it is not applicable and is hereby waived.</w:t>
      </w:r>
    </w:p>
    <w:p>
      <w:pPr>
        <w:spacing w:after="0" w:line="16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Remainder of Page Intentionally Blank</w:t>
      </w:r>
      <w:r>
        <w:rPr>
          <w:rFonts w:ascii="Arial" w:cs="Arial" w:eastAsia="Arial" w:hAnsi="Arial"/>
          <w:sz w:val="18"/>
          <w:szCs w:val="18"/>
          <w:color w:val="auto"/>
        </w:rPr>
        <w:t>]</w:t>
      </w:r>
    </w:p>
    <w:p>
      <w:pPr>
        <w:spacing w:after="0" w:line="200" w:lineRule="exact"/>
        <w:rPr>
          <w:sz w:val="20"/>
          <w:szCs w:val="20"/>
          <w:color w:val="auto"/>
        </w:rPr>
      </w:pPr>
    </w:p>
    <w:p>
      <w:pPr>
        <w:spacing w:after="0" w:line="234" w:lineRule="exact"/>
        <w:rPr>
          <w:sz w:val="20"/>
          <w:szCs w:val="20"/>
          <w:color w:val="auto"/>
        </w:rPr>
      </w:pPr>
    </w:p>
    <w:p>
      <w:pPr>
        <w:jc w:val="center"/>
        <w:ind w:right="-199"/>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40"/>
          </w:cols>
          <w:pgMar w:left="320" w:top="908" w:right="539" w:bottom="1440" w:gutter="0" w:footer="0" w:header="0"/>
        </w:sectPr>
      </w:pPr>
    </w:p>
    <w:bookmarkStart w:id="15" w:name="page16"/>
    <w:bookmarkEnd w:id="15"/>
    <w:p>
      <w:pPr>
        <w:ind w:left="660"/>
        <w:spacing w:after="0"/>
        <w:rPr>
          <w:sz w:val="20"/>
          <w:szCs w:val="20"/>
          <w:color w:val="auto"/>
        </w:rPr>
      </w:pPr>
      <w:r>
        <w:rPr>
          <w:rFonts w:ascii="Arial" w:cs="Arial" w:eastAsia="Arial" w:hAnsi="Arial"/>
          <w:sz w:val="16"/>
          <w:szCs w:val="16"/>
          <w:color w:val="auto"/>
        </w:rPr>
        <w:t>IN WITNESS WHEREOF, the parties hereto have caused this Agreement to be duly executed as of the day and year first written above.</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PURCHASER: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TAS PARTNERS LLC</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Timothy A. Springer</w:t>
            </w:r>
          </w:p>
        </w:tc>
      </w:tr>
      <w:tr>
        <w:trPr>
          <w:trHeight w:val="202"/>
        </w:trPr>
        <w:tc>
          <w:tcPr>
            <w:tcW w:w="580" w:type="dxa"/>
            <w:vAlign w:val="bottom"/>
          </w:tcPr>
          <w:p>
            <w:pPr>
              <w:spacing w:after="0" w:line="201" w:lineRule="exact"/>
              <w:rPr>
                <w:sz w:val="20"/>
                <w:szCs w:val="20"/>
                <w:color w:val="auto"/>
              </w:rPr>
            </w:pPr>
            <w:r>
              <w:rPr>
                <w:rFonts w:ascii="Arial" w:cs="Arial" w:eastAsia="Arial" w:hAnsi="Arial"/>
                <w:sz w:val="18"/>
                <w:szCs w:val="18"/>
                <w:color w:val="auto"/>
              </w:rPr>
              <w:t>Name:</w:t>
            </w:r>
          </w:p>
        </w:tc>
        <w:tc>
          <w:tcPr>
            <w:tcW w:w="3920" w:type="dxa"/>
            <w:vAlign w:val="bottom"/>
          </w:tcPr>
          <w:p>
            <w:pPr>
              <w:spacing w:after="0" w:line="201" w:lineRule="exact"/>
              <w:rPr>
                <w:sz w:val="20"/>
                <w:szCs w:val="20"/>
                <w:color w:val="auto"/>
              </w:rPr>
            </w:pPr>
            <w:r>
              <w:rPr>
                <w:rFonts w:ascii="Arial" w:cs="Arial" w:eastAsia="Arial" w:hAnsi="Arial"/>
                <w:sz w:val="18"/>
                <w:szCs w:val="18"/>
                <w:color w:val="auto"/>
              </w:rPr>
              <w:t>Timothy A. Springer</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920" w:type="dxa"/>
            <w:vAlign w:val="bottom"/>
          </w:tcPr>
          <w:p>
            <w:pPr>
              <w:spacing w:after="0"/>
              <w:rPr>
                <w:sz w:val="20"/>
                <w:szCs w:val="20"/>
                <w:color w:val="auto"/>
              </w:rPr>
            </w:pPr>
            <w:r>
              <w:rPr>
                <w:rFonts w:ascii="Arial" w:cs="Arial" w:eastAsia="Arial" w:hAnsi="Arial"/>
                <w:sz w:val="18"/>
                <w:szCs w:val="18"/>
                <w:color w:val="auto"/>
              </w:rPr>
              <w:t>Manager</w:t>
            </w:r>
          </w:p>
        </w:tc>
      </w:tr>
    </w:tbl>
    <w:p>
      <w:pPr>
        <w:spacing w:after="0" w:line="202" w:lineRule="exact"/>
        <w:rPr>
          <w:sz w:val="20"/>
          <w:szCs w:val="20"/>
          <w:color w:val="auto"/>
        </w:rPr>
      </w:pPr>
    </w:p>
    <w:p>
      <w:pPr>
        <w:ind w:left="4200"/>
        <w:spacing w:after="0"/>
        <w:rPr>
          <w:sz w:val="20"/>
          <w:szCs w:val="20"/>
          <w:color w:val="auto"/>
        </w:rPr>
      </w:pPr>
      <w:r>
        <w:rPr>
          <w:rFonts w:ascii="Arial" w:cs="Arial" w:eastAsia="Arial" w:hAnsi="Arial"/>
          <w:sz w:val="18"/>
          <w:szCs w:val="18"/>
          <w:i w:val="1"/>
          <w:iCs w:val="1"/>
          <w:color w:val="auto"/>
        </w:rPr>
        <w:t>Signature Page to 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440"/>
          </w:cols>
          <w:pgMar w:left="320" w:top="908" w:right="1139" w:bottom="1440" w:gutter="0" w:footer="0" w:header="0"/>
        </w:sectPr>
      </w:pPr>
    </w:p>
    <w:bookmarkStart w:id="16" w:name="page17"/>
    <w:bookmarkEnd w:id="16"/>
    <w:p>
      <w:pPr>
        <w:ind w:left="660"/>
        <w:spacing w:after="0"/>
        <w:rPr>
          <w:sz w:val="20"/>
          <w:szCs w:val="20"/>
          <w:color w:val="auto"/>
        </w:rPr>
      </w:pPr>
      <w:r>
        <w:rPr>
          <w:rFonts w:ascii="Arial" w:cs="Arial" w:eastAsia="Arial" w:hAnsi="Arial"/>
          <w:sz w:val="16"/>
          <w:szCs w:val="16"/>
          <w:color w:val="auto"/>
        </w:rPr>
        <w:t>IN WITNESS WHEREOF, the parties hereto have caused this Agreement to be duly executed as of the day and year first written above.</w:t>
      </w:r>
    </w:p>
    <w:p>
      <w:pPr>
        <w:sectPr>
          <w:pgSz w:w="11900" w:h="16838" w:orient="portrait"/>
          <w:cols w:equalWidth="0" w:num="1">
            <w:col w:w="11240"/>
          </w:cols>
          <w:pgMar w:left="320" w:top="908" w:right="339" w:bottom="1440" w:gutter="0" w:footer="0" w:header="0"/>
        </w:sectPr>
      </w:pP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SELLERS: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POLARIS VENTURE PARTNERS V, 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POLARIS VENTURE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MANAGEMENT CO. V,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its general partner</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45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Lauren Crockett</w:t>
            </w:r>
          </w:p>
        </w:tc>
      </w:tr>
      <w:tr>
        <w:trPr>
          <w:trHeight w:val="202"/>
        </w:trPr>
        <w:tc>
          <w:tcPr>
            <w:tcW w:w="580" w:type="dxa"/>
            <w:vAlign w:val="bottom"/>
          </w:tcPr>
          <w:p>
            <w:pPr>
              <w:spacing w:after="0" w:line="201" w:lineRule="exact"/>
              <w:rPr>
                <w:sz w:val="20"/>
                <w:szCs w:val="20"/>
                <w:color w:val="auto"/>
              </w:rPr>
            </w:pPr>
            <w:r>
              <w:rPr>
                <w:rFonts w:ascii="Arial" w:cs="Arial" w:eastAsia="Arial" w:hAnsi="Arial"/>
                <w:sz w:val="18"/>
                <w:szCs w:val="18"/>
                <w:color w:val="auto"/>
              </w:rPr>
              <w:t>Name:</w:t>
            </w:r>
          </w:p>
        </w:tc>
        <w:tc>
          <w:tcPr>
            <w:tcW w:w="4500" w:type="dxa"/>
            <w:vAlign w:val="bottom"/>
          </w:tcPr>
          <w:p>
            <w:pPr>
              <w:spacing w:after="0" w:line="201" w:lineRule="exact"/>
              <w:rPr>
                <w:sz w:val="20"/>
                <w:szCs w:val="20"/>
                <w:color w:val="auto"/>
              </w:rPr>
            </w:pPr>
            <w:r>
              <w:rPr>
                <w:rFonts w:ascii="Arial" w:cs="Arial" w:eastAsia="Arial" w:hAnsi="Arial"/>
                <w:sz w:val="18"/>
                <w:szCs w:val="18"/>
                <w:color w:val="auto"/>
              </w:rPr>
              <w:t>Lauren Crockett</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4500" w:type="dxa"/>
            <w:vAlign w:val="bottom"/>
          </w:tcPr>
          <w:p>
            <w:pPr>
              <w:spacing w:after="0"/>
              <w:rPr>
                <w:sz w:val="20"/>
                <w:szCs w:val="20"/>
                <w:color w:val="auto"/>
              </w:rPr>
            </w:pPr>
            <w:r>
              <w:rPr>
                <w:rFonts w:ascii="Arial" w:cs="Arial" w:eastAsia="Arial" w:hAnsi="Arial"/>
                <w:sz w:val="18"/>
                <w:szCs w:val="18"/>
                <w:color w:val="auto"/>
              </w:rPr>
              <w:t>Attorney-in-Fact</w:t>
            </w:r>
          </w:p>
        </w:tc>
      </w:tr>
    </w:tbl>
    <w:p>
      <w:pPr>
        <w:spacing w:after="0" w:line="202" w:lineRule="exact"/>
        <w:rPr>
          <w:sz w:val="20"/>
          <w:szCs w:val="20"/>
          <w:color w:val="auto"/>
        </w:rPr>
      </w:pPr>
    </w:p>
    <w:p>
      <w:pPr>
        <w:ind w:right="560"/>
        <w:spacing w:after="0" w:line="258" w:lineRule="auto"/>
        <w:rPr>
          <w:sz w:val="20"/>
          <w:szCs w:val="20"/>
          <w:color w:val="auto"/>
        </w:rPr>
      </w:pPr>
      <w:r>
        <w:rPr>
          <w:rFonts w:ascii="Arial" w:cs="Arial" w:eastAsia="Arial" w:hAnsi="Arial"/>
          <w:sz w:val="18"/>
          <w:szCs w:val="18"/>
          <w:color w:val="auto"/>
        </w:rPr>
        <w:t>POLARIS VENTURE PARTNERS ENTREPRENEURS’ FUND V, L.P.</w:t>
      </w:r>
    </w:p>
    <w:p>
      <w:pPr>
        <w:spacing w:after="0" w:line="1" w:lineRule="exact"/>
        <w:rPr>
          <w:sz w:val="20"/>
          <w:szCs w:val="20"/>
          <w:color w:val="auto"/>
        </w:rPr>
      </w:pPr>
    </w:p>
    <w:p>
      <w:pPr>
        <w:ind w:right="1060"/>
        <w:spacing w:after="0" w:line="260" w:lineRule="auto"/>
        <w:rPr>
          <w:sz w:val="20"/>
          <w:szCs w:val="20"/>
          <w:color w:val="auto"/>
        </w:rPr>
      </w:pPr>
      <w:r>
        <w:rPr>
          <w:rFonts w:ascii="Arial" w:cs="Arial" w:eastAsia="Arial" w:hAnsi="Arial"/>
          <w:sz w:val="18"/>
          <w:szCs w:val="18"/>
          <w:color w:val="auto"/>
        </w:rPr>
        <w:t>BY: POLARIS VENTURE MANAGEMENT CO. V, L.L.C., its general partner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right="1400"/>
        <w:spacing w:after="0" w:line="258" w:lineRule="auto"/>
        <w:rPr>
          <w:sz w:val="20"/>
          <w:szCs w:val="20"/>
          <w:color w:val="auto"/>
        </w:rPr>
      </w:pPr>
      <w:r>
        <w:rPr>
          <w:rFonts w:ascii="Arial" w:cs="Arial" w:eastAsia="Arial" w:hAnsi="Arial"/>
          <w:sz w:val="18"/>
          <w:szCs w:val="18"/>
          <w:color w:val="auto"/>
        </w:rPr>
        <w:t>POLARIS VENTURE PARTNERS FOUNDERS’ FUND V, L.P.</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BY: POLARIS VENTURE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MANAGEMENT CO. V,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its general partner</w:t>
      </w:r>
    </w:p>
    <w:p>
      <w:pPr>
        <w:spacing w:after="0" w:line="211" w:lineRule="exact"/>
        <w:rPr>
          <w:sz w:val="20"/>
          <w:szCs w:val="20"/>
          <w:color w:val="auto"/>
        </w:rPr>
      </w:pPr>
    </w:p>
    <w:p>
      <w:pPr>
        <w:spacing w:after="0"/>
        <w:tabs>
          <w:tab w:leader="none" w:pos="5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Lauren Crockett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354330</wp:posOffset>
            </wp:positionH>
            <wp:positionV relativeFrom="paragraph">
              <wp:posOffset>14605</wp:posOffset>
            </wp:positionV>
            <wp:extent cx="284607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Name: Lauren Crockett</w:t>
      </w:r>
    </w:p>
    <w:p>
      <w:pPr>
        <w:spacing w:after="0" w:line="36" w:lineRule="exact"/>
        <w:rPr>
          <w:sz w:val="20"/>
          <w:szCs w:val="20"/>
          <w:color w:val="auto"/>
        </w:rPr>
      </w:pPr>
    </w:p>
    <w:p>
      <w:pPr>
        <w:spacing w:after="0"/>
        <w:tabs>
          <w:tab w:leader="none" w:pos="5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Attorney-in-Fact</w:t>
      </w:r>
    </w:p>
    <w:p>
      <w:pPr>
        <w:spacing w:after="0" w:line="211" w:lineRule="exact"/>
        <w:rPr>
          <w:sz w:val="20"/>
          <w:szCs w:val="20"/>
          <w:color w:val="auto"/>
        </w:rPr>
      </w:pPr>
    </w:p>
    <w:p>
      <w:pPr>
        <w:ind w:right="100"/>
        <w:spacing w:after="0" w:line="258" w:lineRule="auto"/>
        <w:rPr>
          <w:sz w:val="20"/>
          <w:szCs w:val="20"/>
          <w:color w:val="auto"/>
        </w:rPr>
      </w:pPr>
      <w:r>
        <w:rPr>
          <w:rFonts w:ascii="Arial" w:cs="Arial" w:eastAsia="Arial" w:hAnsi="Arial"/>
          <w:sz w:val="18"/>
          <w:szCs w:val="18"/>
          <w:color w:val="auto"/>
        </w:rPr>
        <w:t>POLARIS VENTURE PARTNERS SPECIAL FOUNDERS’ FUND V, L.P.</w:t>
      </w:r>
    </w:p>
    <w:p>
      <w:pPr>
        <w:spacing w:after="0" w:line="1" w:lineRule="exact"/>
        <w:rPr>
          <w:sz w:val="20"/>
          <w:szCs w:val="20"/>
          <w:color w:val="auto"/>
        </w:rPr>
      </w:pPr>
    </w:p>
    <w:p>
      <w:pPr>
        <w:ind w:right="420"/>
        <w:spacing w:after="0" w:line="260" w:lineRule="auto"/>
        <w:rPr>
          <w:sz w:val="20"/>
          <w:szCs w:val="20"/>
          <w:color w:val="auto"/>
        </w:rPr>
      </w:pPr>
      <w:r>
        <w:rPr>
          <w:rFonts w:ascii="Arial" w:cs="Arial" w:eastAsia="Arial" w:hAnsi="Arial"/>
          <w:sz w:val="18"/>
          <w:szCs w:val="18"/>
          <w:color w:val="auto"/>
        </w:rPr>
        <w:t>BY: POLARIS VENTURE MANAGEMENT CO. V, L.L.C., its general partner</w:t>
      </w:r>
    </w:p>
    <w:p>
      <w:pPr>
        <w:spacing w:after="0" w:line="185" w:lineRule="exact"/>
        <w:rPr>
          <w:sz w:val="20"/>
          <w:szCs w:val="20"/>
          <w:color w:val="auto"/>
        </w:rPr>
      </w:pPr>
    </w:p>
    <w:p>
      <w:pPr>
        <w:sectPr>
          <w:pgSz w:w="11900" w:h="16838" w:orient="portrait"/>
          <w:cols w:equalWidth="0" w:num="2">
            <w:col w:w="5480" w:space="720"/>
            <w:col w:w="5040"/>
          </w:cols>
          <w:pgMar w:left="320" w:top="908" w:right="339" w:bottom="1440" w:gutter="0" w:footer="0" w:header="0"/>
          <w:type w:val="continuous"/>
        </w:sectPr>
      </w:pPr>
    </w:p>
    <w:tbl>
      <w:tblPr>
        <w:tblLayout w:type="fixed"/>
        <w:tblInd w:w="0" w:type="dxa"/>
        <w:tblCellMar>
          <w:top w:w="0" w:type="dxa"/>
          <w:left w:w="0" w:type="dxa"/>
          <w:bottom w:w="0" w:type="dxa"/>
          <w:right w:w="0" w:type="dxa"/>
        </w:tblCellMar>
      </w:tblPr>
      <w:tr>
        <w:trPr>
          <w:trHeight w:val="237"/>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45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Lauren Crockett</w:t>
            </w:r>
          </w:p>
        </w:tc>
        <w:tc>
          <w:tcPr>
            <w:tcW w:w="1680" w:type="dxa"/>
            <w:vAlign w:val="bottom"/>
          </w:tcPr>
          <w:p>
            <w:pPr>
              <w:ind w:left="1120"/>
              <w:spacing w:after="0"/>
              <w:rPr>
                <w:sz w:val="20"/>
                <w:szCs w:val="20"/>
                <w:color w:val="auto"/>
              </w:rPr>
            </w:pPr>
            <w:r>
              <w:rPr>
                <w:rFonts w:ascii="Arial" w:cs="Arial" w:eastAsia="Arial" w:hAnsi="Arial"/>
                <w:sz w:val="18"/>
                <w:szCs w:val="18"/>
                <w:color w:val="auto"/>
              </w:rPr>
              <w:t>By:</w:t>
            </w:r>
          </w:p>
        </w:tc>
        <w:tc>
          <w:tcPr>
            <w:tcW w:w="44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Lauren Crockett</w:t>
            </w:r>
          </w:p>
        </w:tc>
      </w:tr>
      <w:tr>
        <w:trPr>
          <w:trHeight w:val="202"/>
        </w:trPr>
        <w:tc>
          <w:tcPr>
            <w:tcW w:w="580" w:type="dxa"/>
            <w:vAlign w:val="bottom"/>
          </w:tcPr>
          <w:p>
            <w:pPr>
              <w:spacing w:after="0" w:line="201" w:lineRule="exact"/>
              <w:rPr>
                <w:sz w:val="20"/>
                <w:szCs w:val="20"/>
                <w:color w:val="auto"/>
              </w:rPr>
            </w:pPr>
            <w:r>
              <w:rPr>
                <w:rFonts w:ascii="Arial" w:cs="Arial" w:eastAsia="Arial" w:hAnsi="Arial"/>
                <w:sz w:val="18"/>
                <w:szCs w:val="18"/>
                <w:color w:val="auto"/>
              </w:rPr>
              <w:t>Name:</w:t>
            </w:r>
          </w:p>
        </w:tc>
        <w:tc>
          <w:tcPr>
            <w:tcW w:w="4500" w:type="dxa"/>
            <w:vAlign w:val="bottom"/>
          </w:tcPr>
          <w:p>
            <w:pPr>
              <w:spacing w:after="0" w:line="201" w:lineRule="exact"/>
              <w:rPr>
                <w:sz w:val="20"/>
                <w:szCs w:val="20"/>
                <w:color w:val="auto"/>
              </w:rPr>
            </w:pPr>
            <w:r>
              <w:rPr>
                <w:rFonts w:ascii="Arial" w:cs="Arial" w:eastAsia="Arial" w:hAnsi="Arial"/>
                <w:sz w:val="18"/>
                <w:szCs w:val="18"/>
                <w:color w:val="auto"/>
              </w:rPr>
              <w:t>Lauren Crockett</w:t>
            </w:r>
          </w:p>
        </w:tc>
        <w:tc>
          <w:tcPr>
            <w:tcW w:w="1680" w:type="dxa"/>
            <w:vAlign w:val="bottom"/>
          </w:tcPr>
          <w:p>
            <w:pPr>
              <w:ind w:left="1120"/>
              <w:spacing w:after="0" w:line="201" w:lineRule="exact"/>
              <w:rPr>
                <w:sz w:val="20"/>
                <w:szCs w:val="20"/>
                <w:color w:val="auto"/>
              </w:rPr>
            </w:pPr>
            <w:r>
              <w:rPr>
                <w:rFonts w:ascii="Arial" w:cs="Arial" w:eastAsia="Arial" w:hAnsi="Arial"/>
                <w:sz w:val="18"/>
                <w:szCs w:val="18"/>
                <w:color w:val="auto"/>
              </w:rPr>
              <w:t>Name:</w:t>
            </w:r>
          </w:p>
        </w:tc>
        <w:tc>
          <w:tcPr>
            <w:tcW w:w="4480" w:type="dxa"/>
            <w:vAlign w:val="bottom"/>
          </w:tcPr>
          <w:p>
            <w:pPr>
              <w:spacing w:after="0" w:line="201" w:lineRule="exact"/>
              <w:rPr>
                <w:sz w:val="20"/>
                <w:szCs w:val="20"/>
                <w:color w:val="auto"/>
              </w:rPr>
            </w:pPr>
            <w:r>
              <w:rPr>
                <w:rFonts w:ascii="Arial" w:cs="Arial" w:eastAsia="Arial" w:hAnsi="Arial"/>
                <w:sz w:val="18"/>
                <w:szCs w:val="18"/>
                <w:color w:val="auto"/>
              </w:rPr>
              <w:t>Lauren Crockett</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4500" w:type="dxa"/>
            <w:vAlign w:val="bottom"/>
          </w:tcPr>
          <w:p>
            <w:pPr>
              <w:spacing w:after="0"/>
              <w:rPr>
                <w:sz w:val="20"/>
                <w:szCs w:val="20"/>
                <w:color w:val="auto"/>
              </w:rPr>
            </w:pPr>
            <w:r>
              <w:rPr>
                <w:rFonts w:ascii="Arial" w:cs="Arial" w:eastAsia="Arial" w:hAnsi="Arial"/>
                <w:sz w:val="18"/>
                <w:szCs w:val="18"/>
                <w:color w:val="auto"/>
              </w:rPr>
              <w:t>Attorney-in-Fact</w:t>
            </w:r>
          </w:p>
        </w:tc>
        <w:tc>
          <w:tcPr>
            <w:tcW w:w="1680" w:type="dxa"/>
            <w:vAlign w:val="bottom"/>
          </w:tcPr>
          <w:p>
            <w:pPr>
              <w:ind w:left="1120"/>
              <w:spacing w:after="0"/>
              <w:rPr>
                <w:sz w:val="20"/>
                <w:szCs w:val="20"/>
                <w:color w:val="auto"/>
              </w:rPr>
            </w:pPr>
            <w:r>
              <w:rPr>
                <w:rFonts w:ascii="Arial" w:cs="Arial" w:eastAsia="Arial" w:hAnsi="Arial"/>
                <w:sz w:val="18"/>
                <w:szCs w:val="18"/>
                <w:color w:val="auto"/>
              </w:rPr>
              <w:t>Title:</w:t>
            </w:r>
          </w:p>
        </w:tc>
        <w:tc>
          <w:tcPr>
            <w:tcW w:w="4480" w:type="dxa"/>
            <w:vAlign w:val="bottom"/>
          </w:tcPr>
          <w:p>
            <w:pPr>
              <w:spacing w:after="0"/>
              <w:rPr>
                <w:sz w:val="20"/>
                <w:szCs w:val="20"/>
                <w:color w:val="auto"/>
              </w:rPr>
            </w:pPr>
            <w:r>
              <w:rPr>
                <w:rFonts w:ascii="Arial" w:cs="Arial" w:eastAsia="Arial" w:hAnsi="Arial"/>
                <w:sz w:val="18"/>
                <w:szCs w:val="18"/>
                <w:color w:val="auto"/>
              </w:rPr>
              <w:t>Attorney-in-Fact</w:t>
            </w: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Signature Page to 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type w:val="continuous"/>
        </w:sectPr>
      </w:pPr>
    </w:p>
    <w:bookmarkStart w:id="17" w:name="page18"/>
    <w:bookmarkEnd w:id="17"/>
    <w:p>
      <w:pPr>
        <w:jc w:val="center"/>
        <w:ind w:left="3120"/>
        <w:spacing w:after="0"/>
        <w:rPr>
          <w:sz w:val="20"/>
          <w:szCs w:val="20"/>
          <w:color w:val="auto"/>
        </w:rPr>
      </w:pPr>
      <w:r>
        <w:rPr>
          <w:rFonts w:ascii="Arial" w:cs="Arial" w:eastAsia="Arial" w:hAnsi="Arial"/>
          <w:sz w:val="18"/>
          <w:szCs w:val="18"/>
          <w:b w:val="1"/>
          <w:bCs w:val="1"/>
          <w:color w:val="auto"/>
        </w:rPr>
        <w:t>Exhibit A</w:t>
      </w:r>
    </w:p>
    <w:p>
      <w:pPr>
        <w:spacing w:after="0" w:line="225" w:lineRule="exact"/>
        <w:rPr>
          <w:sz w:val="20"/>
          <w:szCs w:val="20"/>
          <w:color w:val="auto"/>
        </w:rPr>
      </w:pPr>
    </w:p>
    <w:p>
      <w:pPr>
        <w:jc w:val="right"/>
        <w:ind w:right="1780"/>
        <w:spacing w:after="0"/>
        <w:rPr>
          <w:sz w:val="20"/>
          <w:szCs w:val="20"/>
          <w:color w:val="auto"/>
        </w:rPr>
      </w:pPr>
      <w:r>
        <w:rPr>
          <w:rFonts w:ascii="Arial" w:cs="Arial" w:eastAsia="Arial" w:hAnsi="Arial"/>
          <w:sz w:val="18"/>
          <w:szCs w:val="18"/>
          <w:b w:val="1"/>
          <w:bCs w:val="1"/>
          <w:color w:val="auto"/>
        </w:rPr>
        <w:t>Schedule of Sellers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543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auto"/>
        </w:rPr>
        <w:t>Polaris Venture Partners V, 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Polaris Venture Partners Entrepreneurs’ Fund V,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Polaris Venture Partners Founders’ Fund V, 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Polaris Venture Partners Special Founders’ Fund V, L.P.</w:t>
      </w:r>
    </w:p>
    <w:p>
      <w:pPr>
        <w:spacing w:after="0" w:line="18"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8859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8859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497205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1340"/>
        <w:spacing w:after="0"/>
        <w:rPr>
          <w:sz w:val="20"/>
          <w:szCs w:val="20"/>
          <w:color w:val="auto"/>
        </w:rPr>
      </w:pPr>
      <w:r>
        <w:rPr>
          <w:rFonts w:ascii="Arial" w:cs="Arial" w:eastAsia="Arial" w:hAnsi="Arial"/>
          <w:sz w:val="18"/>
          <w:szCs w:val="18"/>
          <w:b w:val="1"/>
          <w:bCs w:val="1"/>
          <w:color w:val="auto"/>
        </w:rPr>
        <w:t>Aggregate</w:t>
      </w:r>
    </w:p>
    <w:p>
      <w:pPr>
        <w:spacing w:after="0" w:line="27"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b w:val="1"/>
          <w:bCs w:val="1"/>
          <w:color w:val="auto"/>
        </w:rPr>
        <w:t>Purchased</w:t>
      </w:r>
      <w:r>
        <w:rPr>
          <w:sz w:val="20"/>
          <w:szCs w:val="20"/>
          <w:color w:val="auto"/>
        </w:rPr>
        <w:tab/>
      </w:r>
      <w:r>
        <w:rPr>
          <w:rFonts w:ascii="Arial" w:cs="Arial" w:eastAsia="Arial" w:hAnsi="Arial"/>
          <w:sz w:val="18"/>
          <w:szCs w:val="18"/>
          <w:b w:val="1"/>
          <w:bCs w:val="1"/>
          <w:color w:val="auto"/>
        </w:rPr>
        <w:t>Purchase</w:t>
      </w:r>
    </w:p>
    <w:p>
      <w:pPr>
        <w:spacing w:after="0" w:line="9" w:lineRule="exact"/>
        <w:rPr>
          <w:sz w:val="20"/>
          <w:szCs w:val="20"/>
          <w:color w:val="auto"/>
        </w:rPr>
      </w:pPr>
    </w:p>
    <w:p>
      <w:pPr>
        <w:ind w:left="140"/>
        <w:spacing w:after="0"/>
        <w:tabs>
          <w:tab w:leader="none" w:pos="1520" w:val="left"/>
        </w:tabs>
        <w:rPr>
          <w:sz w:val="20"/>
          <w:szCs w:val="20"/>
          <w:color w:val="auto"/>
        </w:rPr>
      </w:pPr>
      <w:r>
        <w:rPr>
          <w:rFonts w:ascii="Arial" w:cs="Arial" w:eastAsia="Arial" w:hAnsi="Arial"/>
          <w:sz w:val="18"/>
          <w:szCs w:val="18"/>
          <w:b w:val="1"/>
          <w:bCs w:val="1"/>
          <w:color w:val="auto"/>
        </w:rPr>
        <w:t>Shares</w:t>
      </w:r>
      <w:r>
        <w:rPr>
          <w:sz w:val="20"/>
          <w:szCs w:val="20"/>
          <w:color w:val="auto"/>
        </w:rPr>
        <w:tab/>
      </w:r>
      <w:r>
        <w:rPr>
          <w:rFonts w:ascii="Arial" w:cs="Arial" w:eastAsia="Arial" w:hAnsi="Arial"/>
          <w:sz w:val="18"/>
          <w:szCs w:val="18"/>
          <w:b w:val="1"/>
          <w:bCs w:val="1"/>
          <w:color w:val="auto"/>
        </w:rPr>
        <w:t>Price</w:t>
      </w:r>
    </w:p>
    <w:p>
      <w:pPr>
        <w:spacing w:after="0" w:line="22" w:lineRule="exact"/>
        <w:rPr>
          <w:sz w:val="20"/>
          <w:szCs w:val="20"/>
          <w:color w:val="auto"/>
        </w:rPr>
      </w:pPr>
    </w:p>
    <w:p>
      <w:pPr>
        <w:jc w:val="both"/>
        <w:ind w:left="240"/>
        <w:spacing w:after="0"/>
        <w:tabs>
          <w:tab w:leader="none" w:pos="1160" w:val="left"/>
        </w:tabs>
        <w:rPr>
          <w:sz w:val="20"/>
          <w:szCs w:val="20"/>
          <w:color w:val="auto"/>
        </w:rPr>
      </w:pPr>
      <w:r>
        <w:rPr>
          <w:rFonts w:ascii="Arial" w:cs="Arial" w:eastAsia="Arial" w:hAnsi="Arial"/>
          <w:sz w:val="18"/>
          <w:szCs w:val="18"/>
          <w:color w:val="auto"/>
        </w:rPr>
        <w:t>2,676,234</w:t>
        <w:tab/>
        <w:t>$ 8,537,186.46</w:t>
      </w:r>
    </w:p>
    <w:p>
      <w:pPr>
        <w:spacing w:after="0" w:line="23" w:lineRule="exact"/>
        <w:rPr>
          <w:sz w:val="20"/>
          <w:szCs w:val="20"/>
          <w:color w:val="auto"/>
        </w:rPr>
      </w:pPr>
    </w:p>
    <w:p>
      <w:pPr>
        <w:jc w:val="both"/>
        <w:ind w:left="480"/>
        <w:spacing w:after="0"/>
        <w:tabs>
          <w:tab w:leader="none" w:pos="1160" w:val="left"/>
          <w:tab w:leader="none" w:pos="1460" w:val="left"/>
        </w:tabs>
        <w:rPr>
          <w:sz w:val="20"/>
          <w:szCs w:val="20"/>
          <w:color w:val="auto"/>
        </w:rPr>
      </w:pPr>
      <w:r>
        <w:rPr>
          <w:rFonts w:ascii="Arial" w:cs="Arial" w:eastAsia="Arial" w:hAnsi="Arial"/>
          <w:sz w:val="18"/>
          <w:szCs w:val="18"/>
          <w:color w:val="auto"/>
        </w:rPr>
        <w:t>52,156</w:t>
        <w:tab/>
        <w:t>$</w:t>
      </w:r>
      <w:r>
        <w:rPr>
          <w:sz w:val="20"/>
          <w:szCs w:val="20"/>
          <w:color w:val="auto"/>
        </w:rPr>
        <w:tab/>
      </w:r>
      <w:r>
        <w:rPr>
          <w:rFonts w:ascii="Arial" w:cs="Arial" w:eastAsia="Arial" w:hAnsi="Arial"/>
          <w:sz w:val="16"/>
          <w:szCs w:val="16"/>
          <w:color w:val="auto"/>
        </w:rPr>
        <w:t>166,377.64</w:t>
      </w:r>
    </w:p>
    <w:p>
      <w:pPr>
        <w:spacing w:after="0" w:line="9" w:lineRule="exact"/>
        <w:rPr>
          <w:sz w:val="20"/>
          <w:szCs w:val="20"/>
          <w:color w:val="auto"/>
        </w:rPr>
      </w:pPr>
    </w:p>
    <w:p>
      <w:pPr>
        <w:jc w:val="both"/>
        <w:ind w:left="480"/>
        <w:spacing w:after="0"/>
        <w:tabs>
          <w:tab w:leader="none" w:pos="1160" w:val="left"/>
          <w:tab w:leader="none" w:pos="1560" w:val="left"/>
        </w:tabs>
        <w:rPr>
          <w:sz w:val="20"/>
          <w:szCs w:val="20"/>
          <w:color w:val="auto"/>
        </w:rPr>
      </w:pPr>
      <w:r>
        <w:rPr>
          <w:rFonts w:ascii="Arial" w:cs="Arial" w:eastAsia="Arial" w:hAnsi="Arial"/>
          <w:sz w:val="18"/>
          <w:szCs w:val="18"/>
          <w:color w:val="auto"/>
        </w:rPr>
        <w:t>18,329</w:t>
        <w:tab/>
        <w:t>$</w:t>
      </w:r>
      <w:r>
        <w:rPr>
          <w:sz w:val="20"/>
          <w:szCs w:val="20"/>
          <w:color w:val="auto"/>
        </w:rPr>
        <w:tab/>
      </w:r>
      <w:r>
        <w:rPr>
          <w:rFonts w:ascii="Arial" w:cs="Arial" w:eastAsia="Arial" w:hAnsi="Arial"/>
          <w:sz w:val="16"/>
          <w:szCs w:val="16"/>
          <w:color w:val="auto"/>
        </w:rPr>
        <w:t>58,469.51</w:t>
      </w:r>
    </w:p>
    <w:p>
      <w:pPr>
        <w:spacing w:after="0" w:line="9" w:lineRule="exact"/>
        <w:rPr>
          <w:sz w:val="20"/>
          <w:szCs w:val="20"/>
          <w:color w:val="auto"/>
        </w:rPr>
      </w:pPr>
    </w:p>
    <w:p>
      <w:pPr>
        <w:ind w:left="480"/>
        <w:spacing w:after="0"/>
        <w:tabs>
          <w:tab w:leader="none" w:pos="1160" w:val="left"/>
          <w:tab w:leader="none" w:pos="1560" w:val="left"/>
        </w:tabs>
        <w:rPr>
          <w:sz w:val="20"/>
          <w:szCs w:val="20"/>
          <w:color w:val="auto"/>
        </w:rPr>
      </w:pPr>
      <w:r>
        <w:rPr>
          <w:rFonts w:ascii="Arial" w:cs="Arial" w:eastAsia="Arial" w:hAnsi="Arial"/>
          <w:sz w:val="18"/>
          <w:szCs w:val="18"/>
          <w:color w:val="auto"/>
        </w:rPr>
        <w:t>26,760</w:t>
      </w:r>
      <w:r>
        <w:rPr>
          <w:sz w:val="20"/>
          <w:szCs w:val="20"/>
          <w:color w:val="auto"/>
        </w:rPr>
        <w:tab/>
      </w:r>
      <w:r>
        <w:rPr>
          <w:rFonts w:ascii="Arial" w:cs="Arial" w:eastAsia="Arial" w:hAnsi="Arial"/>
          <w:sz w:val="18"/>
          <w:szCs w:val="18"/>
          <w:u w:val="single" w:color="auto"/>
          <w:color w:val="auto"/>
        </w:rPr>
        <w:t>$</w:t>
      </w:r>
      <w:r>
        <w:rPr>
          <w:sz w:val="20"/>
          <w:szCs w:val="20"/>
          <w:color w:val="auto"/>
        </w:rPr>
        <w:tab/>
      </w:r>
      <w:r>
        <w:rPr>
          <w:rFonts w:ascii="Arial" w:cs="Arial" w:eastAsia="Arial" w:hAnsi="Arial"/>
          <w:sz w:val="16"/>
          <w:szCs w:val="16"/>
          <w:u w:val="single" w:color="auto"/>
          <w:color w:val="auto"/>
        </w:rPr>
        <w:t>85,364.40</w:t>
      </w:r>
    </w:p>
    <w:p>
      <w:pPr>
        <w:spacing w:after="0" w:line="58" w:lineRule="exact"/>
        <w:rPr>
          <w:sz w:val="20"/>
          <w:szCs w:val="20"/>
          <w:color w:val="auto"/>
        </w:rPr>
      </w:pPr>
    </w:p>
    <w:p>
      <w:pPr>
        <w:ind w:left="240"/>
        <w:spacing w:after="0"/>
        <w:tabs>
          <w:tab w:leader="none" w:pos="1160" w:val="left"/>
        </w:tabs>
        <w:rPr>
          <w:sz w:val="20"/>
          <w:szCs w:val="20"/>
          <w:color w:val="auto"/>
        </w:rPr>
      </w:pPr>
      <w:r>
        <w:rPr>
          <w:rFonts w:ascii="Arial" w:cs="Arial" w:eastAsia="Arial" w:hAnsi="Arial"/>
          <w:sz w:val="16"/>
          <w:szCs w:val="16"/>
          <w:b w:val="1"/>
          <w:bCs w:val="1"/>
          <w:color w:val="auto"/>
        </w:rPr>
        <w:t>2,773,479</w:t>
      </w:r>
      <w:r>
        <w:rPr>
          <w:sz w:val="20"/>
          <w:szCs w:val="20"/>
          <w:color w:val="auto"/>
        </w:rPr>
        <w:tab/>
      </w:r>
      <w:r>
        <w:rPr>
          <w:rFonts w:ascii="Arial" w:cs="Arial" w:eastAsia="Arial" w:hAnsi="Arial"/>
          <w:sz w:val="16"/>
          <w:szCs w:val="16"/>
          <w:u w:val="single" w:color="auto"/>
          <w:color w:val="auto"/>
        </w:rPr>
        <w:t>$ 8,847,398.01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-27305</wp:posOffset>
            </wp:positionH>
            <wp:positionV relativeFrom="paragraph">
              <wp:posOffset>57785</wp:posOffset>
            </wp:positionV>
            <wp:extent cx="1482725"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482725" cy="17145"/>
                    </a:xfrm>
                    <a:prstGeom prst="rect">
                      <a:avLst/>
                    </a:prstGeom>
                    <a:noFill/>
                  </pic:spPr>
                </pic:pic>
              </a:graphicData>
            </a:graphic>
          </wp:anchor>
        </w:drawing>
      </w:r>
    </w:p>
    <w:sectPr>
      <w:pgSz w:w="11900" w:h="16838" w:orient="portrait"/>
      <w:cols w:equalWidth="0" w:num="2">
        <w:col w:w="8120" w:space="720"/>
        <w:col w:w="2300"/>
      </w:cols>
      <w:pgMar w:left="320" w:top="904"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B71EFB"/>
    <w:multiLevelType w:val="hybridMultilevel"/>
    <w:lvl w:ilvl="0">
      <w:lvlJc w:val="left"/>
      <w:lvlText w:val="*"/>
      <w:numFmt w:val="bullet"/>
      <w:start w:val="1"/>
    </w:lvl>
  </w:abstractNum>
  <w:abstractNum w:abstractNumId="1">
    <w:nsid w:val="79E2A9E3"/>
    <w:multiLevelType w:val="hybridMultilevel"/>
    <w:lvl w:ilvl="0">
      <w:lvlJc w:val="left"/>
      <w:lvlText w:val="%1."/>
      <w:numFmt w:val="decimal"/>
      <w:start w:val="1"/>
    </w:lvl>
  </w:abstractNum>
  <w:abstractNum w:abstractNumId="2">
    <w:nsid w:val="7545E146"/>
    <w:multiLevelType w:val="hybridMultilevel"/>
    <w:lvl w:ilvl="0">
      <w:lvlJc w:val="left"/>
      <w:lvlText w:val="%1."/>
      <w:numFmt w:val="decimal"/>
      <w:start w:val="10"/>
    </w:lvl>
    <w:lvl w:ilvl="1">
      <w:lvlJc w:val="left"/>
      <w:lvlText w:val="0"/>
      <w:numFmt w:val="bullet"/>
      <w:start w:val="1"/>
    </w:lvl>
  </w:abstractNum>
  <w:abstractNum w:abstractNumId="3">
    <w:nsid w:val="515F007C"/>
    <w:multiLevelType w:val="hybridMultilevel"/>
    <w:lvl w:ilvl="0">
      <w:lvlJc w:val="left"/>
      <w:lvlText w:val="%1."/>
      <w:numFmt w:val="decimal"/>
      <w:start w:val="1"/>
    </w:lvl>
  </w:abstractNum>
  <w:abstractNum w:abstractNumId="4">
    <w:nsid w:val="5BD062C2"/>
    <w:multiLevelType w:val="hybridMultilevel"/>
    <w:lvl w:ilvl="0">
      <w:lvlJc w:val="left"/>
      <w:lvlText w:val="%1."/>
      <w:numFmt w:val="decimal"/>
      <w:start w:val="10"/>
    </w:lvl>
    <w:lvl w:ilvl="1">
      <w:lvlJc w:val="left"/>
      <w:lvlText w:val="0"/>
      <w:numFmt w:val="bullet"/>
      <w:start w:val="1"/>
    </w:lvl>
  </w:abstractNum>
  <w:abstractNum w:abstractNumId="5">
    <w:nsid w:val="12200854"/>
    <w:multiLevelType w:val="hybridMultilevel"/>
    <w:lvl w:ilvl="0">
      <w:lvlJc w:val="left"/>
      <w:lvlText w:val="%1."/>
      <w:numFmt w:val="decimal"/>
      <w:start w:val="1"/>
    </w:lvl>
  </w:abstractNum>
  <w:abstractNum w:abstractNumId="6">
    <w:nsid w:val="4DB127F8"/>
    <w:multiLevelType w:val="hybridMultilevel"/>
    <w:lvl w:ilvl="0">
      <w:lvlJc w:val="left"/>
      <w:lvlText w:val="%1."/>
      <w:numFmt w:val="decimal"/>
      <w:start w:val="10"/>
    </w:lvl>
    <w:lvl w:ilvl="1">
      <w:lvlJc w:val="left"/>
      <w:lvlText w:val="0"/>
      <w:numFmt w:val="bullet"/>
      <w:start w:val="1"/>
    </w:lvl>
  </w:abstractNum>
  <w:abstractNum w:abstractNumId="7">
    <w:nsid w:val="216231B"/>
    <w:multiLevelType w:val="hybridMultilevel"/>
    <w:lvl w:ilvl="0">
      <w:lvlJc w:val="left"/>
      <w:lvlText w:val="(%1)"/>
      <w:numFmt w:val="lowerLetter"/>
      <w:start w:val="1"/>
    </w:lvl>
  </w:abstractNum>
  <w:abstractNum w:abstractNumId="8">
    <w:nsid w:val="1F16E9E8"/>
    <w:multiLevelType w:val="hybridMultilevel"/>
    <w:lvl w:ilvl="0">
      <w:lvlJc w:val="left"/>
      <w:lvlText w:val="(%1)"/>
      <w:numFmt w:val="lowerLetter"/>
      <w:start w:val="2"/>
    </w:lvl>
  </w:abstractNum>
  <w:abstractNum w:abstractNumId="9">
    <w:nsid w:val="1190CDE7"/>
    <w:multiLevelType w:val="hybridMultilevel"/>
    <w:lvl w:ilvl="0">
      <w:lvlJc w:val="left"/>
      <w:lvlText w:val="(%1)"/>
      <w:numFmt w:val="lowerLetter"/>
      <w:start w:val="1"/>
    </w:lvl>
  </w:abstractNum>
  <w:abstractNum w:abstractNumId="10">
    <w:nsid w:val="66EF438D"/>
    <w:multiLevelType w:val="hybridMultilevel"/>
    <w:lvl w:ilvl="0">
      <w:lvlJc w:val="left"/>
      <w:lvlText w:val="(%1)"/>
      <w:numFmt w:val="lowerLetter"/>
      <w:start w:val="1"/>
    </w:lvl>
  </w:abstractNum>
  <w:abstractNum w:abstractNumId="11">
    <w:nsid w:val="140E0F76"/>
    <w:multiLevelType w:val="hybridMultilevel"/>
    <w:lvl w:ilvl="0">
      <w:lvlJc w:val="left"/>
      <w:lvlText w:val="(%1)"/>
      <w:numFmt w:val="lowerLetter"/>
      <w:start w:val="3"/>
    </w:lvl>
  </w:abstractNum>
  <w:abstractNum w:abstractNumId="12">
    <w:nsid w:val="3352255A"/>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2021-05-27T19:26:27Z</dcterms:created>
  <dcterms:modified xsi:type="dcterms:W3CDTF">2021-05-27T19:26:27Z</dcterms:modified>
</cp:coreProperties>
</file>