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20" w:type="dxa"/>
            <w:vAlign w:val="bottom"/>
            <w:gridSpan w:val="2"/>
            <w:vMerge w:val="restart"/>
          </w:tcPr>
          <w:p>
            <w:pPr>
              <w:ind w:left="20"/>
              <w:spacing w:after="0"/>
              <w:rPr>
                <w:rFonts w:ascii="Arial" w:cs="Arial" w:eastAsia="Arial" w:hAnsi="Arial"/>
                <w:sz w:val="21"/>
                <w:szCs w:val="21"/>
                <w:color w:val="0000EE"/>
                <w:w w:val="87"/>
              </w:rPr>
            </w:pPr>
            <w:hyperlink r:id="rId12">
              <w:r>
                <w:rPr>
                  <w:rFonts w:ascii="Arial" w:cs="Arial" w:eastAsia="Arial" w:hAnsi="Arial"/>
                  <w:sz w:val="21"/>
                  <w:szCs w:val="21"/>
                  <w:color w:val="0000EE"/>
                  <w:w w:val="87"/>
                </w:rPr>
                <w:t>Brunn Carsten</w:t>
              </w:r>
            </w:hyperlink>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SELECTA BIOSCIENCES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680" w:type="dxa"/>
            <w:vAlign w:val="bottom"/>
            <w:tcBorders>
              <w:top w:val="single" w:sz="8" w:color="0000EE"/>
            </w:tcBorders>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SELECTA BIOSCIENCES, INC.</w:t>
            </w:r>
          </w:p>
        </w:tc>
        <w:tc>
          <w:tcPr>
            <w:tcW w:w="2840" w:type="dxa"/>
            <w:vAlign w:val="bottom"/>
            <w:gridSpan w:val="3"/>
          </w:tcPr>
          <w:p>
            <w:pPr>
              <w:ind w:left="160"/>
              <w:spacing w:after="0"/>
              <w:rPr>
                <w:sz w:val="20"/>
                <w:szCs w:val="20"/>
                <w:color w:val="auto"/>
              </w:rPr>
            </w:pPr>
            <w:r>
              <w:rPr>
                <w:rFonts w:ascii="Arial" w:cs="Arial" w:eastAsia="Arial" w:hAnsi="Arial"/>
                <w:sz w:val="17"/>
                <w:szCs w:val="17"/>
                <w:color w:val="0000FF"/>
              </w:rPr>
              <w:t>03/01/2022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President and CEO</w:t>
      </w:r>
    </w:p>
    <w:p>
      <w:pPr>
        <w:spacing w:after="0" w:line="39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88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Arial" w:cs="Arial" w:eastAsia="Arial" w:hAnsi="Arial"/>
                <w:sz w:val="17"/>
                <w:szCs w:val="17"/>
                <w:color w:val="0000FF"/>
              </w:rPr>
              <w:t>03/01/2022</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10,937</w:t>
            </w:r>
          </w:p>
        </w:tc>
        <w:tc>
          <w:tcPr>
            <w:tcW w:w="60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528,895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03/02/2022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5,443</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1.8121</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523,452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10,937</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03/01/2022</w:t>
            </w:r>
          </w:p>
        </w:tc>
        <w:tc>
          <w:tcPr>
            <w:tcW w:w="1140" w:type="dxa"/>
            <w:vAlign w:val="bottom"/>
          </w:tcPr>
          <w:p>
            <w:pPr>
              <w:spacing w:after="0"/>
              <w:rPr>
                <w:sz w:val="10"/>
                <w:szCs w:val="10"/>
                <w:color w:val="auto"/>
              </w:rPr>
            </w:pP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0"/>
                <w:szCs w:val="10"/>
                <w:color w:val="auto"/>
              </w:rPr>
            </w:pPr>
          </w:p>
        </w:tc>
        <w:tc>
          <w:tcPr>
            <w:tcW w:w="820" w:type="dxa"/>
            <w:vAlign w:val="bottom"/>
          </w:tcPr>
          <w:p>
            <w:pPr>
              <w:ind w:left="380"/>
              <w:spacing w:after="0" w:line="125" w:lineRule="exact"/>
              <w:rPr>
                <w:sz w:val="20"/>
                <w:szCs w:val="20"/>
                <w:color w:val="auto"/>
              </w:rPr>
            </w:pPr>
            <w:r>
              <w:rPr>
                <w:rFonts w:ascii="Arial" w:cs="Arial" w:eastAsia="Arial" w:hAnsi="Arial"/>
                <w:sz w:val="13"/>
                <w:szCs w:val="13"/>
                <w:color w:val="0000FF"/>
              </w:rPr>
              <w:t>10,937</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32,813</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44" w:lineRule="exact"/>
        <w:rPr>
          <w:rFonts w:ascii="Arial" w:cs="Arial" w:eastAsia="Arial" w:hAnsi="Arial"/>
          <w:sz w:val="13"/>
          <w:szCs w:val="13"/>
          <w:color w:val="008000"/>
        </w:rPr>
      </w:pPr>
    </w:p>
    <w:p>
      <w:pPr>
        <w:ind w:left="40" w:right="24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$1.80 to $1.825. The Reporting Person undertakes to provide upon request to the SEC staff, the Issuer, or any stockholder of the Issuer, full information regarding the number of shares sold at each separate price within the range set forth in this footnote.</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44"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restricted stock unit vested as to 25% on December 1, 2019 and has vested, and will continue to vest, as to an additional 8.33% each quarter thereafter until fully vested. The restricted stock units have no expiration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109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03/03/2022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2022-03-03T15:48:50Z</dcterms:created>
  <dcterms:modified xsi:type="dcterms:W3CDTF">2022-03-03T15:48:50Z</dcterms:modified>
</cp:coreProperties>
</file>