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890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9014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SPRINGER TIMOTHY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36 WOODMAN ROAD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CHESTNUT</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02467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HILL</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00" w:type="dxa"/>
            <w:vAlign w:val="bottom"/>
            <w:vMerge w:val="restart"/>
          </w:tcPr>
          <w:p>
            <w:pPr>
              <w:ind w:left="14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238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40"/>
              <w:spacing w:after="0"/>
              <w:rPr>
                <w:sz w:val="20"/>
                <w:szCs w:val="20"/>
                <w:color w:val="auto"/>
              </w:rPr>
            </w:pPr>
            <w:r>
              <w:rPr>
                <w:rFonts w:ascii="Arial" w:cs="Arial" w:eastAsia="Arial" w:hAnsi="Arial"/>
                <w:sz w:val="12"/>
                <w:szCs w:val="12"/>
                <w:b w:val="1"/>
                <w:bCs w:val="1"/>
                <w:color w:val="auto"/>
                <w:w w:val="93"/>
              </w:rPr>
              <w:t>2. Transaction</w:t>
            </w:r>
          </w:p>
        </w:tc>
        <w:tc>
          <w:tcPr>
            <w:tcW w:w="3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2240" w:type="dxa"/>
            <w:vAlign w:val="bottom"/>
            <w:gridSpan w:val="5"/>
          </w:tcPr>
          <w:p>
            <w:pPr>
              <w:ind w:left="80"/>
              <w:spacing w:after="0"/>
              <w:rPr>
                <w:sz w:val="20"/>
                <w:szCs w:val="20"/>
                <w:color w:val="auto"/>
              </w:rPr>
            </w:pPr>
            <w:r>
              <w:rPr>
                <w:rFonts w:ascii="Arial" w:cs="Arial" w:eastAsia="Arial" w:hAnsi="Arial"/>
                <w:sz w:val="12"/>
                <w:szCs w:val="12"/>
                <w:b w:val="1"/>
                <w:bCs w:val="1"/>
                <w:color w:val="auto"/>
                <w:w w:val="97"/>
              </w:rPr>
              <w:t>4. Securities Acquired (A) or Disposed</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2"/>
          </w:tcPr>
          <w:p>
            <w:pPr>
              <w:ind w:left="340"/>
              <w:spacing w:after="0" w:line="126"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0"/>
                <w:szCs w:val="10"/>
                <w:color w:val="auto"/>
              </w:rPr>
            </w:pPr>
          </w:p>
        </w:tc>
        <w:tc>
          <w:tcPr>
            <w:tcW w:w="10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46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Of (D) (Instr. 3, 4 and 5)</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4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w w:val="89"/>
              </w:rPr>
              <w:t>Series A Convertible Preferred Stock</w:t>
            </w:r>
          </w:p>
        </w:tc>
        <w:tc>
          <w:tcPr>
            <w:tcW w:w="1420" w:type="dxa"/>
            <w:vAlign w:val="bottom"/>
            <w:gridSpan w:val="3"/>
            <w:vMerge w:val="restart"/>
          </w:tcPr>
          <w:p>
            <w:pPr>
              <w:jc w:val="right"/>
              <w:ind w:right="178"/>
              <w:spacing w:after="0"/>
              <w:rPr>
                <w:sz w:val="20"/>
                <w:szCs w:val="20"/>
                <w:color w:val="auto"/>
              </w:rPr>
            </w:pPr>
            <w:r>
              <w:rPr>
                <w:rFonts w:ascii="Arial" w:cs="Arial" w:eastAsia="Arial" w:hAnsi="Arial"/>
                <w:sz w:val="17"/>
                <w:szCs w:val="17"/>
                <w:color w:val="0000FF"/>
              </w:rPr>
              <w:t>11/15/2023</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0000FF"/>
                <w:w w:val="91"/>
              </w:rPr>
              <w:t>A</w:t>
            </w:r>
          </w:p>
        </w:tc>
        <w:tc>
          <w:tcPr>
            <w:tcW w:w="500" w:type="dxa"/>
            <w:vAlign w:val="bottom"/>
          </w:tcPr>
          <w:p>
            <w:pPr>
              <w:spacing w:after="0"/>
              <w:rPr>
                <w:sz w:val="21"/>
                <w:szCs w:val="21"/>
                <w:color w:val="auto"/>
              </w:rPr>
            </w:pPr>
          </w:p>
        </w:tc>
        <w:tc>
          <w:tcPr>
            <w:tcW w:w="960" w:type="dxa"/>
            <w:vAlign w:val="bottom"/>
            <w:vMerge w:val="restart"/>
          </w:tcPr>
          <w:p>
            <w:pPr>
              <w:jc w:val="right"/>
              <w:ind w:right="35"/>
              <w:spacing w:after="0"/>
              <w:rPr>
                <w:sz w:val="20"/>
                <w:szCs w:val="20"/>
                <w:color w:val="auto"/>
              </w:rPr>
            </w:pPr>
            <w:r>
              <w:rPr>
                <w:rFonts w:ascii="Arial" w:cs="Arial" w:eastAsia="Arial" w:hAnsi="Arial"/>
                <w:sz w:val="17"/>
                <w:szCs w:val="17"/>
                <w:color w:val="0000FF"/>
                <w:w w:val="98"/>
              </w:rPr>
              <w:t>24,785.081</w:t>
            </w:r>
          </w:p>
        </w:tc>
        <w:tc>
          <w:tcPr>
            <w:tcW w:w="50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780" w:type="dxa"/>
            <w:vAlign w:val="bottom"/>
            <w:gridSpan w:val="3"/>
            <w:vMerge w:val="restart"/>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403.4685</w:t>
            </w: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24,785.081</w:t>
            </w:r>
          </w:p>
        </w:tc>
        <w:tc>
          <w:tcPr>
            <w:tcW w:w="280" w:type="dxa"/>
            <w:vAlign w:val="bottom"/>
          </w:tcPr>
          <w:p>
            <w:pPr>
              <w:spacing w:after="0"/>
              <w:rPr>
                <w:sz w:val="21"/>
                <w:szCs w:val="21"/>
                <w:color w:val="auto"/>
              </w:rPr>
            </w:pPr>
          </w:p>
        </w:tc>
        <w:tc>
          <w:tcPr>
            <w:tcW w:w="54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89"/>
              </w:rPr>
              <w:t>Series A Convertible Preferred Stock</w:t>
            </w:r>
          </w:p>
        </w:tc>
        <w:tc>
          <w:tcPr>
            <w:tcW w:w="1420" w:type="dxa"/>
            <w:vAlign w:val="bottom"/>
            <w:tcBorders>
              <w:top w:val="single" w:sz="8" w:color="2C2C2C"/>
            </w:tcBorders>
            <w:gridSpan w:val="3"/>
          </w:tcPr>
          <w:p>
            <w:pPr>
              <w:jc w:val="right"/>
              <w:ind w:right="178"/>
              <w:spacing w:after="0"/>
              <w:rPr>
                <w:sz w:val="20"/>
                <w:szCs w:val="20"/>
                <w:color w:val="auto"/>
              </w:rPr>
            </w:pPr>
            <w:r>
              <w:rPr>
                <w:rFonts w:ascii="Arial" w:cs="Arial" w:eastAsia="Arial" w:hAnsi="Arial"/>
                <w:sz w:val="17"/>
                <w:szCs w:val="17"/>
                <w:color w:val="0000FF"/>
              </w:rPr>
              <w:t>11/15/2023</w:t>
            </w:r>
          </w:p>
        </w:tc>
        <w:tc>
          <w:tcPr>
            <w:tcW w:w="4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ind w:left="100"/>
              <w:spacing w:after="0"/>
              <w:rPr>
                <w:sz w:val="20"/>
                <w:szCs w:val="20"/>
                <w:color w:val="auto"/>
              </w:rPr>
            </w:pPr>
            <w:r>
              <w:rPr>
                <w:rFonts w:ascii="Arial" w:cs="Arial" w:eastAsia="Arial" w:hAnsi="Arial"/>
                <w:sz w:val="13"/>
                <w:szCs w:val="13"/>
                <w:color w:val="0000FF"/>
                <w:w w:val="91"/>
              </w:rPr>
              <w:t>A</w:t>
            </w:r>
          </w:p>
        </w:tc>
        <w:tc>
          <w:tcPr>
            <w:tcW w:w="5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jc w:val="right"/>
              <w:spacing w:after="0"/>
              <w:rPr>
                <w:sz w:val="20"/>
                <w:szCs w:val="20"/>
                <w:color w:val="auto"/>
              </w:rPr>
            </w:pPr>
            <w:r>
              <w:rPr>
                <w:rFonts w:ascii="Arial" w:cs="Arial" w:eastAsia="Arial" w:hAnsi="Arial"/>
                <w:sz w:val="17"/>
                <w:szCs w:val="17"/>
                <w:color w:val="0000FF"/>
                <w:w w:val="93"/>
              </w:rPr>
              <w:t>123,925.407</w:t>
            </w:r>
          </w:p>
        </w:tc>
        <w:tc>
          <w:tcPr>
            <w:tcW w:w="500" w:type="dxa"/>
            <w:vAlign w:val="bottom"/>
            <w:tcBorders>
              <w:top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80" w:type="dxa"/>
            <w:vAlign w:val="bottom"/>
            <w:tcBorders>
              <w:top w:val="single" w:sz="8" w:color="2C2C2C"/>
            </w:tcBorders>
            <w:gridSpan w:val="3"/>
          </w:tcPr>
          <w:p>
            <w:pPr>
              <w:ind w:left="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403.4685</w:t>
            </w:r>
          </w:p>
        </w:tc>
        <w:tc>
          <w:tcPr>
            <w:tcW w:w="124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123,925.407</w:t>
            </w: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jc w:val="center"/>
              <w:ind w:right="272"/>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86,418</w:t>
            </w:r>
          </w:p>
        </w:tc>
        <w:tc>
          <w:tcPr>
            <w:tcW w:w="28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7,293,625</w:t>
            </w:r>
          </w:p>
        </w:tc>
        <w:tc>
          <w:tcPr>
            <w:tcW w:w="28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29,868,490</w:t>
            </w:r>
          </w:p>
        </w:tc>
        <w:tc>
          <w:tcPr>
            <w:tcW w:w="280" w:type="dxa"/>
            <w:vAlign w:val="bottom"/>
          </w:tcPr>
          <w:p>
            <w:pPr>
              <w:spacing w:after="0"/>
              <w:rPr>
                <w:sz w:val="21"/>
                <w:szCs w:val="21"/>
                <w:color w:val="auto"/>
              </w:rPr>
            </w:pPr>
          </w:p>
        </w:tc>
        <w:tc>
          <w:tcPr>
            <w:tcW w:w="540" w:type="dxa"/>
            <w:vAlign w:val="bottom"/>
            <w:vMerge w:val="restart"/>
          </w:tcPr>
          <w:p>
            <w:pPr>
              <w:jc w:val="center"/>
              <w:ind w:right="27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40" w:type="dxa"/>
            <w:vAlign w:val="bottom"/>
            <w:gridSpan w:val="16"/>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2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38"/>
              <w:spacing w:after="0" w:line="129" w:lineRule="exact"/>
              <w:rPr>
                <w:sz w:val="20"/>
                <w:szCs w:val="20"/>
                <w:color w:val="auto"/>
              </w:rPr>
            </w:pPr>
            <w:r>
              <w:rPr>
                <w:rFonts w:ascii="Arial" w:cs="Arial" w:eastAsia="Arial" w:hAnsi="Arial"/>
                <w:sz w:val="12"/>
                <w:szCs w:val="12"/>
                <w:b w:val="1"/>
                <w:bCs w:val="1"/>
                <w:color w:val="auto"/>
                <w:w w:val="74"/>
              </w:rPr>
              <w:t>8)</w:t>
            </w: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9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2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17.47</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vMerge w:val="restart"/>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2"/>
                <w:szCs w:val="12"/>
                <w:color w:val="auto"/>
              </w:rPr>
            </w:pPr>
          </w:p>
        </w:tc>
        <w:tc>
          <w:tcPr>
            <w:tcW w:w="860" w:type="dxa"/>
            <w:vAlign w:val="bottom"/>
            <w:gridSpan w:val="3"/>
            <w:vMerge w:val="restart"/>
          </w:tcPr>
          <w:p>
            <w:pPr>
              <w:jc w:val="center"/>
              <w:ind w:left="219"/>
              <w:spacing w:after="0"/>
              <w:rPr>
                <w:sz w:val="20"/>
                <w:szCs w:val="20"/>
                <w:color w:val="auto"/>
              </w:rPr>
            </w:pPr>
            <w:r>
              <w:rPr>
                <w:rFonts w:ascii="Arial" w:cs="Arial" w:eastAsia="Arial" w:hAnsi="Arial"/>
                <w:sz w:val="13"/>
                <w:szCs w:val="13"/>
                <w:color w:val="0000FF"/>
                <w:w w:val="92"/>
              </w:rPr>
              <w:t>6,410</w:t>
            </w:r>
          </w:p>
        </w:tc>
        <w:tc>
          <w:tcPr>
            <w:tcW w:w="500" w:type="dxa"/>
            <w:vAlign w:val="bottom"/>
            <w:vMerge w:val="restart"/>
          </w:tcPr>
          <w:p>
            <w:pPr>
              <w:jc w:val="right"/>
              <w:ind w:right="44"/>
              <w:spacing w:after="0"/>
              <w:rPr>
                <w:sz w:val="20"/>
                <w:szCs w:val="20"/>
                <w:color w:val="auto"/>
              </w:rPr>
            </w:pPr>
            <w:r>
              <w:rPr>
                <w:rFonts w:ascii="Arial" w:cs="Arial" w:eastAsia="Arial" w:hAnsi="Arial"/>
                <w:sz w:val="11"/>
                <w:szCs w:val="11"/>
                <w:color w:val="008000"/>
              </w:rPr>
              <w:t>(2)</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w w:val="98"/>
              </w:rPr>
              <w:t>06/15/2027</w:t>
            </w: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7"/>
                <w:szCs w:val="17"/>
                <w:color w:val="0000FF"/>
                <w:w w:val="89"/>
              </w:rPr>
              <w:t>6,410</w:t>
            </w:r>
          </w:p>
        </w:tc>
        <w:tc>
          <w:tcPr>
            <w:tcW w:w="60" w:type="dxa"/>
            <w:vAlign w:val="bottom"/>
          </w:tcPr>
          <w:p>
            <w:pPr>
              <w:spacing w:after="0"/>
              <w:rPr>
                <w:sz w:val="12"/>
                <w:szCs w:val="12"/>
                <w:color w:val="auto"/>
              </w:rPr>
            </w:pPr>
          </w:p>
        </w:tc>
        <w:tc>
          <w:tcPr>
            <w:tcW w:w="680" w:type="dxa"/>
            <w:vAlign w:val="bottom"/>
            <w:gridSpan w:val="2"/>
            <w:vMerge w:val="restart"/>
          </w:tcPr>
          <w:p>
            <w:pPr>
              <w:jc w:val="center"/>
              <w:ind w:right="62"/>
              <w:spacing w:after="0"/>
              <w:rPr>
                <w:sz w:val="20"/>
                <w:szCs w:val="20"/>
                <w:color w:val="auto"/>
              </w:rPr>
            </w:pPr>
            <w:r>
              <w:rPr>
                <w:rFonts w:ascii="Arial" w:cs="Arial" w:eastAsia="Arial" w:hAnsi="Arial"/>
                <w:sz w:val="11"/>
                <w:szCs w:val="11"/>
                <w:color w:val="008000"/>
                <w:w w:val="88"/>
              </w:rPr>
              <w:t>(2)</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5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12.75</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10,000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06/14/2028</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1"/>
                <w:szCs w:val="11"/>
                <w:color w:val="008000"/>
                <w:w w:val="88"/>
              </w:rPr>
              <w:t>(3)</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10,000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(4)</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06/13/2029</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1"/>
                <w:szCs w:val="11"/>
                <w:color w:val="008000"/>
                <w:w w:val="88"/>
              </w:rPr>
              <w:t>(4)</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3</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20,000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(5)</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06/18/2030</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20,000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1"/>
                <w:szCs w:val="11"/>
                <w:color w:val="008000"/>
                <w:w w:val="88"/>
              </w:rPr>
              <w:t>(5)</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4.01</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40,000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(6)</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03/29/2031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40,000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1"/>
                <w:szCs w:val="11"/>
                <w:color w:val="008000"/>
                <w:w w:val="88"/>
              </w:rPr>
              <w:t>(6)</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3.31</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40,000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(7)</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01/02/2032</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40,000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1"/>
                <w:szCs w:val="11"/>
                <w:color w:val="008000"/>
                <w:w w:val="88"/>
              </w:rPr>
              <w:t>(7)</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1.13</w:t>
            </w:r>
          </w:p>
        </w:tc>
        <w:tc>
          <w:tcPr>
            <w:tcW w:w="1120" w:type="dxa"/>
            <w:vAlign w:val="bottom"/>
          </w:tcPr>
          <w:p>
            <w:pPr>
              <w:jc w:val="center"/>
              <w:spacing w:after="0"/>
              <w:rPr>
                <w:sz w:val="20"/>
                <w:szCs w:val="20"/>
                <w:color w:val="auto"/>
              </w:rPr>
            </w:pPr>
            <w:r>
              <w:rPr>
                <w:rFonts w:ascii="Arial" w:cs="Arial" w:eastAsia="Arial" w:hAnsi="Arial"/>
                <w:sz w:val="13"/>
                <w:szCs w:val="13"/>
                <w:color w:val="0000FF"/>
                <w:w w:val="89"/>
              </w:rPr>
              <w:t>11/13/2023</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38"/>
              <w:spacing w:after="0"/>
              <w:rPr>
                <w:sz w:val="20"/>
                <w:szCs w:val="20"/>
                <w:color w:val="auto"/>
              </w:rPr>
            </w:pPr>
            <w:r>
              <w:rPr>
                <w:rFonts w:ascii="Arial" w:cs="Arial" w:eastAsia="Arial" w:hAnsi="Arial"/>
                <w:sz w:val="13"/>
                <w:szCs w:val="13"/>
                <w:color w:val="0000FF"/>
              </w:rPr>
              <w:t>D</w:t>
            </w:r>
          </w:p>
        </w:tc>
        <w:tc>
          <w:tcPr>
            <w:tcW w:w="420" w:type="dxa"/>
            <w:vAlign w:val="bottom"/>
          </w:tcPr>
          <w:p>
            <w:pPr>
              <w:spacing w:after="0"/>
              <w:rPr>
                <w:sz w:val="16"/>
                <w:szCs w:val="16"/>
                <w:color w:val="auto"/>
              </w:rPr>
            </w:pPr>
          </w:p>
        </w:tc>
        <w:tc>
          <w:tcPr>
            <w:tcW w:w="860" w:type="dxa"/>
            <w:vAlign w:val="bottom"/>
            <w:gridSpan w:val="3"/>
          </w:tcPr>
          <w:p>
            <w:pPr>
              <w:jc w:val="center"/>
              <w:ind w:left="199"/>
              <w:spacing w:after="0"/>
              <w:rPr>
                <w:sz w:val="20"/>
                <w:szCs w:val="20"/>
                <w:color w:val="auto"/>
              </w:rPr>
            </w:pPr>
            <w:r>
              <w:rPr>
                <w:rFonts w:ascii="Arial" w:cs="Arial" w:eastAsia="Arial" w:hAnsi="Arial"/>
                <w:sz w:val="13"/>
                <w:szCs w:val="13"/>
                <w:color w:val="0000FF"/>
                <w:w w:val="90"/>
              </w:rPr>
              <w:t>75,000</w:t>
            </w:r>
          </w:p>
        </w:tc>
        <w:tc>
          <w:tcPr>
            <w:tcW w:w="500" w:type="dxa"/>
            <w:vAlign w:val="bottom"/>
          </w:tcPr>
          <w:p>
            <w:pPr>
              <w:jc w:val="right"/>
              <w:ind w:right="44"/>
              <w:spacing w:after="0"/>
              <w:rPr>
                <w:sz w:val="20"/>
                <w:szCs w:val="20"/>
                <w:color w:val="auto"/>
              </w:rPr>
            </w:pPr>
            <w:r>
              <w:rPr>
                <w:rFonts w:ascii="Arial" w:cs="Arial" w:eastAsia="Arial" w:hAnsi="Arial"/>
                <w:sz w:val="11"/>
                <w:szCs w:val="11"/>
                <w:color w:val="008000"/>
              </w:rPr>
              <w:t>(8)</w:t>
            </w:r>
          </w:p>
        </w:tc>
        <w:tc>
          <w:tcPr>
            <w:tcW w:w="960" w:type="dxa"/>
            <w:vAlign w:val="bottom"/>
          </w:tcPr>
          <w:p>
            <w:pPr>
              <w:ind w:left="300"/>
              <w:spacing w:after="0"/>
              <w:rPr>
                <w:sz w:val="20"/>
                <w:szCs w:val="20"/>
                <w:color w:val="auto"/>
              </w:rPr>
            </w:pPr>
            <w:r>
              <w:rPr>
                <w:rFonts w:ascii="Arial" w:cs="Arial" w:eastAsia="Arial" w:hAnsi="Arial"/>
                <w:sz w:val="13"/>
                <w:szCs w:val="13"/>
                <w:color w:val="0000FF"/>
                <w:w w:val="98"/>
              </w:rPr>
              <w:t>01/01/2033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7"/>
              <w:spacing w:after="0" w:line="189" w:lineRule="exact"/>
              <w:rPr>
                <w:sz w:val="20"/>
                <w:szCs w:val="20"/>
                <w:color w:val="auto"/>
              </w:rPr>
            </w:pPr>
            <w:r>
              <w:rPr>
                <w:rFonts w:ascii="Arial" w:cs="Arial" w:eastAsia="Arial" w:hAnsi="Arial"/>
                <w:sz w:val="17"/>
                <w:szCs w:val="17"/>
                <w:color w:val="0000FF"/>
                <w:w w:val="88"/>
              </w:rPr>
              <w:t>75,000</w:t>
            </w:r>
          </w:p>
        </w:tc>
        <w:tc>
          <w:tcPr>
            <w:tcW w:w="60" w:type="dxa"/>
            <w:vAlign w:val="bottom"/>
          </w:tcPr>
          <w:p>
            <w:pPr>
              <w:spacing w:after="0"/>
              <w:rPr>
                <w:sz w:val="16"/>
                <w:szCs w:val="16"/>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0.93</w:t>
            </w:r>
          </w:p>
        </w:tc>
        <w:tc>
          <w:tcPr>
            <w:tcW w:w="56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14, 2018, was canceled in the merger (the "Merger") between Selecta Biosciences, Inc. and Cartesian Therapeutics, Inc.</w:t>
      </w:r>
    </w:p>
    <w:p>
      <w:pPr>
        <w:sectPr>
          <w:pgSz w:w="11900" w:h="16838" w:orient="portrait"/>
          <w:cols w:equalWidth="0" w:num="1">
            <w:col w:w="11080"/>
          </w:cols>
          <w:pgMar w:left="460" w:top="221"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13, 2019, was canceled in the Merger.</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14, 2020, was canceled in the Merger.</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17, 2021, was canceled in the Merger.</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March 30, 2022, was canceled in the Merger.</w:t>
      </w:r>
    </w:p>
    <w:p>
      <w:pPr>
        <w:spacing w:after="0" w:line="43"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3, 2023, was canceled in the Merger.</w:t>
      </w:r>
    </w:p>
    <w:p>
      <w:pPr>
        <w:spacing w:after="0" w:line="43" w:lineRule="exact"/>
        <w:rPr>
          <w:rFonts w:ascii="Arial" w:cs="Arial" w:eastAsia="Arial" w:hAnsi="Arial"/>
          <w:sz w:val="13"/>
          <w:szCs w:val="13"/>
          <w:color w:val="008000"/>
        </w:rPr>
      </w:pPr>
    </w:p>
    <w:p>
      <w:pPr>
        <w:ind w:firstLine="2"/>
        <w:spacing w:after="0" w:line="249"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2, 2024, was canceled in the Merger in exchange for a cash payment of $69,750, representing the difference between the exercise price of the option and $2.06, the Cash-out Amount as applied in the Merger.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08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11/15/2023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3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6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2023-11-15T16:31:43Z</dcterms:created>
  <dcterms:modified xsi:type="dcterms:W3CDTF">2023-11-15T16:31:43Z</dcterms:modified>
</cp:coreProperties>
</file>