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SCHEDULE 13G/A</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(Amendment No. 1)*</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Selecta Biosciences,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Common Stock, $0.0001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816212104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June 25,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6" w:lineRule="exact"/>
        <w:rPr>
          <w:sz w:val="24"/>
          <w:szCs w:val="24"/>
          <w:color w:val="auto"/>
        </w:rPr>
      </w:pPr>
    </w:p>
    <w:p>
      <w:pPr>
        <w:ind w:left="3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rFonts w:ascii="Arial" w:cs="Arial" w:eastAsia="Arial" w:hAnsi="Arial"/>
          <w:sz w:val="18"/>
          <w:szCs w:val="18"/>
          <w:color w:val="auto"/>
        </w:rPr>
      </w:pPr>
    </w:p>
    <w:p>
      <w:pPr>
        <w:ind w:left="340" w:right="320"/>
        <w:spacing w:after="0" w:line="263" w:lineRule="auto"/>
        <w:rPr>
          <w:rFonts w:ascii="Arial" w:cs="Arial" w:eastAsia="Arial" w:hAnsi="Arial"/>
          <w:sz w:val="18"/>
          <w:szCs w:val="18"/>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13" w:right="419" w:bottom="1440" w:gutter="0" w:footer="0" w:header="0"/>
        </w:sectPr>
      </w:pPr>
    </w:p>
    <w:bookmarkStart w:id="1" w:name="page2"/>
    <w:bookmarkEnd w:id="1"/>
    <w:p>
      <w:pPr>
        <w:ind w:left="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5246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5246370"/>
                    </a:xfrm>
                    <a:prstGeom prst="rect">
                      <a:avLst/>
                    </a:prstGeom>
                    <a:noFill/>
                  </pic:spPr>
                </pic:pic>
              </a:graphicData>
            </a:graphic>
          </wp:anchor>
        </w:drawing>
        <w:t xml:space="preserve">CUSIP No. </w:t>
      </w:r>
      <w:r>
        <w:rPr>
          <w:rFonts w:ascii="Arial" w:cs="Arial" w:eastAsia="Arial" w:hAnsi="Arial"/>
          <w:sz w:val="18"/>
          <w:szCs w:val="18"/>
          <w:b w:val="1"/>
          <w:bCs w:val="1"/>
          <w:color w:val="auto"/>
        </w:rPr>
        <w:t>816212104</w:t>
      </w:r>
    </w:p>
    <w:p>
      <w:pPr>
        <w:spacing w:after="0" w:line="121" w:lineRule="exact"/>
        <w:rPr>
          <w:sz w:val="20"/>
          <w:szCs w:val="20"/>
          <w:color w:val="auto"/>
        </w:rPr>
      </w:pPr>
    </w:p>
    <w:p>
      <w:pPr>
        <w:ind w:left="880" w:hanging="478"/>
        <w:spacing w:after="0"/>
        <w:tabs>
          <w:tab w:leader="none" w:pos="8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86" w:lineRule="exact"/>
        <w:rPr>
          <w:rFonts w:ascii="Arial" w:cs="Arial" w:eastAsia="Arial" w:hAnsi="Arial"/>
          <w:sz w:val="18"/>
          <w:szCs w:val="18"/>
          <w:b w:val="1"/>
          <w:bCs w:val="1"/>
          <w:color w:val="auto"/>
        </w:rPr>
      </w:pPr>
    </w:p>
    <w:p>
      <w:pPr>
        <w:ind w:left="8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Vivo Capital IX, LLC</w:t>
      </w:r>
    </w:p>
    <w:p>
      <w:pPr>
        <w:spacing w:after="0" w:line="121" w:lineRule="exact"/>
        <w:rPr>
          <w:sz w:val="20"/>
          <w:szCs w:val="20"/>
          <w:color w:val="auto"/>
        </w:rPr>
      </w:pPr>
    </w:p>
    <w:p>
      <w:pPr>
        <w:ind w:left="880" w:hanging="478"/>
        <w:spacing w:after="0"/>
        <w:tabs>
          <w:tab w:leader="none" w:pos="8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57" w:lineRule="exact"/>
        <w:rPr>
          <w:rFonts w:ascii="Arial" w:cs="Arial" w:eastAsia="Arial" w:hAnsi="Arial"/>
          <w:sz w:val="18"/>
          <w:szCs w:val="18"/>
          <w:b w:val="1"/>
          <w:bCs w:val="1"/>
          <w:color w:val="auto"/>
        </w:rPr>
      </w:pPr>
    </w:p>
    <w:p>
      <w:pPr>
        <w:ind w:left="1140" w:hanging="255"/>
        <w:spacing w:after="0" w:line="207" w:lineRule="exact"/>
        <w:tabs>
          <w:tab w:leader="none" w:pos="1140" w:val="left"/>
        </w:tabs>
        <w:numPr>
          <w:ilvl w:val="1"/>
          <w:numId w:val="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0" w:lineRule="exact"/>
        <w:rPr>
          <w:rFonts w:ascii="Arial" w:cs="Arial" w:eastAsia="Arial" w:hAnsi="Arial"/>
          <w:sz w:val="18"/>
          <w:szCs w:val="18"/>
          <w:color w:val="auto"/>
        </w:rPr>
      </w:pPr>
    </w:p>
    <w:p>
      <w:pPr>
        <w:ind w:left="1140" w:hanging="255"/>
        <w:spacing w:after="0" w:line="207" w:lineRule="exact"/>
        <w:tabs>
          <w:tab w:leader="none" w:pos="1140" w:val="left"/>
        </w:tabs>
        <w:numPr>
          <w:ilvl w:val="1"/>
          <w:numId w:val="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50" w:lineRule="exact"/>
        <w:rPr>
          <w:sz w:val="20"/>
          <w:szCs w:val="20"/>
          <w:color w:val="auto"/>
        </w:rPr>
      </w:pPr>
    </w:p>
    <w:p>
      <w:pPr>
        <w:ind w:left="880" w:hanging="478"/>
        <w:spacing w:after="0"/>
        <w:tabs>
          <w:tab w:leader="none" w:pos="8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14" w:lineRule="exact"/>
        <w:rPr>
          <w:sz w:val="20"/>
          <w:szCs w:val="20"/>
          <w:color w:val="auto"/>
        </w:rPr>
      </w:pPr>
    </w:p>
    <w:p>
      <w:pPr>
        <w:ind w:left="880" w:hanging="478"/>
        <w:spacing w:after="0"/>
        <w:tabs>
          <w:tab w:leader="none" w:pos="8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86" w:lineRule="exact"/>
        <w:rPr>
          <w:rFonts w:ascii="Arial" w:cs="Arial" w:eastAsia="Arial" w:hAnsi="Arial"/>
          <w:sz w:val="18"/>
          <w:szCs w:val="18"/>
          <w:b w:val="1"/>
          <w:bCs w:val="1"/>
          <w:color w:val="auto"/>
        </w:rPr>
      </w:pPr>
    </w:p>
    <w:p>
      <w:pPr>
        <w:ind w:left="8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Delaware</w:t>
      </w:r>
    </w:p>
    <w:p>
      <w:pPr>
        <w:spacing w:after="0" w:line="117" w:lineRule="exact"/>
        <w:rPr>
          <w:rFonts w:ascii="Arial" w:cs="Arial" w:eastAsia="Arial" w:hAnsi="Arial"/>
          <w:sz w:val="18"/>
          <w:szCs w:val="18"/>
          <w:b w:val="1"/>
          <w:bCs w:val="1"/>
          <w:color w:val="auto"/>
        </w:rPr>
      </w:pPr>
    </w:p>
    <w:p>
      <w:pPr>
        <w:ind w:left="19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7"/>
          <w:szCs w:val="17"/>
          <w:color w:val="auto"/>
        </w:rPr>
        <w:t>SOLE VOTING POWER</w:t>
      </w:r>
    </w:p>
    <w:p>
      <w:pPr>
        <w:spacing w:after="0" w:line="31" w:lineRule="exact"/>
        <w:rPr>
          <w:sz w:val="20"/>
          <w:szCs w:val="20"/>
          <w:color w:val="auto"/>
        </w:rPr>
      </w:pPr>
    </w:p>
    <w:tbl>
      <w:tblPr>
        <w:tblLayout w:type="fixed"/>
        <w:tblInd w:w="200" w:type="dxa"/>
        <w:tblCellMar>
          <w:top w:w="0" w:type="dxa"/>
          <w:left w:w="0" w:type="dxa"/>
          <w:bottom w:w="0" w:type="dxa"/>
          <w:right w:w="0" w:type="dxa"/>
        </w:tblCellMar>
      </w:tblPr>
      <w:tr>
        <w:trPr>
          <w:trHeight w:val="340"/>
        </w:trPr>
        <w:tc>
          <w:tcPr>
            <w:tcW w:w="1380" w:type="dxa"/>
            <w:vAlign w:val="bottom"/>
          </w:tcPr>
          <w:p>
            <w:pPr>
              <w:jc w:val="center"/>
              <w:ind w:right="10"/>
              <w:spacing w:after="0"/>
              <w:rPr>
                <w:sz w:val="20"/>
                <w:szCs w:val="20"/>
                <w:color w:val="auto"/>
              </w:rPr>
            </w:pPr>
            <w:r>
              <w:rPr>
                <w:rFonts w:ascii="Arial" w:cs="Arial" w:eastAsia="Arial" w:hAnsi="Arial"/>
                <w:sz w:val="18"/>
                <w:szCs w:val="18"/>
                <w:color w:val="auto"/>
                <w:w w:val="96"/>
              </w:rPr>
              <w:t>NUMBER OF</w:t>
            </w:r>
          </w:p>
        </w:tc>
        <w:tc>
          <w:tcPr>
            <w:tcW w:w="680" w:type="dxa"/>
            <w:vAlign w:val="bottom"/>
            <w:tcBorders>
              <w:bottom w:val="single" w:sz="8" w:color="auto"/>
            </w:tcBorders>
          </w:tcPr>
          <w:p>
            <w:pPr>
              <w:spacing w:after="0"/>
              <w:rPr>
                <w:sz w:val="24"/>
                <w:szCs w:val="24"/>
                <w:color w:val="auto"/>
              </w:rPr>
            </w:pPr>
          </w:p>
        </w:tc>
        <w:tc>
          <w:tcPr>
            <w:tcW w:w="89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 xml:space="preserve">305,668 </w:t>
            </w:r>
            <w:r>
              <w:rPr>
                <w:rFonts w:ascii="Arial" w:cs="Arial" w:eastAsia="Arial" w:hAnsi="Arial"/>
                <w:sz w:val="29"/>
                <w:szCs w:val="29"/>
                <w:b w:val="1"/>
                <w:bCs w:val="1"/>
                <w:color w:val="auto"/>
                <w:vertAlign w:val="superscript"/>
              </w:rPr>
              <w:t>(1)</w:t>
            </w:r>
          </w:p>
        </w:tc>
        <w:tc>
          <w:tcPr>
            <w:tcW w:w="0" w:type="dxa"/>
            <w:vAlign w:val="bottom"/>
          </w:tcPr>
          <w:p>
            <w:pPr>
              <w:spacing w:after="0"/>
              <w:rPr>
                <w:sz w:val="1"/>
                <w:szCs w:val="1"/>
                <w:color w:val="auto"/>
              </w:rPr>
            </w:pPr>
          </w:p>
        </w:tc>
      </w:tr>
      <w:tr>
        <w:trPr>
          <w:trHeight w:val="202"/>
        </w:trPr>
        <w:tc>
          <w:tcPr>
            <w:tcW w:w="1380" w:type="dxa"/>
            <w:vAlign w:val="bottom"/>
          </w:tcPr>
          <w:p>
            <w:pPr>
              <w:jc w:val="center"/>
              <w:ind w:right="10"/>
              <w:spacing w:after="0" w:line="201" w:lineRule="exact"/>
              <w:rPr>
                <w:sz w:val="20"/>
                <w:szCs w:val="20"/>
                <w:color w:val="auto"/>
              </w:rPr>
            </w:pPr>
            <w:r>
              <w:rPr>
                <w:rFonts w:ascii="Arial" w:cs="Arial" w:eastAsia="Arial" w:hAnsi="Arial"/>
                <w:sz w:val="18"/>
                <w:szCs w:val="18"/>
                <w:color w:val="auto"/>
                <w:w w:val="91"/>
              </w:rPr>
              <w:t>SHARES</w:t>
            </w:r>
          </w:p>
        </w:tc>
        <w:tc>
          <w:tcPr>
            <w:tcW w:w="68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6</w:t>
            </w:r>
          </w:p>
        </w:tc>
        <w:tc>
          <w:tcPr>
            <w:tcW w:w="8980" w:type="dxa"/>
            <w:vAlign w:val="bottom"/>
            <w:vMerge w:val="restart"/>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5"/>
        </w:trPr>
        <w:tc>
          <w:tcPr>
            <w:tcW w:w="1380" w:type="dxa"/>
            <w:vAlign w:val="bottom"/>
            <w:vMerge w:val="restart"/>
          </w:tcPr>
          <w:p>
            <w:pPr>
              <w:jc w:val="center"/>
              <w:ind w:right="10"/>
              <w:spacing w:after="0"/>
              <w:rPr>
                <w:sz w:val="20"/>
                <w:szCs w:val="20"/>
                <w:color w:val="auto"/>
              </w:rPr>
            </w:pPr>
            <w:r>
              <w:rPr>
                <w:rFonts w:ascii="Arial" w:cs="Arial" w:eastAsia="Arial" w:hAnsi="Arial"/>
                <w:sz w:val="18"/>
                <w:szCs w:val="18"/>
                <w:color w:val="auto"/>
              </w:rPr>
              <w:t>BENEFICIALLY</w:t>
            </w:r>
          </w:p>
        </w:tc>
        <w:tc>
          <w:tcPr>
            <w:tcW w:w="680" w:type="dxa"/>
            <w:vAlign w:val="bottom"/>
            <w:vMerge w:val="continue"/>
          </w:tcPr>
          <w:p>
            <w:pPr>
              <w:spacing w:after="0"/>
              <w:rPr>
                <w:sz w:val="8"/>
                <w:szCs w:val="8"/>
                <w:color w:val="auto"/>
              </w:rPr>
            </w:pPr>
          </w:p>
        </w:tc>
        <w:tc>
          <w:tcPr>
            <w:tcW w:w="8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38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898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83"/>
        </w:trPr>
        <w:tc>
          <w:tcPr>
            <w:tcW w:w="1380" w:type="dxa"/>
            <w:vAlign w:val="bottom"/>
          </w:tcPr>
          <w:p>
            <w:pPr>
              <w:jc w:val="center"/>
              <w:ind w:right="10"/>
              <w:spacing w:after="0" w:line="157" w:lineRule="exact"/>
              <w:rPr>
                <w:sz w:val="20"/>
                <w:szCs w:val="20"/>
                <w:color w:val="auto"/>
              </w:rPr>
            </w:pPr>
            <w:r>
              <w:rPr>
                <w:rFonts w:ascii="Arial" w:cs="Arial" w:eastAsia="Arial" w:hAnsi="Arial"/>
                <w:sz w:val="18"/>
                <w:szCs w:val="18"/>
                <w:color w:val="auto"/>
                <w:w w:val="97"/>
              </w:rPr>
              <w:t>OWNED BY</w:t>
            </w:r>
          </w:p>
        </w:tc>
        <w:tc>
          <w:tcPr>
            <w:tcW w:w="680" w:type="dxa"/>
            <w:vAlign w:val="bottom"/>
            <w:tcBorders>
              <w:bottom w:val="single" w:sz="8" w:color="auto"/>
            </w:tcBorders>
          </w:tcPr>
          <w:p>
            <w:pPr>
              <w:spacing w:after="0"/>
              <w:rPr>
                <w:sz w:val="15"/>
                <w:szCs w:val="15"/>
                <w:color w:val="auto"/>
              </w:rPr>
            </w:pPr>
          </w:p>
        </w:tc>
        <w:tc>
          <w:tcPr>
            <w:tcW w:w="89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380" w:type="dxa"/>
            <w:vAlign w:val="bottom"/>
          </w:tcPr>
          <w:p>
            <w:pPr>
              <w:jc w:val="center"/>
              <w:ind w:right="10"/>
              <w:spacing w:after="0"/>
              <w:rPr>
                <w:sz w:val="20"/>
                <w:szCs w:val="20"/>
                <w:color w:val="auto"/>
              </w:rPr>
            </w:pPr>
            <w:r>
              <w:rPr>
                <w:rFonts w:ascii="Arial" w:cs="Arial" w:eastAsia="Arial" w:hAnsi="Arial"/>
                <w:sz w:val="18"/>
                <w:szCs w:val="18"/>
                <w:color w:val="auto"/>
                <w:w w:val="95"/>
              </w:rPr>
              <w:t>EACH</w:t>
            </w:r>
          </w:p>
        </w:tc>
        <w:tc>
          <w:tcPr>
            <w:tcW w:w="680" w:type="dxa"/>
            <w:vAlign w:val="bottom"/>
          </w:tcPr>
          <w:p>
            <w:pPr>
              <w:jc w:val="right"/>
              <w:ind w:right="110"/>
              <w:spacing w:after="0"/>
              <w:rPr>
                <w:sz w:val="20"/>
                <w:szCs w:val="20"/>
                <w:color w:val="auto"/>
              </w:rPr>
            </w:pPr>
            <w:r>
              <w:rPr>
                <w:rFonts w:ascii="Arial" w:cs="Arial" w:eastAsia="Arial" w:hAnsi="Arial"/>
                <w:sz w:val="18"/>
                <w:szCs w:val="18"/>
                <w:b w:val="1"/>
                <w:bCs w:val="1"/>
                <w:color w:val="auto"/>
              </w:rPr>
              <w:t>7</w:t>
            </w:r>
          </w:p>
        </w:tc>
        <w:tc>
          <w:tcPr>
            <w:tcW w:w="8980" w:type="dxa"/>
            <w:vAlign w:val="bottom"/>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02"/>
        </w:trPr>
        <w:tc>
          <w:tcPr>
            <w:tcW w:w="1380" w:type="dxa"/>
            <w:vAlign w:val="bottom"/>
          </w:tcPr>
          <w:p>
            <w:pPr>
              <w:jc w:val="center"/>
              <w:ind w:right="10"/>
              <w:spacing w:after="0" w:line="201" w:lineRule="exact"/>
              <w:rPr>
                <w:sz w:val="20"/>
                <w:szCs w:val="20"/>
                <w:color w:val="auto"/>
              </w:rPr>
            </w:pPr>
            <w:r>
              <w:rPr>
                <w:rFonts w:ascii="Arial" w:cs="Arial" w:eastAsia="Arial" w:hAnsi="Arial"/>
                <w:sz w:val="18"/>
                <w:szCs w:val="18"/>
                <w:color w:val="auto"/>
                <w:w w:val="93"/>
              </w:rPr>
              <w:t>REPORTING</w:t>
            </w:r>
          </w:p>
        </w:tc>
        <w:tc>
          <w:tcPr>
            <w:tcW w:w="680" w:type="dxa"/>
            <w:vAlign w:val="bottom"/>
          </w:tcPr>
          <w:p>
            <w:pPr>
              <w:spacing w:after="0"/>
              <w:rPr>
                <w:sz w:val="17"/>
                <w:szCs w:val="17"/>
                <w:color w:val="auto"/>
              </w:rPr>
            </w:pPr>
          </w:p>
        </w:tc>
        <w:tc>
          <w:tcPr>
            <w:tcW w:w="898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 xml:space="preserve">305,668 </w:t>
            </w:r>
            <w:r>
              <w:rPr>
                <w:rFonts w:ascii="Arial" w:cs="Arial" w:eastAsia="Arial" w:hAnsi="Arial"/>
                <w:sz w:val="29"/>
                <w:szCs w:val="29"/>
                <w:b w:val="1"/>
                <w:bCs w:val="1"/>
                <w:color w:val="auto"/>
                <w:vertAlign w:val="superscript"/>
              </w:rPr>
              <w:t>(1)</w:t>
            </w:r>
          </w:p>
        </w:tc>
        <w:tc>
          <w:tcPr>
            <w:tcW w:w="0" w:type="dxa"/>
            <w:vAlign w:val="bottom"/>
          </w:tcPr>
          <w:p>
            <w:pPr>
              <w:spacing w:after="0"/>
              <w:rPr>
                <w:sz w:val="1"/>
                <w:szCs w:val="1"/>
                <w:color w:val="auto"/>
              </w:rPr>
            </w:pPr>
          </w:p>
        </w:tc>
      </w:tr>
      <w:tr>
        <w:trPr>
          <w:trHeight w:val="197"/>
        </w:trPr>
        <w:tc>
          <w:tcPr>
            <w:tcW w:w="1380" w:type="dxa"/>
            <w:vAlign w:val="bottom"/>
          </w:tcPr>
          <w:p>
            <w:pPr>
              <w:jc w:val="center"/>
              <w:ind w:right="10"/>
              <w:spacing w:after="0" w:line="190" w:lineRule="exact"/>
              <w:rPr>
                <w:sz w:val="20"/>
                <w:szCs w:val="20"/>
                <w:color w:val="auto"/>
              </w:rPr>
            </w:pPr>
            <w:r>
              <w:rPr>
                <w:rFonts w:ascii="Arial" w:cs="Arial" w:eastAsia="Arial" w:hAnsi="Arial"/>
                <w:sz w:val="18"/>
                <w:szCs w:val="18"/>
                <w:color w:val="auto"/>
                <w:w w:val="89"/>
              </w:rPr>
              <w:t>PERSON</w:t>
            </w:r>
          </w:p>
        </w:tc>
        <w:tc>
          <w:tcPr>
            <w:tcW w:w="680" w:type="dxa"/>
            <w:vAlign w:val="bottom"/>
            <w:tcBorders>
              <w:bottom w:val="single" w:sz="8" w:color="auto"/>
            </w:tcBorders>
          </w:tcPr>
          <w:p>
            <w:pPr>
              <w:spacing w:after="0"/>
              <w:rPr>
                <w:sz w:val="17"/>
                <w:szCs w:val="17"/>
                <w:color w:val="auto"/>
              </w:rPr>
            </w:pPr>
          </w:p>
        </w:tc>
        <w:tc>
          <w:tcPr>
            <w:tcW w:w="89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380" w:type="dxa"/>
            <w:vAlign w:val="bottom"/>
          </w:tcPr>
          <w:p>
            <w:pPr>
              <w:jc w:val="center"/>
              <w:ind w:right="10"/>
              <w:spacing w:after="0"/>
              <w:rPr>
                <w:sz w:val="20"/>
                <w:szCs w:val="20"/>
                <w:color w:val="auto"/>
              </w:rPr>
            </w:pPr>
            <w:r>
              <w:rPr>
                <w:rFonts w:ascii="Arial" w:cs="Arial" w:eastAsia="Arial" w:hAnsi="Arial"/>
                <w:sz w:val="18"/>
                <w:szCs w:val="18"/>
                <w:color w:val="auto"/>
              </w:rPr>
              <w:t>WITH</w:t>
            </w:r>
          </w:p>
        </w:tc>
        <w:tc>
          <w:tcPr>
            <w:tcW w:w="68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8</w:t>
            </w:r>
          </w:p>
        </w:tc>
        <w:tc>
          <w:tcPr>
            <w:tcW w:w="8980" w:type="dxa"/>
            <w:vAlign w:val="bottom"/>
            <w:vMerge w:val="restart"/>
          </w:tcPr>
          <w:p>
            <w:pPr>
              <w:ind w:left="2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68"/>
        </w:trPr>
        <w:tc>
          <w:tcPr>
            <w:tcW w:w="13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1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980" w:type="dxa"/>
            <w:vAlign w:val="bottom"/>
          </w:tcPr>
          <w:p>
            <w:pPr>
              <w:ind w:left="2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880" w:hanging="478"/>
        <w:spacing w:after="0"/>
        <w:tabs>
          <w:tab w:leader="none" w:pos="8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90"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305,668 </w:t>
      </w:r>
      <w:r>
        <w:rPr>
          <w:rFonts w:ascii="Arial" w:cs="Arial" w:eastAsia="Arial" w:hAnsi="Arial"/>
          <w:sz w:val="29"/>
          <w:szCs w:val="29"/>
          <w:b w:val="1"/>
          <w:bCs w:val="1"/>
          <w:color w:val="auto"/>
          <w:vertAlign w:val="superscript"/>
        </w:rPr>
        <w:t>(1)</w:t>
      </w:r>
    </w:p>
    <w:p>
      <w:pPr>
        <w:spacing w:after="0" w:line="47" w:lineRule="exact"/>
        <w:rPr>
          <w:sz w:val="20"/>
          <w:szCs w:val="20"/>
          <w:color w:val="auto"/>
        </w:rPr>
      </w:pPr>
    </w:p>
    <w:p>
      <w:pPr>
        <w:ind w:left="880" w:hanging="523"/>
        <w:spacing w:after="0"/>
        <w:tabs>
          <w:tab w:leader="none" w:pos="880" w:val="left"/>
        </w:tabs>
        <w:numPr>
          <w:ilvl w:val="1"/>
          <w:numId w:val="10"/>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 (See Instructions)</w:t>
      </w:r>
    </w:p>
    <w:p>
      <w:pPr>
        <w:spacing w:after="0" w:line="41" w:lineRule="exact"/>
        <w:rPr>
          <w:rFonts w:ascii="Arial" w:cs="Arial" w:eastAsia="Arial" w:hAnsi="Arial"/>
          <w:sz w:val="18"/>
          <w:szCs w:val="18"/>
          <w:b w:val="1"/>
          <w:bCs w:val="1"/>
          <w:color w:val="auto"/>
        </w:rPr>
      </w:pPr>
    </w:p>
    <w:p>
      <w:pPr>
        <w:ind w:left="88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176" w:lineRule="exact"/>
        <w:rPr>
          <w:rFonts w:ascii="Arial" w:cs="Arial" w:eastAsia="Arial" w:hAnsi="Arial"/>
          <w:sz w:val="18"/>
          <w:szCs w:val="18"/>
          <w:b w:val="1"/>
          <w:bCs w:val="1"/>
          <w:color w:val="auto"/>
        </w:rPr>
      </w:pPr>
    </w:p>
    <w:p>
      <w:pPr>
        <w:ind w:left="880" w:hanging="518"/>
        <w:spacing w:after="0"/>
        <w:tabs>
          <w:tab w:leader="none" w:pos="880" w:val="left"/>
        </w:tabs>
        <w:numPr>
          <w:ilvl w:val="1"/>
          <w:numId w:val="10"/>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89" w:lineRule="exact"/>
        <w:rPr>
          <w:rFonts w:ascii="Arial" w:cs="Arial" w:eastAsia="Arial" w:hAnsi="Arial"/>
          <w:sz w:val="18"/>
          <w:szCs w:val="18"/>
          <w:b w:val="1"/>
          <w:bCs w:val="1"/>
          <w:color w:val="auto"/>
        </w:rPr>
      </w:pPr>
    </w:p>
    <w:p>
      <w:pPr>
        <w:ind w:left="8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0.3% </w:t>
      </w:r>
      <w:r>
        <w:rPr>
          <w:rFonts w:ascii="Arial" w:cs="Arial" w:eastAsia="Arial" w:hAnsi="Arial"/>
          <w:sz w:val="29"/>
          <w:szCs w:val="29"/>
          <w:b w:val="1"/>
          <w:bCs w:val="1"/>
          <w:color w:val="auto"/>
          <w:vertAlign w:val="superscript"/>
        </w:rPr>
        <w:t>(2)</w:t>
      </w:r>
    </w:p>
    <w:p>
      <w:pPr>
        <w:spacing w:after="0" w:line="47" w:lineRule="exact"/>
        <w:rPr>
          <w:rFonts w:ascii="Arial" w:cs="Arial" w:eastAsia="Arial" w:hAnsi="Arial"/>
          <w:sz w:val="18"/>
          <w:szCs w:val="18"/>
          <w:b w:val="1"/>
          <w:bCs w:val="1"/>
          <w:color w:val="auto"/>
        </w:rPr>
      </w:pPr>
    </w:p>
    <w:p>
      <w:pPr>
        <w:ind w:left="880" w:hanging="523"/>
        <w:spacing w:after="0"/>
        <w:tabs>
          <w:tab w:leader="none" w:pos="880" w:val="left"/>
        </w:tabs>
        <w:numPr>
          <w:ilvl w:val="1"/>
          <w:numId w:val="10"/>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70" w:lineRule="exact"/>
        <w:rPr>
          <w:rFonts w:ascii="Arial" w:cs="Arial" w:eastAsia="Arial" w:hAnsi="Arial"/>
          <w:sz w:val="18"/>
          <w:szCs w:val="18"/>
          <w:b w:val="1"/>
          <w:bCs w:val="1"/>
          <w:color w:val="auto"/>
        </w:rPr>
      </w:pPr>
    </w:p>
    <w:p>
      <w:pPr>
        <w:ind w:left="8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OO</w:t>
      </w:r>
    </w:p>
    <w:p>
      <w:pPr>
        <w:spacing w:after="0" w:line="256" w:lineRule="exact"/>
        <w:rPr>
          <w:rFonts w:ascii="Arial" w:cs="Arial" w:eastAsia="Arial" w:hAnsi="Arial"/>
          <w:sz w:val="18"/>
          <w:szCs w:val="18"/>
          <w:b w:val="1"/>
          <w:bCs w:val="1"/>
          <w:color w:val="auto"/>
        </w:rPr>
      </w:pPr>
    </w:p>
    <w:p>
      <w:pPr>
        <w:ind w:left="340" w:right="400" w:hanging="332"/>
        <w:spacing w:after="0" w:line="194" w:lineRule="auto"/>
        <w:tabs>
          <w:tab w:leader="none" w:pos="340" w:val="left"/>
        </w:tabs>
        <w:numPr>
          <w:ilvl w:val="0"/>
          <w:numId w:val="11"/>
        </w:numPr>
        <w:rPr>
          <w:rFonts w:ascii="Arial" w:cs="Arial" w:eastAsia="Arial" w:hAnsi="Arial"/>
          <w:sz w:val="30"/>
          <w:szCs w:val="30"/>
          <w:color w:val="auto"/>
          <w:vertAlign w:val="superscript"/>
        </w:rPr>
      </w:pPr>
      <w:r>
        <w:rPr>
          <w:rFonts w:ascii="Arial" w:cs="Arial" w:eastAsia="Arial" w:hAnsi="Arial"/>
          <w:sz w:val="18"/>
          <w:szCs w:val="18"/>
          <w:color w:val="auto"/>
        </w:rPr>
        <w:t>The number of shares of common stock, par value $0.0001 per share (the “Common Stock”) of Selecta Biosciences, Inc. (the “Issuer”) are held of record by Vivo Capital Fund IX, L.P. Vivo Capital IX, LLC is the general partner of Vivo Capital Fund IX, L.P.</w:t>
      </w:r>
    </w:p>
    <w:p>
      <w:pPr>
        <w:spacing w:after="0" w:line="188" w:lineRule="exact"/>
        <w:rPr>
          <w:rFonts w:ascii="Arial" w:cs="Arial" w:eastAsia="Arial" w:hAnsi="Arial"/>
          <w:sz w:val="30"/>
          <w:szCs w:val="30"/>
          <w:color w:val="auto"/>
          <w:vertAlign w:val="superscript"/>
        </w:rPr>
      </w:pPr>
    </w:p>
    <w:p>
      <w:pPr>
        <w:ind w:left="340" w:right="60" w:hanging="332"/>
        <w:spacing w:after="0" w:line="194" w:lineRule="auto"/>
        <w:tabs>
          <w:tab w:leader="none" w:pos="340" w:val="left"/>
        </w:tabs>
        <w:numPr>
          <w:ilvl w:val="0"/>
          <w:numId w:val="11"/>
        </w:numPr>
        <w:rPr>
          <w:rFonts w:ascii="Arial" w:cs="Arial" w:eastAsia="Arial" w:hAnsi="Arial"/>
          <w:sz w:val="30"/>
          <w:szCs w:val="30"/>
          <w:color w:val="auto"/>
          <w:vertAlign w:val="superscript"/>
        </w:rPr>
      </w:pPr>
      <w:r>
        <w:rPr>
          <w:rFonts w:ascii="Arial" w:cs="Arial" w:eastAsia="Arial" w:hAnsi="Arial"/>
          <w:sz w:val="18"/>
          <w:szCs w:val="18"/>
          <w:color w:val="auto"/>
        </w:rPr>
        <w:t>Based on 87,489,681 shares of Common Stock of the Issuer outstanding as of May 1, 2020, as reported on Form 10-Q for the quarter ended March 31, 2020, filed with the Securities and Exchange Commission on May 7, 2020.</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 w:name="page3"/>
    <w:bookmarkEnd w:id="2"/>
    <w:p>
      <w:pPr>
        <w:ind w:left="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5246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5246370"/>
                    </a:xfrm>
                    <a:prstGeom prst="rect">
                      <a:avLst/>
                    </a:prstGeom>
                    <a:noFill/>
                  </pic:spPr>
                </pic:pic>
              </a:graphicData>
            </a:graphic>
          </wp:anchor>
        </w:drawing>
        <w:t xml:space="preserve">CUSIP No. </w:t>
      </w:r>
      <w:r>
        <w:rPr>
          <w:rFonts w:ascii="Arial" w:cs="Arial" w:eastAsia="Arial" w:hAnsi="Arial"/>
          <w:sz w:val="18"/>
          <w:szCs w:val="18"/>
          <w:b w:val="1"/>
          <w:bCs w:val="1"/>
          <w:color w:val="auto"/>
        </w:rPr>
        <w:t>816212104</w:t>
      </w:r>
    </w:p>
    <w:p>
      <w:pPr>
        <w:spacing w:after="0" w:line="121" w:lineRule="exact"/>
        <w:rPr>
          <w:sz w:val="20"/>
          <w:szCs w:val="20"/>
          <w:color w:val="auto"/>
        </w:rPr>
      </w:pPr>
    </w:p>
    <w:p>
      <w:pPr>
        <w:ind w:left="880" w:hanging="478"/>
        <w:spacing w:after="0"/>
        <w:tabs>
          <w:tab w:leader="none" w:pos="88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86" w:lineRule="exact"/>
        <w:rPr>
          <w:rFonts w:ascii="Arial" w:cs="Arial" w:eastAsia="Arial" w:hAnsi="Arial"/>
          <w:sz w:val="18"/>
          <w:szCs w:val="18"/>
          <w:b w:val="1"/>
          <w:bCs w:val="1"/>
          <w:color w:val="auto"/>
        </w:rPr>
      </w:pPr>
    </w:p>
    <w:p>
      <w:pPr>
        <w:ind w:left="8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Vivo Opportunity, LLC</w:t>
      </w:r>
    </w:p>
    <w:p>
      <w:pPr>
        <w:spacing w:after="0" w:line="121" w:lineRule="exact"/>
        <w:rPr>
          <w:sz w:val="20"/>
          <w:szCs w:val="20"/>
          <w:color w:val="auto"/>
        </w:rPr>
      </w:pPr>
    </w:p>
    <w:p>
      <w:pPr>
        <w:ind w:left="880" w:hanging="478"/>
        <w:spacing w:after="0"/>
        <w:tabs>
          <w:tab w:leader="none" w:pos="8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57" w:lineRule="exact"/>
        <w:rPr>
          <w:rFonts w:ascii="Arial" w:cs="Arial" w:eastAsia="Arial" w:hAnsi="Arial"/>
          <w:sz w:val="18"/>
          <w:szCs w:val="18"/>
          <w:b w:val="1"/>
          <w:bCs w:val="1"/>
          <w:color w:val="auto"/>
        </w:rPr>
      </w:pPr>
    </w:p>
    <w:p>
      <w:pPr>
        <w:ind w:left="1140" w:hanging="255"/>
        <w:spacing w:after="0" w:line="207" w:lineRule="exact"/>
        <w:tabs>
          <w:tab w:leader="none" w:pos="1140" w:val="left"/>
        </w:tabs>
        <w:numPr>
          <w:ilvl w:val="1"/>
          <w:numId w:val="1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0" w:lineRule="exact"/>
        <w:rPr>
          <w:rFonts w:ascii="Arial" w:cs="Arial" w:eastAsia="Arial" w:hAnsi="Arial"/>
          <w:sz w:val="18"/>
          <w:szCs w:val="18"/>
          <w:color w:val="auto"/>
        </w:rPr>
      </w:pPr>
    </w:p>
    <w:p>
      <w:pPr>
        <w:ind w:left="1140" w:hanging="255"/>
        <w:spacing w:after="0" w:line="207" w:lineRule="exact"/>
        <w:tabs>
          <w:tab w:leader="none" w:pos="1140" w:val="left"/>
        </w:tabs>
        <w:numPr>
          <w:ilvl w:val="1"/>
          <w:numId w:val="1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50" w:lineRule="exact"/>
        <w:rPr>
          <w:sz w:val="20"/>
          <w:szCs w:val="20"/>
          <w:color w:val="auto"/>
        </w:rPr>
      </w:pPr>
    </w:p>
    <w:p>
      <w:pPr>
        <w:ind w:left="880" w:hanging="478"/>
        <w:spacing w:after="0"/>
        <w:tabs>
          <w:tab w:leader="none" w:pos="88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14" w:lineRule="exact"/>
        <w:rPr>
          <w:sz w:val="20"/>
          <w:szCs w:val="20"/>
          <w:color w:val="auto"/>
        </w:rPr>
      </w:pPr>
    </w:p>
    <w:p>
      <w:pPr>
        <w:ind w:left="880" w:hanging="478"/>
        <w:spacing w:after="0"/>
        <w:tabs>
          <w:tab w:leader="none" w:pos="88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86" w:lineRule="exact"/>
        <w:rPr>
          <w:rFonts w:ascii="Arial" w:cs="Arial" w:eastAsia="Arial" w:hAnsi="Arial"/>
          <w:sz w:val="18"/>
          <w:szCs w:val="18"/>
          <w:b w:val="1"/>
          <w:bCs w:val="1"/>
          <w:color w:val="auto"/>
        </w:rPr>
      </w:pPr>
    </w:p>
    <w:p>
      <w:pPr>
        <w:ind w:left="8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Delaware</w:t>
      </w:r>
    </w:p>
    <w:p>
      <w:pPr>
        <w:spacing w:after="0" w:line="117" w:lineRule="exact"/>
        <w:rPr>
          <w:rFonts w:ascii="Arial" w:cs="Arial" w:eastAsia="Arial" w:hAnsi="Arial"/>
          <w:sz w:val="18"/>
          <w:szCs w:val="18"/>
          <w:b w:val="1"/>
          <w:bCs w:val="1"/>
          <w:color w:val="auto"/>
        </w:rPr>
      </w:pPr>
    </w:p>
    <w:p>
      <w:pPr>
        <w:ind w:left="19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7"/>
          <w:szCs w:val="17"/>
          <w:color w:val="auto"/>
        </w:rPr>
        <w:t>SOLE VOTING POWER</w:t>
      </w:r>
    </w:p>
    <w:p>
      <w:pPr>
        <w:spacing w:after="0" w:line="31" w:lineRule="exact"/>
        <w:rPr>
          <w:sz w:val="20"/>
          <w:szCs w:val="20"/>
          <w:color w:val="auto"/>
        </w:rPr>
      </w:pPr>
    </w:p>
    <w:tbl>
      <w:tblPr>
        <w:tblLayout w:type="fixed"/>
        <w:tblInd w:w="200" w:type="dxa"/>
        <w:tblCellMar>
          <w:top w:w="0" w:type="dxa"/>
          <w:left w:w="0" w:type="dxa"/>
          <w:bottom w:w="0" w:type="dxa"/>
          <w:right w:w="0" w:type="dxa"/>
        </w:tblCellMar>
      </w:tblPr>
      <w:tr>
        <w:trPr>
          <w:trHeight w:val="340"/>
        </w:trPr>
        <w:tc>
          <w:tcPr>
            <w:tcW w:w="1380" w:type="dxa"/>
            <w:vAlign w:val="bottom"/>
          </w:tcPr>
          <w:p>
            <w:pPr>
              <w:jc w:val="center"/>
              <w:ind w:right="10"/>
              <w:spacing w:after="0"/>
              <w:rPr>
                <w:sz w:val="20"/>
                <w:szCs w:val="20"/>
                <w:color w:val="auto"/>
              </w:rPr>
            </w:pPr>
            <w:r>
              <w:rPr>
                <w:rFonts w:ascii="Arial" w:cs="Arial" w:eastAsia="Arial" w:hAnsi="Arial"/>
                <w:sz w:val="18"/>
                <w:szCs w:val="18"/>
                <w:color w:val="auto"/>
                <w:w w:val="96"/>
              </w:rPr>
              <w:t>NUMBER OF</w:t>
            </w:r>
          </w:p>
        </w:tc>
        <w:tc>
          <w:tcPr>
            <w:tcW w:w="680" w:type="dxa"/>
            <w:vAlign w:val="bottom"/>
            <w:tcBorders>
              <w:bottom w:val="single" w:sz="8" w:color="auto"/>
            </w:tcBorders>
          </w:tcPr>
          <w:p>
            <w:pPr>
              <w:spacing w:after="0"/>
              <w:rPr>
                <w:sz w:val="24"/>
                <w:szCs w:val="24"/>
                <w:color w:val="auto"/>
              </w:rPr>
            </w:pPr>
          </w:p>
        </w:tc>
        <w:tc>
          <w:tcPr>
            <w:tcW w:w="89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 xml:space="preserve">1,369,863 </w:t>
            </w:r>
            <w:r>
              <w:rPr>
                <w:rFonts w:ascii="Arial" w:cs="Arial" w:eastAsia="Arial" w:hAnsi="Arial"/>
                <w:sz w:val="29"/>
                <w:szCs w:val="29"/>
                <w:b w:val="1"/>
                <w:bCs w:val="1"/>
                <w:color w:val="auto"/>
                <w:vertAlign w:val="superscript"/>
              </w:rPr>
              <w:t>(1)</w:t>
            </w:r>
          </w:p>
        </w:tc>
        <w:tc>
          <w:tcPr>
            <w:tcW w:w="0" w:type="dxa"/>
            <w:vAlign w:val="bottom"/>
          </w:tcPr>
          <w:p>
            <w:pPr>
              <w:spacing w:after="0"/>
              <w:rPr>
                <w:sz w:val="1"/>
                <w:szCs w:val="1"/>
                <w:color w:val="auto"/>
              </w:rPr>
            </w:pPr>
          </w:p>
        </w:tc>
      </w:tr>
      <w:tr>
        <w:trPr>
          <w:trHeight w:val="202"/>
        </w:trPr>
        <w:tc>
          <w:tcPr>
            <w:tcW w:w="1380" w:type="dxa"/>
            <w:vAlign w:val="bottom"/>
          </w:tcPr>
          <w:p>
            <w:pPr>
              <w:jc w:val="center"/>
              <w:ind w:right="10"/>
              <w:spacing w:after="0" w:line="201" w:lineRule="exact"/>
              <w:rPr>
                <w:sz w:val="20"/>
                <w:szCs w:val="20"/>
                <w:color w:val="auto"/>
              </w:rPr>
            </w:pPr>
            <w:r>
              <w:rPr>
                <w:rFonts w:ascii="Arial" w:cs="Arial" w:eastAsia="Arial" w:hAnsi="Arial"/>
                <w:sz w:val="18"/>
                <w:szCs w:val="18"/>
                <w:color w:val="auto"/>
                <w:w w:val="91"/>
              </w:rPr>
              <w:t>SHARES</w:t>
            </w:r>
          </w:p>
        </w:tc>
        <w:tc>
          <w:tcPr>
            <w:tcW w:w="68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6</w:t>
            </w:r>
          </w:p>
        </w:tc>
        <w:tc>
          <w:tcPr>
            <w:tcW w:w="8980" w:type="dxa"/>
            <w:vAlign w:val="bottom"/>
            <w:vMerge w:val="restart"/>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5"/>
        </w:trPr>
        <w:tc>
          <w:tcPr>
            <w:tcW w:w="1380" w:type="dxa"/>
            <w:vAlign w:val="bottom"/>
            <w:vMerge w:val="restart"/>
          </w:tcPr>
          <w:p>
            <w:pPr>
              <w:jc w:val="center"/>
              <w:ind w:right="10"/>
              <w:spacing w:after="0"/>
              <w:rPr>
                <w:sz w:val="20"/>
                <w:szCs w:val="20"/>
                <w:color w:val="auto"/>
              </w:rPr>
            </w:pPr>
            <w:r>
              <w:rPr>
                <w:rFonts w:ascii="Arial" w:cs="Arial" w:eastAsia="Arial" w:hAnsi="Arial"/>
                <w:sz w:val="18"/>
                <w:szCs w:val="18"/>
                <w:color w:val="auto"/>
              </w:rPr>
              <w:t>BENEFICIALLY</w:t>
            </w:r>
          </w:p>
        </w:tc>
        <w:tc>
          <w:tcPr>
            <w:tcW w:w="680" w:type="dxa"/>
            <w:vAlign w:val="bottom"/>
            <w:vMerge w:val="continue"/>
          </w:tcPr>
          <w:p>
            <w:pPr>
              <w:spacing w:after="0"/>
              <w:rPr>
                <w:sz w:val="8"/>
                <w:szCs w:val="8"/>
                <w:color w:val="auto"/>
              </w:rPr>
            </w:pPr>
          </w:p>
        </w:tc>
        <w:tc>
          <w:tcPr>
            <w:tcW w:w="8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38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898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83"/>
        </w:trPr>
        <w:tc>
          <w:tcPr>
            <w:tcW w:w="1380" w:type="dxa"/>
            <w:vAlign w:val="bottom"/>
          </w:tcPr>
          <w:p>
            <w:pPr>
              <w:jc w:val="center"/>
              <w:ind w:right="10"/>
              <w:spacing w:after="0" w:line="157" w:lineRule="exact"/>
              <w:rPr>
                <w:sz w:val="20"/>
                <w:szCs w:val="20"/>
                <w:color w:val="auto"/>
              </w:rPr>
            </w:pPr>
            <w:r>
              <w:rPr>
                <w:rFonts w:ascii="Arial" w:cs="Arial" w:eastAsia="Arial" w:hAnsi="Arial"/>
                <w:sz w:val="18"/>
                <w:szCs w:val="18"/>
                <w:color w:val="auto"/>
                <w:w w:val="97"/>
              </w:rPr>
              <w:t>OWNED BY</w:t>
            </w:r>
          </w:p>
        </w:tc>
        <w:tc>
          <w:tcPr>
            <w:tcW w:w="680" w:type="dxa"/>
            <w:vAlign w:val="bottom"/>
            <w:tcBorders>
              <w:bottom w:val="single" w:sz="8" w:color="auto"/>
            </w:tcBorders>
          </w:tcPr>
          <w:p>
            <w:pPr>
              <w:spacing w:after="0"/>
              <w:rPr>
                <w:sz w:val="15"/>
                <w:szCs w:val="15"/>
                <w:color w:val="auto"/>
              </w:rPr>
            </w:pPr>
          </w:p>
        </w:tc>
        <w:tc>
          <w:tcPr>
            <w:tcW w:w="89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380" w:type="dxa"/>
            <w:vAlign w:val="bottom"/>
          </w:tcPr>
          <w:p>
            <w:pPr>
              <w:jc w:val="center"/>
              <w:ind w:right="10"/>
              <w:spacing w:after="0"/>
              <w:rPr>
                <w:sz w:val="20"/>
                <w:szCs w:val="20"/>
                <w:color w:val="auto"/>
              </w:rPr>
            </w:pPr>
            <w:r>
              <w:rPr>
                <w:rFonts w:ascii="Arial" w:cs="Arial" w:eastAsia="Arial" w:hAnsi="Arial"/>
                <w:sz w:val="18"/>
                <w:szCs w:val="18"/>
                <w:color w:val="auto"/>
                <w:w w:val="95"/>
              </w:rPr>
              <w:t>EACH</w:t>
            </w:r>
          </w:p>
        </w:tc>
        <w:tc>
          <w:tcPr>
            <w:tcW w:w="680" w:type="dxa"/>
            <w:vAlign w:val="bottom"/>
          </w:tcPr>
          <w:p>
            <w:pPr>
              <w:jc w:val="right"/>
              <w:ind w:right="110"/>
              <w:spacing w:after="0"/>
              <w:rPr>
                <w:sz w:val="20"/>
                <w:szCs w:val="20"/>
                <w:color w:val="auto"/>
              </w:rPr>
            </w:pPr>
            <w:r>
              <w:rPr>
                <w:rFonts w:ascii="Arial" w:cs="Arial" w:eastAsia="Arial" w:hAnsi="Arial"/>
                <w:sz w:val="18"/>
                <w:szCs w:val="18"/>
                <w:b w:val="1"/>
                <w:bCs w:val="1"/>
                <w:color w:val="auto"/>
              </w:rPr>
              <w:t>7</w:t>
            </w:r>
          </w:p>
        </w:tc>
        <w:tc>
          <w:tcPr>
            <w:tcW w:w="8980" w:type="dxa"/>
            <w:vAlign w:val="bottom"/>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02"/>
        </w:trPr>
        <w:tc>
          <w:tcPr>
            <w:tcW w:w="1380" w:type="dxa"/>
            <w:vAlign w:val="bottom"/>
          </w:tcPr>
          <w:p>
            <w:pPr>
              <w:jc w:val="center"/>
              <w:ind w:right="10"/>
              <w:spacing w:after="0" w:line="201" w:lineRule="exact"/>
              <w:rPr>
                <w:sz w:val="20"/>
                <w:szCs w:val="20"/>
                <w:color w:val="auto"/>
              </w:rPr>
            </w:pPr>
            <w:r>
              <w:rPr>
                <w:rFonts w:ascii="Arial" w:cs="Arial" w:eastAsia="Arial" w:hAnsi="Arial"/>
                <w:sz w:val="18"/>
                <w:szCs w:val="18"/>
                <w:color w:val="auto"/>
                <w:w w:val="93"/>
              </w:rPr>
              <w:t>REPORTING</w:t>
            </w:r>
          </w:p>
        </w:tc>
        <w:tc>
          <w:tcPr>
            <w:tcW w:w="680" w:type="dxa"/>
            <w:vAlign w:val="bottom"/>
          </w:tcPr>
          <w:p>
            <w:pPr>
              <w:spacing w:after="0"/>
              <w:rPr>
                <w:sz w:val="17"/>
                <w:szCs w:val="17"/>
                <w:color w:val="auto"/>
              </w:rPr>
            </w:pPr>
          </w:p>
        </w:tc>
        <w:tc>
          <w:tcPr>
            <w:tcW w:w="898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 xml:space="preserve">1,369,863 </w:t>
            </w:r>
            <w:r>
              <w:rPr>
                <w:rFonts w:ascii="Arial" w:cs="Arial" w:eastAsia="Arial" w:hAnsi="Arial"/>
                <w:sz w:val="29"/>
                <w:szCs w:val="29"/>
                <w:b w:val="1"/>
                <w:bCs w:val="1"/>
                <w:color w:val="auto"/>
                <w:vertAlign w:val="superscript"/>
              </w:rPr>
              <w:t>(1)</w:t>
            </w:r>
          </w:p>
        </w:tc>
        <w:tc>
          <w:tcPr>
            <w:tcW w:w="0" w:type="dxa"/>
            <w:vAlign w:val="bottom"/>
          </w:tcPr>
          <w:p>
            <w:pPr>
              <w:spacing w:after="0"/>
              <w:rPr>
                <w:sz w:val="1"/>
                <w:szCs w:val="1"/>
                <w:color w:val="auto"/>
              </w:rPr>
            </w:pPr>
          </w:p>
        </w:tc>
      </w:tr>
      <w:tr>
        <w:trPr>
          <w:trHeight w:val="197"/>
        </w:trPr>
        <w:tc>
          <w:tcPr>
            <w:tcW w:w="1380" w:type="dxa"/>
            <w:vAlign w:val="bottom"/>
          </w:tcPr>
          <w:p>
            <w:pPr>
              <w:jc w:val="center"/>
              <w:ind w:right="10"/>
              <w:spacing w:after="0" w:line="190" w:lineRule="exact"/>
              <w:rPr>
                <w:sz w:val="20"/>
                <w:szCs w:val="20"/>
                <w:color w:val="auto"/>
              </w:rPr>
            </w:pPr>
            <w:r>
              <w:rPr>
                <w:rFonts w:ascii="Arial" w:cs="Arial" w:eastAsia="Arial" w:hAnsi="Arial"/>
                <w:sz w:val="18"/>
                <w:szCs w:val="18"/>
                <w:color w:val="auto"/>
                <w:w w:val="89"/>
              </w:rPr>
              <w:t>PERSON</w:t>
            </w:r>
          </w:p>
        </w:tc>
        <w:tc>
          <w:tcPr>
            <w:tcW w:w="680" w:type="dxa"/>
            <w:vAlign w:val="bottom"/>
            <w:tcBorders>
              <w:bottom w:val="single" w:sz="8" w:color="auto"/>
            </w:tcBorders>
          </w:tcPr>
          <w:p>
            <w:pPr>
              <w:spacing w:after="0"/>
              <w:rPr>
                <w:sz w:val="17"/>
                <w:szCs w:val="17"/>
                <w:color w:val="auto"/>
              </w:rPr>
            </w:pPr>
          </w:p>
        </w:tc>
        <w:tc>
          <w:tcPr>
            <w:tcW w:w="89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380" w:type="dxa"/>
            <w:vAlign w:val="bottom"/>
          </w:tcPr>
          <w:p>
            <w:pPr>
              <w:jc w:val="center"/>
              <w:ind w:right="10"/>
              <w:spacing w:after="0"/>
              <w:rPr>
                <w:sz w:val="20"/>
                <w:szCs w:val="20"/>
                <w:color w:val="auto"/>
              </w:rPr>
            </w:pPr>
            <w:r>
              <w:rPr>
                <w:rFonts w:ascii="Arial" w:cs="Arial" w:eastAsia="Arial" w:hAnsi="Arial"/>
                <w:sz w:val="18"/>
                <w:szCs w:val="18"/>
                <w:color w:val="auto"/>
              </w:rPr>
              <w:t>WITH</w:t>
            </w:r>
          </w:p>
        </w:tc>
        <w:tc>
          <w:tcPr>
            <w:tcW w:w="68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8</w:t>
            </w:r>
          </w:p>
        </w:tc>
        <w:tc>
          <w:tcPr>
            <w:tcW w:w="8980" w:type="dxa"/>
            <w:vAlign w:val="bottom"/>
            <w:vMerge w:val="restart"/>
          </w:tcPr>
          <w:p>
            <w:pPr>
              <w:ind w:left="2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68"/>
        </w:trPr>
        <w:tc>
          <w:tcPr>
            <w:tcW w:w="13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1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980" w:type="dxa"/>
            <w:vAlign w:val="bottom"/>
          </w:tcPr>
          <w:p>
            <w:pPr>
              <w:ind w:left="2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880" w:hanging="478"/>
        <w:spacing w:after="0"/>
        <w:tabs>
          <w:tab w:leader="none" w:pos="88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90"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1,369,863 </w:t>
      </w:r>
      <w:r>
        <w:rPr>
          <w:rFonts w:ascii="Arial" w:cs="Arial" w:eastAsia="Arial" w:hAnsi="Arial"/>
          <w:sz w:val="29"/>
          <w:szCs w:val="29"/>
          <w:b w:val="1"/>
          <w:bCs w:val="1"/>
          <w:color w:val="auto"/>
          <w:vertAlign w:val="superscript"/>
        </w:rPr>
        <w:t>(1)</w:t>
      </w:r>
    </w:p>
    <w:p>
      <w:pPr>
        <w:spacing w:after="0" w:line="47" w:lineRule="exact"/>
        <w:rPr>
          <w:sz w:val="20"/>
          <w:szCs w:val="20"/>
          <w:color w:val="auto"/>
        </w:rPr>
      </w:pPr>
    </w:p>
    <w:p>
      <w:pPr>
        <w:ind w:left="880" w:hanging="523"/>
        <w:spacing w:after="0"/>
        <w:tabs>
          <w:tab w:leader="none" w:pos="880" w:val="left"/>
        </w:tabs>
        <w:numPr>
          <w:ilvl w:val="1"/>
          <w:numId w:val="17"/>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 (See Instructions)</w:t>
      </w:r>
    </w:p>
    <w:p>
      <w:pPr>
        <w:spacing w:after="0" w:line="41" w:lineRule="exact"/>
        <w:rPr>
          <w:rFonts w:ascii="Arial" w:cs="Arial" w:eastAsia="Arial" w:hAnsi="Arial"/>
          <w:sz w:val="18"/>
          <w:szCs w:val="18"/>
          <w:b w:val="1"/>
          <w:bCs w:val="1"/>
          <w:color w:val="auto"/>
        </w:rPr>
      </w:pPr>
    </w:p>
    <w:p>
      <w:pPr>
        <w:ind w:left="88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176" w:lineRule="exact"/>
        <w:rPr>
          <w:rFonts w:ascii="Arial" w:cs="Arial" w:eastAsia="Arial" w:hAnsi="Arial"/>
          <w:sz w:val="18"/>
          <w:szCs w:val="18"/>
          <w:b w:val="1"/>
          <w:bCs w:val="1"/>
          <w:color w:val="auto"/>
        </w:rPr>
      </w:pPr>
    </w:p>
    <w:p>
      <w:pPr>
        <w:ind w:left="880" w:hanging="518"/>
        <w:spacing w:after="0"/>
        <w:tabs>
          <w:tab w:leader="none" w:pos="880" w:val="left"/>
        </w:tabs>
        <w:numPr>
          <w:ilvl w:val="1"/>
          <w:numId w:val="17"/>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89" w:lineRule="exact"/>
        <w:rPr>
          <w:rFonts w:ascii="Arial" w:cs="Arial" w:eastAsia="Arial" w:hAnsi="Arial"/>
          <w:sz w:val="18"/>
          <w:szCs w:val="18"/>
          <w:b w:val="1"/>
          <w:bCs w:val="1"/>
          <w:color w:val="auto"/>
        </w:rPr>
      </w:pPr>
    </w:p>
    <w:p>
      <w:pPr>
        <w:ind w:left="8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1.6% </w:t>
      </w:r>
      <w:r>
        <w:rPr>
          <w:rFonts w:ascii="Arial" w:cs="Arial" w:eastAsia="Arial" w:hAnsi="Arial"/>
          <w:sz w:val="29"/>
          <w:szCs w:val="29"/>
          <w:b w:val="1"/>
          <w:bCs w:val="1"/>
          <w:color w:val="auto"/>
          <w:vertAlign w:val="superscript"/>
        </w:rPr>
        <w:t>(2)</w:t>
      </w:r>
    </w:p>
    <w:p>
      <w:pPr>
        <w:spacing w:after="0" w:line="47" w:lineRule="exact"/>
        <w:rPr>
          <w:rFonts w:ascii="Arial" w:cs="Arial" w:eastAsia="Arial" w:hAnsi="Arial"/>
          <w:sz w:val="18"/>
          <w:szCs w:val="18"/>
          <w:b w:val="1"/>
          <w:bCs w:val="1"/>
          <w:color w:val="auto"/>
        </w:rPr>
      </w:pPr>
    </w:p>
    <w:p>
      <w:pPr>
        <w:ind w:left="880" w:hanging="523"/>
        <w:spacing w:after="0"/>
        <w:tabs>
          <w:tab w:leader="none" w:pos="880" w:val="left"/>
        </w:tabs>
        <w:numPr>
          <w:ilvl w:val="1"/>
          <w:numId w:val="17"/>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70" w:lineRule="exact"/>
        <w:rPr>
          <w:rFonts w:ascii="Arial" w:cs="Arial" w:eastAsia="Arial" w:hAnsi="Arial"/>
          <w:sz w:val="18"/>
          <w:szCs w:val="18"/>
          <w:b w:val="1"/>
          <w:bCs w:val="1"/>
          <w:color w:val="auto"/>
        </w:rPr>
      </w:pPr>
    </w:p>
    <w:p>
      <w:pPr>
        <w:ind w:left="8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OO</w:t>
      </w:r>
    </w:p>
    <w:p>
      <w:pPr>
        <w:spacing w:after="0" w:line="242" w:lineRule="exact"/>
        <w:rPr>
          <w:rFonts w:ascii="Arial" w:cs="Arial" w:eastAsia="Arial" w:hAnsi="Arial"/>
          <w:sz w:val="18"/>
          <w:szCs w:val="18"/>
          <w:b w:val="1"/>
          <w:bCs w:val="1"/>
          <w:color w:val="auto"/>
        </w:rPr>
      </w:pPr>
    </w:p>
    <w:p>
      <w:pPr>
        <w:ind w:left="340" w:right="300" w:hanging="332"/>
        <w:spacing w:after="0" w:line="194" w:lineRule="auto"/>
        <w:tabs>
          <w:tab w:leader="none" w:pos="340" w:val="left"/>
        </w:tabs>
        <w:numPr>
          <w:ilvl w:val="0"/>
          <w:numId w:val="18"/>
        </w:numPr>
        <w:rPr>
          <w:rFonts w:ascii="Arial" w:cs="Arial" w:eastAsia="Arial" w:hAnsi="Arial"/>
          <w:sz w:val="30"/>
          <w:szCs w:val="30"/>
          <w:color w:val="auto"/>
          <w:vertAlign w:val="superscript"/>
        </w:rPr>
      </w:pPr>
      <w:r>
        <w:rPr>
          <w:rFonts w:ascii="Arial" w:cs="Arial" w:eastAsia="Arial" w:hAnsi="Arial"/>
          <w:sz w:val="18"/>
          <w:szCs w:val="18"/>
          <w:color w:val="auto"/>
        </w:rPr>
        <w:t>The shares of Common Stock of the Issuer are held of record by Vivo Opportunity Fund, L.P. Vivo Opportunity, LLC is the general partner of Vivo Opportunity Fund, L.P.</w:t>
      </w:r>
    </w:p>
    <w:p>
      <w:pPr>
        <w:spacing w:after="0" w:line="188" w:lineRule="exact"/>
        <w:rPr>
          <w:rFonts w:ascii="Arial" w:cs="Arial" w:eastAsia="Arial" w:hAnsi="Arial"/>
          <w:sz w:val="30"/>
          <w:szCs w:val="30"/>
          <w:color w:val="auto"/>
          <w:vertAlign w:val="superscript"/>
        </w:rPr>
      </w:pPr>
    </w:p>
    <w:p>
      <w:pPr>
        <w:ind w:left="340" w:right="60" w:hanging="332"/>
        <w:spacing w:after="0" w:line="194" w:lineRule="auto"/>
        <w:tabs>
          <w:tab w:leader="none" w:pos="340" w:val="left"/>
        </w:tabs>
        <w:numPr>
          <w:ilvl w:val="0"/>
          <w:numId w:val="18"/>
        </w:numPr>
        <w:rPr>
          <w:rFonts w:ascii="Arial" w:cs="Arial" w:eastAsia="Arial" w:hAnsi="Arial"/>
          <w:sz w:val="30"/>
          <w:szCs w:val="30"/>
          <w:color w:val="auto"/>
          <w:vertAlign w:val="superscript"/>
        </w:rPr>
      </w:pPr>
      <w:r>
        <w:rPr>
          <w:rFonts w:ascii="Arial" w:cs="Arial" w:eastAsia="Arial" w:hAnsi="Arial"/>
          <w:sz w:val="18"/>
          <w:szCs w:val="18"/>
          <w:color w:val="auto"/>
        </w:rPr>
        <w:t>Based on 87,489,681 shares of Common Stock of the Issuer outstanding as of May 1, 2020, as reported on Form 10-Q for the quarter ended March 31, 2020, filed with the Securities and Exchange Commission on May 7, 2020.</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 w:name="page4"/>
    <w:bookmarkEnd w:id="3"/>
    <w:p>
      <w:pPr>
        <w:ind w:left="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5246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5246370"/>
                    </a:xfrm>
                    <a:prstGeom prst="rect">
                      <a:avLst/>
                    </a:prstGeom>
                    <a:noFill/>
                  </pic:spPr>
                </pic:pic>
              </a:graphicData>
            </a:graphic>
          </wp:anchor>
        </w:drawing>
        <w:t xml:space="preserve">CUSIP No. </w:t>
      </w:r>
      <w:r>
        <w:rPr>
          <w:rFonts w:ascii="Arial" w:cs="Arial" w:eastAsia="Arial" w:hAnsi="Arial"/>
          <w:sz w:val="18"/>
          <w:szCs w:val="18"/>
          <w:b w:val="1"/>
          <w:bCs w:val="1"/>
          <w:color w:val="auto"/>
        </w:rPr>
        <w:t>816212104</w:t>
      </w:r>
    </w:p>
    <w:p>
      <w:pPr>
        <w:spacing w:after="0" w:line="121" w:lineRule="exact"/>
        <w:rPr>
          <w:sz w:val="20"/>
          <w:szCs w:val="20"/>
          <w:color w:val="auto"/>
        </w:rPr>
      </w:pPr>
    </w:p>
    <w:p>
      <w:pPr>
        <w:ind w:left="880" w:hanging="478"/>
        <w:spacing w:after="0"/>
        <w:tabs>
          <w:tab w:leader="none" w:pos="88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86" w:lineRule="exact"/>
        <w:rPr>
          <w:rFonts w:ascii="Arial" w:cs="Arial" w:eastAsia="Arial" w:hAnsi="Arial"/>
          <w:sz w:val="18"/>
          <w:szCs w:val="18"/>
          <w:b w:val="1"/>
          <w:bCs w:val="1"/>
          <w:color w:val="auto"/>
        </w:rPr>
      </w:pPr>
    </w:p>
    <w:p>
      <w:pPr>
        <w:ind w:left="8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Vivo Capital VIII, LLC</w:t>
      </w:r>
    </w:p>
    <w:p>
      <w:pPr>
        <w:spacing w:after="0" w:line="121" w:lineRule="exact"/>
        <w:rPr>
          <w:sz w:val="20"/>
          <w:szCs w:val="20"/>
          <w:color w:val="auto"/>
        </w:rPr>
      </w:pPr>
    </w:p>
    <w:p>
      <w:pPr>
        <w:ind w:left="880" w:hanging="478"/>
        <w:spacing w:after="0"/>
        <w:tabs>
          <w:tab w:leader="none" w:pos="88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57" w:lineRule="exact"/>
        <w:rPr>
          <w:rFonts w:ascii="Arial" w:cs="Arial" w:eastAsia="Arial" w:hAnsi="Arial"/>
          <w:sz w:val="18"/>
          <w:szCs w:val="18"/>
          <w:b w:val="1"/>
          <w:bCs w:val="1"/>
          <w:color w:val="auto"/>
        </w:rPr>
      </w:pPr>
    </w:p>
    <w:p>
      <w:pPr>
        <w:ind w:left="1140" w:hanging="255"/>
        <w:spacing w:after="0" w:line="207" w:lineRule="exact"/>
        <w:tabs>
          <w:tab w:leader="none" w:pos="1140" w:val="left"/>
        </w:tabs>
        <w:numPr>
          <w:ilvl w:val="1"/>
          <w:numId w:val="2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0" w:lineRule="exact"/>
        <w:rPr>
          <w:rFonts w:ascii="Arial" w:cs="Arial" w:eastAsia="Arial" w:hAnsi="Arial"/>
          <w:sz w:val="18"/>
          <w:szCs w:val="18"/>
          <w:color w:val="auto"/>
        </w:rPr>
      </w:pPr>
    </w:p>
    <w:p>
      <w:pPr>
        <w:ind w:left="1140" w:hanging="255"/>
        <w:spacing w:after="0" w:line="207" w:lineRule="exact"/>
        <w:tabs>
          <w:tab w:leader="none" w:pos="1140" w:val="left"/>
        </w:tabs>
        <w:numPr>
          <w:ilvl w:val="1"/>
          <w:numId w:val="2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50" w:lineRule="exact"/>
        <w:rPr>
          <w:sz w:val="20"/>
          <w:szCs w:val="20"/>
          <w:color w:val="auto"/>
        </w:rPr>
      </w:pPr>
    </w:p>
    <w:p>
      <w:pPr>
        <w:ind w:left="880" w:hanging="478"/>
        <w:spacing w:after="0"/>
        <w:tabs>
          <w:tab w:leader="none" w:pos="88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14" w:lineRule="exact"/>
        <w:rPr>
          <w:sz w:val="20"/>
          <w:szCs w:val="20"/>
          <w:color w:val="auto"/>
        </w:rPr>
      </w:pPr>
    </w:p>
    <w:p>
      <w:pPr>
        <w:ind w:left="880" w:hanging="478"/>
        <w:spacing w:after="0"/>
        <w:tabs>
          <w:tab w:leader="none" w:pos="88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86" w:lineRule="exact"/>
        <w:rPr>
          <w:rFonts w:ascii="Arial" w:cs="Arial" w:eastAsia="Arial" w:hAnsi="Arial"/>
          <w:sz w:val="18"/>
          <w:szCs w:val="18"/>
          <w:b w:val="1"/>
          <w:bCs w:val="1"/>
          <w:color w:val="auto"/>
        </w:rPr>
      </w:pPr>
    </w:p>
    <w:p>
      <w:pPr>
        <w:ind w:left="8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Delaware</w:t>
      </w:r>
    </w:p>
    <w:p>
      <w:pPr>
        <w:spacing w:after="0" w:line="117" w:lineRule="exact"/>
        <w:rPr>
          <w:rFonts w:ascii="Arial" w:cs="Arial" w:eastAsia="Arial" w:hAnsi="Arial"/>
          <w:sz w:val="18"/>
          <w:szCs w:val="18"/>
          <w:b w:val="1"/>
          <w:bCs w:val="1"/>
          <w:color w:val="auto"/>
        </w:rPr>
      </w:pPr>
    </w:p>
    <w:p>
      <w:pPr>
        <w:ind w:left="19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7"/>
          <w:szCs w:val="17"/>
          <w:color w:val="auto"/>
        </w:rPr>
        <w:t>SOLE VOTING POWER</w:t>
      </w:r>
    </w:p>
    <w:p>
      <w:pPr>
        <w:spacing w:after="0" w:line="31" w:lineRule="exact"/>
        <w:rPr>
          <w:sz w:val="20"/>
          <w:szCs w:val="20"/>
          <w:color w:val="auto"/>
        </w:rPr>
      </w:pPr>
    </w:p>
    <w:tbl>
      <w:tblPr>
        <w:tblLayout w:type="fixed"/>
        <w:tblInd w:w="200" w:type="dxa"/>
        <w:tblCellMar>
          <w:top w:w="0" w:type="dxa"/>
          <w:left w:w="0" w:type="dxa"/>
          <w:bottom w:w="0" w:type="dxa"/>
          <w:right w:w="0" w:type="dxa"/>
        </w:tblCellMar>
      </w:tblPr>
      <w:tr>
        <w:trPr>
          <w:trHeight w:val="340"/>
        </w:trPr>
        <w:tc>
          <w:tcPr>
            <w:tcW w:w="1380" w:type="dxa"/>
            <w:vAlign w:val="bottom"/>
          </w:tcPr>
          <w:p>
            <w:pPr>
              <w:jc w:val="center"/>
              <w:ind w:right="10"/>
              <w:spacing w:after="0"/>
              <w:rPr>
                <w:sz w:val="20"/>
                <w:szCs w:val="20"/>
                <w:color w:val="auto"/>
              </w:rPr>
            </w:pPr>
            <w:r>
              <w:rPr>
                <w:rFonts w:ascii="Arial" w:cs="Arial" w:eastAsia="Arial" w:hAnsi="Arial"/>
                <w:sz w:val="18"/>
                <w:szCs w:val="18"/>
                <w:color w:val="auto"/>
                <w:w w:val="96"/>
              </w:rPr>
              <w:t>NUMBER OF</w:t>
            </w:r>
          </w:p>
        </w:tc>
        <w:tc>
          <w:tcPr>
            <w:tcW w:w="680" w:type="dxa"/>
            <w:vAlign w:val="bottom"/>
            <w:tcBorders>
              <w:bottom w:val="single" w:sz="8" w:color="auto"/>
            </w:tcBorders>
          </w:tcPr>
          <w:p>
            <w:pPr>
              <w:spacing w:after="0"/>
              <w:rPr>
                <w:sz w:val="24"/>
                <w:szCs w:val="24"/>
                <w:color w:val="auto"/>
              </w:rPr>
            </w:pPr>
          </w:p>
        </w:tc>
        <w:tc>
          <w:tcPr>
            <w:tcW w:w="89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 xml:space="preserve">580,250 </w:t>
            </w:r>
            <w:r>
              <w:rPr>
                <w:rFonts w:ascii="Arial" w:cs="Arial" w:eastAsia="Arial" w:hAnsi="Arial"/>
                <w:sz w:val="29"/>
                <w:szCs w:val="29"/>
                <w:b w:val="1"/>
                <w:bCs w:val="1"/>
                <w:color w:val="auto"/>
                <w:vertAlign w:val="superscript"/>
              </w:rPr>
              <w:t>(1)</w:t>
            </w:r>
          </w:p>
        </w:tc>
        <w:tc>
          <w:tcPr>
            <w:tcW w:w="0" w:type="dxa"/>
            <w:vAlign w:val="bottom"/>
          </w:tcPr>
          <w:p>
            <w:pPr>
              <w:spacing w:after="0"/>
              <w:rPr>
                <w:sz w:val="1"/>
                <w:szCs w:val="1"/>
                <w:color w:val="auto"/>
              </w:rPr>
            </w:pPr>
          </w:p>
        </w:tc>
      </w:tr>
      <w:tr>
        <w:trPr>
          <w:trHeight w:val="202"/>
        </w:trPr>
        <w:tc>
          <w:tcPr>
            <w:tcW w:w="1380" w:type="dxa"/>
            <w:vAlign w:val="bottom"/>
          </w:tcPr>
          <w:p>
            <w:pPr>
              <w:jc w:val="center"/>
              <w:ind w:right="10"/>
              <w:spacing w:after="0" w:line="201" w:lineRule="exact"/>
              <w:rPr>
                <w:sz w:val="20"/>
                <w:szCs w:val="20"/>
                <w:color w:val="auto"/>
              </w:rPr>
            </w:pPr>
            <w:r>
              <w:rPr>
                <w:rFonts w:ascii="Arial" w:cs="Arial" w:eastAsia="Arial" w:hAnsi="Arial"/>
                <w:sz w:val="18"/>
                <w:szCs w:val="18"/>
                <w:color w:val="auto"/>
                <w:w w:val="91"/>
              </w:rPr>
              <w:t>SHARES</w:t>
            </w:r>
          </w:p>
        </w:tc>
        <w:tc>
          <w:tcPr>
            <w:tcW w:w="68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6</w:t>
            </w:r>
          </w:p>
        </w:tc>
        <w:tc>
          <w:tcPr>
            <w:tcW w:w="8980" w:type="dxa"/>
            <w:vAlign w:val="bottom"/>
            <w:vMerge w:val="restart"/>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5"/>
        </w:trPr>
        <w:tc>
          <w:tcPr>
            <w:tcW w:w="1380" w:type="dxa"/>
            <w:vAlign w:val="bottom"/>
            <w:vMerge w:val="restart"/>
          </w:tcPr>
          <w:p>
            <w:pPr>
              <w:jc w:val="center"/>
              <w:ind w:right="10"/>
              <w:spacing w:after="0"/>
              <w:rPr>
                <w:sz w:val="20"/>
                <w:szCs w:val="20"/>
                <w:color w:val="auto"/>
              </w:rPr>
            </w:pPr>
            <w:r>
              <w:rPr>
                <w:rFonts w:ascii="Arial" w:cs="Arial" w:eastAsia="Arial" w:hAnsi="Arial"/>
                <w:sz w:val="18"/>
                <w:szCs w:val="18"/>
                <w:color w:val="auto"/>
              </w:rPr>
              <w:t>BENEFICIALLY</w:t>
            </w:r>
          </w:p>
        </w:tc>
        <w:tc>
          <w:tcPr>
            <w:tcW w:w="680" w:type="dxa"/>
            <w:vAlign w:val="bottom"/>
            <w:vMerge w:val="continue"/>
          </w:tcPr>
          <w:p>
            <w:pPr>
              <w:spacing w:after="0"/>
              <w:rPr>
                <w:sz w:val="8"/>
                <w:szCs w:val="8"/>
                <w:color w:val="auto"/>
              </w:rPr>
            </w:pPr>
          </w:p>
        </w:tc>
        <w:tc>
          <w:tcPr>
            <w:tcW w:w="8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38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898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83"/>
        </w:trPr>
        <w:tc>
          <w:tcPr>
            <w:tcW w:w="1380" w:type="dxa"/>
            <w:vAlign w:val="bottom"/>
          </w:tcPr>
          <w:p>
            <w:pPr>
              <w:jc w:val="center"/>
              <w:ind w:right="10"/>
              <w:spacing w:after="0" w:line="157" w:lineRule="exact"/>
              <w:rPr>
                <w:sz w:val="20"/>
                <w:szCs w:val="20"/>
                <w:color w:val="auto"/>
              </w:rPr>
            </w:pPr>
            <w:r>
              <w:rPr>
                <w:rFonts w:ascii="Arial" w:cs="Arial" w:eastAsia="Arial" w:hAnsi="Arial"/>
                <w:sz w:val="18"/>
                <w:szCs w:val="18"/>
                <w:color w:val="auto"/>
                <w:w w:val="97"/>
              </w:rPr>
              <w:t>OWNED BY</w:t>
            </w:r>
          </w:p>
        </w:tc>
        <w:tc>
          <w:tcPr>
            <w:tcW w:w="680" w:type="dxa"/>
            <w:vAlign w:val="bottom"/>
            <w:tcBorders>
              <w:bottom w:val="single" w:sz="8" w:color="auto"/>
            </w:tcBorders>
          </w:tcPr>
          <w:p>
            <w:pPr>
              <w:spacing w:after="0"/>
              <w:rPr>
                <w:sz w:val="15"/>
                <w:szCs w:val="15"/>
                <w:color w:val="auto"/>
              </w:rPr>
            </w:pPr>
          </w:p>
        </w:tc>
        <w:tc>
          <w:tcPr>
            <w:tcW w:w="89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380" w:type="dxa"/>
            <w:vAlign w:val="bottom"/>
          </w:tcPr>
          <w:p>
            <w:pPr>
              <w:jc w:val="center"/>
              <w:ind w:right="10"/>
              <w:spacing w:after="0"/>
              <w:rPr>
                <w:sz w:val="20"/>
                <w:szCs w:val="20"/>
                <w:color w:val="auto"/>
              </w:rPr>
            </w:pPr>
            <w:r>
              <w:rPr>
                <w:rFonts w:ascii="Arial" w:cs="Arial" w:eastAsia="Arial" w:hAnsi="Arial"/>
                <w:sz w:val="18"/>
                <w:szCs w:val="18"/>
                <w:color w:val="auto"/>
                <w:w w:val="95"/>
              </w:rPr>
              <w:t>EACH</w:t>
            </w:r>
          </w:p>
        </w:tc>
        <w:tc>
          <w:tcPr>
            <w:tcW w:w="680" w:type="dxa"/>
            <w:vAlign w:val="bottom"/>
          </w:tcPr>
          <w:p>
            <w:pPr>
              <w:jc w:val="right"/>
              <w:ind w:right="110"/>
              <w:spacing w:after="0"/>
              <w:rPr>
                <w:sz w:val="20"/>
                <w:szCs w:val="20"/>
                <w:color w:val="auto"/>
              </w:rPr>
            </w:pPr>
            <w:r>
              <w:rPr>
                <w:rFonts w:ascii="Arial" w:cs="Arial" w:eastAsia="Arial" w:hAnsi="Arial"/>
                <w:sz w:val="18"/>
                <w:szCs w:val="18"/>
                <w:b w:val="1"/>
                <w:bCs w:val="1"/>
                <w:color w:val="auto"/>
              </w:rPr>
              <w:t>7</w:t>
            </w:r>
          </w:p>
        </w:tc>
        <w:tc>
          <w:tcPr>
            <w:tcW w:w="8980" w:type="dxa"/>
            <w:vAlign w:val="bottom"/>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02"/>
        </w:trPr>
        <w:tc>
          <w:tcPr>
            <w:tcW w:w="1380" w:type="dxa"/>
            <w:vAlign w:val="bottom"/>
          </w:tcPr>
          <w:p>
            <w:pPr>
              <w:jc w:val="center"/>
              <w:ind w:right="10"/>
              <w:spacing w:after="0" w:line="201" w:lineRule="exact"/>
              <w:rPr>
                <w:sz w:val="20"/>
                <w:szCs w:val="20"/>
                <w:color w:val="auto"/>
              </w:rPr>
            </w:pPr>
            <w:r>
              <w:rPr>
                <w:rFonts w:ascii="Arial" w:cs="Arial" w:eastAsia="Arial" w:hAnsi="Arial"/>
                <w:sz w:val="18"/>
                <w:szCs w:val="18"/>
                <w:color w:val="auto"/>
                <w:w w:val="93"/>
              </w:rPr>
              <w:t>REPORTING</w:t>
            </w:r>
          </w:p>
        </w:tc>
        <w:tc>
          <w:tcPr>
            <w:tcW w:w="680" w:type="dxa"/>
            <w:vAlign w:val="bottom"/>
          </w:tcPr>
          <w:p>
            <w:pPr>
              <w:spacing w:after="0"/>
              <w:rPr>
                <w:sz w:val="17"/>
                <w:szCs w:val="17"/>
                <w:color w:val="auto"/>
              </w:rPr>
            </w:pPr>
          </w:p>
        </w:tc>
        <w:tc>
          <w:tcPr>
            <w:tcW w:w="898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 xml:space="preserve">580,250 </w:t>
            </w:r>
            <w:r>
              <w:rPr>
                <w:rFonts w:ascii="Arial" w:cs="Arial" w:eastAsia="Arial" w:hAnsi="Arial"/>
                <w:sz w:val="29"/>
                <w:szCs w:val="29"/>
                <w:b w:val="1"/>
                <w:bCs w:val="1"/>
                <w:color w:val="auto"/>
                <w:vertAlign w:val="superscript"/>
              </w:rPr>
              <w:t>(1)</w:t>
            </w:r>
          </w:p>
        </w:tc>
        <w:tc>
          <w:tcPr>
            <w:tcW w:w="0" w:type="dxa"/>
            <w:vAlign w:val="bottom"/>
          </w:tcPr>
          <w:p>
            <w:pPr>
              <w:spacing w:after="0"/>
              <w:rPr>
                <w:sz w:val="1"/>
                <w:szCs w:val="1"/>
                <w:color w:val="auto"/>
              </w:rPr>
            </w:pPr>
          </w:p>
        </w:tc>
      </w:tr>
      <w:tr>
        <w:trPr>
          <w:trHeight w:val="197"/>
        </w:trPr>
        <w:tc>
          <w:tcPr>
            <w:tcW w:w="1380" w:type="dxa"/>
            <w:vAlign w:val="bottom"/>
          </w:tcPr>
          <w:p>
            <w:pPr>
              <w:jc w:val="center"/>
              <w:ind w:right="10"/>
              <w:spacing w:after="0" w:line="190" w:lineRule="exact"/>
              <w:rPr>
                <w:sz w:val="20"/>
                <w:szCs w:val="20"/>
                <w:color w:val="auto"/>
              </w:rPr>
            </w:pPr>
            <w:r>
              <w:rPr>
                <w:rFonts w:ascii="Arial" w:cs="Arial" w:eastAsia="Arial" w:hAnsi="Arial"/>
                <w:sz w:val="18"/>
                <w:szCs w:val="18"/>
                <w:color w:val="auto"/>
                <w:w w:val="89"/>
              </w:rPr>
              <w:t>PERSON</w:t>
            </w:r>
          </w:p>
        </w:tc>
        <w:tc>
          <w:tcPr>
            <w:tcW w:w="680" w:type="dxa"/>
            <w:vAlign w:val="bottom"/>
            <w:tcBorders>
              <w:bottom w:val="single" w:sz="8" w:color="auto"/>
            </w:tcBorders>
          </w:tcPr>
          <w:p>
            <w:pPr>
              <w:spacing w:after="0"/>
              <w:rPr>
                <w:sz w:val="17"/>
                <w:szCs w:val="17"/>
                <w:color w:val="auto"/>
              </w:rPr>
            </w:pPr>
          </w:p>
        </w:tc>
        <w:tc>
          <w:tcPr>
            <w:tcW w:w="89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380" w:type="dxa"/>
            <w:vAlign w:val="bottom"/>
          </w:tcPr>
          <w:p>
            <w:pPr>
              <w:jc w:val="center"/>
              <w:ind w:right="10"/>
              <w:spacing w:after="0"/>
              <w:rPr>
                <w:sz w:val="20"/>
                <w:szCs w:val="20"/>
                <w:color w:val="auto"/>
              </w:rPr>
            </w:pPr>
            <w:r>
              <w:rPr>
                <w:rFonts w:ascii="Arial" w:cs="Arial" w:eastAsia="Arial" w:hAnsi="Arial"/>
                <w:sz w:val="18"/>
                <w:szCs w:val="18"/>
                <w:color w:val="auto"/>
              </w:rPr>
              <w:t>WITH</w:t>
            </w:r>
          </w:p>
        </w:tc>
        <w:tc>
          <w:tcPr>
            <w:tcW w:w="68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8</w:t>
            </w:r>
          </w:p>
        </w:tc>
        <w:tc>
          <w:tcPr>
            <w:tcW w:w="8980" w:type="dxa"/>
            <w:vAlign w:val="bottom"/>
            <w:vMerge w:val="restart"/>
          </w:tcPr>
          <w:p>
            <w:pPr>
              <w:ind w:left="2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68"/>
        </w:trPr>
        <w:tc>
          <w:tcPr>
            <w:tcW w:w="13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880" w:hanging="478"/>
        <w:spacing w:after="0"/>
        <w:tabs>
          <w:tab w:leader="none" w:pos="88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90"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580,250 </w:t>
      </w:r>
      <w:r>
        <w:rPr>
          <w:rFonts w:ascii="Arial" w:cs="Arial" w:eastAsia="Arial" w:hAnsi="Arial"/>
          <w:sz w:val="29"/>
          <w:szCs w:val="29"/>
          <w:b w:val="1"/>
          <w:bCs w:val="1"/>
          <w:color w:val="auto"/>
          <w:vertAlign w:val="superscript"/>
        </w:rPr>
        <w:t>(1)</w:t>
      </w:r>
    </w:p>
    <w:p>
      <w:pPr>
        <w:spacing w:after="0" w:line="47" w:lineRule="exact"/>
        <w:rPr>
          <w:sz w:val="20"/>
          <w:szCs w:val="20"/>
          <w:color w:val="auto"/>
        </w:rPr>
      </w:pPr>
    </w:p>
    <w:p>
      <w:pPr>
        <w:ind w:left="880" w:hanging="523"/>
        <w:spacing w:after="0"/>
        <w:tabs>
          <w:tab w:leader="none" w:pos="880" w:val="left"/>
        </w:tabs>
        <w:numPr>
          <w:ilvl w:val="1"/>
          <w:numId w:val="24"/>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 (See Instructions)</w:t>
      </w:r>
    </w:p>
    <w:p>
      <w:pPr>
        <w:spacing w:after="0" w:line="41" w:lineRule="exact"/>
        <w:rPr>
          <w:rFonts w:ascii="Arial" w:cs="Arial" w:eastAsia="Arial" w:hAnsi="Arial"/>
          <w:sz w:val="18"/>
          <w:szCs w:val="18"/>
          <w:b w:val="1"/>
          <w:bCs w:val="1"/>
          <w:color w:val="auto"/>
        </w:rPr>
      </w:pPr>
    </w:p>
    <w:p>
      <w:pPr>
        <w:ind w:left="88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176" w:lineRule="exact"/>
        <w:rPr>
          <w:rFonts w:ascii="Arial" w:cs="Arial" w:eastAsia="Arial" w:hAnsi="Arial"/>
          <w:sz w:val="18"/>
          <w:szCs w:val="18"/>
          <w:b w:val="1"/>
          <w:bCs w:val="1"/>
          <w:color w:val="auto"/>
        </w:rPr>
      </w:pPr>
    </w:p>
    <w:p>
      <w:pPr>
        <w:ind w:left="880" w:hanging="518"/>
        <w:spacing w:after="0"/>
        <w:tabs>
          <w:tab w:leader="none" w:pos="880" w:val="left"/>
        </w:tabs>
        <w:numPr>
          <w:ilvl w:val="1"/>
          <w:numId w:val="24"/>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89" w:lineRule="exact"/>
        <w:rPr>
          <w:rFonts w:ascii="Arial" w:cs="Arial" w:eastAsia="Arial" w:hAnsi="Arial"/>
          <w:sz w:val="18"/>
          <w:szCs w:val="18"/>
          <w:b w:val="1"/>
          <w:bCs w:val="1"/>
          <w:color w:val="auto"/>
        </w:rPr>
      </w:pPr>
    </w:p>
    <w:p>
      <w:pPr>
        <w:ind w:left="8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0.7% </w:t>
      </w:r>
      <w:r>
        <w:rPr>
          <w:rFonts w:ascii="Arial" w:cs="Arial" w:eastAsia="Arial" w:hAnsi="Arial"/>
          <w:sz w:val="29"/>
          <w:szCs w:val="29"/>
          <w:b w:val="1"/>
          <w:bCs w:val="1"/>
          <w:color w:val="auto"/>
          <w:vertAlign w:val="superscript"/>
        </w:rPr>
        <w:t>(2)</w:t>
      </w:r>
    </w:p>
    <w:p>
      <w:pPr>
        <w:spacing w:after="0" w:line="47" w:lineRule="exact"/>
        <w:rPr>
          <w:rFonts w:ascii="Arial" w:cs="Arial" w:eastAsia="Arial" w:hAnsi="Arial"/>
          <w:sz w:val="18"/>
          <w:szCs w:val="18"/>
          <w:b w:val="1"/>
          <w:bCs w:val="1"/>
          <w:color w:val="auto"/>
        </w:rPr>
      </w:pPr>
    </w:p>
    <w:p>
      <w:pPr>
        <w:ind w:left="880" w:hanging="523"/>
        <w:spacing w:after="0"/>
        <w:tabs>
          <w:tab w:leader="none" w:pos="880" w:val="left"/>
        </w:tabs>
        <w:numPr>
          <w:ilvl w:val="1"/>
          <w:numId w:val="24"/>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70" w:lineRule="exact"/>
        <w:rPr>
          <w:rFonts w:ascii="Arial" w:cs="Arial" w:eastAsia="Arial" w:hAnsi="Arial"/>
          <w:sz w:val="18"/>
          <w:szCs w:val="18"/>
          <w:b w:val="1"/>
          <w:bCs w:val="1"/>
          <w:color w:val="auto"/>
        </w:rPr>
      </w:pPr>
    </w:p>
    <w:p>
      <w:pPr>
        <w:ind w:left="8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OO</w:t>
      </w:r>
    </w:p>
    <w:p>
      <w:pPr>
        <w:spacing w:after="0" w:line="256" w:lineRule="exact"/>
        <w:rPr>
          <w:rFonts w:ascii="Arial" w:cs="Arial" w:eastAsia="Arial" w:hAnsi="Arial"/>
          <w:sz w:val="18"/>
          <w:szCs w:val="18"/>
          <w:b w:val="1"/>
          <w:bCs w:val="1"/>
          <w:color w:val="auto"/>
        </w:rPr>
      </w:pPr>
    </w:p>
    <w:p>
      <w:pPr>
        <w:ind w:left="340" w:right="220" w:hanging="332"/>
        <w:spacing w:after="0" w:line="194" w:lineRule="auto"/>
        <w:tabs>
          <w:tab w:leader="none" w:pos="340" w:val="left"/>
        </w:tabs>
        <w:numPr>
          <w:ilvl w:val="0"/>
          <w:numId w:val="25"/>
        </w:numPr>
        <w:rPr>
          <w:rFonts w:ascii="Arial" w:cs="Arial" w:eastAsia="Arial" w:hAnsi="Arial"/>
          <w:sz w:val="30"/>
          <w:szCs w:val="30"/>
          <w:color w:val="auto"/>
          <w:vertAlign w:val="superscript"/>
        </w:rPr>
      </w:pPr>
      <w:r>
        <w:rPr>
          <w:rFonts w:ascii="Arial" w:cs="Arial" w:eastAsia="Arial" w:hAnsi="Arial"/>
          <w:sz w:val="18"/>
          <w:szCs w:val="18"/>
          <w:color w:val="auto"/>
        </w:rPr>
        <w:t>The shares of Common Stock are held of record by Vivo Capital Fund VIII, L.P. and Vivo Capital Surplus Fund VIII, L.P. Vivo Capital VIII, LLC is the general partner of Vivo Capital Fund VIII, L.P. and Vivo Capital Surplus Fund VIII, L.P.</w:t>
      </w:r>
    </w:p>
    <w:p>
      <w:pPr>
        <w:spacing w:after="0" w:line="188" w:lineRule="exact"/>
        <w:rPr>
          <w:rFonts w:ascii="Arial" w:cs="Arial" w:eastAsia="Arial" w:hAnsi="Arial"/>
          <w:sz w:val="30"/>
          <w:szCs w:val="30"/>
          <w:color w:val="auto"/>
          <w:vertAlign w:val="superscript"/>
        </w:rPr>
      </w:pPr>
    </w:p>
    <w:p>
      <w:pPr>
        <w:ind w:left="340" w:right="60" w:hanging="332"/>
        <w:spacing w:after="0" w:line="194" w:lineRule="auto"/>
        <w:tabs>
          <w:tab w:leader="none" w:pos="340" w:val="left"/>
        </w:tabs>
        <w:numPr>
          <w:ilvl w:val="0"/>
          <w:numId w:val="25"/>
        </w:numPr>
        <w:rPr>
          <w:rFonts w:ascii="Arial" w:cs="Arial" w:eastAsia="Arial" w:hAnsi="Arial"/>
          <w:sz w:val="30"/>
          <w:szCs w:val="30"/>
          <w:color w:val="auto"/>
          <w:vertAlign w:val="superscript"/>
        </w:rPr>
      </w:pPr>
      <w:r>
        <w:rPr>
          <w:rFonts w:ascii="Arial" w:cs="Arial" w:eastAsia="Arial" w:hAnsi="Arial"/>
          <w:sz w:val="18"/>
          <w:szCs w:val="18"/>
          <w:color w:val="auto"/>
        </w:rPr>
        <w:t>Based on 87,489,681 shares of Common Stock of the Issuer outstanding as of May 1, 2020, as reported on Form 10-Q for the quarter ended March 31, 2020, filed with the Securities and Exchange Commission on May 7, 2020.</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4" w:name="page5"/>
    <w:bookmarkEnd w:id="4"/>
    <w:p>
      <w:pPr>
        <w:spacing w:after="0"/>
        <w:tabs>
          <w:tab w:leader="none" w:pos="112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1. (a)</w:t>
      </w:r>
      <w:r>
        <w:rPr>
          <w:sz w:val="20"/>
          <w:szCs w:val="20"/>
          <w:color w:val="auto"/>
        </w:rPr>
        <w:tab/>
      </w:r>
      <w:r>
        <w:rPr>
          <w:rFonts w:ascii="Arial" w:cs="Arial" w:eastAsia="Arial" w:hAnsi="Arial"/>
          <w:sz w:val="18"/>
          <w:szCs w:val="18"/>
          <w:b w:val="1"/>
          <w:bCs w:val="1"/>
          <w:color w:val="auto"/>
        </w:rPr>
        <w:t>N</w:t>
      </w:r>
      <w:r>
        <w:rPr>
          <w:rFonts w:ascii="Arial" w:cs="Arial" w:eastAsia="Arial" w:hAnsi="Arial"/>
          <w:sz w:val="12"/>
          <w:szCs w:val="12"/>
          <w:b w:val="1"/>
          <w:bCs w:val="1"/>
          <w:color w:val="auto"/>
        </w:rPr>
        <w:t>AME OF</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SSUER</w:t>
      </w:r>
      <w:r>
        <w:rPr>
          <w:rFonts w:ascii="Arial" w:cs="Arial" w:eastAsia="Arial" w:hAnsi="Arial"/>
          <w:sz w:val="18"/>
          <w:szCs w:val="18"/>
          <w:b w:val="1"/>
          <w:bCs w:val="1"/>
          <w:color w:val="auto"/>
        </w:rPr>
        <w:t>:</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Selecta Biosciences, Inc.</w:t>
      </w:r>
    </w:p>
    <w:p>
      <w:pPr>
        <w:spacing w:after="0" w:line="221" w:lineRule="exact"/>
        <w:rPr>
          <w:sz w:val="20"/>
          <w:szCs w:val="20"/>
          <w:color w:val="auto"/>
        </w:rPr>
      </w:pPr>
    </w:p>
    <w:p>
      <w:pPr>
        <w:ind w:left="1140" w:hanging="484"/>
        <w:spacing w:after="0"/>
        <w:tabs>
          <w:tab w:leader="none" w:pos="11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DDRESS OF</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SSUER</w:t>
      </w:r>
      <w:r>
        <w:rPr>
          <w:rFonts w:ascii="Arial" w:cs="Arial" w:eastAsia="Arial" w:hAnsi="Arial"/>
          <w:sz w:val="18"/>
          <w:szCs w:val="18"/>
          <w:b w:val="1"/>
          <w:bCs w:val="1"/>
          <w:color w:val="auto"/>
        </w:rPr>
        <w:t>’</w:t>
      </w:r>
      <w:r>
        <w:rPr>
          <w:rFonts w:ascii="Arial" w:cs="Arial" w:eastAsia="Arial" w:hAnsi="Arial"/>
          <w:sz w:val="12"/>
          <w:szCs w:val="12"/>
          <w:b w:val="1"/>
          <w:bCs w:val="1"/>
          <w:color w:val="auto"/>
        </w:rPr>
        <w:t>S</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RINCIPAL</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XECUTIVE</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FFICES</w:t>
      </w:r>
      <w:r>
        <w:rPr>
          <w:rFonts w:ascii="Arial" w:cs="Arial" w:eastAsia="Arial" w:hAnsi="Arial"/>
          <w:sz w:val="18"/>
          <w:szCs w:val="18"/>
          <w:b w:val="1"/>
          <w:bCs w:val="1"/>
          <w:color w:val="auto"/>
        </w:rPr>
        <w:t>:</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480 Arsenal Way, Watertown, MA 02472</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2. (a)</w:t>
      </w:r>
      <w:r>
        <w:rPr>
          <w:sz w:val="20"/>
          <w:szCs w:val="20"/>
          <w:color w:val="auto"/>
        </w:rPr>
        <w:tab/>
      </w:r>
      <w:r>
        <w:rPr>
          <w:rFonts w:ascii="Arial" w:cs="Arial" w:eastAsia="Arial" w:hAnsi="Arial"/>
          <w:sz w:val="18"/>
          <w:szCs w:val="18"/>
          <w:b w:val="1"/>
          <w:bCs w:val="1"/>
          <w:color w:val="auto"/>
        </w:rPr>
        <w:t>N</w:t>
      </w:r>
      <w:r>
        <w:rPr>
          <w:rFonts w:ascii="Arial" w:cs="Arial" w:eastAsia="Arial" w:hAnsi="Arial"/>
          <w:sz w:val="12"/>
          <w:szCs w:val="12"/>
          <w:b w:val="1"/>
          <w:bCs w:val="1"/>
          <w:color w:val="auto"/>
        </w:rPr>
        <w:t>AME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ERSON</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ILING</w:t>
      </w:r>
      <w:r>
        <w:rPr>
          <w:rFonts w:ascii="Arial" w:cs="Arial" w:eastAsia="Arial" w:hAnsi="Arial"/>
          <w:sz w:val="18"/>
          <w:szCs w:val="18"/>
          <w:b w:val="1"/>
          <w:bCs w:val="1"/>
          <w:color w:val="auto"/>
        </w:rPr>
        <w:t>:</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This Amendment No. 1 to Schedule 13G is filed jointly by Vivo Capital IX, LLC, Vivo Opportunity, LLC and Vivo Capital VIII, LLC.</w:t>
      </w:r>
    </w:p>
    <w:p>
      <w:pPr>
        <w:spacing w:after="0" w:line="233" w:lineRule="exact"/>
        <w:rPr>
          <w:sz w:val="20"/>
          <w:szCs w:val="20"/>
          <w:color w:val="auto"/>
        </w:rPr>
      </w:pPr>
    </w:p>
    <w:p>
      <w:pPr>
        <w:ind w:left="1140" w:hanging="484"/>
        <w:spacing w:after="0"/>
        <w:tabs>
          <w:tab w:leader="none" w:pos="11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DDRESS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RINCIPAL</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USINESS</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FFICE OR</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IF</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ONE</w:t>
      </w:r>
      <w:r>
        <w:rPr>
          <w:rFonts w:ascii="Arial" w:cs="Arial" w:eastAsia="Arial" w:hAnsi="Arial"/>
          <w:sz w:val="18"/>
          <w:szCs w:val="18"/>
          <w:b w:val="1"/>
          <w:bCs w:val="1"/>
          <w:color w:val="auto"/>
        </w:rPr>
        <w:t>, R</w:t>
      </w:r>
      <w:r>
        <w:rPr>
          <w:rFonts w:ascii="Arial" w:cs="Arial" w:eastAsia="Arial" w:hAnsi="Arial"/>
          <w:sz w:val="12"/>
          <w:szCs w:val="12"/>
          <w:b w:val="1"/>
          <w:bCs w:val="1"/>
          <w:color w:val="auto"/>
        </w:rPr>
        <w:t>ESIDENCE</w:t>
      </w:r>
      <w:r>
        <w:rPr>
          <w:rFonts w:ascii="Arial" w:cs="Arial" w:eastAsia="Arial" w:hAnsi="Arial"/>
          <w:sz w:val="18"/>
          <w:szCs w:val="18"/>
          <w:b w:val="1"/>
          <w:bCs w:val="1"/>
          <w:color w:val="auto"/>
        </w:rPr>
        <w:t>:</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192 Lytton Avenue, Palo Alto, CA 94301</w:t>
      </w:r>
    </w:p>
    <w:p>
      <w:pPr>
        <w:spacing w:after="0" w:line="221" w:lineRule="exact"/>
        <w:rPr>
          <w:sz w:val="20"/>
          <w:szCs w:val="20"/>
          <w:color w:val="auto"/>
        </w:rPr>
      </w:pPr>
    </w:p>
    <w:p>
      <w:pPr>
        <w:ind w:left="1140" w:hanging="484"/>
        <w:spacing w:after="0"/>
        <w:tabs>
          <w:tab w:leader="none" w:pos="11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ITIZENSHIP</w:t>
      </w:r>
      <w:r>
        <w:rPr>
          <w:rFonts w:ascii="Arial" w:cs="Arial" w:eastAsia="Arial" w:hAnsi="Arial"/>
          <w:sz w:val="18"/>
          <w:szCs w:val="18"/>
          <w:b w:val="1"/>
          <w:bCs w:val="1"/>
          <w:color w:val="auto"/>
        </w:rPr>
        <w:t>:</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Each of Vivo Capital IX, LLC, Vivo Opportunity, LLC and Vivo Capital VIII, LLC is a Delaware limited liability company.</w:t>
      </w:r>
    </w:p>
    <w:p>
      <w:pPr>
        <w:spacing w:after="0" w:line="221" w:lineRule="exact"/>
        <w:rPr>
          <w:sz w:val="20"/>
          <w:szCs w:val="20"/>
          <w:color w:val="auto"/>
        </w:rPr>
      </w:pPr>
    </w:p>
    <w:p>
      <w:pPr>
        <w:ind w:left="1140" w:hanging="484"/>
        <w:spacing w:after="0"/>
        <w:tabs>
          <w:tab w:leader="none" w:pos="11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ITLE OF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LASS OF</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ECURITIES</w:t>
      </w:r>
      <w:r>
        <w:rPr>
          <w:rFonts w:ascii="Arial" w:cs="Arial" w:eastAsia="Arial" w:hAnsi="Arial"/>
          <w:sz w:val="18"/>
          <w:szCs w:val="18"/>
          <w:b w:val="1"/>
          <w:bCs w:val="1"/>
          <w:color w:val="auto"/>
        </w:rPr>
        <w:t>:</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Common Stock, par value $0.0001 per share</w:t>
      </w:r>
    </w:p>
    <w:p>
      <w:pPr>
        <w:spacing w:after="0" w:line="221" w:lineRule="exact"/>
        <w:rPr>
          <w:sz w:val="20"/>
          <w:szCs w:val="20"/>
          <w:color w:val="auto"/>
        </w:rPr>
      </w:pPr>
    </w:p>
    <w:p>
      <w:pPr>
        <w:ind w:left="1140" w:right="8800" w:hanging="484"/>
        <w:spacing w:after="0" w:line="530" w:lineRule="auto"/>
        <w:tabs>
          <w:tab w:leader="none" w:pos="1140" w:val="left"/>
        </w:tabs>
        <w:numPr>
          <w:ilvl w:val="0"/>
          <w:numId w:val="30"/>
        </w:numPr>
        <w:rPr>
          <w:rFonts w:ascii="Arial" w:cs="Arial" w:eastAsia="Arial" w:hAnsi="Arial"/>
          <w:sz w:val="17"/>
          <w:szCs w:val="17"/>
          <w:b w:val="1"/>
          <w:bCs w:val="1"/>
          <w:color w:val="auto"/>
        </w:rPr>
      </w:pPr>
      <w:r>
        <w:rPr>
          <w:rFonts w:ascii="Arial" w:cs="Arial" w:eastAsia="Arial" w:hAnsi="Arial"/>
          <w:sz w:val="17"/>
          <w:szCs w:val="17"/>
          <w:b w:val="1"/>
          <w:bCs w:val="1"/>
          <w:color w:val="auto"/>
        </w:rPr>
        <w:t>CUSIP N</w:t>
      </w:r>
      <w:r>
        <w:rPr>
          <w:rFonts w:ascii="Arial" w:cs="Arial" w:eastAsia="Arial" w:hAnsi="Arial"/>
          <w:sz w:val="11"/>
          <w:szCs w:val="11"/>
          <w:b w:val="1"/>
          <w:bCs w:val="1"/>
          <w:color w:val="auto"/>
        </w:rPr>
        <w:t>UMBER</w:t>
      </w:r>
      <w:r>
        <w:rPr>
          <w:rFonts w:ascii="Arial" w:cs="Arial" w:eastAsia="Arial" w:hAnsi="Arial"/>
          <w:sz w:val="17"/>
          <w:szCs w:val="17"/>
          <w:b w:val="1"/>
          <w:bCs w:val="1"/>
          <w:color w:val="auto"/>
        </w:rPr>
        <w:t xml:space="preserve">: </w:t>
      </w:r>
      <w:r>
        <w:rPr>
          <w:rFonts w:ascii="Arial" w:cs="Arial" w:eastAsia="Arial" w:hAnsi="Arial"/>
          <w:sz w:val="17"/>
          <w:szCs w:val="17"/>
          <w:color w:val="auto"/>
        </w:rPr>
        <w:t>816212104</w:t>
      </w:r>
    </w:p>
    <w:p>
      <w:pPr>
        <w:spacing w:after="0" w:line="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3.</w:t>
      </w:r>
      <w:r>
        <w:rPr>
          <w:sz w:val="20"/>
          <w:szCs w:val="20"/>
          <w:color w:val="auto"/>
        </w:rPr>
        <w:tab/>
      </w:r>
      <w:r>
        <w:rPr>
          <w:rFonts w:ascii="Arial" w:cs="Arial" w:eastAsia="Arial" w:hAnsi="Arial"/>
          <w:sz w:val="17"/>
          <w:szCs w:val="17"/>
          <w:b w:val="1"/>
          <w:bCs w:val="1"/>
          <w:color w:val="auto"/>
        </w:rPr>
        <w:t>I</w:t>
      </w:r>
      <w:r>
        <w:rPr>
          <w:rFonts w:ascii="Arial" w:cs="Arial" w:eastAsia="Arial" w:hAnsi="Arial"/>
          <w:sz w:val="11"/>
          <w:szCs w:val="11"/>
          <w:b w:val="1"/>
          <w:bCs w:val="1"/>
          <w:color w:val="auto"/>
        </w:rPr>
        <w:t>F</w:t>
      </w:r>
      <w:r>
        <w:rPr>
          <w:rFonts w:ascii="Arial" w:cs="Arial" w:eastAsia="Arial" w:hAnsi="Arial"/>
          <w:sz w:val="17"/>
          <w:szCs w:val="17"/>
          <w:b w:val="1"/>
          <w:bCs w:val="1"/>
          <w:color w:val="auto"/>
        </w:rPr>
        <w:t xml:space="preserve"> T</w:t>
      </w:r>
      <w:r>
        <w:rPr>
          <w:rFonts w:ascii="Arial" w:cs="Arial" w:eastAsia="Arial" w:hAnsi="Arial"/>
          <w:sz w:val="11"/>
          <w:szCs w:val="11"/>
          <w:b w:val="1"/>
          <w:bCs w:val="1"/>
          <w:color w:val="auto"/>
        </w:rPr>
        <w:t>HIS</w:t>
      </w:r>
      <w:r>
        <w:rPr>
          <w:rFonts w:ascii="Arial" w:cs="Arial" w:eastAsia="Arial" w:hAnsi="Arial"/>
          <w:sz w:val="17"/>
          <w:szCs w:val="17"/>
          <w:b w:val="1"/>
          <w:bCs w:val="1"/>
          <w:color w:val="auto"/>
        </w:rPr>
        <w:t xml:space="preserve"> S</w:t>
      </w:r>
      <w:r>
        <w:rPr>
          <w:rFonts w:ascii="Arial" w:cs="Arial" w:eastAsia="Arial" w:hAnsi="Arial"/>
          <w:sz w:val="11"/>
          <w:szCs w:val="11"/>
          <w:b w:val="1"/>
          <w:bCs w:val="1"/>
          <w:color w:val="auto"/>
        </w:rPr>
        <w:t>TATEMENT IS</w:t>
      </w:r>
      <w:r>
        <w:rPr>
          <w:rFonts w:ascii="Arial" w:cs="Arial" w:eastAsia="Arial" w:hAnsi="Arial"/>
          <w:sz w:val="17"/>
          <w:szCs w:val="17"/>
          <w:b w:val="1"/>
          <w:bCs w:val="1"/>
          <w:color w:val="auto"/>
        </w:rPr>
        <w:t xml:space="preserve"> F</w:t>
      </w:r>
      <w:r>
        <w:rPr>
          <w:rFonts w:ascii="Arial" w:cs="Arial" w:eastAsia="Arial" w:hAnsi="Arial"/>
          <w:sz w:val="11"/>
          <w:szCs w:val="11"/>
          <w:b w:val="1"/>
          <w:bCs w:val="1"/>
          <w:color w:val="auto"/>
        </w:rPr>
        <w:t>ILED</w:t>
      </w:r>
      <w:r>
        <w:rPr>
          <w:rFonts w:ascii="Arial" w:cs="Arial" w:eastAsia="Arial" w:hAnsi="Arial"/>
          <w:sz w:val="17"/>
          <w:szCs w:val="17"/>
          <w:b w:val="1"/>
          <w:bCs w:val="1"/>
          <w:color w:val="auto"/>
        </w:rPr>
        <w:t xml:space="preserve"> P</w:t>
      </w:r>
      <w:r>
        <w:rPr>
          <w:rFonts w:ascii="Arial" w:cs="Arial" w:eastAsia="Arial" w:hAnsi="Arial"/>
          <w:sz w:val="11"/>
          <w:szCs w:val="11"/>
          <w:b w:val="1"/>
          <w:bCs w:val="1"/>
          <w:color w:val="auto"/>
        </w:rPr>
        <w:t>URSUANT TO</w:t>
      </w:r>
      <w:r>
        <w:rPr>
          <w:rFonts w:ascii="Arial" w:cs="Arial" w:eastAsia="Arial" w:hAnsi="Arial"/>
          <w:sz w:val="17"/>
          <w:szCs w:val="17"/>
          <w:b w:val="1"/>
          <w:bCs w:val="1"/>
          <w:color w:val="auto"/>
        </w:rPr>
        <w:t xml:space="preserve"> §§ 240.13d-1(b), </w:t>
      </w:r>
      <w:r>
        <w:rPr>
          <w:rFonts w:ascii="Arial" w:cs="Arial" w:eastAsia="Arial" w:hAnsi="Arial"/>
          <w:sz w:val="11"/>
          <w:szCs w:val="11"/>
          <w:b w:val="1"/>
          <w:bCs w:val="1"/>
          <w:color w:val="auto"/>
        </w:rPr>
        <w:t>OR</w:t>
      </w:r>
      <w:r>
        <w:rPr>
          <w:rFonts w:ascii="Arial" w:cs="Arial" w:eastAsia="Arial" w:hAnsi="Arial"/>
          <w:sz w:val="17"/>
          <w:szCs w:val="17"/>
          <w:b w:val="1"/>
          <w:bCs w:val="1"/>
          <w:color w:val="auto"/>
        </w:rPr>
        <w:t xml:space="preserve"> 240.13d-2(b) </w:t>
      </w:r>
      <w:r>
        <w:rPr>
          <w:rFonts w:ascii="Arial" w:cs="Arial" w:eastAsia="Arial" w:hAnsi="Arial"/>
          <w:sz w:val="11"/>
          <w:szCs w:val="11"/>
          <w:b w:val="1"/>
          <w:bCs w:val="1"/>
          <w:color w:val="auto"/>
        </w:rPr>
        <w:t>OR</w:t>
      </w:r>
      <w:r>
        <w:rPr>
          <w:rFonts w:ascii="Arial" w:cs="Arial" w:eastAsia="Arial" w:hAnsi="Arial"/>
          <w:sz w:val="17"/>
          <w:szCs w:val="17"/>
          <w:b w:val="1"/>
          <w:bCs w:val="1"/>
          <w:color w:val="auto"/>
        </w:rPr>
        <w:t xml:space="preserve"> (c), C</w:t>
      </w:r>
      <w:r>
        <w:rPr>
          <w:rFonts w:ascii="Arial" w:cs="Arial" w:eastAsia="Arial" w:hAnsi="Arial"/>
          <w:sz w:val="11"/>
          <w:szCs w:val="11"/>
          <w:b w:val="1"/>
          <w:bCs w:val="1"/>
          <w:color w:val="auto"/>
        </w:rPr>
        <w:t>HECK</w:t>
      </w:r>
      <w:r>
        <w:rPr>
          <w:rFonts w:ascii="Arial" w:cs="Arial" w:eastAsia="Arial" w:hAnsi="Arial"/>
          <w:sz w:val="17"/>
          <w:szCs w:val="17"/>
          <w:b w:val="1"/>
          <w:bCs w:val="1"/>
          <w:color w:val="auto"/>
        </w:rPr>
        <w:t xml:space="preserve"> W</w:t>
      </w:r>
      <w:r>
        <w:rPr>
          <w:rFonts w:ascii="Arial" w:cs="Arial" w:eastAsia="Arial" w:hAnsi="Arial"/>
          <w:sz w:val="11"/>
          <w:szCs w:val="11"/>
          <w:b w:val="1"/>
          <w:bCs w:val="1"/>
          <w:color w:val="auto"/>
        </w:rPr>
        <w:t>HETHER THE</w:t>
      </w:r>
      <w:r>
        <w:rPr>
          <w:rFonts w:ascii="Arial" w:cs="Arial" w:eastAsia="Arial" w:hAnsi="Arial"/>
          <w:sz w:val="17"/>
          <w:szCs w:val="17"/>
          <w:b w:val="1"/>
          <w:bCs w:val="1"/>
          <w:color w:val="auto"/>
        </w:rPr>
        <w:t xml:space="preserve"> P</w:t>
      </w:r>
      <w:r>
        <w:rPr>
          <w:rFonts w:ascii="Arial" w:cs="Arial" w:eastAsia="Arial" w:hAnsi="Arial"/>
          <w:sz w:val="11"/>
          <w:szCs w:val="11"/>
          <w:b w:val="1"/>
          <w:bCs w:val="1"/>
          <w:color w:val="auto"/>
        </w:rPr>
        <w:t>ERSON</w:t>
      </w:r>
      <w:r>
        <w:rPr>
          <w:rFonts w:ascii="Arial" w:cs="Arial" w:eastAsia="Arial" w:hAnsi="Arial"/>
          <w:sz w:val="17"/>
          <w:szCs w:val="17"/>
          <w:b w:val="1"/>
          <w:bCs w:val="1"/>
          <w:color w:val="auto"/>
        </w:rPr>
        <w:t xml:space="preserve"> F</w:t>
      </w:r>
      <w:r>
        <w:rPr>
          <w:rFonts w:ascii="Arial" w:cs="Arial" w:eastAsia="Arial" w:hAnsi="Arial"/>
          <w:sz w:val="11"/>
          <w:szCs w:val="11"/>
          <w:b w:val="1"/>
          <w:bCs w:val="1"/>
          <w:color w:val="auto"/>
        </w:rPr>
        <w:t>ILING IS A</w:t>
      </w:r>
      <w:r>
        <w:rPr>
          <w:rFonts w:ascii="Arial" w:cs="Arial" w:eastAsia="Arial" w:hAnsi="Arial"/>
          <w:sz w:val="17"/>
          <w:szCs w:val="17"/>
          <w:b w:val="1"/>
          <w:bCs w:val="1"/>
          <w:color w:val="auto"/>
        </w:rPr>
        <w:t>:</w:t>
      </w:r>
    </w:p>
    <w:p>
      <w:pPr>
        <w:spacing w:after="0" w:line="196" w:lineRule="exact"/>
        <w:rPr>
          <w:sz w:val="20"/>
          <w:szCs w:val="20"/>
          <w:color w:val="auto"/>
        </w:rPr>
      </w:pPr>
    </w:p>
    <w:p>
      <w:pPr>
        <w:ind w:left="1100" w:hanging="444"/>
        <w:spacing w:after="0" w:line="207" w:lineRule="exact"/>
        <w:tabs>
          <w:tab w:leader="none" w:pos="1100" w:val="left"/>
        </w:tabs>
        <w:numPr>
          <w:ilvl w:val="0"/>
          <w:numId w:val="3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w:t>
      </w:r>
    </w:p>
    <w:p>
      <w:pPr>
        <w:spacing w:after="0" w:line="225" w:lineRule="exact"/>
        <w:rPr>
          <w:rFonts w:ascii="Arial" w:cs="Arial" w:eastAsia="Arial" w:hAnsi="Arial"/>
          <w:sz w:val="18"/>
          <w:szCs w:val="18"/>
          <w:color w:val="auto"/>
        </w:rPr>
      </w:pPr>
    </w:p>
    <w:p>
      <w:pPr>
        <w:ind w:left="1100" w:hanging="444"/>
        <w:spacing w:after="0" w:line="207" w:lineRule="exact"/>
        <w:tabs>
          <w:tab w:leader="none" w:pos="1100" w:val="left"/>
        </w:tabs>
        <w:numPr>
          <w:ilvl w:val="0"/>
          <w:numId w:val="3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w:t>
      </w:r>
    </w:p>
    <w:p>
      <w:pPr>
        <w:spacing w:after="0" w:line="225" w:lineRule="exact"/>
        <w:rPr>
          <w:rFonts w:ascii="Arial" w:cs="Arial" w:eastAsia="Arial" w:hAnsi="Arial"/>
          <w:sz w:val="18"/>
          <w:szCs w:val="18"/>
          <w:color w:val="auto"/>
        </w:rPr>
      </w:pPr>
    </w:p>
    <w:p>
      <w:pPr>
        <w:ind w:left="1100" w:hanging="444"/>
        <w:spacing w:after="0" w:line="207" w:lineRule="exact"/>
        <w:tabs>
          <w:tab w:leader="none" w:pos="1100" w:val="left"/>
        </w:tabs>
        <w:numPr>
          <w:ilvl w:val="0"/>
          <w:numId w:val="3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w:t>
      </w:r>
    </w:p>
    <w:p>
      <w:pPr>
        <w:spacing w:after="0" w:line="225" w:lineRule="exact"/>
        <w:rPr>
          <w:rFonts w:ascii="Arial" w:cs="Arial" w:eastAsia="Arial" w:hAnsi="Arial"/>
          <w:sz w:val="18"/>
          <w:szCs w:val="18"/>
          <w:color w:val="auto"/>
        </w:rPr>
      </w:pPr>
    </w:p>
    <w:p>
      <w:pPr>
        <w:ind w:left="1100" w:hanging="444"/>
        <w:spacing w:after="0" w:line="207" w:lineRule="exact"/>
        <w:tabs>
          <w:tab w:leader="none" w:pos="1100" w:val="left"/>
        </w:tabs>
        <w:numPr>
          <w:ilvl w:val="0"/>
          <w:numId w:val="3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w:t>
      </w:r>
    </w:p>
    <w:p>
      <w:pPr>
        <w:spacing w:after="0" w:line="225" w:lineRule="exact"/>
        <w:rPr>
          <w:rFonts w:ascii="Arial" w:cs="Arial" w:eastAsia="Arial" w:hAnsi="Arial"/>
          <w:sz w:val="18"/>
          <w:szCs w:val="18"/>
          <w:color w:val="auto"/>
        </w:rPr>
      </w:pPr>
    </w:p>
    <w:p>
      <w:pPr>
        <w:ind w:left="1100" w:hanging="444"/>
        <w:spacing w:after="0" w:line="207" w:lineRule="exact"/>
        <w:tabs>
          <w:tab w:leader="none" w:pos="1100" w:val="left"/>
        </w:tabs>
        <w:numPr>
          <w:ilvl w:val="0"/>
          <w:numId w:val="3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 240.13d-1(b)(1)(ii)(E);</w:t>
      </w:r>
    </w:p>
    <w:p>
      <w:pPr>
        <w:spacing w:after="0" w:line="225" w:lineRule="exact"/>
        <w:rPr>
          <w:rFonts w:ascii="Arial" w:cs="Arial" w:eastAsia="Arial" w:hAnsi="Arial"/>
          <w:sz w:val="18"/>
          <w:szCs w:val="18"/>
          <w:color w:val="auto"/>
        </w:rPr>
      </w:pPr>
    </w:p>
    <w:p>
      <w:pPr>
        <w:ind w:left="1100" w:hanging="444"/>
        <w:spacing w:after="0" w:line="207" w:lineRule="exact"/>
        <w:tabs>
          <w:tab w:leader="none" w:pos="1100" w:val="left"/>
        </w:tabs>
        <w:numPr>
          <w:ilvl w:val="0"/>
          <w:numId w:val="3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 240.13d-1(b)(1)(ii)(F);</w:t>
      </w:r>
    </w:p>
    <w:p>
      <w:pPr>
        <w:spacing w:after="0" w:line="225" w:lineRule="exact"/>
        <w:rPr>
          <w:rFonts w:ascii="Arial" w:cs="Arial" w:eastAsia="Arial" w:hAnsi="Arial"/>
          <w:sz w:val="18"/>
          <w:szCs w:val="18"/>
          <w:color w:val="auto"/>
        </w:rPr>
      </w:pPr>
    </w:p>
    <w:p>
      <w:pPr>
        <w:ind w:left="1100" w:hanging="444"/>
        <w:spacing w:after="0" w:line="207" w:lineRule="exact"/>
        <w:tabs>
          <w:tab w:leader="none" w:pos="1100" w:val="left"/>
        </w:tabs>
        <w:numPr>
          <w:ilvl w:val="0"/>
          <w:numId w:val="3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240.13d-1(b)(l)(ii)(G);</w:t>
      </w:r>
    </w:p>
    <w:p>
      <w:pPr>
        <w:spacing w:after="0" w:line="225" w:lineRule="exact"/>
        <w:rPr>
          <w:rFonts w:ascii="Arial" w:cs="Arial" w:eastAsia="Arial" w:hAnsi="Arial"/>
          <w:sz w:val="18"/>
          <w:szCs w:val="18"/>
          <w:color w:val="auto"/>
        </w:rPr>
      </w:pPr>
    </w:p>
    <w:p>
      <w:pPr>
        <w:ind w:left="1100" w:hanging="444"/>
        <w:spacing w:after="0" w:line="207" w:lineRule="exact"/>
        <w:tabs>
          <w:tab w:leader="none" w:pos="1100" w:val="left"/>
        </w:tabs>
        <w:numPr>
          <w:ilvl w:val="0"/>
          <w:numId w:val="3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w:t>
      </w:r>
    </w:p>
    <w:p>
      <w:pPr>
        <w:spacing w:after="0" w:line="225" w:lineRule="exact"/>
        <w:rPr>
          <w:rFonts w:ascii="Arial" w:cs="Arial" w:eastAsia="Arial" w:hAnsi="Arial"/>
          <w:sz w:val="18"/>
          <w:szCs w:val="18"/>
          <w:color w:val="auto"/>
        </w:rPr>
      </w:pPr>
    </w:p>
    <w:p>
      <w:pPr>
        <w:ind w:left="1100" w:hanging="444"/>
        <w:spacing w:after="0" w:line="184" w:lineRule="exact"/>
        <w:tabs>
          <w:tab w:leader="none" w:pos="1100" w:val="left"/>
        </w:tabs>
        <w:numPr>
          <w:ilvl w:val="0"/>
          <w:numId w:val="31"/>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 church plan that is excluded from the definition of an investment company under Section 3(c)(14) of the Investment Company Act;</w:t>
      </w:r>
    </w:p>
    <w:p>
      <w:pPr>
        <w:spacing w:after="0" w:line="248" w:lineRule="exact"/>
        <w:rPr>
          <w:rFonts w:ascii="Arial" w:cs="Arial" w:eastAsia="Arial" w:hAnsi="Arial"/>
          <w:sz w:val="16"/>
          <w:szCs w:val="16"/>
          <w:color w:val="auto"/>
        </w:rPr>
      </w:pPr>
    </w:p>
    <w:p>
      <w:pPr>
        <w:ind w:left="1100" w:hanging="444"/>
        <w:spacing w:after="0" w:line="207" w:lineRule="exact"/>
        <w:tabs>
          <w:tab w:leader="none" w:pos="1100" w:val="left"/>
        </w:tabs>
        <w:numPr>
          <w:ilvl w:val="0"/>
          <w:numId w:val="3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 240.13d-1(b)(1)(ii)(J);</w:t>
      </w:r>
    </w:p>
    <w:p>
      <w:pPr>
        <w:spacing w:after="0" w:line="225" w:lineRule="exact"/>
        <w:rPr>
          <w:rFonts w:ascii="Arial" w:cs="Arial" w:eastAsia="Arial" w:hAnsi="Arial"/>
          <w:sz w:val="18"/>
          <w:szCs w:val="18"/>
          <w:color w:val="auto"/>
        </w:rPr>
      </w:pPr>
    </w:p>
    <w:p>
      <w:pPr>
        <w:ind w:left="1100" w:hanging="444"/>
        <w:spacing w:after="0" w:line="207" w:lineRule="exact"/>
        <w:tabs>
          <w:tab w:leader="none" w:pos="1100" w:val="left"/>
        </w:tabs>
        <w:numPr>
          <w:ilvl w:val="0"/>
          <w:numId w:val="3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 240.13d-1(b)(l)(ii)(K).</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filing as a non-U.S. institution in accordance with § 240.13d-1(b)(1(ii)(j), please specify the type of institution: ________________</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5" w:name="page6"/>
    <w:bookmarkEnd w:id="5"/>
    <w:p>
      <w:pPr>
        <w:spacing w:after="0"/>
        <w:tabs>
          <w:tab w:leader="none" w:pos="80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4.</w:t>
        <w:tab/>
        <w:t>O</w:t>
      </w:r>
      <w:r>
        <w:rPr>
          <w:rFonts w:ascii="Arial" w:cs="Arial" w:eastAsia="Arial" w:hAnsi="Arial"/>
          <w:sz w:val="12"/>
          <w:szCs w:val="12"/>
          <w:b w:val="1"/>
          <w:bCs w:val="1"/>
          <w:color w:val="auto"/>
        </w:rPr>
        <w:t>WNERSHIP</w:t>
      </w:r>
      <w:r>
        <w:rPr>
          <w:rFonts w:ascii="Arial" w:cs="Arial" w:eastAsia="Arial" w:hAnsi="Arial"/>
          <w:sz w:val="18"/>
          <w:szCs w:val="18"/>
          <w:b w:val="1"/>
          <w:bCs w:val="1"/>
          <w:color w:val="auto"/>
        </w:rPr>
        <w:t>.</w:t>
      </w:r>
    </w:p>
    <w:p>
      <w:pPr>
        <w:spacing w:after="0" w:line="225" w:lineRule="exact"/>
        <w:rPr>
          <w:sz w:val="20"/>
          <w:szCs w:val="20"/>
          <w:color w:val="auto"/>
        </w:rPr>
      </w:pPr>
    </w:p>
    <w:p>
      <w:pPr>
        <w:ind w:left="1200" w:hanging="477"/>
        <w:spacing w:after="0"/>
        <w:tabs>
          <w:tab w:leader="none" w:pos="1200" w:val="left"/>
        </w:tabs>
        <w:numPr>
          <w:ilvl w:val="1"/>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MOUNT BENEFICIALLY OWNED</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260" w:hanging="252"/>
        <w:spacing w:after="0"/>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Vivo Capital IX, LLC</w:t>
      </w:r>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305,668 shares of Common Stock are held of record by Vivo Capital Fund IX, L.P. Vivo Capital IX, LLC is the general partner of Vivo Capital Fund IX, L.P. The voting members of Vivo Capital IX, LLC are Frank Kung, Edgar Engleman, Albert Cha, Shan Fu and Chen Yu, none of whom has individual voting or investment power with respect to these shares and each of whom disclaims beneficial ownership of such shares.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(2) Vivo Opportunity, LLC</w:t>
      </w:r>
    </w:p>
    <w:p>
      <w:pPr>
        <w:spacing w:after="0" w:line="225"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 1,369,863 shares of Common Stock are held of record by Vivo Opportunity Fund, L.P. Vivo Opportunity, LLC is the general partner of Vivo Opportunity Fund, L.P. The voting members of Vivo Opportunity, LLC are Albert Cha, Gaurav Aggarwal, Shan Fu, Frank Kung and Michael Chang, none of whom has individual voting or investment power with respect to these shares and each of whom disclaims beneficial ownership of such shares.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(3) Vivo Capital VIII, LLC</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580,250 shares of Common Stock are held of record by Vivo Capital Fund VIII, L.P. and Vivo Capital Surplus Fund VIII, L.P. The voting members of Vivo Capital VIII, LLC are Frank Kung, Edgar Engleman, Albert Cha, Shan Fu and Chen Yu, none of whom has individual voting or investment power with respect to these shares and each of whom disclaims beneficial ownership of such shares.</w:t>
      </w:r>
    </w:p>
    <w:p>
      <w:pPr>
        <w:spacing w:after="0" w:line="180" w:lineRule="exact"/>
        <w:rPr>
          <w:sz w:val="20"/>
          <w:szCs w:val="20"/>
          <w:color w:val="auto"/>
        </w:rPr>
      </w:pPr>
    </w:p>
    <w:p>
      <w:pPr>
        <w:ind w:left="1200" w:hanging="477"/>
        <w:spacing w:after="0"/>
        <w:tabs>
          <w:tab w:leader="none" w:pos="12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ERCENT OF CLASS</w:t>
      </w:r>
      <w:r>
        <w:rPr>
          <w:rFonts w:ascii="Arial" w:cs="Arial" w:eastAsia="Arial" w:hAnsi="Arial"/>
          <w:sz w:val="18"/>
          <w:szCs w:val="18"/>
          <w:b w:val="1"/>
          <w:bCs w:val="1"/>
          <w:color w:val="auto"/>
        </w:rPr>
        <w:t>:</w:t>
      </w:r>
    </w:p>
    <w:p>
      <w:pPr>
        <w:spacing w:after="0" w:line="22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Vivo Capital IX, LLC: 0.3%</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Vivo Opportunity, LLC: 1.6%</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Vivo Capital VIII, LLC: 0.7%</w:t>
      </w:r>
    </w:p>
    <w:p>
      <w:pPr>
        <w:spacing w:after="0" w:line="221" w:lineRule="exact"/>
        <w:rPr>
          <w:sz w:val="20"/>
          <w:szCs w:val="20"/>
          <w:color w:val="auto"/>
        </w:rPr>
      </w:pPr>
    </w:p>
    <w:p>
      <w:pPr>
        <w:ind w:left="1200" w:hanging="477"/>
        <w:spacing w:after="0"/>
        <w:tabs>
          <w:tab w:leader="none" w:pos="12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UMBER OF SHARES AS TO WHICH SUCH PERSON HAS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1620" w:right="6520" w:hanging="397"/>
        <w:spacing w:after="0" w:line="563" w:lineRule="auto"/>
        <w:tabs>
          <w:tab w:leader="none" w:pos="1612" w:val="left"/>
        </w:tabs>
        <w:numPr>
          <w:ilvl w:val="1"/>
          <w:numId w:val="35"/>
        </w:numPr>
        <w:rPr>
          <w:rFonts w:ascii="Arial" w:cs="Arial" w:eastAsia="Arial" w:hAnsi="Arial"/>
          <w:sz w:val="16"/>
          <w:szCs w:val="16"/>
          <w:color w:val="auto"/>
        </w:rPr>
      </w:pPr>
      <w:r>
        <w:rPr>
          <w:rFonts w:ascii="Arial" w:cs="Arial" w:eastAsia="Arial" w:hAnsi="Arial"/>
          <w:sz w:val="16"/>
          <w:szCs w:val="16"/>
          <w:color w:val="auto"/>
        </w:rPr>
        <w:t>Sole power to vote or to direct the vote: Vivo Capital IX, LLC: 305,668 shares Vivo Opportunity, LLC: 1,369,863 shares Vivo Capital VIII, LLC: 580,250 shares</w:t>
      </w:r>
    </w:p>
    <w:p>
      <w:pPr>
        <w:spacing w:after="0" w:line="1" w:lineRule="exact"/>
        <w:rPr>
          <w:rFonts w:ascii="Arial" w:cs="Arial" w:eastAsia="Arial" w:hAnsi="Arial"/>
          <w:sz w:val="16"/>
          <w:szCs w:val="16"/>
          <w:color w:val="auto"/>
        </w:rPr>
      </w:pPr>
    </w:p>
    <w:p>
      <w:pPr>
        <w:ind w:left="1620" w:hanging="397"/>
        <w:spacing w:after="0"/>
        <w:tabs>
          <w:tab w:leader="none" w:pos="16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25" w:lineRule="exact"/>
        <w:rPr>
          <w:rFonts w:ascii="Arial" w:cs="Arial" w:eastAsia="Arial" w:hAnsi="Arial"/>
          <w:sz w:val="18"/>
          <w:szCs w:val="18"/>
          <w:color w:val="auto"/>
        </w:rPr>
      </w:pPr>
    </w:p>
    <w:p>
      <w:pPr>
        <w:ind w:left="1620" w:right="5740" w:hanging="397"/>
        <w:spacing w:after="0" w:line="530" w:lineRule="auto"/>
        <w:tabs>
          <w:tab w:leader="none" w:pos="1625" w:val="left"/>
        </w:tabs>
        <w:numPr>
          <w:ilvl w:val="1"/>
          <w:numId w:val="35"/>
        </w:numPr>
        <w:rPr>
          <w:rFonts w:ascii="Arial" w:cs="Arial" w:eastAsia="Arial" w:hAnsi="Arial"/>
          <w:sz w:val="17"/>
          <w:szCs w:val="17"/>
          <w:color w:val="auto"/>
        </w:rPr>
      </w:pPr>
      <w:r>
        <w:rPr>
          <w:rFonts w:ascii="Arial" w:cs="Arial" w:eastAsia="Arial" w:hAnsi="Arial"/>
          <w:sz w:val="17"/>
          <w:szCs w:val="17"/>
          <w:color w:val="auto"/>
        </w:rPr>
        <w:t>Sole power to dispose or to direct the disposition of: Vivo Capital IX, LLC: 305,668 shares</w:t>
      </w:r>
    </w:p>
    <w:p>
      <w:pPr>
        <w:ind w:left="1620"/>
        <w:spacing w:after="0"/>
        <w:rPr>
          <w:rFonts w:ascii="Arial" w:cs="Arial" w:eastAsia="Arial" w:hAnsi="Arial"/>
          <w:sz w:val="17"/>
          <w:szCs w:val="17"/>
          <w:color w:val="auto"/>
        </w:rPr>
      </w:pPr>
      <w:r>
        <w:rPr>
          <w:rFonts w:ascii="Arial" w:cs="Arial" w:eastAsia="Arial" w:hAnsi="Arial"/>
          <w:sz w:val="18"/>
          <w:szCs w:val="18"/>
          <w:color w:val="auto"/>
        </w:rPr>
        <w:t>Vivo Opportunity, LLC: 1,369,863 shares</w:t>
      </w:r>
    </w:p>
    <w:p>
      <w:pPr>
        <w:spacing w:after="0" w:line="225" w:lineRule="exact"/>
        <w:rPr>
          <w:rFonts w:ascii="Arial" w:cs="Arial" w:eastAsia="Arial" w:hAnsi="Arial"/>
          <w:sz w:val="17"/>
          <w:szCs w:val="17"/>
          <w:color w:val="auto"/>
        </w:rPr>
      </w:pPr>
    </w:p>
    <w:p>
      <w:pPr>
        <w:ind w:left="1620"/>
        <w:spacing w:after="0"/>
        <w:rPr>
          <w:rFonts w:ascii="Arial" w:cs="Arial" w:eastAsia="Arial" w:hAnsi="Arial"/>
          <w:sz w:val="17"/>
          <w:szCs w:val="17"/>
          <w:color w:val="auto"/>
        </w:rPr>
      </w:pPr>
      <w:r>
        <w:rPr>
          <w:rFonts w:ascii="Arial" w:cs="Arial" w:eastAsia="Arial" w:hAnsi="Arial"/>
          <w:sz w:val="18"/>
          <w:szCs w:val="18"/>
          <w:color w:val="auto"/>
        </w:rPr>
        <w:t>Vivo Capital VIII, LLC: 580,250 shares</w:t>
      </w:r>
    </w:p>
    <w:p>
      <w:pPr>
        <w:spacing w:after="0" w:line="225" w:lineRule="exact"/>
        <w:rPr>
          <w:rFonts w:ascii="Arial" w:cs="Arial" w:eastAsia="Arial" w:hAnsi="Arial"/>
          <w:sz w:val="17"/>
          <w:szCs w:val="17"/>
          <w:color w:val="auto"/>
        </w:rPr>
      </w:pPr>
    </w:p>
    <w:p>
      <w:pPr>
        <w:ind w:left="1620" w:hanging="397"/>
        <w:spacing w:after="0"/>
        <w:tabs>
          <w:tab w:leader="none" w:pos="16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Shared power to dispose of or to direct the disposition of: 0</w:t>
      </w: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6" w:name="page7"/>
    <w:bookmarkEnd w:id="6"/>
    <w:p>
      <w:pPr>
        <w:spacing w:after="0"/>
        <w:tabs>
          <w:tab w:leader="none" w:pos="80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5.</w:t>
        <w:tab/>
        <w:t>O</w:t>
      </w:r>
      <w:r>
        <w:rPr>
          <w:rFonts w:ascii="Arial" w:cs="Arial" w:eastAsia="Arial" w:hAnsi="Arial"/>
          <w:sz w:val="12"/>
          <w:szCs w:val="12"/>
          <w:b w:val="1"/>
          <w:bCs w:val="1"/>
          <w:color w:val="auto"/>
        </w:rPr>
        <w:t>WNERSHIP OF</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ERCENT OR</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ESS OF A</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LASS</w:t>
      </w:r>
      <w:r>
        <w:rPr>
          <w:rFonts w:ascii="Arial" w:cs="Arial" w:eastAsia="Arial" w:hAnsi="Arial"/>
          <w:sz w:val="18"/>
          <w:szCs w:val="18"/>
          <w:b w:val="1"/>
          <w:bCs w:val="1"/>
          <w:color w:val="auto"/>
        </w:rPr>
        <w:t>.</w:t>
      </w:r>
    </w:p>
    <w:p>
      <w:pPr>
        <w:spacing w:after="0" w:line="229" w:lineRule="exact"/>
        <w:rPr>
          <w:sz w:val="20"/>
          <w:szCs w:val="20"/>
          <w:color w:val="auto"/>
        </w:rPr>
      </w:pPr>
    </w:p>
    <w:p>
      <w:pPr>
        <w:ind w:left="82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17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6.</w:t>
        <w:tab/>
        <w:t>O</w:t>
      </w:r>
      <w:r>
        <w:rPr>
          <w:rFonts w:ascii="Arial" w:cs="Arial" w:eastAsia="Arial" w:hAnsi="Arial"/>
          <w:sz w:val="12"/>
          <w:szCs w:val="12"/>
          <w:b w:val="1"/>
          <w:bCs w:val="1"/>
          <w:color w:val="auto"/>
        </w:rPr>
        <w:t>WNERSHIP OF</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ORE THAN</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ERCENT ON</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EHALF OF</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NOTHER</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ERSON</w:t>
      </w:r>
      <w:r>
        <w:rPr>
          <w:rFonts w:ascii="Arial" w:cs="Arial" w:eastAsia="Arial" w:hAnsi="Arial"/>
          <w:sz w:val="18"/>
          <w:szCs w:val="18"/>
          <w:b w:val="1"/>
          <w:bCs w:val="1"/>
          <w:color w:val="auto"/>
        </w:rPr>
        <w:t>.</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820" w:right="80" w:hanging="809"/>
        <w:spacing w:after="0" w:line="282" w:lineRule="auto"/>
        <w:tabs>
          <w:tab w:leader="none" w:pos="80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7.</w:t>
        <w:tab/>
        <w:t>I</w:t>
      </w:r>
      <w:r>
        <w:rPr>
          <w:rFonts w:ascii="Arial" w:cs="Arial" w:eastAsia="Arial" w:hAnsi="Arial"/>
          <w:sz w:val="12"/>
          <w:szCs w:val="12"/>
          <w:b w:val="1"/>
          <w:bCs w:val="1"/>
          <w:color w:val="auto"/>
        </w:rPr>
        <w:t>DENTIFICATION AND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LASSIFICATION OF THE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UBSIDIARY</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HICH</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CQUIRED THE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ECURITY</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EING</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EPORTED ON BY THE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ARENT</w:t>
      </w:r>
      <w:r>
        <w:rPr>
          <w:rFonts w:ascii="Arial" w:cs="Arial" w:eastAsia="Arial" w:hAnsi="Arial"/>
          <w:sz w:val="18"/>
          <w:szCs w:val="18"/>
          <w:b w:val="1"/>
          <w:bCs w:val="1"/>
          <w:color w:val="auto"/>
        </w:rPr>
        <w:t xml:space="preserve"> H</w:t>
      </w:r>
      <w:r>
        <w:rPr>
          <w:rFonts w:ascii="Arial" w:cs="Arial" w:eastAsia="Arial" w:hAnsi="Arial"/>
          <w:sz w:val="12"/>
          <w:szCs w:val="12"/>
          <w:b w:val="1"/>
          <w:bCs w:val="1"/>
          <w:color w:val="auto"/>
        </w:rPr>
        <w:t>OLDING</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 OR</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ONTROL</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ERSON</w:t>
      </w:r>
      <w:r>
        <w:rPr>
          <w:rFonts w:ascii="Arial" w:cs="Arial" w:eastAsia="Arial" w:hAnsi="Arial"/>
          <w:sz w:val="18"/>
          <w:szCs w:val="18"/>
          <w:b w:val="1"/>
          <w:bCs w:val="1"/>
          <w:color w:val="auto"/>
        </w:rPr>
        <w:t>.</w:t>
      </w:r>
    </w:p>
    <w:p>
      <w:pPr>
        <w:spacing w:after="0" w:line="16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8.</w:t>
        <w:tab/>
        <w:t>I</w:t>
      </w:r>
      <w:r>
        <w:rPr>
          <w:rFonts w:ascii="Arial" w:cs="Arial" w:eastAsia="Arial" w:hAnsi="Arial"/>
          <w:sz w:val="12"/>
          <w:szCs w:val="12"/>
          <w:b w:val="1"/>
          <w:bCs w:val="1"/>
          <w:color w:val="auto"/>
        </w:rPr>
        <w:t>DENTIFICATION AND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LASSIFICATION OF</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EMBERS OF THE</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ROUP</w:t>
      </w:r>
      <w:r>
        <w:rPr>
          <w:rFonts w:ascii="Arial" w:cs="Arial" w:eastAsia="Arial" w:hAnsi="Arial"/>
          <w:sz w:val="18"/>
          <w:szCs w:val="18"/>
          <w:b w:val="1"/>
          <w:bCs w:val="1"/>
          <w:color w:val="auto"/>
        </w:rPr>
        <w:t>.</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9.</w:t>
        <w:tab/>
        <w:t>N</w:t>
      </w:r>
      <w:r>
        <w:rPr>
          <w:rFonts w:ascii="Arial" w:cs="Arial" w:eastAsia="Arial" w:hAnsi="Arial"/>
          <w:sz w:val="12"/>
          <w:szCs w:val="12"/>
          <w:b w:val="1"/>
          <w:bCs w:val="1"/>
          <w:color w:val="auto"/>
        </w:rPr>
        <w:t>OTICE OF</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ISSOLUTION OF</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ROUP</w:t>
      </w:r>
      <w:r>
        <w:rPr>
          <w:rFonts w:ascii="Arial" w:cs="Arial" w:eastAsia="Arial" w:hAnsi="Arial"/>
          <w:sz w:val="18"/>
          <w:szCs w:val="18"/>
          <w:b w:val="1"/>
          <w:bCs w:val="1"/>
          <w:color w:val="auto"/>
        </w:rPr>
        <w:t>.</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10.</w:t>
        <w:tab/>
        <w:t>C</w:t>
      </w:r>
      <w:r>
        <w:rPr>
          <w:rFonts w:ascii="Arial" w:cs="Arial" w:eastAsia="Arial" w:hAnsi="Arial"/>
          <w:sz w:val="12"/>
          <w:szCs w:val="12"/>
          <w:b w:val="1"/>
          <w:bCs w:val="1"/>
          <w:color w:val="auto"/>
        </w:rPr>
        <w:t>ERTIFICATIONS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right="140" w:firstLine="810"/>
        <w:spacing w:after="0" w:line="311"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7" w:name="page8"/>
    <w:bookmarkEnd w:id="7"/>
    <w:p>
      <w:pPr>
        <w:jc w:val="center"/>
        <w:ind w:right="-27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81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Vivo Capital IX, LLC</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June 26,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Albert Cha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2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Vivo Opportunity, LLC</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June 26,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Albert Cha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2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Vivo Capital VIII, LLC</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June 26,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Albert Cha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4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980"/>
      </w:cols>
      <w:pgMar w:left="320" w:top="904"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1"/>
      <w:numFmt w:val="bullet"/>
      <w:start w:val="1"/>
    </w:lvl>
  </w:abstractNum>
  <w:abstractNum w:abstractNumId="5">
    <w:nsid w:val="436C6125"/>
    <w:multiLevelType w:val="hybridMultilevel"/>
    <w:lvl w:ilvl="0">
      <w:lvlJc w:val="left"/>
      <w:lvlText w:val="2"/>
      <w:numFmt w:val="bullet"/>
      <w:start w:val="1"/>
    </w:lvl>
    <w:lvl w:ilvl="1">
      <w:lvlJc w:val="left"/>
      <w:lvlText w:val="(%2)"/>
      <w:numFmt w:val="lowerLetter"/>
      <w:start w:val="1"/>
    </w:lvl>
  </w:abstractNum>
  <w:abstractNum w:abstractNumId="6">
    <w:nsid w:val="628C895D"/>
    <w:multiLevelType w:val="hybridMultilevel"/>
    <w:lvl w:ilvl="0">
      <w:lvlJc w:val="left"/>
      <w:lvlText w:val="3"/>
      <w:numFmt w:val="bullet"/>
      <w:start w:val="1"/>
    </w:lvl>
  </w:abstractNum>
  <w:abstractNum w:abstractNumId="7">
    <w:nsid w:val="333AB105"/>
    <w:multiLevelType w:val="hybridMultilevel"/>
    <w:lvl w:ilvl="0">
      <w:lvlJc w:val="left"/>
      <w:lvlText w:val="4"/>
      <w:numFmt w:val="bullet"/>
      <w:start w:val="1"/>
    </w:lvl>
  </w:abstractNum>
  <w:abstractNum w:abstractNumId="8">
    <w:nsid w:val="721DA317"/>
    <w:multiLevelType w:val="hybridMultilevel"/>
    <w:lvl w:ilvl="0">
      <w:lvlJc w:val="left"/>
      <w:lvlText w:val="9"/>
      <w:numFmt w:val="bullet"/>
      <w:start w:val="1"/>
    </w:lvl>
  </w:abstractNum>
  <w:abstractNum w:abstractNumId="9">
    <w:nsid w:val="2443A858"/>
    <w:multiLevelType w:val="hybridMultilevel"/>
    <w:lvl w:ilvl="0">
      <w:lvlJc w:val="left"/>
      <w:lvlText w:val="%1"/>
      <w:numFmt w:val="decimal"/>
      <w:start w:val="1"/>
    </w:lvl>
    <w:lvl w:ilvl="1">
      <w:lvlJc w:val="left"/>
      <w:lvlText w:val="%2"/>
      <w:numFmt w:val="decimal"/>
      <w:start w:val="10"/>
    </w:lvl>
  </w:abstractNum>
  <w:abstractNum w:abstractNumId="10">
    <w:nsid w:val="2D1D5AE9"/>
    <w:multiLevelType w:val="hybridMultilevel"/>
    <w:lvl w:ilvl="0">
      <w:lvlJc w:val="left"/>
      <w:lvlText w:val="(%1)"/>
      <w:numFmt w:val="decimal"/>
      <w:start w:val="1"/>
    </w:lvl>
    <w:lvl w:ilvl="1">
      <w:lvlJc w:val="left"/>
      <w:lvlText w:val="%2"/>
      <w:numFmt w:val="decimal"/>
      <w:start w:val="1"/>
    </w:lvl>
  </w:abstractNum>
  <w:abstractNum w:abstractNumId="11">
    <w:nsid w:val="6763845E"/>
    <w:multiLevelType w:val="hybridMultilevel"/>
    <w:lvl w:ilvl="0">
      <w:lvlJc w:val="left"/>
      <w:lvlText w:val="1"/>
      <w:numFmt w:val="bullet"/>
      <w:start w:val="1"/>
    </w:lvl>
  </w:abstractNum>
  <w:abstractNum w:abstractNumId="12">
    <w:nsid w:val="75A2A8D4"/>
    <w:multiLevelType w:val="hybridMultilevel"/>
    <w:lvl w:ilvl="0">
      <w:lvlJc w:val="left"/>
      <w:lvlText w:val="2"/>
      <w:numFmt w:val="bullet"/>
      <w:start w:val="1"/>
    </w:lvl>
    <w:lvl w:ilvl="1">
      <w:lvlJc w:val="left"/>
      <w:lvlText w:val="(%2)"/>
      <w:numFmt w:val="lowerLetter"/>
      <w:start w:val="1"/>
    </w:lvl>
  </w:abstractNum>
  <w:abstractNum w:abstractNumId="13">
    <w:nsid w:val="8EDBDAB"/>
    <w:multiLevelType w:val="hybridMultilevel"/>
    <w:lvl w:ilvl="0">
      <w:lvlJc w:val="left"/>
      <w:lvlText w:val="3"/>
      <w:numFmt w:val="bullet"/>
      <w:start w:val="1"/>
    </w:lvl>
  </w:abstractNum>
  <w:abstractNum w:abstractNumId="14">
    <w:nsid w:val="79838CB2"/>
    <w:multiLevelType w:val="hybridMultilevel"/>
    <w:lvl w:ilvl="0">
      <w:lvlJc w:val="left"/>
      <w:lvlText w:val="4"/>
      <w:numFmt w:val="bullet"/>
      <w:start w:val="1"/>
    </w:lvl>
  </w:abstractNum>
  <w:abstractNum w:abstractNumId="15">
    <w:nsid w:val="4353D0CD"/>
    <w:multiLevelType w:val="hybridMultilevel"/>
    <w:lvl w:ilvl="0">
      <w:lvlJc w:val="left"/>
      <w:lvlText w:val="9"/>
      <w:numFmt w:val="bullet"/>
      <w:start w:val="1"/>
    </w:lvl>
  </w:abstractNum>
  <w:abstractNum w:abstractNumId="16">
    <w:nsid w:val="B03E0C6"/>
    <w:multiLevelType w:val="hybridMultilevel"/>
    <w:lvl w:ilvl="0">
      <w:lvlJc w:val="left"/>
      <w:lvlText w:val="%1"/>
      <w:numFmt w:val="decimal"/>
      <w:start w:val="1"/>
    </w:lvl>
    <w:lvl w:ilvl="1">
      <w:lvlJc w:val="left"/>
      <w:lvlText w:val="%2"/>
      <w:numFmt w:val="decimal"/>
      <w:start w:val="10"/>
    </w:lvl>
  </w:abstractNum>
  <w:abstractNum w:abstractNumId="17">
    <w:nsid w:val="189A769B"/>
    <w:multiLevelType w:val="hybridMultilevel"/>
    <w:lvl w:ilvl="0">
      <w:lvlJc w:val="left"/>
      <w:lvlText w:val="(%1)"/>
      <w:numFmt w:val="decimal"/>
      <w:start w:val="1"/>
    </w:lvl>
    <w:lvl w:ilvl="1">
      <w:lvlJc w:val="left"/>
      <w:lvlText w:val="%2"/>
      <w:numFmt w:val="decimal"/>
      <w:start w:val="1"/>
    </w:lvl>
  </w:abstractNum>
  <w:abstractNum w:abstractNumId="18">
    <w:nsid w:val="54E49EB4"/>
    <w:multiLevelType w:val="hybridMultilevel"/>
    <w:lvl w:ilvl="0">
      <w:lvlJc w:val="left"/>
      <w:lvlText w:val="1"/>
      <w:numFmt w:val="bullet"/>
      <w:start w:val="1"/>
    </w:lvl>
  </w:abstractNum>
  <w:abstractNum w:abstractNumId="19">
    <w:nsid w:val="71F32454"/>
    <w:multiLevelType w:val="hybridMultilevel"/>
    <w:lvl w:ilvl="0">
      <w:lvlJc w:val="left"/>
      <w:lvlText w:val="2"/>
      <w:numFmt w:val="bullet"/>
      <w:start w:val="1"/>
    </w:lvl>
    <w:lvl w:ilvl="1">
      <w:lvlJc w:val="left"/>
      <w:lvlText w:val="(%2)"/>
      <w:numFmt w:val="lowerLetter"/>
      <w:start w:val="1"/>
    </w:lvl>
  </w:abstractNum>
  <w:abstractNum w:abstractNumId="20">
    <w:nsid w:val="2CA88611"/>
    <w:multiLevelType w:val="hybridMultilevel"/>
    <w:lvl w:ilvl="0">
      <w:lvlJc w:val="left"/>
      <w:lvlText w:val="3"/>
      <w:numFmt w:val="bullet"/>
      <w:start w:val="1"/>
    </w:lvl>
  </w:abstractNum>
  <w:abstractNum w:abstractNumId="21">
    <w:nsid w:val="836C40E"/>
    <w:multiLevelType w:val="hybridMultilevel"/>
    <w:lvl w:ilvl="0">
      <w:lvlJc w:val="left"/>
      <w:lvlText w:val="4"/>
      <w:numFmt w:val="bullet"/>
      <w:start w:val="1"/>
    </w:lvl>
  </w:abstractNum>
  <w:abstractNum w:abstractNumId="22">
    <w:nsid w:val="2901D82"/>
    <w:multiLevelType w:val="hybridMultilevel"/>
    <w:lvl w:ilvl="0">
      <w:lvlJc w:val="left"/>
      <w:lvlText w:val="9"/>
      <w:numFmt w:val="bullet"/>
      <w:start w:val="1"/>
    </w:lvl>
  </w:abstractNum>
  <w:abstractNum w:abstractNumId="23">
    <w:nsid w:val="3A95F874"/>
    <w:multiLevelType w:val="hybridMultilevel"/>
    <w:lvl w:ilvl="0">
      <w:lvlJc w:val="left"/>
      <w:lvlText w:val="%1"/>
      <w:numFmt w:val="decimal"/>
      <w:start w:val="1"/>
    </w:lvl>
    <w:lvl w:ilvl="1">
      <w:lvlJc w:val="left"/>
      <w:lvlText w:val="%2"/>
      <w:numFmt w:val="decimal"/>
      <w:start w:val="10"/>
    </w:lvl>
  </w:abstractNum>
  <w:abstractNum w:abstractNumId="24">
    <w:nsid w:val="8138641"/>
    <w:multiLevelType w:val="hybridMultilevel"/>
    <w:lvl w:ilvl="0">
      <w:lvlJc w:val="left"/>
      <w:lvlText w:val="(%1)"/>
      <w:numFmt w:val="decimal"/>
      <w:start w:val="1"/>
    </w:lvl>
    <w:lvl w:ilvl="1">
      <w:lvlJc w:val="left"/>
      <w:lvlText w:val="%2"/>
      <w:numFmt w:val="decimal"/>
      <w:start w:val="1"/>
    </w:lvl>
  </w:abstractNum>
  <w:abstractNum w:abstractNumId="25">
    <w:nsid w:val="1E7FF521"/>
    <w:multiLevelType w:val="hybridMultilevel"/>
    <w:lvl w:ilvl="0">
      <w:lvlJc w:val="left"/>
      <w:lvlText w:val="(%1)"/>
      <w:numFmt w:val="lowerLetter"/>
      <w:start w:val="2"/>
    </w:lvl>
  </w:abstractNum>
  <w:abstractNum w:abstractNumId="26">
    <w:nsid w:val="7C3DBD3D"/>
    <w:multiLevelType w:val="hybridMultilevel"/>
    <w:lvl w:ilvl="0">
      <w:lvlJc w:val="left"/>
      <w:lvlText w:val="(%1)"/>
      <w:numFmt w:val="lowerLetter"/>
      <w:start w:val="2"/>
    </w:lvl>
  </w:abstractNum>
  <w:abstractNum w:abstractNumId="27">
    <w:nsid w:val="737B8DDC"/>
    <w:multiLevelType w:val="hybridMultilevel"/>
    <w:lvl w:ilvl="0">
      <w:lvlJc w:val="left"/>
      <w:lvlText w:val="(%1)"/>
      <w:numFmt w:val="lowerLetter"/>
      <w:start w:val="3"/>
    </w:lvl>
  </w:abstractNum>
  <w:abstractNum w:abstractNumId="28">
    <w:nsid w:val="6CEAF087"/>
    <w:multiLevelType w:val="hybridMultilevel"/>
    <w:lvl w:ilvl="0">
      <w:lvlJc w:val="left"/>
      <w:lvlText w:val="(%1)"/>
      <w:numFmt w:val="lowerLetter"/>
      <w:start w:val="4"/>
    </w:lvl>
  </w:abstractNum>
  <w:abstractNum w:abstractNumId="29">
    <w:nsid w:val="22221A70"/>
    <w:multiLevelType w:val="hybridMultilevel"/>
    <w:lvl w:ilvl="0">
      <w:lvlJc w:val="left"/>
      <w:lvlText w:val="(%1)"/>
      <w:numFmt w:val="lowerLetter"/>
      <w:start w:val="5"/>
    </w:lvl>
  </w:abstractNum>
  <w:abstractNum w:abstractNumId="30">
    <w:nsid w:val="4516DDE9"/>
    <w:multiLevelType w:val="hybridMultilevel"/>
    <w:lvl w:ilvl="0">
      <w:lvlJc w:val="left"/>
      <w:lvlText w:val="(%1)"/>
      <w:numFmt w:val="lowerLetter"/>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lowerLetter"/>
      <w:start w:val="2"/>
    </w:lvl>
  </w:abstractNum>
  <w:abstractNum w:abstractNumId="34">
    <w:nsid w:val="5577F8E1"/>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2020-06-26T15:32:53Z</dcterms:created>
  <dcterms:modified xsi:type="dcterms:W3CDTF">2020-06-26T15:32:53Z</dcterms:modified>
</cp:coreProperties>
</file>