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8)*</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 Peter Strand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K. Bradshaw, Jr.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9,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sent.</w:t>
      </w:r>
    </w:p>
    <w:p>
      <w:pPr>
        <w:spacing w:after="0" w:line="166" w:lineRule="exact"/>
        <w:rPr>
          <w:sz w:val="24"/>
          <w:szCs w:val="24"/>
          <w:color w:val="auto"/>
        </w:rPr>
      </w:pPr>
    </w:p>
    <w:p>
      <w:pPr>
        <w:ind w:left="340" w:right="6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 w:name="page2"/>
    <w:bookmarkEnd w:id="1"/>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646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40" w:right="8600" w:hanging="417"/>
        <w:spacing w:after="0" w:line="342"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Timothy A. Springer</w:t>
      </w:r>
    </w:p>
    <w:p>
      <w:pPr>
        <w:spacing w:after="0" w:line="42" w:lineRule="exact"/>
        <w:rPr>
          <w:rFonts w:ascii="Arial" w:cs="Arial" w:eastAsia="Arial" w:hAnsi="Arial"/>
          <w:sz w:val="16"/>
          <w:szCs w:val="16"/>
          <w:color w:val="auto"/>
        </w:rPr>
      </w:pPr>
    </w:p>
    <w:p>
      <w:pPr>
        <w:ind w:left="540" w:hanging="417"/>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40" w:hanging="417"/>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40" w:right="8080" w:hanging="417"/>
        <w:spacing w:after="0" w:line="277"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8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Number of</w:t>
            </w: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904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40" w:type="dxa"/>
            <w:vAlign w:val="bottom"/>
          </w:tcPr>
          <w:p>
            <w:pPr>
              <w:ind w:left="120"/>
              <w:spacing w:after="0" w:line="202" w:lineRule="exact"/>
              <w:rPr>
                <w:sz w:val="20"/>
                <w:szCs w:val="20"/>
                <w:color w:val="auto"/>
              </w:rPr>
            </w:pPr>
            <w:r>
              <w:rPr>
                <w:rFonts w:ascii="Arial" w:cs="Arial" w:eastAsia="Arial" w:hAnsi="Arial"/>
                <w:sz w:val="18"/>
                <w:szCs w:val="18"/>
                <w:color w:val="auto"/>
              </w:rPr>
              <w:t>32,451,726 shares</w:t>
            </w:r>
          </w:p>
        </w:tc>
        <w:tc>
          <w:tcPr>
            <w:tcW w:w="0" w:type="dxa"/>
            <w:vAlign w:val="bottom"/>
          </w:tcPr>
          <w:p>
            <w:pPr>
              <w:spacing w:after="0"/>
              <w:rPr>
                <w:sz w:val="1"/>
                <w:szCs w:val="1"/>
                <w:color w:val="auto"/>
              </w:rPr>
            </w:pPr>
          </w:p>
        </w:tc>
      </w:tr>
      <w:tr>
        <w:trPr>
          <w:trHeight w:val="89"/>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9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26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8.</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3"/>
              </w:rPr>
              <w:t>Owned by</w:t>
            </w:r>
          </w:p>
        </w:tc>
        <w:tc>
          <w:tcPr>
            <w:tcW w:w="520" w:type="dxa"/>
            <w:vAlign w:val="bottom"/>
          </w:tcPr>
          <w:p>
            <w:pPr>
              <w:spacing w:after="0"/>
              <w:rPr>
                <w:sz w:val="14"/>
                <w:szCs w:val="14"/>
                <w:color w:val="auto"/>
              </w:rPr>
            </w:pPr>
          </w:p>
        </w:tc>
        <w:tc>
          <w:tcPr>
            <w:tcW w:w="9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2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9.</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5"/>
                <w:szCs w:val="5"/>
                <w:color w:val="auto"/>
              </w:rPr>
            </w:pPr>
          </w:p>
        </w:tc>
        <w:tc>
          <w:tcPr>
            <w:tcW w:w="9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32,451,726 shares</w:t>
            </w:r>
          </w:p>
        </w:tc>
        <w:tc>
          <w:tcPr>
            <w:tcW w:w="0" w:type="dxa"/>
            <w:vAlign w:val="bottom"/>
          </w:tcPr>
          <w:p>
            <w:pPr>
              <w:spacing w:after="0"/>
              <w:rPr>
                <w:sz w:val="1"/>
                <w:szCs w:val="1"/>
                <w:color w:val="auto"/>
              </w:rPr>
            </w:pPr>
          </w:p>
        </w:tc>
      </w:tr>
      <w:tr>
        <w:trPr>
          <w:trHeight w:val="82"/>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Person</w:t>
            </w:r>
          </w:p>
        </w:tc>
        <w:tc>
          <w:tcPr>
            <w:tcW w:w="52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260" w:type="dxa"/>
            <w:vAlign w:val="bottom"/>
            <w:vMerge w:val="continue"/>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87"/>
              </w:rPr>
              <w:t>10.</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8"/>
        </w:trPr>
        <w:tc>
          <w:tcPr>
            <w:tcW w:w="1260" w:type="dxa"/>
            <w:vAlign w:val="bottom"/>
          </w:tcPr>
          <w:p>
            <w:pPr>
              <w:jc w:val="center"/>
              <w:ind w:right="290"/>
              <w:spacing w:after="0"/>
              <w:rPr>
                <w:sz w:val="20"/>
                <w:szCs w:val="20"/>
                <w:color w:val="auto"/>
              </w:rPr>
            </w:pPr>
            <w:r>
              <w:rPr>
                <w:rFonts w:ascii="Arial" w:cs="Arial" w:eastAsia="Arial" w:hAnsi="Arial"/>
                <w:sz w:val="18"/>
                <w:szCs w:val="18"/>
                <w:color w:val="auto"/>
                <w:w w:val="99"/>
              </w:rPr>
              <w:t>With</w:t>
            </w:r>
          </w:p>
        </w:tc>
        <w:tc>
          <w:tcPr>
            <w:tcW w:w="520" w:type="dxa"/>
            <w:vAlign w:val="bottom"/>
            <w:vMerge w:val="continue"/>
          </w:tcPr>
          <w:p>
            <w:pPr>
              <w:spacing w:after="0"/>
              <w:rPr>
                <w:sz w:val="19"/>
                <w:szCs w:val="19"/>
                <w:color w:val="auto"/>
              </w:rPr>
            </w:pPr>
          </w:p>
        </w:tc>
        <w:tc>
          <w:tcPr>
            <w:tcW w:w="9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460" w:hanging="144"/>
        <w:spacing w:after="0"/>
        <w:tabs>
          <w:tab w:leader="none" w:pos="2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shares</w:t>
      </w:r>
    </w:p>
    <w:p>
      <w:pPr>
        <w:spacing w:after="0" w:line="128" w:lineRule="exact"/>
        <w:rPr>
          <w:rFonts w:ascii="Arial" w:cs="Arial" w:eastAsia="Arial" w:hAnsi="Arial"/>
          <w:sz w:val="18"/>
          <w:szCs w:val="18"/>
          <w:color w:val="auto"/>
        </w:rPr>
      </w:pPr>
    </w:p>
    <w:p>
      <w:pPr>
        <w:ind w:left="540" w:right="5900" w:hanging="445"/>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32,451,726 shares</w:t>
      </w:r>
    </w:p>
    <w:p>
      <w:pPr>
        <w:spacing w:after="0" w:line="89" w:lineRule="exact"/>
        <w:rPr>
          <w:rFonts w:ascii="Arial" w:cs="Arial" w:eastAsia="Arial" w:hAnsi="Arial"/>
          <w:sz w:val="18"/>
          <w:szCs w:val="18"/>
          <w:color w:val="auto"/>
        </w:rPr>
      </w:pPr>
    </w:p>
    <w:p>
      <w:pPr>
        <w:ind w:left="540" w:hanging="44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4" w:lineRule="exact"/>
        <w:rPr>
          <w:rFonts w:ascii="Arial" w:cs="Arial" w:eastAsia="Arial" w:hAnsi="Arial"/>
          <w:sz w:val="18"/>
          <w:szCs w:val="18"/>
          <w:color w:val="auto"/>
        </w:rPr>
      </w:pPr>
    </w:p>
    <w:p>
      <w:pPr>
        <w:ind w:left="540" w:right="6840" w:hanging="449"/>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27.8%</w:t>
      </w:r>
    </w:p>
    <w:p>
      <w:pPr>
        <w:spacing w:after="0" w:line="89" w:lineRule="exact"/>
        <w:rPr>
          <w:rFonts w:ascii="Arial" w:cs="Arial" w:eastAsia="Arial" w:hAnsi="Arial"/>
          <w:sz w:val="18"/>
          <w:szCs w:val="18"/>
          <w:color w:val="auto"/>
        </w:rPr>
      </w:pPr>
    </w:p>
    <w:p>
      <w:pPr>
        <w:ind w:left="540" w:right="7540" w:hanging="449"/>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646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40" w:right="8600" w:hanging="417"/>
        <w:spacing w:after="0" w:line="308"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Names of Reporting Persons. TAS Partners LLC</w:t>
      </w:r>
    </w:p>
    <w:p>
      <w:pPr>
        <w:spacing w:after="0" w:line="65" w:lineRule="exact"/>
        <w:rPr>
          <w:rFonts w:ascii="Arial" w:cs="Arial" w:eastAsia="Arial" w:hAnsi="Arial"/>
          <w:sz w:val="17"/>
          <w:szCs w:val="17"/>
          <w:color w:val="auto"/>
        </w:rPr>
      </w:pPr>
    </w:p>
    <w:p>
      <w:pPr>
        <w:ind w:left="540" w:hanging="417"/>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40" w:hanging="417"/>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40" w:right="8080" w:hanging="417"/>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8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Number of</w:t>
            </w: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904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40" w:type="dxa"/>
            <w:vAlign w:val="bottom"/>
          </w:tcPr>
          <w:p>
            <w:pPr>
              <w:ind w:left="120"/>
              <w:spacing w:after="0" w:line="202" w:lineRule="exact"/>
              <w:rPr>
                <w:sz w:val="20"/>
                <w:szCs w:val="20"/>
                <w:color w:val="auto"/>
              </w:rPr>
            </w:pPr>
            <w:r>
              <w:rPr>
                <w:rFonts w:ascii="Arial" w:cs="Arial" w:eastAsia="Arial" w:hAnsi="Arial"/>
                <w:sz w:val="18"/>
                <w:szCs w:val="18"/>
                <w:color w:val="auto"/>
              </w:rPr>
              <w:t>24,946,143 shares</w:t>
            </w:r>
          </w:p>
        </w:tc>
        <w:tc>
          <w:tcPr>
            <w:tcW w:w="0" w:type="dxa"/>
            <w:vAlign w:val="bottom"/>
          </w:tcPr>
          <w:p>
            <w:pPr>
              <w:spacing w:after="0"/>
              <w:rPr>
                <w:sz w:val="1"/>
                <w:szCs w:val="1"/>
                <w:color w:val="auto"/>
              </w:rPr>
            </w:pPr>
          </w:p>
        </w:tc>
      </w:tr>
      <w:tr>
        <w:trPr>
          <w:trHeight w:val="89"/>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9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26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8.</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3"/>
              </w:rPr>
              <w:t>Owned by</w:t>
            </w:r>
          </w:p>
        </w:tc>
        <w:tc>
          <w:tcPr>
            <w:tcW w:w="520" w:type="dxa"/>
            <w:vAlign w:val="bottom"/>
          </w:tcPr>
          <w:p>
            <w:pPr>
              <w:spacing w:after="0"/>
              <w:rPr>
                <w:sz w:val="14"/>
                <w:szCs w:val="14"/>
                <w:color w:val="auto"/>
              </w:rPr>
            </w:pPr>
          </w:p>
        </w:tc>
        <w:tc>
          <w:tcPr>
            <w:tcW w:w="9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2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9.</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5"/>
                <w:szCs w:val="5"/>
                <w:color w:val="auto"/>
              </w:rPr>
            </w:pPr>
          </w:p>
        </w:tc>
        <w:tc>
          <w:tcPr>
            <w:tcW w:w="9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24,946,143 shares</w:t>
            </w:r>
          </w:p>
        </w:tc>
        <w:tc>
          <w:tcPr>
            <w:tcW w:w="0" w:type="dxa"/>
            <w:vAlign w:val="bottom"/>
          </w:tcPr>
          <w:p>
            <w:pPr>
              <w:spacing w:after="0"/>
              <w:rPr>
                <w:sz w:val="1"/>
                <w:szCs w:val="1"/>
                <w:color w:val="auto"/>
              </w:rPr>
            </w:pPr>
          </w:p>
        </w:tc>
      </w:tr>
      <w:tr>
        <w:trPr>
          <w:trHeight w:val="82"/>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Person</w:t>
            </w:r>
          </w:p>
        </w:tc>
        <w:tc>
          <w:tcPr>
            <w:tcW w:w="52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260" w:type="dxa"/>
            <w:vAlign w:val="bottom"/>
            <w:vMerge w:val="continue"/>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87"/>
              </w:rPr>
              <w:t>10.</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8"/>
        </w:trPr>
        <w:tc>
          <w:tcPr>
            <w:tcW w:w="1260" w:type="dxa"/>
            <w:vAlign w:val="bottom"/>
          </w:tcPr>
          <w:p>
            <w:pPr>
              <w:jc w:val="center"/>
              <w:ind w:right="290"/>
              <w:spacing w:after="0"/>
              <w:rPr>
                <w:sz w:val="20"/>
                <w:szCs w:val="20"/>
                <w:color w:val="auto"/>
              </w:rPr>
            </w:pPr>
            <w:r>
              <w:rPr>
                <w:rFonts w:ascii="Arial" w:cs="Arial" w:eastAsia="Arial" w:hAnsi="Arial"/>
                <w:sz w:val="18"/>
                <w:szCs w:val="18"/>
                <w:color w:val="auto"/>
                <w:w w:val="99"/>
              </w:rPr>
              <w:t>With</w:t>
            </w:r>
          </w:p>
        </w:tc>
        <w:tc>
          <w:tcPr>
            <w:tcW w:w="520" w:type="dxa"/>
            <w:vAlign w:val="bottom"/>
            <w:vMerge w:val="continue"/>
          </w:tcPr>
          <w:p>
            <w:pPr>
              <w:spacing w:after="0"/>
              <w:rPr>
                <w:sz w:val="19"/>
                <w:szCs w:val="19"/>
                <w:color w:val="auto"/>
              </w:rPr>
            </w:pPr>
          </w:p>
        </w:tc>
        <w:tc>
          <w:tcPr>
            <w:tcW w:w="9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460" w:hanging="144"/>
        <w:spacing w:after="0"/>
        <w:tabs>
          <w:tab w:leader="none" w:pos="2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shares</w:t>
      </w:r>
    </w:p>
    <w:p>
      <w:pPr>
        <w:spacing w:after="0" w:line="128" w:lineRule="exact"/>
        <w:rPr>
          <w:rFonts w:ascii="Arial" w:cs="Arial" w:eastAsia="Arial" w:hAnsi="Arial"/>
          <w:sz w:val="18"/>
          <w:szCs w:val="18"/>
          <w:color w:val="auto"/>
        </w:rPr>
      </w:pPr>
    </w:p>
    <w:p>
      <w:pPr>
        <w:ind w:left="540" w:right="5900" w:hanging="445"/>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24,946,143 shares</w:t>
      </w:r>
    </w:p>
    <w:p>
      <w:pPr>
        <w:spacing w:after="0" w:line="89" w:lineRule="exact"/>
        <w:rPr>
          <w:rFonts w:ascii="Arial" w:cs="Arial" w:eastAsia="Arial" w:hAnsi="Arial"/>
          <w:sz w:val="18"/>
          <w:szCs w:val="18"/>
          <w:color w:val="auto"/>
        </w:rPr>
      </w:pPr>
    </w:p>
    <w:p>
      <w:pPr>
        <w:ind w:left="540" w:hanging="449"/>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4" w:lineRule="exact"/>
        <w:rPr>
          <w:rFonts w:ascii="Arial" w:cs="Arial" w:eastAsia="Arial" w:hAnsi="Arial"/>
          <w:sz w:val="18"/>
          <w:szCs w:val="18"/>
          <w:color w:val="auto"/>
        </w:rPr>
      </w:pPr>
    </w:p>
    <w:p>
      <w:pPr>
        <w:ind w:left="540" w:right="6840" w:hanging="449"/>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21.4%</w:t>
      </w:r>
    </w:p>
    <w:p>
      <w:pPr>
        <w:spacing w:after="0" w:line="89" w:lineRule="exact"/>
        <w:rPr>
          <w:rFonts w:ascii="Arial" w:cs="Arial" w:eastAsia="Arial" w:hAnsi="Arial"/>
          <w:sz w:val="18"/>
          <w:szCs w:val="18"/>
          <w:color w:val="auto"/>
        </w:rPr>
      </w:pPr>
    </w:p>
    <w:p>
      <w:pPr>
        <w:ind w:left="540" w:hanging="449"/>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646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40" w:right="8600" w:hanging="417"/>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 Chafen Lu</w:t>
      </w:r>
    </w:p>
    <w:p>
      <w:pPr>
        <w:spacing w:after="0" w:line="89" w:lineRule="exact"/>
        <w:rPr>
          <w:rFonts w:ascii="Arial" w:cs="Arial" w:eastAsia="Arial" w:hAnsi="Arial"/>
          <w:sz w:val="18"/>
          <w:szCs w:val="18"/>
          <w:color w:val="auto"/>
        </w:rPr>
      </w:pPr>
    </w:p>
    <w:p>
      <w:pPr>
        <w:ind w:left="540" w:hanging="41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40" w:hanging="41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40" w:right="8080" w:hanging="417"/>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8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Number of</w:t>
            </w: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904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040" w:type="dxa"/>
            <w:vAlign w:val="bottom"/>
          </w:tcPr>
          <w:p>
            <w:pPr>
              <w:ind w:left="120"/>
              <w:spacing w:after="0" w:line="202" w:lineRule="exact"/>
              <w:rPr>
                <w:sz w:val="20"/>
                <w:szCs w:val="20"/>
                <w:color w:val="auto"/>
              </w:rPr>
            </w:pPr>
            <w:r>
              <w:rPr>
                <w:rFonts w:ascii="Arial" w:cs="Arial" w:eastAsia="Arial" w:hAnsi="Arial"/>
                <w:sz w:val="18"/>
                <w:szCs w:val="18"/>
                <w:color w:val="auto"/>
              </w:rPr>
              <w:t>86,418 shares</w:t>
            </w:r>
          </w:p>
        </w:tc>
        <w:tc>
          <w:tcPr>
            <w:tcW w:w="0" w:type="dxa"/>
            <w:vAlign w:val="bottom"/>
          </w:tcPr>
          <w:p>
            <w:pPr>
              <w:spacing w:after="0"/>
              <w:rPr>
                <w:sz w:val="1"/>
                <w:szCs w:val="1"/>
                <w:color w:val="auto"/>
              </w:rPr>
            </w:pPr>
          </w:p>
        </w:tc>
      </w:tr>
      <w:tr>
        <w:trPr>
          <w:trHeight w:val="89"/>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9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26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8.</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3"/>
              </w:rPr>
              <w:t>Owned by</w:t>
            </w:r>
          </w:p>
        </w:tc>
        <w:tc>
          <w:tcPr>
            <w:tcW w:w="520" w:type="dxa"/>
            <w:vAlign w:val="bottom"/>
          </w:tcPr>
          <w:p>
            <w:pPr>
              <w:spacing w:after="0"/>
              <w:rPr>
                <w:sz w:val="14"/>
                <w:szCs w:val="14"/>
                <w:color w:val="auto"/>
              </w:rPr>
            </w:pPr>
          </w:p>
        </w:tc>
        <w:tc>
          <w:tcPr>
            <w:tcW w:w="9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2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9.</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5"/>
                <w:szCs w:val="5"/>
                <w:color w:val="auto"/>
              </w:rPr>
            </w:pPr>
          </w:p>
        </w:tc>
        <w:tc>
          <w:tcPr>
            <w:tcW w:w="9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86,418 shares</w:t>
            </w:r>
          </w:p>
        </w:tc>
        <w:tc>
          <w:tcPr>
            <w:tcW w:w="0" w:type="dxa"/>
            <w:vAlign w:val="bottom"/>
          </w:tcPr>
          <w:p>
            <w:pPr>
              <w:spacing w:after="0"/>
              <w:rPr>
                <w:sz w:val="1"/>
                <w:szCs w:val="1"/>
                <w:color w:val="auto"/>
              </w:rPr>
            </w:pPr>
          </w:p>
        </w:tc>
      </w:tr>
      <w:tr>
        <w:trPr>
          <w:trHeight w:val="82"/>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Person</w:t>
            </w:r>
          </w:p>
        </w:tc>
        <w:tc>
          <w:tcPr>
            <w:tcW w:w="52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260" w:type="dxa"/>
            <w:vAlign w:val="bottom"/>
            <w:vMerge w:val="continue"/>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87"/>
              </w:rPr>
              <w:t>10.</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8"/>
        </w:trPr>
        <w:tc>
          <w:tcPr>
            <w:tcW w:w="1260" w:type="dxa"/>
            <w:vAlign w:val="bottom"/>
          </w:tcPr>
          <w:p>
            <w:pPr>
              <w:jc w:val="center"/>
              <w:ind w:right="290"/>
              <w:spacing w:after="0"/>
              <w:rPr>
                <w:sz w:val="20"/>
                <w:szCs w:val="20"/>
                <w:color w:val="auto"/>
              </w:rPr>
            </w:pPr>
            <w:r>
              <w:rPr>
                <w:rFonts w:ascii="Arial" w:cs="Arial" w:eastAsia="Arial" w:hAnsi="Arial"/>
                <w:sz w:val="18"/>
                <w:szCs w:val="18"/>
                <w:color w:val="auto"/>
                <w:w w:val="99"/>
              </w:rPr>
              <w:t>With</w:t>
            </w:r>
          </w:p>
        </w:tc>
        <w:tc>
          <w:tcPr>
            <w:tcW w:w="520" w:type="dxa"/>
            <w:vAlign w:val="bottom"/>
            <w:vMerge w:val="continue"/>
          </w:tcPr>
          <w:p>
            <w:pPr>
              <w:spacing w:after="0"/>
              <w:rPr>
                <w:sz w:val="19"/>
                <w:szCs w:val="19"/>
                <w:color w:val="auto"/>
              </w:rPr>
            </w:pPr>
          </w:p>
        </w:tc>
        <w:tc>
          <w:tcPr>
            <w:tcW w:w="9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460" w:hanging="144"/>
        <w:spacing w:after="0"/>
        <w:tabs>
          <w:tab w:leader="none" w:pos="2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shares</w:t>
      </w:r>
    </w:p>
    <w:p>
      <w:pPr>
        <w:spacing w:after="0" w:line="128" w:lineRule="exact"/>
        <w:rPr>
          <w:rFonts w:ascii="Arial" w:cs="Arial" w:eastAsia="Arial" w:hAnsi="Arial"/>
          <w:sz w:val="18"/>
          <w:szCs w:val="18"/>
          <w:color w:val="auto"/>
        </w:rPr>
      </w:pPr>
    </w:p>
    <w:p>
      <w:pPr>
        <w:ind w:left="540" w:right="5900" w:hanging="445"/>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86,418 shares</w:t>
      </w:r>
    </w:p>
    <w:p>
      <w:pPr>
        <w:spacing w:after="0" w:line="89" w:lineRule="exact"/>
        <w:rPr>
          <w:rFonts w:ascii="Arial" w:cs="Arial" w:eastAsia="Arial" w:hAnsi="Arial"/>
          <w:sz w:val="18"/>
          <w:szCs w:val="18"/>
          <w:color w:val="auto"/>
        </w:rPr>
      </w:pPr>
    </w:p>
    <w:p>
      <w:pPr>
        <w:ind w:left="540" w:hanging="449"/>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4" w:lineRule="exact"/>
        <w:rPr>
          <w:rFonts w:ascii="Arial" w:cs="Arial" w:eastAsia="Arial" w:hAnsi="Arial"/>
          <w:sz w:val="18"/>
          <w:szCs w:val="18"/>
          <w:color w:val="auto"/>
        </w:rPr>
      </w:pPr>
    </w:p>
    <w:p>
      <w:pPr>
        <w:ind w:left="540" w:right="6840" w:hanging="449"/>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89" w:lineRule="exact"/>
        <w:rPr>
          <w:rFonts w:ascii="Arial" w:cs="Arial" w:eastAsia="Arial" w:hAnsi="Arial"/>
          <w:sz w:val="18"/>
          <w:szCs w:val="18"/>
          <w:color w:val="auto"/>
        </w:rPr>
      </w:pPr>
    </w:p>
    <w:p>
      <w:pPr>
        <w:ind w:left="540" w:right="7540" w:hanging="449"/>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5 of 7 Pages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Amendment No. 8 to the statement on Schedule 13D (this “Statement”) with respect to the shares of common stock, par value $0.0001 per share (the “Shares”), of Selecta Biosciences, Inc., a Delaware corporation (the “Issuer”), originally filed by Timothy A. Springer (“Dr. Springer”), TAS Partners LLC (“TAS”), Chafen Lu (“Dr. Lu” and, collectively, the “Reporting Persons”) and Leukon Investments, LP (“Leukon”) filed on March 27, 2019, as amended by Amendment No. 1 to the statement on Schedule 13D filed on August 23, 2019, Amendment No. 2 to the statement on Schedule 13D filed on September 16, 2019, Amendment No. 3 to the statement on Schedule 13D filed on December 17, 2019, Amendment No. 4 to the statement on Schedule 13D filed on January 2, 2020, Amendment No. 5 to the statement on Schedule 13D filed on October 15, 2020, Amendment No. 6 to the statement on Schedule 13D filed on October 23, 2020 and Amendment No. 7 to the statement on Schedule 13D filed on May 27, 2021 (such statement and amendments, as further amended herein, the “Schedule 13D”), amends the Schedule 13D as set forth below.</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capitalized terms contained herein but not otherwise defined shall have the meanings ascribed to such terms in the Schedule 13D. Except as specifically amended by this Amendment No. 7, items in the Schedule 13D are unchanged.</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to be supplemented by the following:</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December 9, 2021, TAS purchased 3,748,000 Shares on the open market at a weighted average price of $3.06 per share for an aggregate purchase price of approximately $11,468,880 (excluding commissions). TAS drew from its investment capital for such acquisition.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December 10, 2021, TAS purchased 58,681 Shares on the open market at a weighted average price of $2.9897 per share for an aggregate purchase price of approximately $175,438 (excluding commissions). TAS drew from its investment capital for such acquisition.</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May 26, 2021, TAS purchased 14,592 Shares on the open market at a weighted average price of $2.9805 per share for an aggregate purchase price of approximately $43,491 (excluding commissions). TAS drew from its investment capital for such acquisition.</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of Schedule 13D is hereby amended and restated in full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3 and the cover page of the Schedule 13D is incorporated herein by reference into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6 of 7 Pages</w:t>
      </w:r>
    </w:p>
    <w:p>
      <w:pPr>
        <w:spacing w:after="0" w:line="229" w:lineRule="exact"/>
        <w:rPr>
          <w:sz w:val="20"/>
          <w:szCs w:val="20"/>
          <w:color w:val="auto"/>
        </w:rPr>
      </w:pPr>
    </w:p>
    <w:p>
      <w:pPr>
        <w:ind w:right="120" w:firstLine="8"/>
        <w:spacing w:after="0" w:line="311" w:lineRule="auto"/>
        <w:tabs>
          <w:tab w:leader="none" w:pos="24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percentages of beneficial ownership reported in this Item 5, and on each Reporting Person’s cover page to this Statement, are based on a total of 116,648,919 Shares issued and outstanding as of November 5, 2021, as reported on the Issuer’s Quarterly Report on Form 10-Q, dated November 9, 2021. All of the Share numbers reported below, and on each Reporting Person’s cover page to this Statement, are as of December 14,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in the aggregate, beneficially own 32,451,726 Shares, representing approximately 27.8% of such class of securities.</w:t>
      </w:r>
    </w:p>
    <w:p>
      <w:pPr>
        <w:spacing w:after="0" w:line="225" w:lineRule="exact"/>
        <w:rPr>
          <w:sz w:val="20"/>
          <w:szCs w:val="20"/>
          <w:color w:val="auto"/>
        </w:rPr>
      </w:pPr>
    </w:p>
    <w:p>
      <w:pPr>
        <w:jc w:val="both"/>
        <w:ind w:right="440"/>
        <w:spacing w:after="0" w:line="301" w:lineRule="auto"/>
        <w:rPr>
          <w:sz w:val="20"/>
          <w:szCs w:val="20"/>
          <w:color w:val="auto"/>
        </w:rPr>
      </w:pPr>
      <w:r>
        <w:rPr>
          <w:rFonts w:ascii="Arial" w:cs="Arial" w:eastAsia="Arial" w:hAnsi="Arial"/>
          <w:sz w:val="16"/>
          <w:szCs w:val="16"/>
          <w:color w:val="auto"/>
        </w:rPr>
        <w:t>Dr. Springer is the beneficial owner of a total of 32,451,726 Shares, representing approximately 27.8% of the outstanding Shares and consisting of (i) 7,293,625 Shares held directly, (ii) 79,130 Shares underlying warrants exercisable within 60 days of December 15, 2021 and held directly, (iii) 46,410 Shares issuable upon exercise of outstanding options within 60 days of December 15, 2021 and held directly, (iv) 24,946,143 Shares held by TAS, (v) 1,970,443 Shares underlying warrants exercisable within 60 days of December 15, 2021 held by TAS, and (vi) 86,418 Shares held by Dr. Lu.</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TAS is the beneficial owner of a total of 24,946,143, representing approximately 21.4% of the outstanding Shares and consisting of (i) 24,946,143 Shares and (ii) 1,970,443 Shares underlying warrants exercisable within 60 days of December 15, 2021. TAS holds all such Shares directly. Dr. Springer is the sole managing member of TAS.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Dr. Lu is the beneficial owner of a total of 86,418 Shares, representing approximately 0.1% of the outstanding Shares. Dr. Lu holds all such Shares directly.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Dr. Lu is the spouse of Dr. Springer.</w:t>
      </w:r>
    </w:p>
    <w:p>
      <w:pPr>
        <w:spacing w:after="0" w:line="211" w:lineRule="exact"/>
        <w:rPr>
          <w:sz w:val="20"/>
          <w:szCs w:val="20"/>
          <w:color w:val="auto"/>
        </w:rPr>
      </w:pPr>
    </w:p>
    <w:p>
      <w:pPr>
        <w:ind w:right="240" w:firstLine="8"/>
        <w:spacing w:after="0" w:line="263"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83" w:lineRule="exact"/>
        <w:rPr>
          <w:rFonts w:ascii="Arial" w:cs="Arial" w:eastAsia="Arial" w:hAnsi="Arial"/>
          <w:sz w:val="18"/>
          <w:szCs w:val="18"/>
          <w:color w:val="auto"/>
        </w:rPr>
      </w:pPr>
    </w:p>
    <w:p>
      <w:pPr>
        <w:ind w:right="560" w:firstLine="8"/>
        <w:spacing w:after="0" w:line="277" w:lineRule="auto"/>
        <w:tabs>
          <w:tab w:leader="none" w:pos="24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Reporting Persons have not engaged in any transactions with respect to the Shares during the 60 days before the date of this filing, except as described herein and in Item 3 of Schedule 13D.</w:t>
      </w:r>
    </w:p>
    <w:p>
      <w:pPr>
        <w:spacing w:after="0" w:line="170" w:lineRule="exact"/>
        <w:rPr>
          <w:rFonts w:ascii="Arial" w:cs="Arial" w:eastAsia="Arial" w:hAnsi="Arial"/>
          <w:sz w:val="18"/>
          <w:szCs w:val="18"/>
          <w:color w:val="auto"/>
        </w:rPr>
      </w:pPr>
    </w:p>
    <w:p>
      <w:pPr>
        <w:ind w:right="24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7 of 7 Pages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Chafen Lu</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ind w:left="67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 Springer</w:t>
            </w:r>
          </w:p>
        </w:tc>
      </w:tr>
      <w:tr>
        <w:trPr>
          <w:trHeight w:val="202"/>
        </w:trPr>
        <w:tc>
          <w:tcPr>
            <w:tcW w:w="7320" w:type="dxa"/>
            <w:vAlign w:val="bottom"/>
          </w:tcPr>
          <w:p>
            <w:pPr>
              <w:ind w:left="67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Timothy A. Springer</w:t>
            </w:r>
          </w:p>
        </w:tc>
      </w:tr>
      <w:tr>
        <w:trPr>
          <w:trHeight w:val="230"/>
        </w:trPr>
        <w:tc>
          <w:tcPr>
            <w:tcW w:w="7320" w:type="dxa"/>
            <w:vAlign w:val="bottom"/>
          </w:tcPr>
          <w:p>
            <w:pPr>
              <w:ind w:left="67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w:t>
            </w:r>
          </w:p>
        </w:tc>
      </w:tr>
      <w:tr>
        <w:trPr>
          <w:trHeight w:val="655"/>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0"/>
    </w:lvl>
    <w:lvl w:ilvl="1">
      <w:lvlJc w:val="left"/>
      <w:lvlText w:val="0"/>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0"/>
    </w:lvl>
    <w:lvl w:ilvl="1">
      <w:lvlJc w:val="left"/>
      <w:lvlText w:val="0"/>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0"/>
    </w:lvl>
    <w:lvl w:ilvl="1">
      <w:lvlJc w:val="left"/>
      <w:lvlText w:val="0"/>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2021-12-15T16:15:26Z</dcterms:created>
  <dcterms:modified xsi:type="dcterms:W3CDTF">2021-12-15T16:15:26Z</dcterms:modified>
</cp:coreProperties>
</file>