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22"/>
          <w:szCs w:val="22"/>
          <w:b w:val="1"/>
          <w:bCs w:val="1"/>
          <w:color w:val="auto"/>
        </w:rPr>
        <w:t>UNITED STATES</w:t>
      </w:r>
    </w:p>
    <w:p>
      <w:pPr>
        <w:spacing w:after="0" w:line="3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SECURITIES AND EXCHANGE COMMISSION</w:t>
      </w:r>
    </w:p>
    <w:p>
      <w:pPr>
        <w:spacing w:after="0" w:line="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Washington, D.C. 20549</w:t>
      </w:r>
    </w:p>
    <w:p>
      <w:pPr>
        <w:spacing w:after="0" w:line="12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FORM 8-K</w:t>
      </w:r>
    </w:p>
    <w:p>
      <w:pPr>
        <w:spacing w:after="0" w:line="10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CURRENT REPORT</w:t>
      </w:r>
    </w:p>
    <w:p>
      <w:pPr>
        <w:spacing w:after="0" w:line="10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Pursuant to Section 13 or 15(d) of</w:t>
      </w:r>
    </w:p>
    <w:p>
      <w:pPr>
        <w:spacing w:after="0" w:line="2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the Securities Exchange Act of 1934</w:t>
      </w:r>
    </w:p>
    <w:p>
      <w:pPr>
        <w:spacing w:after="0" w:line="136" w:lineRule="exact"/>
        <w:rPr>
          <w:sz w:val="24"/>
          <w:szCs w:val="24"/>
          <w:color w:val="auto"/>
        </w:rPr>
      </w:pPr>
    </w:p>
    <w:p>
      <w:pPr>
        <w:jc w:val="center"/>
        <w:ind w:right="100"/>
        <w:spacing w:after="0"/>
        <w:rPr>
          <w:sz w:val="20"/>
          <w:szCs w:val="20"/>
          <w:color w:val="auto"/>
        </w:rPr>
      </w:pPr>
      <w:r>
        <w:rPr>
          <w:rFonts w:ascii="Times New Roman" w:cs="Times New Roman" w:eastAsia="Times New Roman" w:hAnsi="Times New Roman"/>
          <w:sz w:val="12"/>
          <w:szCs w:val="12"/>
          <w:color w:val="auto"/>
        </w:rPr>
        <w:t>Date of Report (Date of earliest event reported): April 8, 2024</w:t>
      </w:r>
    </w:p>
    <w:p>
      <w:pPr>
        <w:spacing w:after="0" w:line="8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CARTESIAN THERAPEUTICS, INC.</w:t>
      </w:r>
    </w:p>
    <w:p>
      <w:pPr>
        <w:spacing w:after="0" w:line="3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2"/>
          <w:szCs w:val="12"/>
          <w:color w:val="auto"/>
        </w:rPr>
        <w:t>(Exact name of registrant as specified in its charter)</w:t>
      </w:r>
    </w:p>
    <w:p>
      <w:pPr>
        <w:spacing w:after="0" w:line="161" w:lineRule="exact"/>
        <w:rPr>
          <w:sz w:val="24"/>
          <w:szCs w:val="24"/>
          <w:color w:val="auto"/>
        </w:rPr>
      </w:pPr>
    </w:p>
    <w:tbl>
      <w:tblPr>
        <w:tblLayout w:type="fixed"/>
        <w:tblInd w:w="1100" w:type="dxa"/>
        <w:tblCellMar>
          <w:top w:w="0" w:type="dxa"/>
          <w:left w:w="0" w:type="dxa"/>
          <w:bottom w:w="0" w:type="dxa"/>
          <w:right w:w="0" w:type="dxa"/>
        </w:tblCellMar>
      </w:tblPr>
      <w:tr>
        <w:trPr>
          <w:trHeight w:val="157"/>
        </w:trPr>
        <w:tc>
          <w:tcPr>
            <w:tcW w:w="2220" w:type="dxa"/>
            <w:vAlign w:val="bottom"/>
          </w:tcPr>
          <w:p>
            <w:pPr>
              <w:jc w:val="center"/>
              <w:ind w:right="880"/>
              <w:spacing w:after="0"/>
              <w:rPr>
                <w:sz w:val="20"/>
                <w:szCs w:val="20"/>
                <w:color w:val="auto"/>
              </w:rPr>
            </w:pPr>
            <w:r>
              <w:rPr>
                <w:rFonts w:ascii="Times New Roman" w:cs="Times New Roman" w:eastAsia="Times New Roman" w:hAnsi="Times New Roman"/>
                <w:sz w:val="12"/>
                <w:szCs w:val="12"/>
                <w:b w:val="1"/>
                <w:bCs w:val="1"/>
                <w:color w:val="auto"/>
                <w:w w:val="98"/>
              </w:rPr>
              <w:t>Delaware</w:t>
            </w:r>
          </w:p>
        </w:tc>
        <w:tc>
          <w:tcPr>
            <w:tcW w:w="4720" w:type="dxa"/>
            <w:vAlign w:val="bottom"/>
          </w:tcPr>
          <w:p>
            <w:pPr>
              <w:jc w:val="center"/>
              <w:ind w:right="20"/>
              <w:spacing w:after="0"/>
              <w:rPr>
                <w:sz w:val="20"/>
                <w:szCs w:val="20"/>
                <w:color w:val="auto"/>
              </w:rPr>
            </w:pPr>
            <w:r>
              <w:rPr>
                <w:rFonts w:ascii="Times New Roman" w:cs="Times New Roman" w:eastAsia="Times New Roman" w:hAnsi="Times New Roman"/>
                <w:sz w:val="12"/>
                <w:szCs w:val="12"/>
                <w:b w:val="1"/>
                <w:bCs w:val="1"/>
                <w:color w:val="auto"/>
                <w:w w:val="99"/>
              </w:rPr>
              <w:t>001-37798</w:t>
            </w:r>
          </w:p>
        </w:tc>
        <w:tc>
          <w:tcPr>
            <w:tcW w:w="1940" w:type="dxa"/>
            <w:vAlign w:val="bottom"/>
          </w:tcPr>
          <w:p>
            <w:pPr>
              <w:jc w:val="center"/>
              <w:ind w:left="1000"/>
              <w:spacing w:after="0"/>
              <w:rPr>
                <w:sz w:val="20"/>
                <w:szCs w:val="20"/>
                <w:color w:val="auto"/>
              </w:rPr>
            </w:pPr>
            <w:r>
              <w:rPr>
                <w:rFonts w:ascii="Times New Roman" w:cs="Times New Roman" w:eastAsia="Times New Roman" w:hAnsi="Times New Roman"/>
                <w:sz w:val="12"/>
                <w:szCs w:val="12"/>
                <w:b w:val="1"/>
                <w:bCs w:val="1"/>
                <w:color w:val="auto"/>
                <w:w w:val="96"/>
              </w:rPr>
              <w:t>26-1622110</w:t>
            </w:r>
          </w:p>
        </w:tc>
      </w:tr>
      <w:tr>
        <w:trPr>
          <w:trHeight w:val="119"/>
        </w:trPr>
        <w:tc>
          <w:tcPr>
            <w:tcW w:w="2220" w:type="dxa"/>
            <w:vAlign w:val="bottom"/>
          </w:tcPr>
          <w:p>
            <w:pPr>
              <w:jc w:val="center"/>
              <w:ind w:right="900"/>
              <w:spacing w:after="0" w:line="119" w:lineRule="exact"/>
              <w:rPr>
                <w:sz w:val="20"/>
                <w:szCs w:val="20"/>
                <w:color w:val="auto"/>
              </w:rPr>
            </w:pPr>
            <w:r>
              <w:rPr>
                <w:rFonts w:ascii="Times New Roman" w:cs="Times New Roman" w:eastAsia="Times New Roman" w:hAnsi="Times New Roman"/>
                <w:sz w:val="12"/>
                <w:szCs w:val="12"/>
                <w:color w:val="auto"/>
                <w:w w:val="99"/>
              </w:rPr>
              <w:t>(State or other jurisdiction</w:t>
            </w:r>
          </w:p>
        </w:tc>
        <w:tc>
          <w:tcPr>
            <w:tcW w:w="4720" w:type="dxa"/>
            <w:vAlign w:val="bottom"/>
          </w:tcPr>
          <w:p>
            <w:pPr>
              <w:jc w:val="center"/>
              <w:ind w:right="20"/>
              <w:spacing w:after="0" w:line="119" w:lineRule="exact"/>
              <w:rPr>
                <w:sz w:val="20"/>
                <w:szCs w:val="20"/>
                <w:color w:val="auto"/>
              </w:rPr>
            </w:pPr>
            <w:r>
              <w:rPr>
                <w:rFonts w:ascii="Times New Roman" w:cs="Times New Roman" w:eastAsia="Times New Roman" w:hAnsi="Times New Roman"/>
                <w:sz w:val="12"/>
                <w:szCs w:val="12"/>
                <w:color w:val="auto"/>
                <w:w w:val="98"/>
              </w:rPr>
              <w:t>(Commission</w:t>
            </w:r>
          </w:p>
        </w:tc>
        <w:tc>
          <w:tcPr>
            <w:tcW w:w="1940" w:type="dxa"/>
            <w:vAlign w:val="bottom"/>
          </w:tcPr>
          <w:p>
            <w:pPr>
              <w:jc w:val="center"/>
              <w:ind w:left="1000"/>
              <w:spacing w:after="0" w:line="119" w:lineRule="exact"/>
              <w:rPr>
                <w:sz w:val="20"/>
                <w:szCs w:val="20"/>
                <w:color w:val="auto"/>
              </w:rPr>
            </w:pPr>
            <w:r>
              <w:rPr>
                <w:rFonts w:ascii="Times New Roman" w:cs="Times New Roman" w:eastAsia="Times New Roman" w:hAnsi="Times New Roman"/>
                <w:sz w:val="12"/>
                <w:szCs w:val="12"/>
                <w:color w:val="auto"/>
                <w:w w:val="98"/>
              </w:rPr>
              <w:t>(IRS Employer</w:t>
            </w:r>
          </w:p>
        </w:tc>
      </w:tr>
      <w:tr>
        <w:trPr>
          <w:trHeight w:val="155"/>
        </w:trPr>
        <w:tc>
          <w:tcPr>
            <w:tcW w:w="2220" w:type="dxa"/>
            <w:vAlign w:val="bottom"/>
          </w:tcPr>
          <w:p>
            <w:pPr>
              <w:jc w:val="center"/>
              <w:ind w:right="860"/>
              <w:spacing w:after="0"/>
              <w:rPr>
                <w:sz w:val="20"/>
                <w:szCs w:val="20"/>
                <w:color w:val="auto"/>
              </w:rPr>
            </w:pPr>
            <w:r>
              <w:rPr>
                <w:rFonts w:ascii="Times New Roman" w:cs="Times New Roman" w:eastAsia="Times New Roman" w:hAnsi="Times New Roman"/>
                <w:sz w:val="12"/>
                <w:szCs w:val="12"/>
                <w:color w:val="auto"/>
              </w:rPr>
              <w:t>of incorporation)</w:t>
            </w:r>
          </w:p>
        </w:tc>
        <w:tc>
          <w:tcPr>
            <w:tcW w:w="4720" w:type="dxa"/>
            <w:vAlign w:val="bottom"/>
          </w:tcPr>
          <w:p>
            <w:pPr>
              <w:jc w:val="center"/>
              <w:ind w:right="20"/>
              <w:spacing w:after="0"/>
              <w:rPr>
                <w:sz w:val="20"/>
                <w:szCs w:val="20"/>
                <w:color w:val="auto"/>
              </w:rPr>
            </w:pPr>
            <w:r>
              <w:rPr>
                <w:rFonts w:ascii="Times New Roman" w:cs="Times New Roman" w:eastAsia="Times New Roman" w:hAnsi="Times New Roman"/>
                <w:sz w:val="12"/>
                <w:szCs w:val="12"/>
                <w:color w:val="auto"/>
                <w:w w:val="98"/>
              </w:rPr>
              <w:t>File Number)</w:t>
            </w:r>
          </w:p>
        </w:tc>
        <w:tc>
          <w:tcPr>
            <w:tcW w:w="1940" w:type="dxa"/>
            <w:vAlign w:val="bottom"/>
          </w:tcPr>
          <w:p>
            <w:pPr>
              <w:jc w:val="center"/>
              <w:ind w:left="1000"/>
              <w:spacing w:after="0"/>
              <w:rPr>
                <w:sz w:val="20"/>
                <w:szCs w:val="20"/>
                <w:color w:val="auto"/>
              </w:rPr>
            </w:pPr>
            <w:r>
              <w:rPr>
                <w:rFonts w:ascii="Times New Roman" w:cs="Times New Roman" w:eastAsia="Times New Roman" w:hAnsi="Times New Roman"/>
                <w:sz w:val="12"/>
                <w:szCs w:val="12"/>
                <w:color w:val="auto"/>
                <w:w w:val="98"/>
              </w:rPr>
              <w:t>Identification No.)</w:t>
            </w:r>
          </w:p>
        </w:tc>
      </w:tr>
      <w:tr>
        <w:trPr>
          <w:trHeight w:val="284"/>
        </w:trPr>
        <w:tc>
          <w:tcPr>
            <w:tcW w:w="2220" w:type="dxa"/>
            <w:vAlign w:val="bottom"/>
          </w:tcPr>
          <w:p>
            <w:pPr>
              <w:spacing w:after="0"/>
              <w:rPr>
                <w:sz w:val="24"/>
                <w:szCs w:val="24"/>
                <w:color w:val="auto"/>
              </w:rPr>
            </w:pPr>
          </w:p>
        </w:tc>
        <w:tc>
          <w:tcPr>
            <w:tcW w:w="4720" w:type="dxa"/>
            <w:vAlign w:val="bottom"/>
          </w:tcPr>
          <w:p>
            <w:pPr>
              <w:jc w:val="center"/>
              <w:spacing w:after="0"/>
              <w:rPr>
                <w:sz w:val="20"/>
                <w:szCs w:val="20"/>
                <w:color w:val="auto"/>
              </w:rPr>
            </w:pPr>
            <w:r>
              <w:rPr>
                <w:rFonts w:ascii="Times New Roman" w:cs="Times New Roman" w:eastAsia="Times New Roman" w:hAnsi="Times New Roman"/>
                <w:sz w:val="12"/>
                <w:szCs w:val="12"/>
                <w:b w:val="1"/>
                <w:bCs w:val="1"/>
                <w:color w:val="auto"/>
                <w:w w:val="99"/>
              </w:rPr>
              <w:t>704 Quince Orchard Road, Gaithersburg, MD 20878</w:t>
            </w:r>
          </w:p>
        </w:tc>
        <w:tc>
          <w:tcPr>
            <w:tcW w:w="1940" w:type="dxa"/>
            <w:vAlign w:val="bottom"/>
          </w:tcPr>
          <w:p>
            <w:pPr>
              <w:spacing w:after="0"/>
              <w:rPr>
                <w:sz w:val="24"/>
                <w:szCs w:val="24"/>
                <w:color w:val="auto"/>
              </w:rPr>
            </w:pPr>
          </w:p>
        </w:tc>
      </w:tr>
      <w:tr>
        <w:trPr>
          <w:trHeight w:val="155"/>
        </w:trPr>
        <w:tc>
          <w:tcPr>
            <w:tcW w:w="2220" w:type="dxa"/>
            <w:vAlign w:val="bottom"/>
          </w:tcPr>
          <w:p>
            <w:pPr>
              <w:spacing w:after="0"/>
              <w:rPr>
                <w:sz w:val="13"/>
                <w:szCs w:val="13"/>
                <w:color w:val="auto"/>
              </w:rPr>
            </w:pPr>
          </w:p>
        </w:tc>
        <w:tc>
          <w:tcPr>
            <w:tcW w:w="4720" w:type="dxa"/>
            <w:vAlign w:val="bottom"/>
          </w:tcPr>
          <w:p>
            <w:pPr>
              <w:ind w:left="1200"/>
              <w:spacing w:after="0"/>
              <w:rPr>
                <w:sz w:val="20"/>
                <w:szCs w:val="20"/>
                <w:color w:val="auto"/>
              </w:rPr>
            </w:pPr>
            <w:r>
              <w:rPr>
                <w:rFonts w:ascii="Times New Roman" w:cs="Times New Roman" w:eastAsia="Times New Roman" w:hAnsi="Times New Roman"/>
                <w:sz w:val="12"/>
                <w:szCs w:val="12"/>
                <w:color w:val="auto"/>
              </w:rPr>
              <w:t>(Address of principal executive offices)(Zip Code)</w:t>
            </w:r>
          </w:p>
        </w:tc>
        <w:tc>
          <w:tcPr>
            <w:tcW w:w="1940" w:type="dxa"/>
            <w:vAlign w:val="bottom"/>
          </w:tcPr>
          <w:p>
            <w:pPr>
              <w:spacing w:after="0"/>
              <w:rPr>
                <w:sz w:val="13"/>
                <w:szCs w:val="13"/>
                <w:color w:val="auto"/>
              </w:rPr>
            </w:pPr>
          </w:p>
        </w:tc>
      </w:tr>
      <w:tr>
        <w:trPr>
          <w:trHeight w:val="277"/>
        </w:trPr>
        <w:tc>
          <w:tcPr>
            <w:tcW w:w="2220" w:type="dxa"/>
            <w:vAlign w:val="bottom"/>
          </w:tcPr>
          <w:p>
            <w:pPr>
              <w:spacing w:after="0"/>
              <w:rPr>
                <w:sz w:val="24"/>
                <w:szCs w:val="24"/>
                <w:color w:val="auto"/>
              </w:rPr>
            </w:pPr>
          </w:p>
        </w:tc>
        <w:tc>
          <w:tcPr>
            <w:tcW w:w="4720" w:type="dxa"/>
            <w:vAlign w:val="bottom"/>
          </w:tcPr>
          <w:p>
            <w:pPr>
              <w:jc w:val="center"/>
              <w:ind w:right="20"/>
              <w:spacing w:after="0"/>
              <w:rPr>
                <w:sz w:val="20"/>
                <w:szCs w:val="20"/>
                <w:color w:val="auto"/>
              </w:rPr>
            </w:pPr>
            <w:r>
              <w:rPr>
                <w:rFonts w:ascii="Times New Roman" w:cs="Times New Roman" w:eastAsia="Times New Roman" w:hAnsi="Times New Roman"/>
                <w:sz w:val="12"/>
                <w:szCs w:val="12"/>
                <w:b w:val="1"/>
                <w:bCs w:val="1"/>
                <w:color w:val="auto"/>
              </w:rPr>
              <w:t>(617) 923-1400</w:t>
            </w:r>
          </w:p>
        </w:tc>
        <w:tc>
          <w:tcPr>
            <w:tcW w:w="1940" w:type="dxa"/>
            <w:vAlign w:val="bottom"/>
          </w:tcPr>
          <w:p>
            <w:pPr>
              <w:spacing w:after="0"/>
              <w:rPr>
                <w:sz w:val="24"/>
                <w:szCs w:val="24"/>
                <w:color w:val="auto"/>
              </w:rPr>
            </w:pPr>
          </w:p>
        </w:tc>
      </w:tr>
      <w:tr>
        <w:trPr>
          <w:trHeight w:val="155"/>
        </w:trPr>
        <w:tc>
          <w:tcPr>
            <w:tcW w:w="2220" w:type="dxa"/>
            <w:vAlign w:val="bottom"/>
          </w:tcPr>
          <w:p>
            <w:pPr>
              <w:spacing w:after="0"/>
              <w:rPr>
                <w:sz w:val="13"/>
                <w:szCs w:val="13"/>
                <w:color w:val="auto"/>
              </w:rPr>
            </w:pPr>
          </w:p>
        </w:tc>
        <w:tc>
          <w:tcPr>
            <w:tcW w:w="4720" w:type="dxa"/>
            <w:vAlign w:val="bottom"/>
          </w:tcPr>
          <w:p>
            <w:pPr>
              <w:ind w:left="1100"/>
              <w:spacing w:after="0"/>
              <w:rPr>
                <w:sz w:val="20"/>
                <w:szCs w:val="20"/>
                <w:color w:val="auto"/>
              </w:rPr>
            </w:pPr>
            <w:r>
              <w:rPr>
                <w:rFonts w:ascii="Times New Roman" w:cs="Times New Roman" w:eastAsia="Times New Roman" w:hAnsi="Times New Roman"/>
                <w:sz w:val="12"/>
                <w:szCs w:val="12"/>
                <w:color w:val="auto"/>
              </w:rPr>
              <w:t>Registrant’s telephone number, including area code</w:t>
            </w:r>
          </w:p>
        </w:tc>
        <w:tc>
          <w:tcPr>
            <w:tcW w:w="1940" w:type="dxa"/>
            <w:vAlign w:val="bottom"/>
          </w:tcPr>
          <w:p>
            <w:pPr>
              <w:spacing w:after="0"/>
              <w:rPr>
                <w:sz w:val="13"/>
                <w:szCs w:val="13"/>
                <w:color w:val="auto"/>
              </w:rPr>
            </w:pPr>
          </w:p>
        </w:tc>
      </w:tr>
    </w:tbl>
    <w:p>
      <w:pPr>
        <w:spacing w:after="0" w:line="12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N/A</w:t>
      </w:r>
    </w:p>
    <w:p>
      <w:pPr>
        <w:spacing w:after="0" w:line="2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2"/>
          <w:szCs w:val="12"/>
          <w:color w:val="auto"/>
        </w:rPr>
        <w:t>(Former name or former address, if changed since last report)</w:t>
      </w:r>
    </w:p>
    <w:p>
      <w:pPr>
        <w:spacing w:after="0" w:line="139" w:lineRule="exact"/>
        <w:rPr>
          <w:sz w:val="24"/>
          <w:szCs w:val="24"/>
          <w:color w:val="auto"/>
        </w:rPr>
      </w:pPr>
    </w:p>
    <w:p>
      <w:pPr>
        <w:spacing w:after="0"/>
        <w:rPr>
          <w:sz w:val="20"/>
          <w:szCs w:val="20"/>
          <w:color w:val="auto"/>
        </w:rPr>
      </w:pPr>
      <w:r>
        <w:rPr>
          <w:rFonts w:ascii="Times New Roman" w:cs="Times New Roman" w:eastAsia="Times New Roman" w:hAnsi="Times New Roman"/>
          <w:sz w:val="12"/>
          <w:szCs w:val="12"/>
          <w:color w:val="auto"/>
        </w:rPr>
        <w:t>Check the appropriate box below if the Form 8-K filing is intended to simultaneously satisfy the filing obligation of the registrant under any of the following provisions:</w:t>
      </w:r>
    </w:p>
    <w:p>
      <w:pPr>
        <w:spacing w:after="0" w:line="98" w:lineRule="exact"/>
        <w:rPr>
          <w:sz w:val="24"/>
          <w:szCs w:val="24"/>
          <w:color w:val="auto"/>
        </w:rPr>
      </w:pPr>
    </w:p>
    <w:p>
      <w:pPr>
        <w:ind w:left="1300" w:hanging="705"/>
        <w:spacing w:after="0"/>
        <w:tabs>
          <w:tab w:leader="none" w:pos="1300" w:val="left"/>
        </w:tabs>
        <w:numPr>
          <w:ilvl w:val="0"/>
          <w:numId w:val="1"/>
        </w:numPr>
        <w:rPr>
          <w:rFonts w:ascii="MS PGothic" w:cs="MS PGothic" w:eastAsia="MS PGothic" w:hAnsi="MS PGothic"/>
          <w:sz w:val="11"/>
          <w:szCs w:val="11"/>
          <w:color w:val="auto"/>
        </w:rPr>
      </w:pPr>
      <w:r>
        <w:rPr>
          <w:rFonts w:ascii="Times New Roman" w:cs="Times New Roman" w:eastAsia="Times New Roman" w:hAnsi="Times New Roman"/>
          <w:sz w:val="11"/>
          <w:szCs w:val="11"/>
          <w:color w:val="auto"/>
        </w:rPr>
        <w:t>Written communications pursuant to Rule 425 under the Securities Act (17 CFR 230.425)</w:t>
      </w:r>
    </w:p>
    <w:p>
      <w:pPr>
        <w:spacing w:after="0" w:line="53" w:lineRule="exact"/>
        <w:rPr>
          <w:rFonts w:ascii="MS PGothic" w:cs="MS PGothic" w:eastAsia="MS PGothic" w:hAnsi="MS PGothic"/>
          <w:sz w:val="11"/>
          <w:szCs w:val="11"/>
          <w:color w:val="auto"/>
        </w:rPr>
      </w:pPr>
    </w:p>
    <w:p>
      <w:pPr>
        <w:ind w:left="1300" w:hanging="705"/>
        <w:spacing w:after="0"/>
        <w:tabs>
          <w:tab w:leader="none" w:pos="1300" w:val="left"/>
        </w:tabs>
        <w:numPr>
          <w:ilvl w:val="0"/>
          <w:numId w:val="1"/>
        </w:numPr>
        <w:rPr>
          <w:rFonts w:ascii="MS PGothic" w:cs="MS PGothic" w:eastAsia="MS PGothic" w:hAnsi="MS PGothic"/>
          <w:sz w:val="11"/>
          <w:szCs w:val="11"/>
          <w:color w:val="auto"/>
        </w:rPr>
      </w:pPr>
      <w:r>
        <w:rPr>
          <w:rFonts w:ascii="Times New Roman" w:cs="Times New Roman" w:eastAsia="Times New Roman" w:hAnsi="Times New Roman"/>
          <w:sz w:val="11"/>
          <w:szCs w:val="11"/>
          <w:color w:val="auto"/>
        </w:rPr>
        <w:t>Soliciting material pursuant to Rule 14a-12 under the Exchange Act (17 CFR 240.14a-12)</w:t>
      </w:r>
    </w:p>
    <w:p>
      <w:pPr>
        <w:spacing w:after="0" w:line="53" w:lineRule="exact"/>
        <w:rPr>
          <w:rFonts w:ascii="MS PGothic" w:cs="MS PGothic" w:eastAsia="MS PGothic" w:hAnsi="MS PGothic"/>
          <w:sz w:val="11"/>
          <w:szCs w:val="11"/>
          <w:color w:val="auto"/>
        </w:rPr>
      </w:pPr>
    </w:p>
    <w:p>
      <w:pPr>
        <w:ind w:left="1300" w:hanging="705"/>
        <w:spacing w:after="0"/>
        <w:tabs>
          <w:tab w:leader="none" w:pos="1300" w:val="left"/>
        </w:tabs>
        <w:numPr>
          <w:ilvl w:val="0"/>
          <w:numId w:val="1"/>
        </w:numPr>
        <w:rPr>
          <w:rFonts w:ascii="MS PGothic" w:cs="MS PGothic" w:eastAsia="MS PGothic" w:hAnsi="MS PGothic"/>
          <w:sz w:val="11"/>
          <w:szCs w:val="11"/>
          <w:color w:val="auto"/>
        </w:rPr>
      </w:pPr>
      <w:r>
        <w:rPr>
          <w:rFonts w:ascii="Times New Roman" w:cs="Times New Roman" w:eastAsia="Times New Roman" w:hAnsi="Times New Roman"/>
          <w:sz w:val="11"/>
          <w:szCs w:val="11"/>
          <w:color w:val="auto"/>
        </w:rPr>
        <w:t>Pre-commencement communications pursuant to Rule 14d-2(b) under the Exchange Act (17 CFR 240.14d-2(b))</w:t>
      </w:r>
    </w:p>
    <w:p>
      <w:pPr>
        <w:spacing w:after="0" w:line="53" w:lineRule="exact"/>
        <w:rPr>
          <w:rFonts w:ascii="MS PGothic" w:cs="MS PGothic" w:eastAsia="MS PGothic" w:hAnsi="MS PGothic"/>
          <w:sz w:val="11"/>
          <w:szCs w:val="11"/>
          <w:color w:val="auto"/>
        </w:rPr>
      </w:pPr>
    </w:p>
    <w:p>
      <w:pPr>
        <w:ind w:left="1300" w:hanging="705"/>
        <w:spacing w:after="0"/>
        <w:tabs>
          <w:tab w:leader="none" w:pos="1300" w:val="left"/>
        </w:tabs>
        <w:numPr>
          <w:ilvl w:val="0"/>
          <w:numId w:val="1"/>
        </w:numPr>
        <w:rPr>
          <w:rFonts w:ascii="MS PGothic" w:cs="MS PGothic" w:eastAsia="MS PGothic" w:hAnsi="MS PGothic"/>
          <w:sz w:val="11"/>
          <w:szCs w:val="11"/>
          <w:color w:val="auto"/>
        </w:rPr>
      </w:pPr>
      <w:r>
        <w:rPr>
          <w:rFonts w:ascii="Times New Roman" w:cs="Times New Roman" w:eastAsia="Times New Roman" w:hAnsi="Times New Roman"/>
          <w:sz w:val="11"/>
          <w:szCs w:val="11"/>
          <w:color w:val="auto"/>
        </w:rPr>
        <w:t>Pre-commencement communications pursuant to Rule 13e-4(c) under the Exchange Act (17 CFR 240.13e-4(c))</w:t>
      </w:r>
    </w:p>
    <w:p>
      <w:pPr>
        <w:spacing w:after="0" w:line="183" w:lineRule="exact"/>
        <w:rPr>
          <w:sz w:val="24"/>
          <w:szCs w:val="24"/>
          <w:color w:val="auto"/>
        </w:rPr>
      </w:pPr>
    </w:p>
    <w:p>
      <w:pPr>
        <w:ind w:left="20"/>
        <w:spacing w:after="0"/>
        <w:rPr>
          <w:sz w:val="20"/>
          <w:szCs w:val="20"/>
          <w:color w:val="auto"/>
        </w:rPr>
      </w:pPr>
      <w:r>
        <w:rPr>
          <w:rFonts w:ascii="Times New Roman" w:cs="Times New Roman" w:eastAsia="Times New Roman" w:hAnsi="Times New Roman"/>
          <w:sz w:val="12"/>
          <w:szCs w:val="12"/>
          <w:b w:val="1"/>
          <w:bCs w:val="1"/>
          <w:color w:val="auto"/>
        </w:rPr>
        <w:t>Securities registered pursuant to Section 12(b) of the Act:</w:t>
      </w:r>
    </w:p>
    <w:p>
      <w:pPr>
        <w:spacing w:after="0" w:line="37" w:lineRule="exact"/>
        <w:rPr>
          <w:sz w:val="24"/>
          <w:szCs w:val="24"/>
          <w:color w:val="auto"/>
        </w:rPr>
      </w:pPr>
    </w:p>
    <w:tbl>
      <w:tblPr>
        <w:tblLayout w:type="fixed"/>
        <w:tblInd w:w="10" w:type="dxa"/>
        <w:tblCellMar>
          <w:top w:w="0" w:type="dxa"/>
          <w:left w:w="0" w:type="dxa"/>
          <w:bottom w:w="0" w:type="dxa"/>
          <w:right w:w="0" w:type="dxa"/>
        </w:tblCellMar>
      </w:tblPr>
      <w:tr>
        <w:trPr>
          <w:trHeight w:val="162"/>
        </w:trPr>
        <w:tc>
          <w:tcPr>
            <w:tcW w:w="4600" w:type="dxa"/>
            <w:vAlign w:val="bottom"/>
            <w:tcBorders>
              <w:top w:val="single" w:sz="8" w:color="auto"/>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2"/>
                <w:szCs w:val="12"/>
                <w:color w:val="auto"/>
              </w:rPr>
              <w:t>Title of each class</w:t>
            </w:r>
          </w:p>
        </w:tc>
        <w:tc>
          <w:tcPr>
            <w:tcW w:w="212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2"/>
                <w:szCs w:val="12"/>
                <w:color w:val="auto"/>
                <w:w w:val="98"/>
              </w:rPr>
              <w:t>Trading Symbol(s)</w:t>
            </w:r>
          </w:p>
        </w:tc>
        <w:tc>
          <w:tcPr>
            <w:tcW w:w="458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2"/>
                <w:szCs w:val="12"/>
                <w:color w:val="auto"/>
              </w:rPr>
              <w:t>Name of each exchange on which registered</w:t>
            </w:r>
          </w:p>
        </w:tc>
      </w:tr>
      <w:tr>
        <w:trPr>
          <w:trHeight w:val="142"/>
        </w:trPr>
        <w:tc>
          <w:tcPr>
            <w:tcW w:w="460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2"/>
                <w:szCs w:val="12"/>
                <w:color w:val="auto"/>
              </w:rPr>
              <w:t>Common Stock (Par Value $0.0001)</w:t>
            </w:r>
          </w:p>
        </w:tc>
        <w:tc>
          <w:tcPr>
            <w:tcW w:w="21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2"/>
                <w:szCs w:val="12"/>
                <w:color w:val="auto"/>
              </w:rPr>
              <w:t>RNAC</w:t>
            </w:r>
          </w:p>
        </w:tc>
        <w:tc>
          <w:tcPr>
            <w:tcW w:w="45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2"/>
                <w:szCs w:val="12"/>
                <w:color w:val="auto"/>
                <w:w w:val="99"/>
              </w:rPr>
              <w:t>The Nasdaq Stock Market LLC</w:t>
            </w:r>
          </w:p>
        </w:tc>
      </w:tr>
    </w:tbl>
    <w:p>
      <w:pPr>
        <w:spacing w:after="0" w:line="223" w:lineRule="exact"/>
        <w:rPr>
          <w:sz w:val="24"/>
          <w:szCs w:val="24"/>
          <w:color w:val="auto"/>
        </w:rPr>
      </w:pPr>
    </w:p>
    <w:p>
      <w:pPr>
        <w:ind w:right="160"/>
        <w:spacing w:after="0" w:line="279" w:lineRule="auto"/>
        <w:rPr>
          <w:sz w:val="20"/>
          <w:szCs w:val="20"/>
          <w:color w:val="auto"/>
        </w:rPr>
      </w:pPr>
      <w:r>
        <w:rPr>
          <w:rFonts w:ascii="Times New Roman" w:cs="Times New Roman" w:eastAsia="Times New Roman" w:hAnsi="Times New Roman"/>
          <w:sz w:val="12"/>
          <w:szCs w:val="12"/>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29" w:lineRule="exact"/>
        <w:rPr>
          <w:sz w:val="24"/>
          <w:szCs w:val="24"/>
          <w:color w:val="auto"/>
        </w:rPr>
      </w:pPr>
    </w:p>
    <w:p>
      <w:pPr>
        <w:spacing w:after="0"/>
        <w:rPr>
          <w:sz w:val="20"/>
          <w:szCs w:val="20"/>
          <w:color w:val="auto"/>
        </w:rPr>
      </w:pPr>
      <w:r>
        <w:rPr>
          <w:rFonts w:ascii="Times New Roman" w:cs="Times New Roman" w:eastAsia="Times New Roman" w:hAnsi="Times New Roman"/>
          <w:sz w:val="12"/>
          <w:szCs w:val="12"/>
          <w:color w:val="auto"/>
        </w:rPr>
        <w:t xml:space="preserve">Emerging growth company </w:t>
      </w:r>
      <w:r>
        <w:rPr>
          <w:rFonts w:ascii="Wingdings" w:cs="Wingdings" w:eastAsia="Wingdings" w:hAnsi="Wingdings"/>
          <w:sz w:val="12"/>
          <w:szCs w:val="12"/>
          <w:b w:val="1"/>
          <w:bCs w:val="1"/>
          <w:color w:val="auto"/>
        </w:rPr>
        <w:t>o</w:t>
      </w:r>
    </w:p>
    <w:p>
      <w:pPr>
        <w:spacing w:after="0" w:line="168" w:lineRule="exact"/>
        <w:rPr>
          <w:sz w:val="24"/>
          <w:szCs w:val="24"/>
          <w:color w:val="auto"/>
        </w:rPr>
      </w:pPr>
    </w:p>
    <w:p>
      <w:pPr>
        <w:ind w:right="80"/>
        <w:spacing w:after="0" w:line="279" w:lineRule="auto"/>
        <w:rPr>
          <w:sz w:val="20"/>
          <w:szCs w:val="20"/>
          <w:color w:val="auto"/>
        </w:rPr>
      </w:pPr>
      <w:r>
        <w:rPr>
          <w:rFonts w:ascii="Times New Roman" w:cs="Times New Roman" w:eastAsia="Times New Roman" w:hAnsi="Times New Roman"/>
          <w:sz w:val="12"/>
          <w:szCs w:val="12"/>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Wingdings" w:cs="Wingdings" w:eastAsia="Wingdings" w:hAnsi="Wingdings"/>
          <w:sz w:val="12"/>
          <w:szCs w:val="12"/>
          <w:b w:val="1"/>
          <w:bCs w:val="1"/>
          <w:color w:val="auto"/>
        </w:rPr>
        <w: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-17145</wp:posOffset>
            </wp:positionH>
            <wp:positionV relativeFrom="paragraph">
              <wp:posOffset>510540</wp:posOffset>
            </wp:positionV>
            <wp:extent cx="7203440" cy="3683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03440" cy="36830"/>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54610</wp:posOffset>
            </wp:positionV>
            <wp:extent cx="7143750" cy="571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43750" cy="5715"/>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31750</wp:posOffset>
            </wp:positionV>
            <wp:extent cx="7143750" cy="571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43750" cy="5715"/>
                    </a:xfrm>
                    <a:prstGeom prst="rect">
                      <a:avLst/>
                    </a:prstGeom>
                    <a:noFill/>
                  </pic:spPr>
                </pic:pic>
              </a:graphicData>
            </a:graphic>
          </wp:anchor>
        </w:drawing>
      </w:r>
    </w:p>
    <w:p>
      <w:pPr>
        <w:sectPr>
          <w:pgSz w:w="11900" w:h="16838" w:orient="portrait"/>
          <w:cols w:equalWidth="0" w:num="1">
            <w:col w:w="11280"/>
          </w:cols>
          <w:pgMar w:left="300" w:top="702" w:right="31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2"/>
          <w:szCs w:val="12"/>
          <w:b w:val="1"/>
          <w:bCs w:val="1"/>
          <w:color w:val="auto"/>
        </w:rPr>
        <w:t>Item 7.01. Regulation FD Disclosure.</w:t>
      </w:r>
    </w:p>
    <w:p>
      <w:pPr>
        <w:spacing w:after="0" w:line="82" w:lineRule="exact"/>
        <w:rPr>
          <w:sz w:val="20"/>
          <w:szCs w:val="20"/>
          <w:color w:val="auto"/>
        </w:rPr>
      </w:pPr>
    </w:p>
    <w:p>
      <w:pPr>
        <w:ind w:right="420" w:firstLine="216"/>
        <w:spacing w:after="0" w:line="279" w:lineRule="auto"/>
        <w:rPr>
          <w:sz w:val="20"/>
          <w:szCs w:val="20"/>
          <w:color w:val="auto"/>
        </w:rPr>
      </w:pPr>
      <w:r>
        <w:rPr>
          <w:rFonts w:ascii="Times New Roman" w:cs="Times New Roman" w:eastAsia="Times New Roman" w:hAnsi="Times New Roman"/>
          <w:sz w:val="12"/>
          <w:szCs w:val="12"/>
          <w:color w:val="auto"/>
        </w:rPr>
        <w:t>Cartesian Therapeutics, Inc. (the “Company”) from time to time presents and/or distributes to the investment community at various industry and other conferences slide presentations to provide updates and summaries of its business. A copy of its current corporate slide presentation is attached to this Current Report on Form 8-K as Exhibit 99.1.</w:t>
      </w:r>
    </w:p>
    <w:p>
      <w:pPr>
        <w:spacing w:after="0" w:line="39" w:lineRule="exact"/>
        <w:rPr>
          <w:sz w:val="20"/>
          <w:szCs w:val="20"/>
          <w:color w:val="auto"/>
        </w:rPr>
      </w:pPr>
    </w:p>
    <w:p>
      <w:pPr>
        <w:jc w:val="both"/>
        <w:ind w:right="20" w:firstLine="216"/>
        <w:spacing w:after="0" w:line="265" w:lineRule="auto"/>
        <w:rPr>
          <w:sz w:val="20"/>
          <w:szCs w:val="20"/>
          <w:color w:val="auto"/>
        </w:rPr>
      </w:pPr>
      <w:r>
        <w:rPr>
          <w:rFonts w:ascii="Times New Roman" w:cs="Times New Roman" w:eastAsia="Times New Roman" w:hAnsi="Times New Roman"/>
          <w:sz w:val="12"/>
          <w:szCs w:val="12"/>
          <w:color w:val="auto"/>
        </w:rPr>
        <w:t>The information in Item 7.01 of this Form 8-K, including Exhibit 99.1 attached hereto, shall not be deemed “filed” for purposes of Section 18 of the Securities Exchange Act of 1934, as amended (the “Exchange Act”), or otherwise subject to the liabilities of that section, nor shall it be deemed incorporated by reference in any filing under the Securities Act of 1933, as amended, or the Exchange Act, except as expressly set forth by specific reference in such a filing. The Company undertakes no obligation to update, supplement or amend the materials attached hereto as Exhibit 99.1, except as required by law.</w:t>
      </w:r>
    </w:p>
    <w:p>
      <w:pPr>
        <w:spacing w:after="0" w:line="43"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Item 8.01 Other Events.</w:t>
      </w:r>
    </w:p>
    <w:p>
      <w:pPr>
        <w:spacing w:after="0" w:line="82" w:lineRule="exact"/>
        <w:rPr>
          <w:sz w:val="20"/>
          <w:szCs w:val="20"/>
          <w:color w:val="auto"/>
        </w:rPr>
      </w:pPr>
    </w:p>
    <w:p>
      <w:pPr>
        <w:jc w:val="both"/>
        <w:ind w:firstLine="216"/>
        <w:spacing w:after="0" w:line="279" w:lineRule="auto"/>
        <w:rPr>
          <w:sz w:val="20"/>
          <w:szCs w:val="20"/>
          <w:color w:val="auto"/>
        </w:rPr>
      </w:pPr>
      <w:r>
        <w:rPr>
          <w:rFonts w:ascii="Times New Roman" w:cs="Times New Roman" w:eastAsia="Times New Roman" w:hAnsi="Times New Roman"/>
          <w:sz w:val="12"/>
          <w:szCs w:val="12"/>
          <w:color w:val="auto"/>
        </w:rPr>
        <w:t>As previously disclosed, at a special meeting of stockholders held on March 27, 2024, the stockholders of the Company approved the issuance of shares of the Company’s common stock, par value $0.0001 per share (“Common Stock”), upon conversion of the Company’s Series A Non-Voting Convertible Preferred Stock, par value $0.0001 per share (the “Series A Preferred Stock”).</w:t>
      </w:r>
    </w:p>
    <w:p>
      <w:pPr>
        <w:spacing w:after="0" w:line="39" w:lineRule="exact"/>
        <w:rPr>
          <w:sz w:val="20"/>
          <w:szCs w:val="20"/>
          <w:color w:val="auto"/>
        </w:rPr>
      </w:pPr>
    </w:p>
    <w:p>
      <w:pPr>
        <w:jc w:val="both"/>
        <w:ind w:firstLine="216"/>
        <w:spacing w:after="0" w:line="265" w:lineRule="auto"/>
        <w:rPr>
          <w:sz w:val="20"/>
          <w:szCs w:val="20"/>
          <w:color w:val="auto"/>
        </w:rPr>
      </w:pPr>
      <w:r>
        <w:rPr>
          <w:rFonts w:ascii="Times New Roman" w:cs="Times New Roman" w:eastAsia="Times New Roman" w:hAnsi="Times New Roman"/>
          <w:sz w:val="12"/>
          <w:szCs w:val="12"/>
          <w:color w:val="auto"/>
        </w:rPr>
        <w:t>The Automatic Conversion (as defined in the Certificate of Designation) of the Series A Preferred Stock occurred on April 8, 2024 at 5:00 p.m. Eastern Time pursuant to the terms of the Certificate of Designation of Preferences, Rights and Limitations of the Series A Non-Voting Convertible Preferred Stock, as amended (as so amended, the “Certificate of Designation”), of the Series A Preferred Stock. Following the Automatic Conversion of the Series A Preferred Stock, there are 17,779,787 shares of the Company’s Common Stock issued and outstanding.</w:t>
      </w:r>
    </w:p>
    <w:p>
      <w:pPr>
        <w:spacing w:after="0" w:line="43"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Item 9.01 Financial Statements and Exhibits.</w:t>
      </w:r>
    </w:p>
    <w:p>
      <w:pPr>
        <w:spacing w:after="0" w:line="82"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2"/>
          <w:szCs w:val="12"/>
          <w:color w:val="auto"/>
        </w:rPr>
        <w:t>(d) Exhibits</w:t>
      </w:r>
    </w:p>
    <w:p>
      <w:pPr>
        <w:spacing w:after="0" w:line="145" w:lineRule="exact"/>
        <w:rPr>
          <w:sz w:val="20"/>
          <w:szCs w:val="20"/>
          <w:color w:val="auto"/>
        </w:rPr>
      </w:pPr>
    </w:p>
    <w:tbl>
      <w:tblPr>
        <w:tblLayout w:type="fixed"/>
        <w:tblInd w:w="0" w:type="dxa"/>
        <w:tblCellMar>
          <w:top w:w="0" w:type="dxa"/>
          <w:left w:w="0" w:type="dxa"/>
          <w:bottom w:w="0" w:type="dxa"/>
          <w:right w:w="0" w:type="dxa"/>
        </w:tblCellMar>
      </w:tblPr>
      <w:tr>
        <w:trPr>
          <w:trHeight w:val="115"/>
        </w:trPr>
        <w:tc>
          <w:tcPr>
            <w:tcW w:w="1760" w:type="dxa"/>
            <w:vAlign w:val="bottom"/>
            <w:gridSpan w:val="4"/>
          </w:tcPr>
          <w:p>
            <w:pPr>
              <w:jc w:val="center"/>
              <w:ind w:right="540"/>
              <w:spacing w:after="0"/>
              <w:rPr>
                <w:sz w:val="20"/>
                <w:szCs w:val="20"/>
                <w:color w:val="auto"/>
              </w:rPr>
            </w:pPr>
            <w:r>
              <w:rPr>
                <w:rFonts w:ascii="Times New Roman" w:cs="Times New Roman" w:eastAsia="Times New Roman" w:hAnsi="Times New Roman"/>
                <w:sz w:val="10"/>
                <w:szCs w:val="10"/>
                <w:b w:val="1"/>
                <w:bCs w:val="1"/>
                <w:color w:val="auto"/>
                <w:w w:val="94"/>
              </w:rPr>
              <w:t>Exhibit</w:t>
            </w:r>
          </w:p>
        </w:tc>
        <w:tc>
          <w:tcPr>
            <w:tcW w:w="20" w:type="dxa"/>
            <w:vAlign w:val="bottom"/>
          </w:tcPr>
          <w:p>
            <w:pPr>
              <w:spacing w:after="0"/>
              <w:rPr>
                <w:sz w:val="10"/>
                <w:szCs w:val="10"/>
                <w:color w:val="auto"/>
              </w:rPr>
            </w:pPr>
          </w:p>
        </w:tc>
        <w:tc>
          <w:tcPr>
            <w:tcW w:w="3700" w:type="dxa"/>
            <w:vAlign w:val="bottom"/>
          </w:tcPr>
          <w:p>
            <w:pPr>
              <w:spacing w:after="0"/>
              <w:rPr>
                <w:sz w:val="10"/>
                <w:szCs w:val="10"/>
                <w:color w:val="auto"/>
              </w:rPr>
            </w:pPr>
          </w:p>
        </w:tc>
        <w:tc>
          <w:tcPr>
            <w:tcW w:w="5800" w:type="dxa"/>
            <w:vAlign w:val="bottom"/>
            <w:vMerge w:val="restart"/>
          </w:tcPr>
          <w:p>
            <w:pPr>
              <w:ind w:left="640"/>
              <w:spacing w:after="0"/>
              <w:rPr>
                <w:sz w:val="20"/>
                <w:szCs w:val="20"/>
                <w:color w:val="auto"/>
              </w:rPr>
            </w:pPr>
            <w:r>
              <w:rPr>
                <w:rFonts w:ascii="Times New Roman" w:cs="Times New Roman" w:eastAsia="Times New Roman" w:hAnsi="Times New Roman"/>
                <w:sz w:val="10"/>
                <w:szCs w:val="10"/>
                <w:b w:val="1"/>
                <w:bCs w:val="1"/>
                <w:color w:val="auto"/>
              </w:rPr>
              <w:t>Exhibit Description</w:t>
            </w:r>
          </w:p>
        </w:tc>
        <w:tc>
          <w:tcPr>
            <w:tcW w:w="20" w:type="dxa"/>
            <w:vAlign w:val="bottom"/>
            <w:vMerge w:val="restart"/>
          </w:tcPr>
          <w:p>
            <w:pPr>
              <w:spacing w:after="0"/>
              <w:rPr>
                <w:sz w:val="10"/>
                <w:szCs w:val="10"/>
                <w:color w:val="auto"/>
              </w:rPr>
            </w:pPr>
          </w:p>
        </w:tc>
        <w:tc>
          <w:tcPr>
            <w:tcW w:w="0" w:type="dxa"/>
            <w:vAlign w:val="bottom"/>
          </w:tcPr>
          <w:p>
            <w:pPr>
              <w:spacing w:after="0"/>
              <w:rPr>
                <w:sz w:val="1"/>
                <w:szCs w:val="1"/>
                <w:color w:val="auto"/>
              </w:rPr>
            </w:pPr>
          </w:p>
        </w:tc>
      </w:tr>
      <w:tr>
        <w:trPr>
          <w:trHeight w:val="130"/>
        </w:trPr>
        <w:tc>
          <w:tcPr>
            <w:tcW w:w="520" w:type="dxa"/>
            <w:vAlign w:val="bottom"/>
            <w:tcBorders>
              <w:bottom w:val="single" w:sz="8" w:color="auto"/>
            </w:tcBorders>
          </w:tcPr>
          <w:p>
            <w:pPr>
              <w:spacing w:after="0"/>
              <w:rPr>
                <w:sz w:val="11"/>
                <w:szCs w:val="11"/>
                <w:color w:val="auto"/>
              </w:rPr>
            </w:pPr>
          </w:p>
        </w:tc>
        <w:tc>
          <w:tcPr>
            <w:tcW w:w="720" w:type="dxa"/>
            <w:vAlign w:val="bottom"/>
            <w:tcBorders>
              <w:bottom w:val="single" w:sz="8" w:color="auto"/>
            </w:tcBorders>
            <w:gridSpan w:val="2"/>
          </w:tcPr>
          <w:p>
            <w:pPr>
              <w:jc w:val="center"/>
              <w:ind w:right="540"/>
              <w:spacing w:after="0"/>
              <w:rPr>
                <w:sz w:val="20"/>
                <w:szCs w:val="20"/>
                <w:color w:val="auto"/>
              </w:rPr>
            </w:pPr>
            <w:r>
              <w:rPr>
                <w:rFonts w:ascii="Times New Roman" w:cs="Times New Roman" w:eastAsia="Times New Roman" w:hAnsi="Times New Roman"/>
                <w:sz w:val="10"/>
                <w:szCs w:val="10"/>
                <w:b w:val="1"/>
                <w:bCs w:val="1"/>
                <w:color w:val="auto"/>
                <w:w w:val="94"/>
              </w:rPr>
              <w:t>No.</w:t>
            </w:r>
          </w:p>
        </w:tc>
        <w:tc>
          <w:tcPr>
            <w:tcW w:w="52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3700" w:type="dxa"/>
            <w:vAlign w:val="bottom"/>
            <w:tcBorders>
              <w:bottom w:val="single" w:sz="8" w:color="auto"/>
            </w:tcBorders>
          </w:tcPr>
          <w:p>
            <w:pPr>
              <w:spacing w:after="0"/>
              <w:rPr>
                <w:sz w:val="11"/>
                <w:szCs w:val="11"/>
                <w:color w:val="auto"/>
              </w:rPr>
            </w:pPr>
          </w:p>
        </w:tc>
        <w:tc>
          <w:tcPr>
            <w:tcW w:w="5800" w:type="dxa"/>
            <w:vAlign w:val="bottom"/>
            <w:tcBorders>
              <w:bottom w:val="single" w:sz="8" w:color="auto"/>
            </w:tcBorders>
            <w:vMerge w:val="continue"/>
          </w:tcPr>
          <w:p>
            <w:pPr>
              <w:spacing w:after="0"/>
              <w:rPr>
                <w:sz w:val="11"/>
                <w:szCs w:val="11"/>
                <w:color w:val="auto"/>
              </w:rPr>
            </w:pPr>
          </w:p>
        </w:tc>
        <w:tc>
          <w:tcPr>
            <w:tcW w:w="2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273"/>
        </w:trPr>
        <w:tc>
          <w:tcPr>
            <w:tcW w:w="1240" w:type="dxa"/>
            <w:vAlign w:val="bottom"/>
            <w:gridSpan w:val="3"/>
          </w:tcPr>
          <w:p>
            <w:pPr>
              <w:jc w:val="center"/>
              <w:ind w:right="500"/>
              <w:spacing w:after="0"/>
              <w:rPr>
                <w:sz w:val="20"/>
                <w:szCs w:val="20"/>
                <w:color w:val="auto"/>
              </w:rPr>
            </w:pPr>
            <w:r>
              <w:rPr>
                <w:rFonts w:ascii="Times New Roman" w:cs="Times New Roman" w:eastAsia="Times New Roman" w:hAnsi="Times New Roman"/>
                <w:sz w:val="12"/>
                <w:szCs w:val="12"/>
                <w:color w:val="0000FF"/>
              </w:rPr>
              <w:t>99.</w:t>
            </w:r>
            <w:r>
              <w:rPr>
                <w:rFonts w:ascii="Times New Roman" w:cs="Times New Roman" w:eastAsia="Times New Roman" w:hAnsi="Times New Roman"/>
                <w:sz w:val="12"/>
                <w:szCs w:val="12"/>
                <w:u w:val="single" w:color="auto"/>
                <w:color w:val="0000FF"/>
              </w:rPr>
              <w:t>1</w:t>
            </w:r>
          </w:p>
        </w:tc>
        <w:tc>
          <w:tcPr>
            <w:tcW w:w="5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9520" w:type="dxa"/>
            <w:vAlign w:val="bottom"/>
            <w:gridSpan w:val="3"/>
          </w:tcPr>
          <w:p>
            <w:pPr>
              <w:spacing w:after="0"/>
              <w:rPr>
                <w:sz w:val="20"/>
                <w:szCs w:val="20"/>
                <w:color w:val="auto"/>
              </w:rPr>
            </w:pPr>
            <w:r>
              <w:rPr>
                <w:rFonts w:ascii="Times New Roman" w:cs="Times New Roman" w:eastAsia="Times New Roman" w:hAnsi="Times New Roman"/>
                <w:sz w:val="12"/>
                <w:szCs w:val="12"/>
                <w:color w:val="0000FF"/>
              </w:rPr>
              <w:t>Corporate slide presentation of Cartesian Therapeutics, Inc. dated April 2024</w:t>
            </w:r>
          </w:p>
        </w:tc>
        <w:tc>
          <w:tcPr>
            <w:tcW w:w="0" w:type="dxa"/>
            <w:vAlign w:val="bottom"/>
          </w:tcPr>
          <w:p>
            <w:pPr>
              <w:spacing w:after="0"/>
              <w:rPr>
                <w:sz w:val="1"/>
                <w:szCs w:val="1"/>
                <w:color w:val="auto"/>
              </w:rPr>
            </w:pPr>
          </w:p>
        </w:tc>
      </w:tr>
      <w:tr>
        <w:trPr>
          <w:trHeight w:val="20"/>
        </w:trPr>
        <w:tc>
          <w:tcPr>
            <w:tcW w:w="520" w:type="dxa"/>
            <w:vAlign w:val="bottom"/>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700" w:type="dxa"/>
            <w:vAlign w:val="bottom"/>
            <w:shd w:val="clear" w:color="auto" w:fill="0000FF"/>
          </w:tcPr>
          <w:p>
            <w:pPr>
              <w:spacing w:after="0" w:line="20" w:lineRule="exact"/>
              <w:rPr>
                <w:sz w:val="1"/>
                <w:szCs w:val="1"/>
                <w:color w:val="auto"/>
              </w:rPr>
            </w:pPr>
          </w:p>
        </w:tc>
        <w:tc>
          <w:tcPr>
            <w:tcW w:w="58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0"/>
        </w:trPr>
        <w:tc>
          <w:tcPr>
            <w:tcW w:w="520" w:type="dxa"/>
            <w:vAlign w:val="bottom"/>
          </w:tcPr>
          <w:p>
            <w:pPr>
              <w:spacing w:after="0"/>
              <w:rPr>
                <w:sz w:val="13"/>
                <w:szCs w:val="13"/>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2"/>
                <w:szCs w:val="12"/>
                <w:color w:val="auto"/>
                <w:w w:val="88"/>
              </w:rPr>
              <w:t>104</w:t>
            </w:r>
          </w:p>
        </w:tc>
        <w:tc>
          <w:tcPr>
            <w:tcW w:w="5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520" w:type="dxa"/>
            <w:vAlign w:val="bottom"/>
            <w:gridSpan w:val="3"/>
          </w:tcPr>
          <w:p>
            <w:pPr>
              <w:spacing w:after="0"/>
              <w:rPr>
                <w:sz w:val="20"/>
                <w:szCs w:val="20"/>
                <w:color w:val="auto"/>
              </w:rPr>
            </w:pPr>
            <w:r>
              <w:rPr>
                <w:rFonts w:ascii="Times New Roman" w:cs="Times New Roman" w:eastAsia="Times New Roman" w:hAnsi="Times New Roman"/>
                <w:sz w:val="12"/>
                <w:szCs w:val="12"/>
                <w:color w:val="auto"/>
              </w:rPr>
              <w:t>Cover Page Interactive Data File (embedded within the Inline XBRL document)</w:t>
            </w:r>
          </w:p>
        </w:tc>
        <w:tc>
          <w:tcPr>
            <w:tcW w:w="0" w:type="dxa"/>
            <w:vAlign w:val="bottom"/>
          </w:tcPr>
          <w:p>
            <w:pPr>
              <w:spacing w:after="0"/>
              <w:rPr>
                <w:sz w:val="1"/>
                <w:szCs w:val="1"/>
                <w:color w:val="auto"/>
              </w:rPr>
            </w:pPr>
          </w:p>
        </w:tc>
      </w:tr>
      <w:tr>
        <w:trPr>
          <w:trHeight w:val="630"/>
        </w:trPr>
        <w:tc>
          <w:tcPr>
            <w:tcW w:w="52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520" w:type="dxa"/>
            <w:vAlign w:val="bottom"/>
            <w:tcBorders>
              <w:bottom w:val="single" w:sz="8" w:color="9A9A9A"/>
            </w:tcBorders>
          </w:tcPr>
          <w:p>
            <w:pPr>
              <w:spacing w:after="0"/>
              <w:rPr>
                <w:sz w:val="24"/>
                <w:szCs w:val="24"/>
                <w:color w:val="auto"/>
              </w:rPr>
            </w:pPr>
          </w:p>
        </w:tc>
        <w:tc>
          <w:tcPr>
            <w:tcW w:w="5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3700" w:type="dxa"/>
            <w:vAlign w:val="bottom"/>
            <w:tcBorders>
              <w:bottom w:val="single" w:sz="8" w:color="9A9A9A"/>
            </w:tcBorders>
          </w:tcPr>
          <w:p>
            <w:pPr>
              <w:spacing w:after="0"/>
              <w:rPr>
                <w:sz w:val="24"/>
                <w:szCs w:val="24"/>
                <w:color w:val="auto"/>
              </w:rPr>
            </w:pPr>
          </w:p>
        </w:tc>
        <w:tc>
          <w:tcPr>
            <w:tcW w:w="580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7154545</wp:posOffset>
            </wp:positionH>
            <wp:positionV relativeFrom="paragraph">
              <wp:posOffset>-23495</wp:posOffset>
            </wp:positionV>
            <wp:extent cx="31115" cy="3683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1115" cy="36830"/>
                    </a:xfrm>
                    <a:prstGeom prst="rect">
                      <a:avLst/>
                    </a:prstGeom>
                    <a:noFill/>
                  </pic:spPr>
                </pic:pic>
              </a:graphicData>
            </a:graphic>
          </wp:anchor>
        </w:drawing>
        <w:drawing>
          <wp:anchor simplePos="0" relativeHeight="251657728" behindDoc="1" locked="0" layoutInCell="0" allowOverlap="1">
            <wp:simplePos x="0" y="0"/>
            <wp:positionH relativeFrom="column">
              <wp:posOffset>-17145</wp:posOffset>
            </wp:positionH>
            <wp:positionV relativeFrom="paragraph">
              <wp:posOffset>-23495</wp:posOffset>
            </wp:positionV>
            <wp:extent cx="31115" cy="368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31115" cy="36830"/>
                    </a:xfrm>
                    <a:prstGeom prst="rect">
                      <a:avLst/>
                    </a:prstGeom>
                    <a:noFill/>
                  </pic:spPr>
                </pic:pic>
              </a:graphicData>
            </a:graphic>
          </wp:anchor>
        </w:drawing>
      </w:r>
    </w:p>
    <w:p>
      <w:pPr>
        <w:sectPr>
          <w:pgSz w:w="11900" w:h="16838" w:orient="portrait"/>
          <w:cols w:equalWidth="0" w:num="1">
            <w:col w:w="11300"/>
          </w:cols>
          <w:pgMar w:left="300" w:top="629" w:right="299" w:bottom="1440" w:gutter="0" w:footer="0" w:header="0"/>
        </w:sectPr>
      </w:pPr>
    </w:p>
    <w:bookmarkStart w:id="2" w:name="page3"/>
    <w:bookmarkEnd w:id="2"/>
    <w:p>
      <w:pPr>
        <w:jc w:val="center"/>
        <w:ind w:right="-19"/>
        <w:spacing w:after="0"/>
        <w:rPr>
          <w:sz w:val="20"/>
          <w:szCs w:val="20"/>
          <w:color w:val="auto"/>
        </w:rPr>
      </w:pPr>
      <w:r>
        <w:rPr>
          <w:rFonts w:ascii="Times New Roman" w:cs="Times New Roman" w:eastAsia="Times New Roman" w:hAnsi="Times New Roman"/>
          <w:sz w:val="12"/>
          <w:szCs w:val="12"/>
          <w:b w:val="1"/>
          <w:bCs w:val="1"/>
          <w:color w:val="auto"/>
        </w:rPr>
        <w:t>SIGNATURES</w:t>
      </w:r>
    </w:p>
    <w:p>
      <w:pPr>
        <w:spacing w:after="0" w:line="154"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2"/>
          <w:szCs w:val="12"/>
          <w:color w:val="auto"/>
        </w:rPr>
        <w:t>Pursuant to the requirements of the Securities Exchange Act of 1934, the registrant has duly caused this report to be signed on its behalf by the undersigned hereunto duly authorized.</w:t>
      </w:r>
    </w:p>
    <w:p>
      <w:pPr>
        <w:spacing w:after="0" w:line="240" w:lineRule="exact"/>
        <w:rPr>
          <w:sz w:val="20"/>
          <w:szCs w:val="20"/>
          <w:color w:val="auto"/>
        </w:rPr>
      </w:pPr>
    </w:p>
    <w:tbl>
      <w:tblPr>
        <w:tblLayout w:type="fixed"/>
        <w:tblInd w:w="0" w:type="dxa"/>
        <w:tblCellMar>
          <w:top w:w="0" w:type="dxa"/>
          <w:left w:w="0" w:type="dxa"/>
          <w:bottom w:w="0" w:type="dxa"/>
          <w:right w:w="0" w:type="dxa"/>
        </w:tblCellMar>
      </w:tblPr>
      <w:tr>
        <w:trPr>
          <w:trHeight w:val="155"/>
        </w:trPr>
        <w:tc>
          <w:tcPr>
            <w:tcW w:w="3220" w:type="dxa"/>
            <w:vAlign w:val="bottom"/>
          </w:tcPr>
          <w:p>
            <w:pPr>
              <w:spacing w:after="0"/>
              <w:rPr>
                <w:sz w:val="13"/>
                <w:szCs w:val="13"/>
                <w:color w:val="auto"/>
              </w:rPr>
            </w:pPr>
          </w:p>
        </w:tc>
        <w:tc>
          <w:tcPr>
            <w:tcW w:w="8040" w:type="dxa"/>
            <w:vAlign w:val="bottom"/>
            <w:gridSpan w:val="2"/>
          </w:tcPr>
          <w:p>
            <w:pPr>
              <w:ind w:left="2300"/>
              <w:spacing w:after="0"/>
              <w:rPr>
                <w:sz w:val="20"/>
                <w:szCs w:val="20"/>
                <w:color w:val="auto"/>
              </w:rPr>
            </w:pPr>
            <w:r>
              <w:rPr>
                <w:rFonts w:ascii="Times New Roman" w:cs="Times New Roman" w:eastAsia="Times New Roman" w:hAnsi="Times New Roman"/>
                <w:sz w:val="12"/>
                <w:szCs w:val="12"/>
                <w:color w:val="auto"/>
              </w:rPr>
              <w:t>CARTESIAN THERAPEUTICS, INC.</w:t>
            </w:r>
          </w:p>
        </w:tc>
      </w:tr>
      <w:tr>
        <w:trPr>
          <w:trHeight w:val="459"/>
        </w:trPr>
        <w:tc>
          <w:tcPr>
            <w:tcW w:w="3220" w:type="dxa"/>
            <w:vAlign w:val="bottom"/>
          </w:tcPr>
          <w:p>
            <w:pPr>
              <w:spacing w:after="0"/>
              <w:rPr>
                <w:sz w:val="20"/>
                <w:szCs w:val="20"/>
                <w:color w:val="auto"/>
              </w:rPr>
            </w:pPr>
            <w:r>
              <w:rPr>
                <w:rFonts w:ascii="Times New Roman" w:cs="Times New Roman" w:eastAsia="Times New Roman" w:hAnsi="Times New Roman"/>
                <w:sz w:val="12"/>
                <w:szCs w:val="12"/>
                <w:color w:val="auto"/>
              </w:rPr>
              <w:t>Date: April 9, 2024</w:t>
            </w:r>
          </w:p>
        </w:tc>
        <w:tc>
          <w:tcPr>
            <w:tcW w:w="2880" w:type="dxa"/>
            <w:vAlign w:val="bottom"/>
          </w:tcPr>
          <w:p>
            <w:pPr>
              <w:ind w:left="2300"/>
              <w:spacing w:after="0"/>
              <w:rPr>
                <w:sz w:val="20"/>
                <w:szCs w:val="20"/>
                <w:color w:val="auto"/>
              </w:rPr>
            </w:pPr>
            <w:r>
              <w:rPr>
                <w:rFonts w:ascii="Times New Roman" w:cs="Times New Roman" w:eastAsia="Times New Roman" w:hAnsi="Times New Roman"/>
                <w:sz w:val="12"/>
                <w:szCs w:val="12"/>
                <w:color w:val="auto"/>
              </w:rPr>
              <w:t>By:</w:t>
            </w:r>
          </w:p>
        </w:tc>
        <w:tc>
          <w:tcPr>
            <w:tcW w:w="51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2"/>
                <w:szCs w:val="12"/>
                <w:color w:val="auto"/>
              </w:rPr>
              <w:t>/s/ Carsten Brunn, Ph.D.</w:t>
            </w:r>
          </w:p>
        </w:tc>
      </w:tr>
      <w:tr>
        <w:trPr>
          <w:trHeight w:val="140"/>
        </w:trPr>
        <w:tc>
          <w:tcPr>
            <w:tcW w:w="3220" w:type="dxa"/>
            <w:vAlign w:val="bottom"/>
          </w:tcPr>
          <w:p>
            <w:pPr>
              <w:spacing w:after="0"/>
              <w:rPr>
                <w:sz w:val="12"/>
                <w:szCs w:val="12"/>
                <w:color w:val="auto"/>
              </w:rPr>
            </w:pPr>
          </w:p>
        </w:tc>
        <w:tc>
          <w:tcPr>
            <w:tcW w:w="2880" w:type="dxa"/>
            <w:vAlign w:val="bottom"/>
          </w:tcPr>
          <w:p>
            <w:pPr>
              <w:spacing w:after="0"/>
              <w:rPr>
                <w:sz w:val="12"/>
                <w:szCs w:val="12"/>
                <w:color w:val="auto"/>
              </w:rPr>
            </w:pPr>
          </w:p>
        </w:tc>
        <w:tc>
          <w:tcPr>
            <w:tcW w:w="5160" w:type="dxa"/>
            <w:vAlign w:val="bottom"/>
          </w:tcPr>
          <w:p>
            <w:pPr>
              <w:spacing w:after="0"/>
              <w:rPr>
                <w:sz w:val="20"/>
                <w:szCs w:val="20"/>
                <w:color w:val="auto"/>
              </w:rPr>
            </w:pPr>
            <w:r>
              <w:rPr>
                <w:rFonts w:ascii="Times New Roman" w:cs="Times New Roman" w:eastAsia="Times New Roman" w:hAnsi="Times New Roman"/>
                <w:sz w:val="12"/>
                <w:szCs w:val="12"/>
                <w:color w:val="auto"/>
              </w:rPr>
              <w:t>Carsten Brunn, Ph.D.</w:t>
            </w:r>
          </w:p>
        </w:tc>
      </w:tr>
      <w:tr>
        <w:trPr>
          <w:trHeight w:val="155"/>
        </w:trPr>
        <w:tc>
          <w:tcPr>
            <w:tcW w:w="3220" w:type="dxa"/>
            <w:vAlign w:val="bottom"/>
          </w:tcPr>
          <w:p>
            <w:pPr>
              <w:spacing w:after="0"/>
              <w:rPr>
                <w:sz w:val="13"/>
                <w:szCs w:val="13"/>
                <w:color w:val="auto"/>
              </w:rPr>
            </w:pPr>
          </w:p>
        </w:tc>
        <w:tc>
          <w:tcPr>
            <w:tcW w:w="2880" w:type="dxa"/>
            <w:vAlign w:val="bottom"/>
          </w:tcPr>
          <w:p>
            <w:pPr>
              <w:spacing w:after="0"/>
              <w:rPr>
                <w:sz w:val="13"/>
                <w:szCs w:val="13"/>
                <w:color w:val="auto"/>
              </w:rPr>
            </w:pPr>
          </w:p>
        </w:tc>
        <w:tc>
          <w:tcPr>
            <w:tcW w:w="5160" w:type="dxa"/>
            <w:vAlign w:val="bottom"/>
          </w:tcPr>
          <w:p>
            <w:pPr>
              <w:spacing w:after="0"/>
              <w:rPr>
                <w:sz w:val="20"/>
                <w:szCs w:val="20"/>
                <w:color w:val="auto"/>
              </w:rPr>
            </w:pPr>
            <w:r>
              <w:rPr>
                <w:rFonts w:ascii="Times New Roman" w:cs="Times New Roman" w:eastAsia="Times New Roman" w:hAnsi="Times New Roman"/>
                <w:sz w:val="12"/>
                <w:szCs w:val="12"/>
                <w:color w:val="auto"/>
              </w:rPr>
              <w:t>President and Chief Executive Officer</w:t>
            </w:r>
          </w:p>
        </w:tc>
      </w:tr>
    </w:tbl>
    <w:p>
      <w:pPr>
        <w:sectPr>
          <w:pgSz w:w="11900" w:h="16838" w:orient="portrait"/>
          <w:cols w:equalWidth="0" w:num="1">
            <w:col w:w="11260"/>
          </w:cols>
          <w:pgMar w:left="300" w:top="557" w:right="339" w:bottom="1440" w:gutter="0" w:footer="0" w:header="0"/>
        </w:sectPr>
      </w:pPr>
    </w:p>
    <w:bookmarkStart w:id="3" w:name="page4"/>
    <w:bookmarkEnd w:id="3"/>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271780</wp:posOffset>
            </wp:positionV>
            <wp:extent cx="7130415" cy="4850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0415" cy="485013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 w:name="page5"/>
    <w:bookmarkEnd w:id="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48558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0415" cy="485584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 w:name="page6"/>
    <w:bookmarkEnd w:id="5"/>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485013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0415" cy="485013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 w:name="page7"/>
    <w:bookmarkEnd w:id="6"/>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485013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0415" cy="485013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 w:name="page8"/>
    <w:bookmarkEnd w:id="7"/>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485013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0415" cy="485013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 w:name="page9"/>
    <w:bookmarkEnd w:id="8"/>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485013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0415" cy="485013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 w:name="page10"/>
    <w:bookmarkEnd w:id="9"/>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485013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0415" cy="485013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 w:name="page11"/>
    <w:bookmarkEnd w:id="10"/>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485013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0415" cy="485013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 w:name="page12"/>
    <w:bookmarkEnd w:id="11"/>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485013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0415" cy="485013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 w:name="page13"/>
    <w:bookmarkEnd w:id="12"/>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485013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0415" cy="485013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 w:name="page14"/>
    <w:bookmarkEnd w:id="13"/>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485013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0415" cy="485013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4" w:name="page15"/>
    <w:bookmarkEnd w:id="1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485013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0415" cy="485013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5" w:name="page16"/>
    <w:bookmarkEnd w:id="15"/>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485013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0415" cy="485013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6" w:name="page17"/>
    <w:bookmarkEnd w:id="16"/>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485013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0415" cy="485013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7" w:name="page18"/>
    <w:bookmarkEnd w:id="17"/>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485013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0415" cy="485013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8" w:name="page19"/>
    <w:bookmarkEnd w:id="18"/>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485013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0415" cy="485013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9" w:name="page20"/>
    <w:bookmarkEnd w:id="19"/>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485013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0415" cy="485013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0" w:name="page21"/>
    <w:bookmarkEnd w:id="20"/>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485013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0415" cy="485013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1" w:name="page22"/>
    <w:bookmarkEnd w:id="21"/>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485013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0415" cy="485013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2" w:name="page23"/>
    <w:bookmarkEnd w:id="22"/>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485013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0415" cy="485013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3" w:name="page24"/>
    <w:bookmarkEnd w:id="23"/>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485013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0415" cy="485013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4" w:name="page25"/>
    <w:bookmarkEnd w:id="2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485013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0415" cy="485013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5" w:name="page26"/>
    <w:bookmarkEnd w:id="25"/>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485013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0415" cy="485013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6" w:name="page27"/>
    <w:bookmarkEnd w:id="26"/>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485013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0415" cy="485013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7" w:name="page28"/>
    <w:bookmarkEnd w:id="27"/>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485013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0415" cy="485013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8" w:name="page29"/>
    <w:bookmarkEnd w:id="28"/>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485013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0415" cy="485013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9" w:name="page30"/>
    <w:bookmarkEnd w:id="29"/>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Wingdings">
    <w:panose1 w:val="05000000000000000000"/>
    <w:charset w:val="00"/>
    <w:family w:val="auto"/>
    <w:pitch w:val="variable"/>
    <w:sig w:usb0="00000000" w:usb1="00000000" w:usb2="00000000" w:usb3="00000000" w:csb0="80000000"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2024-04-09T06:06:28Z</dcterms:created>
  <dcterms:modified xsi:type="dcterms:W3CDTF">2024-04-09T06:06:28Z</dcterms:modified>
</cp:coreProperties>
</file>