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295910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79"/>
        <w:spacing w:after="0"/>
        <w:tabs>
          <w:tab w:leader="none" w:pos="26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304800</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79"/>
        <w:spacing w:after="0"/>
        <w:rPr>
          <w:sz w:val="20"/>
          <w:szCs w:val="20"/>
          <w:color w:val="auto"/>
        </w:rPr>
      </w:pPr>
      <w:r>
        <w:rPr>
          <w:rFonts w:ascii="Arial" w:cs="Arial" w:eastAsia="Arial" w:hAnsi="Arial"/>
          <w:sz w:val="40"/>
          <w:szCs w:val="40"/>
          <w:b w:val="1"/>
          <w:bCs w:val="1"/>
          <w:color w:val="auto"/>
        </w:rPr>
        <w:t>Selecta Biosciences, Inc.</w:t>
      </w:r>
    </w:p>
    <w:p>
      <w:pPr>
        <w:spacing w:after="0" w:line="35"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Common Stock, $0.0001 par value per share</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816212104</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Mark A. Haddad</w:t>
      </w:r>
    </w:p>
    <w:p>
      <w:pPr>
        <w:spacing w:after="0" w:line="27"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Foley Hoag LLP</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155 Seaport Boulevard</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Boston, MA 02210</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Tel: (617) 832-1000</w:t>
      </w:r>
    </w:p>
    <w:p>
      <w:pPr>
        <w:spacing w:after="0" w:line="9"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Fax: (617) 832-7000</w:t>
      </w:r>
    </w:p>
    <w:p>
      <w:pPr>
        <w:spacing w:after="0" w:line="2"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200" w:lineRule="exact"/>
        <w:rPr>
          <w:sz w:val="24"/>
          <w:szCs w:val="24"/>
          <w:color w:val="auto"/>
        </w:rPr>
      </w:pPr>
    </w:p>
    <w:p>
      <w:pPr>
        <w:spacing w:after="0" w:line="208" w:lineRule="exact"/>
        <w:rPr>
          <w:sz w:val="24"/>
          <w:szCs w:val="24"/>
          <w:color w:val="auto"/>
        </w:rPr>
      </w:pPr>
    </w:p>
    <w:p>
      <w:pPr>
        <w:jc w:val="center"/>
        <w:ind w:right="-79"/>
        <w:spacing w:after="0"/>
        <w:rPr>
          <w:sz w:val="20"/>
          <w:szCs w:val="20"/>
          <w:color w:val="auto"/>
        </w:rPr>
      </w:pPr>
      <w:r>
        <w:rPr>
          <w:rFonts w:ascii="Arial" w:cs="Arial" w:eastAsia="Arial" w:hAnsi="Arial"/>
          <w:sz w:val="18"/>
          <w:szCs w:val="18"/>
          <w:b w:val="1"/>
          <w:bCs w:val="1"/>
          <w:color w:val="auto"/>
        </w:rPr>
        <w:t>November 9, 2017</w:t>
      </w:r>
    </w:p>
    <w:p>
      <w:pPr>
        <w:spacing w:after="0" w:line="2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296545</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§§240.13d-1(e), 240.13d-1(f) or 240.13d-1(g), check the following box.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150495</wp:posOffset>
            </wp:positionV>
            <wp:extent cx="6997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53" w:lineRule="exact"/>
        <w:rPr>
          <w:sz w:val="24"/>
          <w:szCs w:val="24"/>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 See §240.13d-7 for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to whom copies are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37465</wp:posOffset>
            </wp:positionV>
            <wp:extent cx="6997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308" w:lineRule="exact"/>
        <w:rPr>
          <w:sz w:val="24"/>
          <w:szCs w:val="24"/>
          <w:color w:val="auto"/>
        </w:rPr>
      </w:pPr>
    </w:p>
    <w:p>
      <w:pPr>
        <w:ind w:left="440" w:hanging="436"/>
        <w:spacing w:after="0" w:line="308" w:lineRule="auto"/>
        <w:tabs>
          <w:tab w:leader="none" w:pos="440"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7" w:lineRule="exact"/>
        <w:rPr>
          <w:sz w:val="24"/>
          <w:szCs w:val="24"/>
          <w:color w:val="auto"/>
        </w:rPr>
      </w:pPr>
    </w:p>
    <w:p>
      <w:pPr>
        <w:ind w:right="20"/>
        <w:spacing w:after="0" w:line="264"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149860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193040</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60"/>
          </w:cols>
          <w:pgMar w:left="440" w:top="517" w:right="4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p>
        </w:tc>
        <w:tc>
          <w:tcPr>
            <w:tcW w:w="3620" w:type="dxa"/>
            <w:vAlign w:val="bottom"/>
          </w:tcPr>
          <w:p>
            <w:pPr>
              <w:ind w:left="1400"/>
              <w:spacing w:after="0"/>
              <w:rPr>
                <w:sz w:val="20"/>
                <w:szCs w:val="20"/>
                <w:color w:val="auto"/>
              </w:rPr>
            </w:pPr>
            <w:r>
              <w:rPr>
                <w:rFonts w:ascii="Arial" w:cs="Arial" w:eastAsia="Arial" w:hAnsi="Arial"/>
                <w:sz w:val="18"/>
                <w:szCs w:val="18"/>
                <w:b w:val="1"/>
                <w:bCs w:val="1"/>
                <w:color w:val="auto"/>
              </w:rPr>
              <w:t>13D</w:t>
            </w:r>
          </w:p>
        </w:tc>
        <w:tc>
          <w:tcPr>
            <w:tcW w:w="3340" w:type="dxa"/>
            <w:vAlign w:val="bottom"/>
          </w:tcPr>
          <w:p>
            <w:pPr>
              <w:ind w:left="1920"/>
              <w:spacing w:after="0"/>
              <w:rPr>
                <w:sz w:val="20"/>
                <w:szCs w:val="20"/>
                <w:color w:val="auto"/>
              </w:rPr>
            </w:pPr>
            <w:r>
              <w:rPr>
                <w:rFonts w:ascii="Arial" w:cs="Arial" w:eastAsia="Arial" w:hAnsi="Arial"/>
                <w:sz w:val="18"/>
                <w:szCs w:val="18"/>
                <w:b w:val="1"/>
                <w:bCs w:val="1"/>
                <w:color w:val="auto"/>
                <w:w w:val="85"/>
              </w:rPr>
              <w:t>Page 2 of 10 Pages</w:t>
            </w:r>
          </w:p>
        </w:tc>
      </w:tr>
      <w:tr>
        <w:trPr>
          <w:trHeight w:val="149"/>
        </w:trPr>
        <w:tc>
          <w:tcPr>
            <w:tcW w:w="20" w:type="dxa"/>
            <w:vAlign w:val="bottom"/>
          </w:tcPr>
          <w:p>
            <w:pPr>
              <w:spacing w:after="0"/>
              <w:rPr>
                <w:sz w:val="12"/>
                <w:szCs w:val="12"/>
                <w:color w:val="auto"/>
              </w:rPr>
            </w:pPr>
          </w:p>
        </w:tc>
        <w:tc>
          <w:tcPr>
            <w:tcW w:w="4060" w:type="dxa"/>
            <w:vAlign w:val="bottom"/>
            <w:tcBorders>
              <w:bottom w:val="single" w:sz="8" w:color="auto"/>
            </w:tcBorders>
          </w:tcPr>
          <w:p>
            <w:pPr>
              <w:spacing w:after="0"/>
              <w:rPr>
                <w:sz w:val="12"/>
                <w:szCs w:val="12"/>
                <w:color w:val="auto"/>
              </w:rPr>
            </w:pPr>
          </w:p>
        </w:tc>
        <w:tc>
          <w:tcPr>
            <w:tcW w:w="3620" w:type="dxa"/>
            <w:vAlign w:val="bottom"/>
            <w:tcBorders>
              <w:bottom w:val="single" w:sz="8" w:color="auto"/>
            </w:tcBorders>
          </w:tcPr>
          <w:p>
            <w:pPr>
              <w:spacing w:after="0"/>
              <w:rPr>
                <w:sz w:val="12"/>
                <w:szCs w:val="12"/>
                <w:color w:val="auto"/>
              </w:rPr>
            </w:pPr>
          </w:p>
        </w:tc>
        <w:tc>
          <w:tcPr>
            <w:tcW w:w="3340" w:type="dxa"/>
            <w:vAlign w:val="bottom"/>
            <w:tcBorders>
              <w:bottom w:val="single" w:sz="8" w:color="auto"/>
            </w:tcBorders>
          </w:tcPr>
          <w:p>
            <w:pPr>
              <w:spacing w:after="0"/>
              <w:rPr>
                <w:sz w:val="12"/>
                <w:szCs w:val="12"/>
                <w:color w:val="auto"/>
              </w:rPr>
            </w:pPr>
          </w:p>
        </w:tc>
      </w:tr>
      <w:tr>
        <w:trPr>
          <w:trHeight w:val="224"/>
        </w:trPr>
        <w:tc>
          <w:tcPr>
            <w:tcW w:w="20" w:type="dxa"/>
            <w:vAlign w:val="bottom"/>
          </w:tcPr>
          <w:p>
            <w:pPr>
              <w:spacing w:after="0"/>
              <w:rPr>
                <w:sz w:val="19"/>
                <w:szCs w:val="19"/>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1.  Names of Reporting Persons.</w:t>
            </w:r>
          </w:p>
        </w:tc>
        <w:tc>
          <w:tcPr>
            <w:tcW w:w="3620" w:type="dxa"/>
            <w:vAlign w:val="bottom"/>
          </w:tcPr>
          <w:p>
            <w:pPr>
              <w:spacing w:after="0"/>
              <w:rPr>
                <w:sz w:val="19"/>
                <w:szCs w:val="19"/>
                <w:color w:val="auto"/>
              </w:rPr>
            </w:pPr>
          </w:p>
        </w:tc>
        <w:tc>
          <w:tcPr>
            <w:tcW w:w="33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column">
              <wp:posOffset>7004685</wp:posOffset>
            </wp:positionH>
            <wp:positionV relativeFrom="paragraph">
              <wp:posOffset>-154305</wp:posOffset>
            </wp:positionV>
            <wp:extent cx="8890" cy="6011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-154305</wp:posOffset>
            </wp:positionV>
            <wp:extent cx="8890" cy="6011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-154305</wp:posOffset>
            </wp:positionV>
            <wp:extent cx="8890" cy="24612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2461260"/>
                    </a:xfrm>
                    <a:prstGeom prst="rect">
                      <a:avLst/>
                    </a:prstGeom>
                    <a:noFill/>
                  </pic:spPr>
                </pic:pic>
              </a:graphicData>
            </a:graphic>
          </wp:anchor>
        </w:drawing>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5"/>
          </w:tcPr>
          <w:p>
            <w:pPr>
              <w:ind w:left="80"/>
              <w:spacing w:after="0"/>
              <w:rPr>
                <w:sz w:val="20"/>
                <w:szCs w:val="20"/>
                <w:color w:val="auto"/>
              </w:rPr>
            </w:pPr>
            <w:r>
              <w:rPr>
                <w:rFonts w:ascii="Arial" w:cs="Arial" w:eastAsia="Arial" w:hAnsi="Arial"/>
                <w:sz w:val="22"/>
                <w:szCs w:val="22"/>
                <w:color w:val="auto"/>
              </w:rPr>
              <w:t>Timothy A. Springer</w:t>
            </w:r>
          </w:p>
        </w:tc>
        <w:tc>
          <w:tcPr>
            <w:tcW w:w="0" w:type="dxa"/>
            <w:vAlign w:val="bottom"/>
          </w:tcPr>
          <w:p>
            <w:pPr>
              <w:spacing w:after="0"/>
              <w:rPr>
                <w:sz w:val="1"/>
                <w:szCs w:val="1"/>
                <w:color w:val="auto"/>
              </w:rPr>
            </w:pPr>
          </w:p>
        </w:tc>
      </w:tr>
      <w:tr>
        <w:trPr>
          <w:trHeight w:val="164"/>
        </w:trPr>
        <w:tc>
          <w:tcPr>
            <w:tcW w:w="36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4"/>
                <w:szCs w:val="14"/>
                <w:color w:val="auto"/>
              </w:rPr>
            </w:pPr>
          </w:p>
        </w:tc>
        <w:tc>
          <w:tcPr>
            <w:tcW w:w="10580" w:type="dxa"/>
            <w:vAlign w:val="bottom"/>
            <w:gridSpan w:val="5"/>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(b)</w:t>
            </w:r>
          </w:p>
        </w:tc>
        <w:tc>
          <w:tcPr>
            <w:tcW w:w="94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spacing w:after="0"/>
              <w:rPr>
                <w:sz w:val="20"/>
                <w:szCs w:val="20"/>
                <w:color w:val="auto"/>
              </w:rPr>
            </w:pPr>
          </w:p>
        </w:tc>
        <w:tc>
          <w:tcPr>
            <w:tcW w:w="9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160" w:type="dxa"/>
            <w:vAlign w:val="bottom"/>
            <w:gridSpan w:val="4"/>
          </w:tcPr>
          <w:p>
            <w:pPr>
              <w:ind w:left="80"/>
              <w:spacing w:after="0"/>
              <w:rPr>
                <w:sz w:val="20"/>
                <w:szCs w:val="20"/>
                <w:color w:val="auto"/>
              </w:rPr>
            </w:pPr>
            <w:r>
              <w:rPr>
                <w:rFonts w:ascii="Arial" w:cs="Arial" w:eastAsia="Arial" w:hAnsi="Arial"/>
                <w:sz w:val="18"/>
                <w:szCs w:val="18"/>
                <w:color w:val="auto"/>
                <w:w w:val="91"/>
              </w:rPr>
              <w:t>SEC Use Only</w:t>
            </w:r>
          </w:p>
        </w:tc>
        <w:tc>
          <w:tcPr>
            <w:tcW w:w="9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580" w:type="dxa"/>
            <w:vAlign w:val="bottom"/>
            <w:tcBorders>
              <w:bottom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PF</w:t>
            </w: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42"/>
        </w:trPr>
        <w:tc>
          <w:tcPr>
            <w:tcW w:w="3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580" w:type="dxa"/>
            <w:vAlign w:val="bottom"/>
            <w:tcBorders>
              <w:bottom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5"/>
          </w:tcPr>
          <w:p>
            <w:pPr>
              <w:ind w:left="80"/>
              <w:spacing w:after="0"/>
              <w:rPr>
                <w:sz w:val="20"/>
                <w:szCs w:val="20"/>
                <w:color w:val="auto"/>
              </w:rPr>
            </w:pPr>
            <w:r>
              <w:rPr>
                <w:rFonts w:ascii="Arial" w:cs="Arial" w:eastAsia="Arial" w:hAnsi="Arial"/>
                <w:sz w:val="22"/>
                <w:szCs w:val="22"/>
                <w:color w:val="auto"/>
              </w:rPr>
              <w:t>United States</w:t>
            </w:r>
          </w:p>
        </w:tc>
        <w:tc>
          <w:tcPr>
            <w:tcW w:w="0" w:type="dxa"/>
            <w:vAlign w:val="bottom"/>
          </w:tcPr>
          <w:p>
            <w:pPr>
              <w:spacing w:after="0"/>
              <w:rPr>
                <w:sz w:val="1"/>
                <w:szCs w:val="1"/>
                <w:color w:val="auto"/>
              </w:rPr>
            </w:pPr>
          </w:p>
        </w:tc>
      </w:tr>
      <w:tr>
        <w:trPr>
          <w:trHeight w:val="226"/>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8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420" w:type="dxa"/>
            <w:vAlign w:val="bottom"/>
          </w:tcPr>
          <w:p>
            <w:pPr>
              <w:spacing w:after="0"/>
              <w:rPr>
                <w:sz w:val="20"/>
                <w:szCs w:val="20"/>
                <w:color w:val="auto"/>
              </w:rPr>
            </w:pPr>
            <w:r>
              <w:rPr>
                <w:rFonts w:ascii="Arial" w:cs="Arial" w:eastAsia="Arial" w:hAnsi="Arial"/>
                <w:sz w:val="22"/>
                <w:szCs w:val="22"/>
                <w:color w:val="auto"/>
              </w:rPr>
              <w:t>6,310,789 shares</w:t>
            </w:r>
          </w:p>
        </w:tc>
        <w:tc>
          <w:tcPr>
            <w:tcW w:w="0" w:type="dxa"/>
            <w:vAlign w:val="bottom"/>
          </w:tcPr>
          <w:p>
            <w:pPr>
              <w:spacing w:after="0"/>
              <w:rPr>
                <w:sz w:val="1"/>
                <w:szCs w:val="1"/>
                <w:color w:val="auto"/>
              </w:rPr>
            </w:pPr>
          </w:p>
        </w:tc>
      </w:tr>
      <w:tr>
        <w:trPr>
          <w:trHeight w:val="41"/>
        </w:trPr>
        <w:tc>
          <w:tcPr>
            <w:tcW w:w="360" w:type="dxa"/>
            <w:vAlign w:val="bottom"/>
          </w:tcPr>
          <w:p>
            <w:pPr>
              <w:spacing w:after="0"/>
              <w:rPr>
                <w:sz w:val="3"/>
                <w:szCs w:val="3"/>
                <w:color w:val="auto"/>
              </w:rPr>
            </w:pPr>
          </w:p>
        </w:tc>
        <w:tc>
          <w:tcPr>
            <w:tcW w:w="760" w:type="dxa"/>
            <w:vAlign w:val="bottom"/>
            <w:tcBorders>
              <w:right w:val="single" w:sz="8" w:color="auto"/>
            </w:tcBorders>
            <w:gridSpan w:val="2"/>
            <w:vMerge w:val="restart"/>
          </w:tcPr>
          <w:p>
            <w:pPr>
              <w:jc w:val="center"/>
              <w:ind w:right="144"/>
              <w:spacing w:after="0"/>
              <w:rPr>
                <w:sz w:val="20"/>
                <w:szCs w:val="20"/>
                <w:color w:val="auto"/>
              </w:rPr>
            </w:pPr>
            <w:r>
              <w:rPr>
                <w:rFonts w:ascii="Arial" w:cs="Arial" w:eastAsia="Arial" w:hAnsi="Arial"/>
                <w:sz w:val="18"/>
                <w:szCs w:val="18"/>
                <w:color w:val="auto"/>
                <w:w w:val="84"/>
              </w:rPr>
              <w:t>Shares</w:t>
            </w: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760" w:type="dxa"/>
            <w:vAlign w:val="bottom"/>
            <w:tcBorders>
              <w:right w:val="single" w:sz="8" w:color="auto"/>
            </w:tcBorders>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3"/>
                <w:szCs w:val="13"/>
                <w:color w:val="auto"/>
              </w:rPr>
            </w:pPr>
          </w:p>
        </w:tc>
        <w:tc>
          <w:tcPr>
            <w:tcW w:w="9420" w:type="dxa"/>
            <w:vAlign w:val="bottom"/>
          </w:tcPr>
          <w:p>
            <w:pPr>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1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Beneficially</w:t>
            </w:r>
          </w:p>
        </w:tc>
        <w:tc>
          <w:tcPr>
            <w:tcW w:w="8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8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20" w:type="dxa"/>
            <w:vAlign w:val="bottom"/>
            <w:vMerge w:val="restart"/>
          </w:tcPr>
          <w:p>
            <w:pPr>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121"/>
        </w:trPr>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Borders>
              <w:right w:val="single" w:sz="8" w:color="auto"/>
            </w:tcBorders>
            <w:vMerge w:val="restart"/>
          </w:tcPr>
          <w:p>
            <w:pPr>
              <w:jc w:val="center"/>
              <w:ind w:right="224"/>
              <w:spacing w:after="0"/>
              <w:rPr>
                <w:sz w:val="20"/>
                <w:szCs w:val="20"/>
                <w:color w:val="auto"/>
              </w:rPr>
            </w:pPr>
            <w:r>
              <w:rPr>
                <w:rFonts w:ascii="Arial" w:cs="Arial" w:eastAsia="Arial" w:hAnsi="Arial"/>
                <w:sz w:val="18"/>
                <w:szCs w:val="18"/>
                <w:color w:val="auto"/>
                <w:w w:val="87"/>
              </w:rPr>
              <w:t>Each</w:t>
            </w: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6"/>
                <w:szCs w:val="6"/>
                <w:color w:val="auto"/>
              </w:rPr>
            </w:pPr>
          </w:p>
        </w:tc>
        <w:tc>
          <w:tcPr>
            <w:tcW w:w="94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2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2"/>
              </w:rPr>
              <w:t>Reporting</w:t>
            </w:r>
          </w:p>
        </w:tc>
        <w:tc>
          <w:tcPr>
            <w:tcW w:w="80" w:type="dxa"/>
            <w:vAlign w:val="bottom"/>
          </w:tcPr>
          <w:p>
            <w:pPr>
              <w:spacing w:after="0"/>
              <w:rPr>
                <w:sz w:val="13"/>
                <w:szCs w:val="13"/>
                <w:color w:val="auto"/>
              </w:rPr>
            </w:pPr>
          </w:p>
        </w:tc>
        <w:tc>
          <w:tcPr>
            <w:tcW w:w="30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9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20" w:type="dxa"/>
            <w:vAlign w:val="bottom"/>
            <w:tcBorders>
              <w:right w:val="single" w:sz="8" w:color="auto"/>
            </w:tcBorders>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60" w:type="dxa"/>
            <w:vAlign w:val="bottom"/>
            <w:tcBorders>
              <w:right w:val="single" w:sz="8" w:color="auto"/>
            </w:tcBorders>
            <w:gridSpan w:val="2"/>
          </w:tcPr>
          <w:p>
            <w:pPr>
              <w:jc w:val="center"/>
              <w:ind w:right="144"/>
              <w:spacing w:after="0"/>
              <w:rPr>
                <w:sz w:val="20"/>
                <w:szCs w:val="20"/>
                <w:color w:val="auto"/>
              </w:rPr>
            </w:pPr>
            <w:r>
              <w:rPr>
                <w:rFonts w:ascii="Arial" w:cs="Arial" w:eastAsia="Arial" w:hAnsi="Arial"/>
                <w:sz w:val="18"/>
                <w:szCs w:val="18"/>
                <w:color w:val="auto"/>
                <w:w w:val="84"/>
              </w:rPr>
              <w:t>Person</w:t>
            </w:r>
          </w:p>
        </w:tc>
        <w:tc>
          <w:tcPr>
            <w:tcW w:w="8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20" w:type="dxa"/>
            <w:vAlign w:val="bottom"/>
            <w:vMerge w:val="restart"/>
          </w:tcPr>
          <w:p>
            <w:pPr>
              <w:spacing w:after="0"/>
              <w:rPr>
                <w:sz w:val="20"/>
                <w:szCs w:val="20"/>
                <w:color w:val="auto"/>
              </w:rPr>
            </w:pPr>
            <w:r>
              <w:rPr>
                <w:rFonts w:ascii="Arial" w:cs="Arial" w:eastAsia="Arial" w:hAnsi="Arial"/>
                <w:sz w:val="22"/>
                <w:szCs w:val="22"/>
                <w:color w:val="auto"/>
              </w:rPr>
              <w:t>6,310,789 shares</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right w:val="single" w:sz="8" w:color="auto"/>
            </w:tcBorders>
          </w:tcPr>
          <w:p>
            <w:pPr>
              <w:jc w:val="center"/>
              <w:ind w:right="224"/>
              <w:spacing w:after="0" w:line="203" w:lineRule="exact"/>
              <w:rPr>
                <w:sz w:val="20"/>
                <w:szCs w:val="20"/>
                <w:color w:val="auto"/>
              </w:rPr>
            </w:pPr>
            <w:r>
              <w:rPr>
                <w:rFonts w:ascii="Arial" w:cs="Arial" w:eastAsia="Arial" w:hAnsi="Arial"/>
                <w:sz w:val="18"/>
                <w:szCs w:val="18"/>
                <w:color w:val="auto"/>
                <w:w w:val="99"/>
              </w:rPr>
              <w:t>With</w:t>
            </w: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87"/>
              </w:rPr>
              <w:t>10.</w:t>
            </w:r>
          </w:p>
        </w:tc>
        <w:tc>
          <w:tcPr>
            <w:tcW w:w="100" w:type="dxa"/>
            <w:vAlign w:val="bottom"/>
          </w:tcPr>
          <w:p>
            <w:pPr>
              <w:spacing w:after="0"/>
              <w:rPr>
                <w:sz w:val="19"/>
                <w:szCs w:val="19"/>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6"/>
        </w:trPr>
        <w:tc>
          <w:tcPr>
            <w:tcW w:w="4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580" w:type="dxa"/>
            <w:vAlign w:val="bottom"/>
            <w:tcBorders>
              <w:bottom w:val="single" w:sz="8" w:color="auto"/>
            </w:tcBorders>
            <w:gridSpan w:val="5"/>
          </w:tcPr>
          <w:p>
            <w:pPr>
              <w:ind w:left="80"/>
              <w:spacing w:after="0"/>
              <w:rPr>
                <w:sz w:val="20"/>
                <w:szCs w:val="20"/>
                <w:color w:val="auto"/>
              </w:rPr>
            </w:pPr>
            <w:r>
              <w:rPr>
                <w:rFonts w:ascii="Arial" w:cs="Arial" w:eastAsia="Arial" w:hAnsi="Arial"/>
                <w:sz w:val="22"/>
                <w:szCs w:val="22"/>
                <w:color w:val="auto"/>
              </w:rPr>
              <w:t>6,310,789 shares</w:t>
            </w: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42"/>
        </w:trPr>
        <w:tc>
          <w:tcPr>
            <w:tcW w:w="360" w:type="dxa"/>
            <w:vAlign w:val="bottom"/>
            <w:tcBorders>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gridSpan w:val="2"/>
          </w:tcPr>
          <w:p>
            <w:pPr>
              <w:spacing w:after="0"/>
              <w:rPr>
                <w:sz w:val="21"/>
                <w:szCs w:val="21"/>
                <w:color w:val="auto"/>
              </w:rPr>
            </w:pPr>
          </w:p>
        </w:tc>
        <w:tc>
          <w:tcPr>
            <w:tcW w:w="952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right w:val="single" w:sz="8" w:color="auto"/>
            </w:tcBorders>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w w:val="89"/>
              </w:rPr>
              <w:t>14.1%</w:t>
            </w: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right w:val="single" w:sz="8" w:color="auto"/>
            </w:tcBorders>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96"/>
              </w:rPr>
              <w:t>IN, OO</w:t>
            </w: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2" w:name="page3"/>
    <w:bookmarkEnd w:id="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p>
        </w:tc>
        <w:tc>
          <w:tcPr>
            <w:tcW w:w="3620" w:type="dxa"/>
            <w:vAlign w:val="bottom"/>
          </w:tcPr>
          <w:p>
            <w:pPr>
              <w:ind w:left="1400"/>
              <w:spacing w:after="0"/>
              <w:rPr>
                <w:sz w:val="20"/>
                <w:szCs w:val="20"/>
                <w:color w:val="auto"/>
              </w:rPr>
            </w:pPr>
            <w:r>
              <w:rPr>
                <w:rFonts w:ascii="Arial" w:cs="Arial" w:eastAsia="Arial" w:hAnsi="Arial"/>
                <w:sz w:val="18"/>
                <w:szCs w:val="18"/>
                <w:b w:val="1"/>
                <w:bCs w:val="1"/>
                <w:color w:val="auto"/>
              </w:rPr>
              <w:t>13D</w:t>
            </w:r>
          </w:p>
        </w:tc>
        <w:tc>
          <w:tcPr>
            <w:tcW w:w="3340" w:type="dxa"/>
            <w:vAlign w:val="bottom"/>
          </w:tcPr>
          <w:p>
            <w:pPr>
              <w:ind w:left="1920"/>
              <w:spacing w:after="0"/>
              <w:rPr>
                <w:sz w:val="20"/>
                <w:szCs w:val="20"/>
                <w:color w:val="auto"/>
              </w:rPr>
            </w:pPr>
            <w:r>
              <w:rPr>
                <w:rFonts w:ascii="Arial" w:cs="Arial" w:eastAsia="Arial" w:hAnsi="Arial"/>
                <w:sz w:val="18"/>
                <w:szCs w:val="18"/>
                <w:b w:val="1"/>
                <w:bCs w:val="1"/>
                <w:color w:val="auto"/>
                <w:w w:val="85"/>
              </w:rPr>
              <w:t>Page 3 of 10 Pages</w:t>
            </w:r>
          </w:p>
        </w:tc>
      </w:tr>
      <w:tr>
        <w:trPr>
          <w:trHeight w:val="149"/>
        </w:trPr>
        <w:tc>
          <w:tcPr>
            <w:tcW w:w="20" w:type="dxa"/>
            <w:vAlign w:val="bottom"/>
          </w:tcPr>
          <w:p>
            <w:pPr>
              <w:spacing w:after="0"/>
              <w:rPr>
                <w:sz w:val="12"/>
                <w:szCs w:val="12"/>
                <w:color w:val="auto"/>
              </w:rPr>
            </w:pPr>
          </w:p>
        </w:tc>
        <w:tc>
          <w:tcPr>
            <w:tcW w:w="4060" w:type="dxa"/>
            <w:vAlign w:val="bottom"/>
            <w:tcBorders>
              <w:bottom w:val="single" w:sz="8" w:color="auto"/>
            </w:tcBorders>
          </w:tcPr>
          <w:p>
            <w:pPr>
              <w:spacing w:after="0"/>
              <w:rPr>
                <w:sz w:val="12"/>
                <w:szCs w:val="12"/>
                <w:color w:val="auto"/>
              </w:rPr>
            </w:pPr>
          </w:p>
        </w:tc>
        <w:tc>
          <w:tcPr>
            <w:tcW w:w="3620" w:type="dxa"/>
            <w:vAlign w:val="bottom"/>
            <w:tcBorders>
              <w:bottom w:val="single" w:sz="8" w:color="auto"/>
            </w:tcBorders>
          </w:tcPr>
          <w:p>
            <w:pPr>
              <w:spacing w:after="0"/>
              <w:rPr>
                <w:sz w:val="12"/>
                <w:szCs w:val="12"/>
                <w:color w:val="auto"/>
              </w:rPr>
            </w:pPr>
          </w:p>
        </w:tc>
        <w:tc>
          <w:tcPr>
            <w:tcW w:w="3340" w:type="dxa"/>
            <w:vAlign w:val="bottom"/>
            <w:tcBorders>
              <w:bottom w:val="single" w:sz="8" w:color="auto"/>
            </w:tcBorders>
          </w:tcPr>
          <w:p>
            <w:pPr>
              <w:spacing w:after="0"/>
              <w:rPr>
                <w:sz w:val="12"/>
                <w:szCs w:val="12"/>
                <w:color w:val="auto"/>
              </w:rPr>
            </w:pPr>
          </w:p>
        </w:tc>
      </w:tr>
      <w:tr>
        <w:trPr>
          <w:trHeight w:val="224"/>
        </w:trPr>
        <w:tc>
          <w:tcPr>
            <w:tcW w:w="20" w:type="dxa"/>
            <w:vAlign w:val="bottom"/>
          </w:tcPr>
          <w:p>
            <w:pPr>
              <w:spacing w:after="0"/>
              <w:rPr>
                <w:sz w:val="19"/>
                <w:szCs w:val="19"/>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1.  Names of Reporting Persons.</w:t>
            </w:r>
          </w:p>
        </w:tc>
        <w:tc>
          <w:tcPr>
            <w:tcW w:w="3620" w:type="dxa"/>
            <w:vAlign w:val="bottom"/>
          </w:tcPr>
          <w:p>
            <w:pPr>
              <w:spacing w:after="0"/>
              <w:rPr>
                <w:sz w:val="19"/>
                <w:szCs w:val="19"/>
                <w:color w:val="auto"/>
              </w:rPr>
            </w:pPr>
          </w:p>
        </w:tc>
        <w:tc>
          <w:tcPr>
            <w:tcW w:w="33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7004685</wp:posOffset>
            </wp:positionH>
            <wp:positionV relativeFrom="paragraph">
              <wp:posOffset>-154305</wp:posOffset>
            </wp:positionV>
            <wp:extent cx="8890" cy="6011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-154305</wp:posOffset>
            </wp:positionV>
            <wp:extent cx="8890" cy="6011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-154305</wp:posOffset>
            </wp:positionV>
            <wp:extent cx="8890" cy="24612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2461260"/>
                    </a:xfrm>
                    <a:prstGeom prst="rect">
                      <a:avLst/>
                    </a:prstGeom>
                    <a:noFill/>
                  </pic:spPr>
                </pic:pic>
              </a:graphicData>
            </a:graphic>
          </wp:anchor>
        </w:drawing>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TAS Partners LLC</w:t>
            </w:r>
          </w:p>
        </w:tc>
        <w:tc>
          <w:tcPr>
            <w:tcW w:w="0" w:type="dxa"/>
            <w:vAlign w:val="bottom"/>
          </w:tcPr>
          <w:p>
            <w:pPr>
              <w:spacing w:after="0"/>
              <w:rPr>
                <w:sz w:val="1"/>
                <w:szCs w:val="1"/>
                <w:color w:val="auto"/>
              </w:rPr>
            </w:pPr>
          </w:p>
        </w:tc>
      </w:tr>
      <w:tr>
        <w:trPr>
          <w:trHeight w:val="164"/>
        </w:trPr>
        <w:tc>
          <w:tcPr>
            <w:tcW w:w="36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4"/>
                <w:szCs w:val="14"/>
                <w:color w:val="auto"/>
              </w:rPr>
            </w:pPr>
          </w:p>
        </w:tc>
        <w:tc>
          <w:tcPr>
            <w:tcW w:w="1058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(b)</w:t>
            </w:r>
          </w:p>
        </w:tc>
        <w:tc>
          <w:tcPr>
            <w:tcW w:w="94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spacing w:after="0"/>
              <w:rPr>
                <w:sz w:val="20"/>
                <w:szCs w:val="20"/>
                <w:color w:val="auto"/>
              </w:rPr>
            </w:pPr>
          </w:p>
        </w:tc>
        <w:tc>
          <w:tcPr>
            <w:tcW w:w="9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160" w:type="dxa"/>
            <w:vAlign w:val="bottom"/>
            <w:gridSpan w:val="3"/>
          </w:tcPr>
          <w:p>
            <w:pPr>
              <w:ind w:left="80"/>
              <w:spacing w:after="0"/>
              <w:rPr>
                <w:sz w:val="20"/>
                <w:szCs w:val="20"/>
                <w:color w:val="auto"/>
              </w:rPr>
            </w:pPr>
            <w:r>
              <w:rPr>
                <w:rFonts w:ascii="Arial" w:cs="Arial" w:eastAsia="Arial" w:hAnsi="Arial"/>
                <w:sz w:val="18"/>
                <w:szCs w:val="18"/>
                <w:color w:val="auto"/>
                <w:w w:val="91"/>
              </w:rPr>
              <w:t>SEC Use Only</w:t>
            </w:r>
          </w:p>
        </w:tc>
        <w:tc>
          <w:tcPr>
            <w:tcW w:w="9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5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WC</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42"/>
        </w:trPr>
        <w:tc>
          <w:tcPr>
            <w:tcW w:w="3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5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Delaware</w:t>
            </w:r>
          </w:p>
        </w:tc>
        <w:tc>
          <w:tcPr>
            <w:tcW w:w="9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3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420" w:type="dxa"/>
            <w:vAlign w:val="bottom"/>
          </w:tcPr>
          <w:p>
            <w:pPr>
              <w:spacing w:after="0"/>
              <w:rPr>
                <w:sz w:val="20"/>
                <w:szCs w:val="20"/>
                <w:color w:val="auto"/>
              </w:rPr>
            </w:pPr>
            <w:r>
              <w:rPr>
                <w:rFonts w:ascii="Arial" w:cs="Arial" w:eastAsia="Arial" w:hAnsi="Arial"/>
                <w:sz w:val="22"/>
                <w:szCs w:val="22"/>
                <w:color w:val="auto"/>
              </w:rPr>
              <w:t>449,880 shares</w:t>
            </w:r>
          </w:p>
        </w:tc>
        <w:tc>
          <w:tcPr>
            <w:tcW w:w="0" w:type="dxa"/>
            <w:vAlign w:val="bottom"/>
          </w:tcPr>
          <w:p>
            <w:pPr>
              <w:spacing w:after="0"/>
              <w:rPr>
                <w:sz w:val="1"/>
                <w:szCs w:val="1"/>
                <w:color w:val="auto"/>
              </w:rPr>
            </w:pPr>
          </w:p>
        </w:tc>
      </w:tr>
      <w:tr>
        <w:trPr>
          <w:trHeight w:val="41"/>
        </w:trPr>
        <w:tc>
          <w:tcPr>
            <w:tcW w:w="360" w:type="dxa"/>
            <w:vAlign w:val="bottom"/>
          </w:tcPr>
          <w:p>
            <w:pPr>
              <w:spacing w:after="0"/>
              <w:rPr>
                <w:sz w:val="3"/>
                <w:szCs w:val="3"/>
                <w:color w:val="auto"/>
              </w:rPr>
            </w:pPr>
          </w:p>
        </w:tc>
        <w:tc>
          <w:tcPr>
            <w:tcW w:w="760" w:type="dxa"/>
            <w:vAlign w:val="bottom"/>
            <w:tcBorders>
              <w:right w:val="single" w:sz="8" w:color="auto"/>
            </w:tcBorders>
            <w:gridSpan w:val="2"/>
            <w:vMerge w:val="restart"/>
          </w:tcPr>
          <w:p>
            <w:pPr>
              <w:jc w:val="center"/>
              <w:ind w:right="144"/>
              <w:spacing w:after="0"/>
              <w:rPr>
                <w:sz w:val="20"/>
                <w:szCs w:val="20"/>
                <w:color w:val="auto"/>
              </w:rPr>
            </w:pPr>
            <w:r>
              <w:rPr>
                <w:rFonts w:ascii="Arial" w:cs="Arial" w:eastAsia="Arial" w:hAnsi="Arial"/>
                <w:sz w:val="18"/>
                <w:szCs w:val="18"/>
                <w:color w:val="auto"/>
                <w:w w:val="84"/>
              </w:rPr>
              <w:t>Shares</w:t>
            </w:r>
          </w:p>
        </w:tc>
        <w:tc>
          <w:tcPr>
            <w:tcW w:w="38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760" w:type="dxa"/>
            <w:vAlign w:val="bottom"/>
            <w:tcBorders>
              <w:right w:val="single" w:sz="8" w:color="auto"/>
            </w:tcBorders>
            <w:gridSpan w:val="2"/>
            <w:vMerge w:val="continue"/>
          </w:tcPr>
          <w:p>
            <w:pPr>
              <w:spacing w:after="0"/>
              <w:rPr>
                <w:sz w:val="13"/>
                <w:szCs w:val="13"/>
                <w:color w:val="auto"/>
              </w:rPr>
            </w:pPr>
          </w:p>
        </w:tc>
        <w:tc>
          <w:tcPr>
            <w:tcW w:w="38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3"/>
                <w:szCs w:val="13"/>
                <w:color w:val="auto"/>
              </w:rPr>
            </w:pPr>
          </w:p>
        </w:tc>
        <w:tc>
          <w:tcPr>
            <w:tcW w:w="9420" w:type="dxa"/>
            <w:vAlign w:val="bottom"/>
          </w:tcPr>
          <w:p>
            <w:pPr>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1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Beneficially</w:t>
            </w:r>
          </w:p>
        </w:tc>
        <w:tc>
          <w:tcPr>
            <w:tcW w:w="3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3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20" w:type="dxa"/>
            <w:vAlign w:val="bottom"/>
            <w:vMerge w:val="restart"/>
          </w:tcPr>
          <w:p>
            <w:pPr>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121"/>
        </w:trPr>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Borders>
              <w:right w:val="single" w:sz="8" w:color="auto"/>
            </w:tcBorders>
            <w:vMerge w:val="restart"/>
          </w:tcPr>
          <w:p>
            <w:pPr>
              <w:jc w:val="center"/>
              <w:ind w:right="224"/>
              <w:spacing w:after="0"/>
              <w:rPr>
                <w:sz w:val="20"/>
                <w:szCs w:val="20"/>
                <w:color w:val="auto"/>
              </w:rPr>
            </w:pPr>
            <w:r>
              <w:rPr>
                <w:rFonts w:ascii="Arial" w:cs="Arial" w:eastAsia="Arial" w:hAnsi="Arial"/>
                <w:sz w:val="18"/>
                <w:szCs w:val="18"/>
                <w:color w:val="auto"/>
                <w:w w:val="87"/>
              </w:rPr>
              <w:t>Each</w:t>
            </w:r>
          </w:p>
        </w:tc>
        <w:tc>
          <w:tcPr>
            <w:tcW w:w="38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6"/>
                <w:szCs w:val="6"/>
                <w:color w:val="auto"/>
              </w:rPr>
            </w:pPr>
          </w:p>
        </w:tc>
        <w:tc>
          <w:tcPr>
            <w:tcW w:w="94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2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2"/>
              </w:rPr>
              <w:t>Reporting</w:t>
            </w:r>
          </w:p>
        </w:tc>
        <w:tc>
          <w:tcPr>
            <w:tcW w:w="38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9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20" w:type="dxa"/>
            <w:vAlign w:val="bottom"/>
            <w:tcBorders>
              <w:right w:val="single" w:sz="8" w:color="auto"/>
            </w:tcBorders>
            <w:gridSpan w:val="3"/>
            <w:vMerge w:val="continue"/>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60" w:type="dxa"/>
            <w:vAlign w:val="bottom"/>
            <w:tcBorders>
              <w:right w:val="single" w:sz="8" w:color="auto"/>
            </w:tcBorders>
            <w:gridSpan w:val="2"/>
          </w:tcPr>
          <w:p>
            <w:pPr>
              <w:jc w:val="center"/>
              <w:ind w:right="144"/>
              <w:spacing w:after="0"/>
              <w:rPr>
                <w:sz w:val="20"/>
                <w:szCs w:val="20"/>
                <w:color w:val="auto"/>
              </w:rPr>
            </w:pPr>
            <w:r>
              <w:rPr>
                <w:rFonts w:ascii="Arial" w:cs="Arial" w:eastAsia="Arial" w:hAnsi="Arial"/>
                <w:sz w:val="18"/>
                <w:szCs w:val="18"/>
                <w:color w:val="auto"/>
                <w:w w:val="84"/>
              </w:rPr>
              <w:t>Person</w:t>
            </w:r>
          </w:p>
        </w:tc>
        <w:tc>
          <w:tcPr>
            <w:tcW w:w="3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20" w:type="dxa"/>
            <w:vAlign w:val="bottom"/>
            <w:vMerge w:val="restart"/>
          </w:tcPr>
          <w:p>
            <w:pPr>
              <w:spacing w:after="0"/>
              <w:rPr>
                <w:sz w:val="20"/>
                <w:szCs w:val="20"/>
                <w:color w:val="auto"/>
              </w:rPr>
            </w:pPr>
            <w:r>
              <w:rPr>
                <w:rFonts w:ascii="Arial" w:cs="Arial" w:eastAsia="Arial" w:hAnsi="Arial"/>
                <w:sz w:val="22"/>
                <w:szCs w:val="22"/>
                <w:color w:val="auto"/>
              </w:rPr>
              <w:t>449,880 shares</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right w:val="single" w:sz="8" w:color="auto"/>
            </w:tcBorders>
          </w:tcPr>
          <w:p>
            <w:pPr>
              <w:jc w:val="center"/>
              <w:ind w:right="224"/>
              <w:spacing w:after="0" w:line="203" w:lineRule="exact"/>
              <w:rPr>
                <w:sz w:val="20"/>
                <w:szCs w:val="20"/>
                <w:color w:val="auto"/>
              </w:rPr>
            </w:pPr>
            <w:r>
              <w:rPr>
                <w:rFonts w:ascii="Arial" w:cs="Arial" w:eastAsia="Arial" w:hAnsi="Arial"/>
                <w:sz w:val="18"/>
                <w:szCs w:val="18"/>
                <w:color w:val="auto"/>
                <w:w w:val="99"/>
              </w:rPr>
              <w:t>With</w:t>
            </w:r>
          </w:p>
        </w:tc>
        <w:tc>
          <w:tcPr>
            <w:tcW w:w="38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6"/>
        </w:trPr>
        <w:tc>
          <w:tcPr>
            <w:tcW w:w="4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449,880 shares</w:t>
            </w: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42"/>
        </w:trPr>
        <w:tc>
          <w:tcPr>
            <w:tcW w:w="360" w:type="dxa"/>
            <w:vAlign w:val="bottom"/>
            <w:tcBorders>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52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1.0%</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OO</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3" w:name="page4"/>
    <w:bookmarkEnd w:id="3"/>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p>
        </w:tc>
        <w:tc>
          <w:tcPr>
            <w:tcW w:w="3620" w:type="dxa"/>
            <w:vAlign w:val="bottom"/>
          </w:tcPr>
          <w:p>
            <w:pPr>
              <w:ind w:left="1400"/>
              <w:spacing w:after="0"/>
              <w:rPr>
                <w:sz w:val="20"/>
                <w:szCs w:val="20"/>
                <w:color w:val="auto"/>
              </w:rPr>
            </w:pPr>
            <w:r>
              <w:rPr>
                <w:rFonts w:ascii="Arial" w:cs="Arial" w:eastAsia="Arial" w:hAnsi="Arial"/>
                <w:sz w:val="18"/>
                <w:szCs w:val="18"/>
                <w:b w:val="1"/>
                <w:bCs w:val="1"/>
                <w:color w:val="auto"/>
              </w:rPr>
              <w:t>13D</w:t>
            </w:r>
          </w:p>
        </w:tc>
        <w:tc>
          <w:tcPr>
            <w:tcW w:w="3340" w:type="dxa"/>
            <w:vAlign w:val="bottom"/>
          </w:tcPr>
          <w:p>
            <w:pPr>
              <w:ind w:left="1920"/>
              <w:spacing w:after="0"/>
              <w:rPr>
                <w:sz w:val="20"/>
                <w:szCs w:val="20"/>
                <w:color w:val="auto"/>
              </w:rPr>
            </w:pPr>
            <w:r>
              <w:rPr>
                <w:rFonts w:ascii="Arial" w:cs="Arial" w:eastAsia="Arial" w:hAnsi="Arial"/>
                <w:sz w:val="18"/>
                <w:szCs w:val="18"/>
                <w:b w:val="1"/>
                <w:bCs w:val="1"/>
                <w:color w:val="auto"/>
                <w:w w:val="85"/>
              </w:rPr>
              <w:t>Page 4 of 10 Pages</w:t>
            </w:r>
          </w:p>
        </w:tc>
      </w:tr>
      <w:tr>
        <w:trPr>
          <w:trHeight w:val="149"/>
        </w:trPr>
        <w:tc>
          <w:tcPr>
            <w:tcW w:w="20" w:type="dxa"/>
            <w:vAlign w:val="bottom"/>
          </w:tcPr>
          <w:p>
            <w:pPr>
              <w:spacing w:after="0"/>
              <w:rPr>
                <w:sz w:val="12"/>
                <w:szCs w:val="12"/>
                <w:color w:val="auto"/>
              </w:rPr>
            </w:pPr>
          </w:p>
        </w:tc>
        <w:tc>
          <w:tcPr>
            <w:tcW w:w="4060" w:type="dxa"/>
            <w:vAlign w:val="bottom"/>
            <w:tcBorders>
              <w:bottom w:val="single" w:sz="8" w:color="auto"/>
            </w:tcBorders>
          </w:tcPr>
          <w:p>
            <w:pPr>
              <w:spacing w:after="0"/>
              <w:rPr>
                <w:sz w:val="12"/>
                <w:szCs w:val="12"/>
                <w:color w:val="auto"/>
              </w:rPr>
            </w:pPr>
          </w:p>
        </w:tc>
        <w:tc>
          <w:tcPr>
            <w:tcW w:w="3620" w:type="dxa"/>
            <w:vAlign w:val="bottom"/>
            <w:tcBorders>
              <w:bottom w:val="single" w:sz="8" w:color="auto"/>
            </w:tcBorders>
          </w:tcPr>
          <w:p>
            <w:pPr>
              <w:spacing w:after="0"/>
              <w:rPr>
                <w:sz w:val="12"/>
                <w:szCs w:val="12"/>
                <w:color w:val="auto"/>
              </w:rPr>
            </w:pPr>
          </w:p>
        </w:tc>
        <w:tc>
          <w:tcPr>
            <w:tcW w:w="3340" w:type="dxa"/>
            <w:vAlign w:val="bottom"/>
            <w:tcBorders>
              <w:bottom w:val="single" w:sz="8" w:color="auto"/>
            </w:tcBorders>
          </w:tcPr>
          <w:p>
            <w:pPr>
              <w:spacing w:after="0"/>
              <w:rPr>
                <w:sz w:val="12"/>
                <w:szCs w:val="12"/>
                <w:color w:val="auto"/>
              </w:rPr>
            </w:pPr>
          </w:p>
        </w:tc>
      </w:tr>
      <w:tr>
        <w:trPr>
          <w:trHeight w:val="224"/>
        </w:trPr>
        <w:tc>
          <w:tcPr>
            <w:tcW w:w="20" w:type="dxa"/>
            <w:vAlign w:val="bottom"/>
          </w:tcPr>
          <w:p>
            <w:pPr>
              <w:spacing w:after="0"/>
              <w:rPr>
                <w:sz w:val="19"/>
                <w:szCs w:val="19"/>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1.  Names of Reporting Persons.</w:t>
            </w:r>
          </w:p>
        </w:tc>
        <w:tc>
          <w:tcPr>
            <w:tcW w:w="3620" w:type="dxa"/>
            <w:vAlign w:val="bottom"/>
          </w:tcPr>
          <w:p>
            <w:pPr>
              <w:spacing w:after="0"/>
              <w:rPr>
                <w:sz w:val="19"/>
                <w:szCs w:val="19"/>
                <w:color w:val="auto"/>
              </w:rPr>
            </w:pPr>
          </w:p>
        </w:tc>
        <w:tc>
          <w:tcPr>
            <w:tcW w:w="33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7004685</wp:posOffset>
            </wp:positionH>
            <wp:positionV relativeFrom="paragraph">
              <wp:posOffset>-154305</wp:posOffset>
            </wp:positionV>
            <wp:extent cx="8890" cy="6011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-154305</wp:posOffset>
            </wp:positionV>
            <wp:extent cx="8890" cy="6011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-154305</wp:posOffset>
            </wp:positionV>
            <wp:extent cx="8890" cy="24612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2461260"/>
                    </a:xfrm>
                    <a:prstGeom prst="rect">
                      <a:avLst/>
                    </a:prstGeom>
                    <a:noFill/>
                  </pic:spPr>
                </pic:pic>
              </a:graphicData>
            </a:graphic>
          </wp:anchor>
        </w:drawing>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Leukon Investments, LP</w:t>
            </w:r>
          </w:p>
        </w:tc>
        <w:tc>
          <w:tcPr>
            <w:tcW w:w="0" w:type="dxa"/>
            <w:vAlign w:val="bottom"/>
          </w:tcPr>
          <w:p>
            <w:pPr>
              <w:spacing w:after="0"/>
              <w:rPr>
                <w:sz w:val="1"/>
                <w:szCs w:val="1"/>
                <w:color w:val="auto"/>
              </w:rPr>
            </w:pPr>
          </w:p>
        </w:tc>
      </w:tr>
      <w:tr>
        <w:trPr>
          <w:trHeight w:val="164"/>
        </w:trPr>
        <w:tc>
          <w:tcPr>
            <w:tcW w:w="36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4"/>
                <w:szCs w:val="14"/>
                <w:color w:val="auto"/>
              </w:rPr>
            </w:pPr>
          </w:p>
        </w:tc>
        <w:tc>
          <w:tcPr>
            <w:tcW w:w="10580" w:type="dxa"/>
            <w:vAlign w:val="bottom"/>
            <w:gridSpan w:val="4"/>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(b)</w:t>
            </w:r>
          </w:p>
        </w:tc>
        <w:tc>
          <w:tcPr>
            <w:tcW w:w="94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3"/>
          </w:tcPr>
          <w:p>
            <w:pPr>
              <w:spacing w:after="0"/>
              <w:rPr>
                <w:sz w:val="20"/>
                <w:szCs w:val="20"/>
                <w:color w:val="auto"/>
              </w:rPr>
            </w:pPr>
          </w:p>
        </w:tc>
        <w:tc>
          <w:tcPr>
            <w:tcW w:w="9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160" w:type="dxa"/>
            <w:vAlign w:val="bottom"/>
            <w:gridSpan w:val="3"/>
          </w:tcPr>
          <w:p>
            <w:pPr>
              <w:ind w:left="80"/>
              <w:spacing w:after="0"/>
              <w:rPr>
                <w:sz w:val="20"/>
                <w:szCs w:val="20"/>
                <w:color w:val="auto"/>
              </w:rPr>
            </w:pPr>
            <w:r>
              <w:rPr>
                <w:rFonts w:ascii="Arial" w:cs="Arial" w:eastAsia="Arial" w:hAnsi="Arial"/>
                <w:sz w:val="18"/>
                <w:szCs w:val="18"/>
                <w:color w:val="auto"/>
                <w:w w:val="91"/>
              </w:rPr>
              <w:t>SEC Use Only</w:t>
            </w:r>
          </w:p>
        </w:tc>
        <w:tc>
          <w:tcPr>
            <w:tcW w:w="9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5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WC</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42"/>
        </w:trPr>
        <w:tc>
          <w:tcPr>
            <w:tcW w:w="3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580" w:type="dxa"/>
            <w:vAlign w:val="bottom"/>
            <w:tcBorders>
              <w:bottom w:val="single" w:sz="8" w:color="auto"/>
            </w:tcBorders>
            <w:gridSpan w:val="4"/>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ind w:left="80"/>
              <w:spacing w:after="0"/>
              <w:rPr>
                <w:sz w:val="20"/>
                <w:szCs w:val="20"/>
                <w:color w:val="auto"/>
              </w:rPr>
            </w:pPr>
            <w:r>
              <w:rPr>
                <w:rFonts w:ascii="Arial" w:cs="Arial" w:eastAsia="Arial" w:hAnsi="Arial"/>
                <w:sz w:val="22"/>
                <w:szCs w:val="22"/>
                <w:color w:val="auto"/>
              </w:rPr>
              <w:t>Delaware</w:t>
            </w:r>
          </w:p>
        </w:tc>
        <w:tc>
          <w:tcPr>
            <w:tcW w:w="9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3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420" w:type="dxa"/>
            <w:vAlign w:val="bottom"/>
          </w:tcPr>
          <w:p>
            <w:pPr>
              <w:spacing w:after="0"/>
              <w:rPr>
                <w:sz w:val="20"/>
                <w:szCs w:val="20"/>
                <w:color w:val="auto"/>
              </w:rPr>
            </w:pPr>
            <w:r>
              <w:rPr>
                <w:rFonts w:ascii="Arial" w:cs="Arial" w:eastAsia="Arial" w:hAnsi="Arial"/>
                <w:sz w:val="22"/>
                <w:szCs w:val="22"/>
                <w:color w:val="auto"/>
              </w:rPr>
              <w:t>1,242,354 shares</w:t>
            </w:r>
          </w:p>
        </w:tc>
        <w:tc>
          <w:tcPr>
            <w:tcW w:w="0" w:type="dxa"/>
            <w:vAlign w:val="bottom"/>
          </w:tcPr>
          <w:p>
            <w:pPr>
              <w:spacing w:after="0"/>
              <w:rPr>
                <w:sz w:val="1"/>
                <w:szCs w:val="1"/>
                <w:color w:val="auto"/>
              </w:rPr>
            </w:pPr>
          </w:p>
        </w:tc>
      </w:tr>
      <w:tr>
        <w:trPr>
          <w:trHeight w:val="41"/>
        </w:trPr>
        <w:tc>
          <w:tcPr>
            <w:tcW w:w="360" w:type="dxa"/>
            <w:vAlign w:val="bottom"/>
          </w:tcPr>
          <w:p>
            <w:pPr>
              <w:spacing w:after="0"/>
              <w:rPr>
                <w:sz w:val="3"/>
                <w:szCs w:val="3"/>
                <w:color w:val="auto"/>
              </w:rPr>
            </w:pPr>
          </w:p>
        </w:tc>
        <w:tc>
          <w:tcPr>
            <w:tcW w:w="760" w:type="dxa"/>
            <w:vAlign w:val="bottom"/>
            <w:tcBorders>
              <w:right w:val="single" w:sz="8" w:color="auto"/>
            </w:tcBorders>
            <w:gridSpan w:val="2"/>
            <w:vMerge w:val="restart"/>
          </w:tcPr>
          <w:p>
            <w:pPr>
              <w:jc w:val="center"/>
              <w:ind w:right="144"/>
              <w:spacing w:after="0"/>
              <w:rPr>
                <w:sz w:val="20"/>
                <w:szCs w:val="20"/>
                <w:color w:val="auto"/>
              </w:rPr>
            </w:pPr>
            <w:r>
              <w:rPr>
                <w:rFonts w:ascii="Arial" w:cs="Arial" w:eastAsia="Arial" w:hAnsi="Arial"/>
                <w:sz w:val="18"/>
                <w:szCs w:val="18"/>
                <w:color w:val="auto"/>
                <w:w w:val="84"/>
              </w:rPr>
              <w:t>Shares</w:t>
            </w:r>
          </w:p>
        </w:tc>
        <w:tc>
          <w:tcPr>
            <w:tcW w:w="38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760" w:type="dxa"/>
            <w:vAlign w:val="bottom"/>
            <w:tcBorders>
              <w:right w:val="single" w:sz="8" w:color="auto"/>
            </w:tcBorders>
            <w:gridSpan w:val="2"/>
            <w:vMerge w:val="continue"/>
          </w:tcPr>
          <w:p>
            <w:pPr>
              <w:spacing w:after="0"/>
              <w:rPr>
                <w:sz w:val="13"/>
                <w:szCs w:val="13"/>
                <w:color w:val="auto"/>
              </w:rPr>
            </w:pPr>
          </w:p>
        </w:tc>
        <w:tc>
          <w:tcPr>
            <w:tcW w:w="38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3"/>
                <w:szCs w:val="13"/>
                <w:color w:val="auto"/>
              </w:rPr>
            </w:pPr>
          </w:p>
        </w:tc>
        <w:tc>
          <w:tcPr>
            <w:tcW w:w="9420" w:type="dxa"/>
            <w:vAlign w:val="bottom"/>
          </w:tcPr>
          <w:p>
            <w:pPr>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1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Beneficially</w:t>
            </w:r>
          </w:p>
        </w:tc>
        <w:tc>
          <w:tcPr>
            <w:tcW w:w="3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3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20" w:type="dxa"/>
            <w:vAlign w:val="bottom"/>
            <w:vMerge w:val="restart"/>
          </w:tcPr>
          <w:p>
            <w:pPr>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121"/>
        </w:trPr>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Borders>
              <w:right w:val="single" w:sz="8" w:color="auto"/>
            </w:tcBorders>
            <w:vMerge w:val="restart"/>
          </w:tcPr>
          <w:p>
            <w:pPr>
              <w:jc w:val="center"/>
              <w:ind w:right="224"/>
              <w:spacing w:after="0"/>
              <w:rPr>
                <w:sz w:val="20"/>
                <w:szCs w:val="20"/>
                <w:color w:val="auto"/>
              </w:rPr>
            </w:pPr>
            <w:r>
              <w:rPr>
                <w:rFonts w:ascii="Arial" w:cs="Arial" w:eastAsia="Arial" w:hAnsi="Arial"/>
                <w:sz w:val="18"/>
                <w:szCs w:val="18"/>
                <w:color w:val="auto"/>
                <w:w w:val="87"/>
              </w:rPr>
              <w:t>Each</w:t>
            </w:r>
          </w:p>
        </w:tc>
        <w:tc>
          <w:tcPr>
            <w:tcW w:w="38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38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6"/>
                <w:szCs w:val="6"/>
                <w:color w:val="auto"/>
              </w:rPr>
            </w:pPr>
          </w:p>
        </w:tc>
        <w:tc>
          <w:tcPr>
            <w:tcW w:w="94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2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2"/>
              </w:rPr>
              <w:t>Reporting</w:t>
            </w:r>
          </w:p>
        </w:tc>
        <w:tc>
          <w:tcPr>
            <w:tcW w:w="38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9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20" w:type="dxa"/>
            <w:vAlign w:val="bottom"/>
            <w:tcBorders>
              <w:right w:val="single" w:sz="8" w:color="auto"/>
            </w:tcBorders>
            <w:gridSpan w:val="3"/>
            <w:vMerge w:val="continue"/>
          </w:tcPr>
          <w:p>
            <w:pPr>
              <w:spacing w:after="0"/>
              <w:rPr>
                <w:sz w:val="5"/>
                <w:szCs w:val="5"/>
                <w:color w:val="auto"/>
              </w:rPr>
            </w:pPr>
          </w:p>
        </w:tc>
        <w:tc>
          <w:tcPr>
            <w:tcW w:w="38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60" w:type="dxa"/>
            <w:vAlign w:val="bottom"/>
            <w:tcBorders>
              <w:right w:val="single" w:sz="8" w:color="auto"/>
            </w:tcBorders>
            <w:gridSpan w:val="2"/>
          </w:tcPr>
          <w:p>
            <w:pPr>
              <w:jc w:val="center"/>
              <w:ind w:right="144"/>
              <w:spacing w:after="0"/>
              <w:rPr>
                <w:sz w:val="20"/>
                <w:szCs w:val="20"/>
                <w:color w:val="auto"/>
              </w:rPr>
            </w:pPr>
            <w:r>
              <w:rPr>
                <w:rFonts w:ascii="Arial" w:cs="Arial" w:eastAsia="Arial" w:hAnsi="Arial"/>
                <w:sz w:val="18"/>
                <w:szCs w:val="18"/>
                <w:color w:val="auto"/>
                <w:w w:val="84"/>
              </w:rPr>
              <w:t>Person</w:t>
            </w:r>
          </w:p>
        </w:tc>
        <w:tc>
          <w:tcPr>
            <w:tcW w:w="3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20" w:type="dxa"/>
            <w:vAlign w:val="bottom"/>
            <w:vMerge w:val="restart"/>
          </w:tcPr>
          <w:p>
            <w:pPr>
              <w:spacing w:after="0"/>
              <w:rPr>
                <w:sz w:val="20"/>
                <w:szCs w:val="20"/>
                <w:color w:val="auto"/>
              </w:rPr>
            </w:pPr>
            <w:r>
              <w:rPr>
                <w:rFonts w:ascii="Arial" w:cs="Arial" w:eastAsia="Arial" w:hAnsi="Arial"/>
                <w:sz w:val="22"/>
                <w:szCs w:val="22"/>
                <w:color w:val="auto"/>
              </w:rPr>
              <w:t>1,242,354 shares</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right w:val="single" w:sz="8" w:color="auto"/>
            </w:tcBorders>
          </w:tcPr>
          <w:p>
            <w:pPr>
              <w:jc w:val="center"/>
              <w:ind w:right="224"/>
              <w:spacing w:after="0" w:line="203" w:lineRule="exact"/>
              <w:rPr>
                <w:sz w:val="20"/>
                <w:szCs w:val="20"/>
                <w:color w:val="auto"/>
              </w:rPr>
            </w:pPr>
            <w:r>
              <w:rPr>
                <w:rFonts w:ascii="Arial" w:cs="Arial" w:eastAsia="Arial" w:hAnsi="Arial"/>
                <w:sz w:val="18"/>
                <w:szCs w:val="18"/>
                <w:color w:val="auto"/>
                <w:w w:val="99"/>
              </w:rPr>
              <w:t>With</w:t>
            </w:r>
          </w:p>
        </w:tc>
        <w:tc>
          <w:tcPr>
            <w:tcW w:w="38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3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6"/>
        </w:trPr>
        <w:tc>
          <w:tcPr>
            <w:tcW w:w="4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58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1,242,354 shares</w:t>
            </w: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42"/>
        </w:trPr>
        <w:tc>
          <w:tcPr>
            <w:tcW w:w="360" w:type="dxa"/>
            <w:vAlign w:val="bottom"/>
            <w:tcBorders>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952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2.8%</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right w:val="single" w:sz="8" w:color="auto"/>
            </w:tcBorders>
          </w:tcPr>
          <w:p>
            <w:pPr>
              <w:spacing w:after="0"/>
              <w:rPr>
                <w:sz w:val="19"/>
                <w:szCs w:val="19"/>
                <w:color w:val="auto"/>
              </w:rPr>
            </w:pPr>
          </w:p>
        </w:tc>
        <w:tc>
          <w:tcPr>
            <w:tcW w:w="10580" w:type="dxa"/>
            <w:vAlign w:val="bottom"/>
            <w:gridSpan w:val="4"/>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PN</w:t>
            </w: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4080" w:type="dxa"/>
            <w:vAlign w:val="bottom"/>
            <w:gridSpan w:val="2"/>
          </w:tcPr>
          <w:p>
            <w:pPr>
              <w:spacing w:after="0"/>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816212104</w:t>
            </w:r>
          </w:p>
        </w:tc>
        <w:tc>
          <w:tcPr>
            <w:tcW w:w="3620" w:type="dxa"/>
            <w:vAlign w:val="bottom"/>
          </w:tcPr>
          <w:p>
            <w:pPr>
              <w:ind w:left="1400"/>
              <w:spacing w:after="0"/>
              <w:rPr>
                <w:sz w:val="20"/>
                <w:szCs w:val="20"/>
                <w:color w:val="auto"/>
              </w:rPr>
            </w:pPr>
            <w:r>
              <w:rPr>
                <w:rFonts w:ascii="Arial" w:cs="Arial" w:eastAsia="Arial" w:hAnsi="Arial"/>
                <w:sz w:val="18"/>
                <w:szCs w:val="18"/>
                <w:b w:val="1"/>
                <w:bCs w:val="1"/>
                <w:color w:val="auto"/>
              </w:rPr>
              <w:t>13D</w:t>
            </w:r>
          </w:p>
        </w:tc>
        <w:tc>
          <w:tcPr>
            <w:tcW w:w="3340" w:type="dxa"/>
            <w:vAlign w:val="bottom"/>
          </w:tcPr>
          <w:p>
            <w:pPr>
              <w:ind w:left="1920"/>
              <w:spacing w:after="0"/>
              <w:rPr>
                <w:sz w:val="20"/>
                <w:szCs w:val="20"/>
                <w:color w:val="auto"/>
              </w:rPr>
            </w:pPr>
            <w:r>
              <w:rPr>
                <w:rFonts w:ascii="Arial" w:cs="Arial" w:eastAsia="Arial" w:hAnsi="Arial"/>
                <w:sz w:val="18"/>
                <w:szCs w:val="18"/>
                <w:b w:val="1"/>
                <w:bCs w:val="1"/>
                <w:color w:val="auto"/>
                <w:w w:val="85"/>
              </w:rPr>
              <w:t>Page 5 of 10 Pages</w:t>
            </w:r>
          </w:p>
        </w:tc>
      </w:tr>
      <w:tr>
        <w:trPr>
          <w:trHeight w:val="149"/>
        </w:trPr>
        <w:tc>
          <w:tcPr>
            <w:tcW w:w="20" w:type="dxa"/>
            <w:vAlign w:val="bottom"/>
          </w:tcPr>
          <w:p>
            <w:pPr>
              <w:spacing w:after="0"/>
              <w:rPr>
                <w:sz w:val="12"/>
                <w:szCs w:val="12"/>
                <w:color w:val="auto"/>
              </w:rPr>
            </w:pPr>
          </w:p>
        </w:tc>
        <w:tc>
          <w:tcPr>
            <w:tcW w:w="4060" w:type="dxa"/>
            <w:vAlign w:val="bottom"/>
            <w:tcBorders>
              <w:bottom w:val="single" w:sz="8" w:color="auto"/>
            </w:tcBorders>
          </w:tcPr>
          <w:p>
            <w:pPr>
              <w:spacing w:after="0"/>
              <w:rPr>
                <w:sz w:val="12"/>
                <w:szCs w:val="12"/>
                <w:color w:val="auto"/>
              </w:rPr>
            </w:pPr>
          </w:p>
        </w:tc>
        <w:tc>
          <w:tcPr>
            <w:tcW w:w="3620" w:type="dxa"/>
            <w:vAlign w:val="bottom"/>
            <w:tcBorders>
              <w:bottom w:val="single" w:sz="8" w:color="auto"/>
            </w:tcBorders>
          </w:tcPr>
          <w:p>
            <w:pPr>
              <w:spacing w:after="0"/>
              <w:rPr>
                <w:sz w:val="12"/>
                <w:szCs w:val="12"/>
                <w:color w:val="auto"/>
              </w:rPr>
            </w:pPr>
          </w:p>
        </w:tc>
        <w:tc>
          <w:tcPr>
            <w:tcW w:w="3340" w:type="dxa"/>
            <w:vAlign w:val="bottom"/>
            <w:tcBorders>
              <w:bottom w:val="single" w:sz="8" w:color="auto"/>
            </w:tcBorders>
          </w:tcPr>
          <w:p>
            <w:pPr>
              <w:spacing w:after="0"/>
              <w:rPr>
                <w:sz w:val="12"/>
                <w:szCs w:val="12"/>
                <w:color w:val="auto"/>
              </w:rPr>
            </w:pPr>
          </w:p>
        </w:tc>
      </w:tr>
      <w:tr>
        <w:trPr>
          <w:trHeight w:val="224"/>
        </w:trPr>
        <w:tc>
          <w:tcPr>
            <w:tcW w:w="20" w:type="dxa"/>
            <w:vAlign w:val="bottom"/>
          </w:tcPr>
          <w:p>
            <w:pPr>
              <w:spacing w:after="0"/>
              <w:rPr>
                <w:sz w:val="19"/>
                <w:szCs w:val="19"/>
                <w:color w:val="auto"/>
              </w:rPr>
            </w:pPr>
          </w:p>
        </w:tc>
        <w:tc>
          <w:tcPr>
            <w:tcW w:w="4060" w:type="dxa"/>
            <w:vAlign w:val="bottom"/>
          </w:tcPr>
          <w:p>
            <w:pPr>
              <w:ind w:left="240"/>
              <w:spacing w:after="0"/>
              <w:rPr>
                <w:sz w:val="20"/>
                <w:szCs w:val="20"/>
                <w:color w:val="auto"/>
              </w:rPr>
            </w:pPr>
            <w:r>
              <w:rPr>
                <w:rFonts w:ascii="Arial" w:cs="Arial" w:eastAsia="Arial" w:hAnsi="Arial"/>
                <w:sz w:val="18"/>
                <w:szCs w:val="18"/>
                <w:color w:val="auto"/>
              </w:rPr>
              <w:t>1.  Names of Reporting Persons.</w:t>
            </w:r>
          </w:p>
        </w:tc>
        <w:tc>
          <w:tcPr>
            <w:tcW w:w="3620" w:type="dxa"/>
            <w:vAlign w:val="bottom"/>
          </w:tcPr>
          <w:p>
            <w:pPr>
              <w:spacing w:after="0"/>
              <w:rPr>
                <w:sz w:val="19"/>
                <w:szCs w:val="19"/>
                <w:color w:val="auto"/>
              </w:rPr>
            </w:pPr>
          </w:p>
        </w:tc>
        <w:tc>
          <w:tcPr>
            <w:tcW w:w="33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7004685</wp:posOffset>
            </wp:positionH>
            <wp:positionV relativeFrom="paragraph">
              <wp:posOffset>-154305</wp:posOffset>
            </wp:positionV>
            <wp:extent cx="8890" cy="6011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-154305</wp:posOffset>
            </wp:positionV>
            <wp:extent cx="8890" cy="6011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6011545"/>
                    </a:xfrm>
                    <a:prstGeom prst="rect">
                      <a:avLst/>
                    </a:prstGeom>
                    <a:noFill/>
                  </pic:spPr>
                </pic:pic>
              </a:graphicData>
            </a:graphic>
          </wp:anchor>
        </w:drawing>
        <w:drawing>
          <wp:anchor simplePos="0" relativeHeight="251657728" behindDoc="1" locked="0" layoutInCell="0" allowOverlap="1">
            <wp:simplePos x="0" y="0"/>
            <wp:positionH relativeFrom="column">
              <wp:posOffset>281305</wp:posOffset>
            </wp:positionH>
            <wp:positionV relativeFrom="paragraph">
              <wp:posOffset>-154305</wp:posOffset>
            </wp:positionV>
            <wp:extent cx="8890" cy="24612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2461260"/>
                    </a:xfrm>
                    <a:prstGeom prst="rect">
                      <a:avLst/>
                    </a:prstGeom>
                    <a:noFill/>
                  </pic:spPr>
                </pic:pic>
              </a:graphicData>
            </a:graphic>
          </wp:anchor>
        </w:drawing>
      </w:r>
    </w:p>
    <w:p>
      <w:pPr>
        <w:spacing w:after="0" w:line="187" w:lineRule="exact"/>
        <w:rPr>
          <w:sz w:val="20"/>
          <w:szCs w:val="20"/>
          <w:color w:val="auto"/>
        </w:rPr>
      </w:pPr>
    </w:p>
    <w:tbl>
      <w:tblPr>
        <w:tblLayout w:type="fixed"/>
        <w:tblInd w:w="20" w:type="dxa"/>
        <w:tblCellMar>
          <w:top w:w="0" w:type="dxa"/>
          <w:left w:w="0" w:type="dxa"/>
          <w:bottom w:w="0" w:type="dxa"/>
          <w:right w:w="0" w:type="dxa"/>
        </w:tblCellMar>
      </w:tblPr>
      <w:tr>
        <w:trPr>
          <w:trHeight w:val="276"/>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4"/>
          </w:tcPr>
          <w:p>
            <w:pPr>
              <w:ind w:left="80"/>
              <w:spacing w:after="0"/>
              <w:rPr>
                <w:sz w:val="20"/>
                <w:szCs w:val="20"/>
                <w:color w:val="auto"/>
              </w:rPr>
            </w:pPr>
            <w:r>
              <w:rPr>
                <w:rFonts w:ascii="Arial" w:cs="Arial" w:eastAsia="Arial" w:hAnsi="Arial"/>
                <w:sz w:val="22"/>
                <w:szCs w:val="22"/>
                <w:color w:val="auto"/>
              </w:rPr>
              <w:t>Chafen Lu</w:t>
            </w:r>
          </w:p>
        </w:tc>
        <w:tc>
          <w:tcPr>
            <w:tcW w:w="9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360" w:type="dxa"/>
            <w:vAlign w:val="bottom"/>
          </w:tcPr>
          <w:p>
            <w:pPr>
              <w:jc w:val="right"/>
              <w:spacing w:after="0" w:line="164" w:lineRule="exact"/>
              <w:rPr>
                <w:sz w:val="20"/>
                <w:szCs w:val="20"/>
                <w:color w:val="auto"/>
              </w:rPr>
            </w:pPr>
            <w:r>
              <w:rPr>
                <w:rFonts w:ascii="Arial" w:cs="Arial" w:eastAsia="Arial" w:hAnsi="Arial"/>
                <w:sz w:val="18"/>
                <w:szCs w:val="18"/>
                <w:color w:val="auto"/>
              </w:rPr>
              <w:t>2.</w:t>
            </w:r>
          </w:p>
        </w:tc>
        <w:tc>
          <w:tcPr>
            <w:tcW w:w="80" w:type="dxa"/>
            <w:vAlign w:val="bottom"/>
          </w:tcPr>
          <w:p>
            <w:pPr>
              <w:spacing w:after="0"/>
              <w:rPr>
                <w:sz w:val="14"/>
                <w:szCs w:val="14"/>
                <w:color w:val="auto"/>
              </w:rPr>
            </w:pPr>
          </w:p>
        </w:tc>
        <w:tc>
          <w:tcPr>
            <w:tcW w:w="10580" w:type="dxa"/>
            <w:vAlign w:val="bottom"/>
            <w:gridSpan w:val="5"/>
          </w:tcPr>
          <w:p>
            <w:pPr>
              <w:ind w:left="80"/>
              <w:spacing w:after="0" w:line="164" w:lineRule="exact"/>
              <w:rPr>
                <w:sz w:val="20"/>
                <w:szCs w:val="20"/>
                <w:color w:val="auto"/>
              </w:rPr>
            </w:pPr>
            <w:r>
              <w:rPr>
                <w:rFonts w:ascii="Arial" w:cs="Arial" w:eastAsia="Arial" w:hAnsi="Arial"/>
                <w:sz w:val="18"/>
                <w:szCs w:val="18"/>
                <w:color w:val="auto"/>
              </w:rPr>
              <w:t>Check the Appropriate Box if a Member of a Group (See Instructions)</w:t>
            </w:r>
          </w:p>
        </w:tc>
        <w:tc>
          <w:tcPr>
            <w:tcW w:w="0" w:type="dxa"/>
            <w:vAlign w:val="bottom"/>
          </w:tcPr>
          <w:p>
            <w:pPr>
              <w:spacing w:after="0"/>
              <w:rPr>
                <w:sz w:val="1"/>
                <w:szCs w:val="1"/>
                <w:color w:val="auto"/>
              </w:rPr>
            </w:pPr>
          </w:p>
        </w:tc>
      </w:tr>
      <w:tr>
        <w:trPr>
          <w:trHeight w:val="283"/>
        </w:trPr>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gridSpan w:val="2"/>
          </w:tcPr>
          <w:p>
            <w:pPr>
              <w:ind w:left="8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400" w:type="dxa"/>
            <w:vAlign w:val="bottom"/>
            <w:gridSpan w:val="2"/>
          </w:tcPr>
          <w:p>
            <w:pPr>
              <w:ind w:left="140"/>
              <w:spacing w:after="0"/>
              <w:rPr>
                <w:sz w:val="20"/>
                <w:szCs w:val="20"/>
                <w:color w:val="auto"/>
              </w:rPr>
            </w:pPr>
            <w:r>
              <w:rPr>
                <w:rFonts w:ascii="Arial" w:cs="Arial" w:eastAsia="Arial" w:hAnsi="Arial"/>
                <w:sz w:val="18"/>
                <w:szCs w:val="18"/>
                <w:color w:val="auto"/>
              </w:rPr>
              <w:t>(b)</w:t>
            </w:r>
          </w:p>
        </w:tc>
        <w:tc>
          <w:tcPr>
            <w:tcW w:w="9420" w:type="dxa"/>
            <w:vAlign w:val="bottom"/>
          </w:tcPr>
          <w:p>
            <w:pPr>
              <w:ind w:left="4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3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4"/>
          </w:tcPr>
          <w:p>
            <w:pPr>
              <w:spacing w:after="0"/>
              <w:rPr>
                <w:sz w:val="20"/>
                <w:szCs w:val="20"/>
                <w:color w:val="auto"/>
              </w:rPr>
            </w:pPr>
          </w:p>
        </w:tc>
        <w:tc>
          <w:tcPr>
            <w:tcW w:w="94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c>
          <w:tcPr>
            <w:tcW w:w="1160" w:type="dxa"/>
            <w:vAlign w:val="bottom"/>
            <w:gridSpan w:val="4"/>
          </w:tcPr>
          <w:p>
            <w:pPr>
              <w:ind w:left="80"/>
              <w:spacing w:after="0"/>
              <w:rPr>
                <w:sz w:val="20"/>
                <w:szCs w:val="20"/>
                <w:color w:val="auto"/>
              </w:rPr>
            </w:pPr>
            <w:r>
              <w:rPr>
                <w:rFonts w:ascii="Arial" w:cs="Arial" w:eastAsia="Arial" w:hAnsi="Arial"/>
                <w:sz w:val="18"/>
                <w:szCs w:val="18"/>
                <w:color w:val="auto"/>
                <w:w w:val="91"/>
              </w:rPr>
              <w:t>SEC Use Only</w:t>
            </w:r>
          </w:p>
        </w:tc>
        <w:tc>
          <w:tcPr>
            <w:tcW w:w="9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3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580" w:type="dxa"/>
            <w:vAlign w:val="bottom"/>
            <w:tcBorders>
              <w:bottom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Source of Funds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rPr>
              <w:t>PF</w:t>
            </w: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Check if Disclosure of Legal Proceedings Is Required Pursuant to Items 2(d) or 2(e)</w:t>
            </w:r>
          </w:p>
        </w:tc>
        <w:tc>
          <w:tcPr>
            <w:tcW w:w="0" w:type="dxa"/>
            <w:vAlign w:val="bottom"/>
          </w:tcPr>
          <w:p>
            <w:pPr>
              <w:spacing w:after="0"/>
              <w:rPr>
                <w:sz w:val="1"/>
                <w:szCs w:val="1"/>
                <w:color w:val="auto"/>
              </w:rPr>
            </w:pPr>
          </w:p>
        </w:tc>
      </w:tr>
      <w:tr>
        <w:trPr>
          <w:trHeight w:val="242"/>
        </w:trPr>
        <w:tc>
          <w:tcPr>
            <w:tcW w:w="36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0580" w:type="dxa"/>
            <w:vAlign w:val="bottom"/>
            <w:tcBorders>
              <w:bottom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580" w:type="dxa"/>
            <w:vAlign w:val="bottom"/>
            <w:tcBorders>
              <w:bottom w:val="single" w:sz="8" w:color="auto"/>
            </w:tcBorders>
            <w:gridSpan w:val="5"/>
          </w:tcPr>
          <w:p>
            <w:pPr>
              <w:ind w:left="80"/>
              <w:spacing w:after="0"/>
              <w:rPr>
                <w:sz w:val="20"/>
                <w:szCs w:val="20"/>
                <w:color w:val="auto"/>
              </w:rPr>
            </w:pPr>
            <w:r>
              <w:rPr>
                <w:rFonts w:ascii="Arial" w:cs="Arial" w:eastAsia="Arial" w:hAnsi="Arial"/>
                <w:sz w:val="22"/>
                <w:szCs w:val="22"/>
                <w:color w:val="auto"/>
              </w:rPr>
              <w:t>United States</w:t>
            </w:r>
          </w:p>
        </w:tc>
        <w:tc>
          <w:tcPr>
            <w:tcW w:w="0" w:type="dxa"/>
            <w:vAlign w:val="bottom"/>
          </w:tcPr>
          <w:p>
            <w:pPr>
              <w:spacing w:after="0"/>
              <w:rPr>
                <w:sz w:val="1"/>
                <w:szCs w:val="1"/>
                <w:color w:val="auto"/>
              </w:rPr>
            </w:pPr>
          </w:p>
        </w:tc>
      </w:tr>
      <w:tr>
        <w:trPr>
          <w:trHeight w:val="226"/>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44"/>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2"/>
              </w:rPr>
              <w:t>Number of</w:t>
            </w:r>
          </w:p>
        </w:tc>
        <w:tc>
          <w:tcPr>
            <w:tcW w:w="80" w:type="dxa"/>
            <w:vAlign w:val="bottom"/>
          </w:tcPr>
          <w:p>
            <w:pPr>
              <w:spacing w:after="0"/>
              <w:rPr>
                <w:sz w:val="24"/>
                <w:szCs w:val="24"/>
                <w:color w:val="auto"/>
              </w:rPr>
            </w:pPr>
          </w:p>
        </w:tc>
        <w:tc>
          <w:tcPr>
            <w:tcW w:w="30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9420" w:type="dxa"/>
            <w:vAlign w:val="bottom"/>
          </w:tcPr>
          <w:p>
            <w:pPr>
              <w:spacing w:after="0"/>
              <w:rPr>
                <w:sz w:val="20"/>
                <w:szCs w:val="20"/>
                <w:color w:val="auto"/>
              </w:rPr>
            </w:pPr>
            <w:r>
              <w:rPr>
                <w:rFonts w:ascii="Arial" w:cs="Arial" w:eastAsia="Arial" w:hAnsi="Arial"/>
                <w:sz w:val="22"/>
                <w:szCs w:val="22"/>
                <w:color w:val="auto"/>
              </w:rPr>
              <w:t>76,418 shares</w:t>
            </w:r>
          </w:p>
        </w:tc>
        <w:tc>
          <w:tcPr>
            <w:tcW w:w="0" w:type="dxa"/>
            <w:vAlign w:val="bottom"/>
          </w:tcPr>
          <w:p>
            <w:pPr>
              <w:spacing w:after="0"/>
              <w:rPr>
                <w:sz w:val="1"/>
                <w:szCs w:val="1"/>
                <w:color w:val="auto"/>
              </w:rPr>
            </w:pPr>
          </w:p>
        </w:tc>
      </w:tr>
      <w:tr>
        <w:trPr>
          <w:trHeight w:val="41"/>
        </w:trPr>
        <w:tc>
          <w:tcPr>
            <w:tcW w:w="360" w:type="dxa"/>
            <w:vAlign w:val="bottom"/>
          </w:tcPr>
          <w:p>
            <w:pPr>
              <w:spacing w:after="0"/>
              <w:rPr>
                <w:sz w:val="3"/>
                <w:szCs w:val="3"/>
                <w:color w:val="auto"/>
              </w:rPr>
            </w:pPr>
          </w:p>
        </w:tc>
        <w:tc>
          <w:tcPr>
            <w:tcW w:w="760" w:type="dxa"/>
            <w:vAlign w:val="bottom"/>
            <w:tcBorders>
              <w:right w:val="single" w:sz="8" w:color="auto"/>
            </w:tcBorders>
            <w:gridSpan w:val="2"/>
            <w:vMerge w:val="restart"/>
          </w:tcPr>
          <w:p>
            <w:pPr>
              <w:jc w:val="center"/>
              <w:ind w:right="144"/>
              <w:spacing w:after="0"/>
              <w:rPr>
                <w:sz w:val="20"/>
                <w:szCs w:val="20"/>
                <w:color w:val="auto"/>
              </w:rPr>
            </w:pPr>
            <w:r>
              <w:rPr>
                <w:rFonts w:ascii="Arial" w:cs="Arial" w:eastAsia="Arial" w:hAnsi="Arial"/>
                <w:sz w:val="18"/>
                <w:szCs w:val="18"/>
                <w:color w:val="auto"/>
                <w:w w:val="84"/>
              </w:rPr>
              <w:t>Shares</w:t>
            </w: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right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360" w:type="dxa"/>
            <w:vAlign w:val="bottom"/>
          </w:tcPr>
          <w:p>
            <w:pPr>
              <w:spacing w:after="0"/>
              <w:rPr>
                <w:sz w:val="13"/>
                <w:szCs w:val="13"/>
                <w:color w:val="auto"/>
              </w:rPr>
            </w:pPr>
          </w:p>
        </w:tc>
        <w:tc>
          <w:tcPr>
            <w:tcW w:w="760" w:type="dxa"/>
            <w:vAlign w:val="bottom"/>
            <w:tcBorders>
              <w:right w:val="single" w:sz="8" w:color="auto"/>
            </w:tcBorders>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right w:val="single" w:sz="8" w:color="auto"/>
            </w:tcBorders>
          </w:tcPr>
          <w:p>
            <w:pPr>
              <w:jc w:val="right"/>
              <w:spacing w:after="0" w:line="156" w:lineRule="exact"/>
              <w:rPr>
                <w:sz w:val="20"/>
                <w:szCs w:val="20"/>
                <w:color w:val="auto"/>
              </w:rPr>
            </w:pPr>
            <w:r>
              <w:rPr>
                <w:rFonts w:ascii="Arial" w:cs="Arial" w:eastAsia="Arial" w:hAnsi="Arial"/>
                <w:sz w:val="18"/>
                <w:szCs w:val="18"/>
                <w:color w:val="auto"/>
              </w:rPr>
              <w:t>8.</w:t>
            </w:r>
          </w:p>
        </w:tc>
        <w:tc>
          <w:tcPr>
            <w:tcW w:w="100" w:type="dxa"/>
            <w:vAlign w:val="bottom"/>
          </w:tcPr>
          <w:p>
            <w:pPr>
              <w:spacing w:after="0"/>
              <w:rPr>
                <w:sz w:val="13"/>
                <w:szCs w:val="13"/>
                <w:color w:val="auto"/>
              </w:rPr>
            </w:pPr>
          </w:p>
        </w:tc>
        <w:tc>
          <w:tcPr>
            <w:tcW w:w="9420" w:type="dxa"/>
            <w:vAlign w:val="bottom"/>
          </w:tcPr>
          <w:p>
            <w:pPr>
              <w:spacing w:after="0" w:line="156"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5"/>
        </w:trPr>
        <w:tc>
          <w:tcPr>
            <w:tcW w:w="112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Beneficially</w:t>
            </w:r>
          </w:p>
        </w:tc>
        <w:tc>
          <w:tcPr>
            <w:tcW w:w="8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2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1"/>
              </w:rPr>
              <w:t>Owned by</w:t>
            </w:r>
          </w:p>
        </w:tc>
        <w:tc>
          <w:tcPr>
            <w:tcW w:w="8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20" w:type="dxa"/>
            <w:vAlign w:val="bottom"/>
            <w:vMerge w:val="restart"/>
          </w:tcPr>
          <w:p>
            <w:pPr>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121"/>
        </w:trPr>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80" w:type="dxa"/>
            <w:vAlign w:val="bottom"/>
            <w:tcBorders>
              <w:right w:val="single" w:sz="8" w:color="auto"/>
            </w:tcBorders>
            <w:vMerge w:val="restart"/>
          </w:tcPr>
          <w:p>
            <w:pPr>
              <w:jc w:val="center"/>
              <w:ind w:right="224"/>
              <w:spacing w:after="0"/>
              <w:rPr>
                <w:sz w:val="20"/>
                <w:szCs w:val="20"/>
                <w:color w:val="auto"/>
              </w:rPr>
            </w:pPr>
            <w:r>
              <w:rPr>
                <w:rFonts w:ascii="Arial" w:cs="Arial" w:eastAsia="Arial" w:hAnsi="Arial"/>
                <w:sz w:val="18"/>
                <w:szCs w:val="18"/>
                <w:color w:val="auto"/>
                <w:w w:val="87"/>
              </w:rPr>
              <w:t>Each</w:t>
            </w:r>
          </w:p>
        </w:tc>
        <w:tc>
          <w:tcPr>
            <w:tcW w:w="80" w:type="dxa"/>
            <w:vAlign w:val="bottom"/>
            <w:tcBorders>
              <w:bottom w:val="single" w:sz="8" w:color="auto"/>
            </w:tcBorders>
          </w:tcPr>
          <w:p>
            <w:pPr>
              <w:spacing w:after="0"/>
              <w:rPr>
                <w:sz w:val="10"/>
                <w:szCs w:val="10"/>
                <w:color w:val="auto"/>
              </w:rPr>
            </w:pPr>
          </w:p>
        </w:tc>
        <w:tc>
          <w:tcPr>
            <w:tcW w:w="300" w:type="dxa"/>
            <w:vAlign w:val="bottom"/>
            <w:tcBorders>
              <w:bottom w:val="single" w:sz="8" w:color="auto"/>
              <w:right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94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5"/>
        </w:trPr>
        <w:tc>
          <w:tcPr>
            <w:tcW w:w="3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Borders>
              <w:right w:val="single" w:sz="8" w:color="auto"/>
            </w:tcBorders>
            <w:vMerge w:val="continue"/>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6"/>
                <w:szCs w:val="6"/>
                <w:color w:val="auto"/>
              </w:rPr>
            </w:pPr>
          </w:p>
        </w:tc>
        <w:tc>
          <w:tcPr>
            <w:tcW w:w="9420" w:type="dxa"/>
            <w:vAlign w:val="bottom"/>
            <w:vMerge w:val="restart"/>
          </w:tcPr>
          <w:p>
            <w:pPr>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120" w:type="dxa"/>
            <w:vAlign w:val="bottom"/>
            <w:tcBorders>
              <w:right w:val="single" w:sz="8" w:color="auto"/>
            </w:tcBorders>
            <w:gridSpan w:val="3"/>
            <w:vMerge w:val="restart"/>
          </w:tcPr>
          <w:p>
            <w:pPr>
              <w:jc w:val="center"/>
              <w:ind w:left="30"/>
              <w:spacing w:after="0"/>
              <w:rPr>
                <w:sz w:val="20"/>
                <w:szCs w:val="20"/>
                <w:color w:val="auto"/>
              </w:rPr>
            </w:pPr>
            <w:r>
              <w:rPr>
                <w:rFonts w:ascii="Arial" w:cs="Arial" w:eastAsia="Arial" w:hAnsi="Arial"/>
                <w:sz w:val="18"/>
                <w:szCs w:val="18"/>
                <w:color w:val="auto"/>
                <w:w w:val="92"/>
              </w:rPr>
              <w:t>Reporting</w:t>
            </w:r>
          </w:p>
        </w:tc>
        <w:tc>
          <w:tcPr>
            <w:tcW w:w="80" w:type="dxa"/>
            <w:vAlign w:val="bottom"/>
          </w:tcPr>
          <w:p>
            <w:pPr>
              <w:spacing w:after="0"/>
              <w:rPr>
                <w:sz w:val="13"/>
                <w:szCs w:val="13"/>
                <w:color w:val="auto"/>
              </w:rPr>
            </w:pPr>
          </w:p>
        </w:tc>
        <w:tc>
          <w:tcPr>
            <w:tcW w:w="300" w:type="dxa"/>
            <w:vAlign w:val="bottom"/>
            <w:tcBorders>
              <w:right w:val="single" w:sz="8" w:color="auto"/>
            </w:tcBorders>
            <w:vMerge w:val="continue"/>
          </w:tcPr>
          <w:p>
            <w:pPr>
              <w:spacing w:after="0"/>
              <w:rPr>
                <w:sz w:val="13"/>
                <w:szCs w:val="13"/>
                <w:color w:val="auto"/>
              </w:rPr>
            </w:pPr>
          </w:p>
        </w:tc>
        <w:tc>
          <w:tcPr>
            <w:tcW w:w="100" w:type="dxa"/>
            <w:vAlign w:val="bottom"/>
          </w:tcPr>
          <w:p>
            <w:pPr>
              <w:spacing w:after="0"/>
              <w:rPr>
                <w:sz w:val="13"/>
                <w:szCs w:val="13"/>
                <w:color w:val="auto"/>
              </w:rPr>
            </w:pPr>
          </w:p>
        </w:tc>
        <w:tc>
          <w:tcPr>
            <w:tcW w:w="94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120" w:type="dxa"/>
            <w:vAlign w:val="bottom"/>
            <w:tcBorders>
              <w:right w:val="single" w:sz="8" w:color="auto"/>
            </w:tcBorders>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300" w:type="dxa"/>
            <w:vAlign w:val="bottom"/>
            <w:tcBorders>
              <w:righ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9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360" w:type="dxa"/>
            <w:vAlign w:val="bottom"/>
          </w:tcPr>
          <w:p>
            <w:pPr>
              <w:spacing w:after="0"/>
              <w:rPr>
                <w:sz w:val="18"/>
                <w:szCs w:val="18"/>
                <w:color w:val="auto"/>
              </w:rPr>
            </w:pPr>
          </w:p>
        </w:tc>
        <w:tc>
          <w:tcPr>
            <w:tcW w:w="760" w:type="dxa"/>
            <w:vAlign w:val="bottom"/>
            <w:tcBorders>
              <w:right w:val="single" w:sz="8" w:color="auto"/>
            </w:tcBorders>
            <w:gridSpan w:val="2"/>
          </w:tcPr>
          <w:p>
            <w:pPr>
              <w:jc w:val="center"/>
              <w:ind w:right="144"/>
              <w:spacing w:after="0"/>
              <w:rPr>
                <w:sz w:val="20"/>
                <w:szCs w:val="20"/>
                <w:color w:val="auto"/>
              </w:rPr>
            </w:pPr>
            <w:r>
              <w:rPr>
                <w:rFonts w:ascii="Arial" w:cs="Arial" w:eastAsia="Arial" w:hAnsi="Arial"/>
                <w:sz w:val="18"/>
                <w:szCs w:val="18"/>
                <w:color w:val="auto"/>
                <w:w w:val="84"/>
              </w:rPr>
              <w:t>Person</w:t>
            </w:r>
          </w:p>
        </w:tc>
        <w:tc>
          <w:tcPr>
            <w:tcW w:w="8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420" w:type="dxa"/>
            <w:vAlign w:val="bottom"/>
            <w:vMerge w:val="restart"/>
          </w:tcPr>
          <w:p>
            <w:pPr>
              <w:spacing w:after="0"/>
              <w:rPr>
                <w:sz w:val="20"/>
                <w:szCs w:val="20"/>
                <w:color w:val="auto"/>
              </w:rPr>
            </w:pPr>
            <w:r>
              <w:rPr>
                <w:rFonts w:ascii="Arial" w:cs="Arial" w:eastAsia="Arial" w:hAnsi="Arial"/>
                <w:sz w:val="22"/>
                <w:szCs w:val="22"/>
                <w:color w:val="auto"/>
              </w:rPr>
              <w:t>76,418 shares</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Borders>
              <w:right w:val="single" w:sz="8" w:color="auto"/>
            </w:tcBorders>
          </w:tcPr>
          <w:p>
            <w:pPr>
              <w:jc w:val="center"/>
              <w:ind w:right="224"/>
              <w:spacing w:after="0" w:line="203" w:lineRule="exact"/>
              <w:rPr>
                <w:sz w:val="20"/>
                <w:szCs w:val="20"/>
                <w:color w:val="auto"/>
              </w:rPr>
            </w:pPr>
            <w:r>
              <w:rPr>
                <w:rFonts w:ascii="Arial" w:cs="Arial" w:eastAsia="Arial" w:hAnsi="Arial"/>
                <w:sz w:val="18"/>
                <w:szCs w:val="18"/>
                <w:color w:val="auto"/>
                <w:w w:val="99"/>
              </w:rPr>
              <w:t>With</w:t>
            </w:r>
          </w:p>
        </w:tc>
        <w:tc>
          <w:tcPr>
            <w:tcW w:w="80" w:type="dxa"/>
            <w:vAlign w:val="bottom"/>
            <w:tcBorders>
              <w:bottom w:val="single" w:sz="8" w:color="auto"/>
            </w:tcBorders>
          </w:tcPr>
          <w:p>
            <w:pPr>
              <w:spacing w:after="0"/>
              <w:rPr>
                <w:sz w:val="17"/>
                <w:szCs w:val="17"/>
                <w:color w:val="auto"/>
              </w:rPr>
            </w:pPr>
          </w:p>
        </w:tc>
        <w:tc>
          <w:tcPr>
            <w:tcW w:w="300" w:type="dxa"/>
            <w:vAlign w:val="bottom"/>
            <w:tcBorders>
              <w:bottom w:val="single" w:sz="8" w:color="auto"/>
              <w:right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4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87"/>
              </w:rPr>
              <w:t>10.</w:t>
            </w:r>
          </w:p>
        </w:tc>
        <w:tc>
          <w:tcPr>
            <w:tcW w:w="100" w:type="dxa"/>
            <w:vAlign w:val="bottom"/>
          </w:tcPr>
          <w:p>
            <w:pPr>
              <w:spacing w:after="0"/>
              <w:rPr>
                <w:sz w:val="19"/>
                <w:szCs w:val="19"/>
                <w:color w:val="auto"/>
              </w:rPr>
            </w:pPr>
          </w:p>
        </w:tc>
        <w:tc>
          <w:tcPr>
            <w:tcW w:w="9420" w:type="dxa"/>
            <w:vAlign w:val="bottom"/>
          </w:tcPr>
          <w:p>
            <w:pPr>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0 shares</w:t>
            </w:r>
          </w:p>
        </w:tc>
        <w:tc>
          <w:tcPr>
            <w:tcW w:w="0" w:type="dxa"/>
            <w:vAlign w:val="bottom"/>
          </w:tcPr>
          <w:p>
            <w:pPr>
              <w:spacing w:after="0"/>
              <w:rPr>
                <w:sz w:val="1"/>
                <w:szCs w:val="1"/>
                <w:color w:val="auto"/>
              </w:rPr>
            </w:pPr>
          </w:p>
        </w:tc>
      </w:tr>
      <w:tr>
        <w:trPr>
          <w:trHeight w:val="226"/>
        </w:trPr>
        <w:tc>
          <w:tcPr>
            <w:tcW w:w="440" w:type="dxa"/>
            <w:vAlign w:val="bottom"/>
            <w:tcBorders>
              <w:right w:val="single" w:sz="8" w:color="auto"/>
            </w:tcBorders>
            <w:gridSpan w:val="2"/>
          </w:tcPr>
          <w:p>
            <w:pPr>
              <w:jc w:val="right"/>
              <w:spacing w:after="0"/>
              <w:rPr>
                <w:sz w:val="20"/>
                <w:szCs w:val="20"/>
                <w:color w:val="auto"/>
              </w:rPr>
            </w:pPr>
            <w:r>
              <w:rPr>
                <w:rFonts w:ascii="Arial" w:cs="Arial" w:eastAsia="Arial" w:hAnsi="Arial"/>
                <w:sz w:val="18"/>
                <w:szCs w:val="18"/>
                <w:color w:val="auto"/>
              </w:rPr>
              <w:t>11.</w:t>
            </w: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Aggregate Amount Beneficially Owned by Each Reporting Person</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10580" w:type="dxa"/>
            <w:vAlign w:val="bottom"/>
            <w:tcBorders>
              <w:bottom w:val="single" w:sz="8" w:color="auto"/>
            </w:tcBorders>
            <w:gridSpan w:val="5"/>
          </w:tcPr>
          <w:p>
            <w:pPr>
              <w:ind w:left="80"/>
              <w:spacing w:after="0"/>
              <w:rPr>
                <w:sz w:val="20"/>
                <w:szCs w:val="20"/>
                <w:color w:val="auto"/>
              </w:rPr>
            </w:pPr>
            <w:r>
              <w:rPr>
                <w:rFonts w:ascii="Arial" w:cs="Arial" w:eastAsia="Arial" w:hAnsi="Arial"/>
                <w:sz w:val="22"/>
                <w:szCs w:val="22"/>
                <w:color w:val="auto"/>
              </w:rPr>
              <w:t>76,418 shares</w:t>
            </w: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right w:val="single" w:sz="8" w:color="auto"/>
            </w:tcBorders>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Check if the Aggregate Amount in Row (11) Excludes Certain Shares (See Instructions)</w:t>
            </w:r>
          </w:p>
        </w:tc>
        <w:tc>
          <w:tcPr>
            <w:tcW w:w="0" w:type="dxa"/>
            <w:vAlign w:val="bottom"/>
          </w:tcPr>
          <w:p>
            <w:pPr>
              <w:spacing w:after="0"/>
              <w:rPr>
                <w:sz w:val="1"/>
                <w:szCs w:val="1"/>
                <w:color w:val="auto"/>
              </w:rPr>
            </w:pPr>
          </w:p>
        </w:tc>
      </w:tr>
      <w:tr>
        <w:trPr>
          <w:trHeight w:val="242"/>
        </w:trPr>
        <w:tc>
          <w:tcPr>
            <w:tcW w:w="360" w:type="dxa"/>
            <w:vAlign w:val="bottom"/>
            <w:tcBorders>
              <w:bottom w:val="single" w:sz="8" w:color="auto"/>
            </w:tcBorders>
          </w:tcPr>
          <w:p>
            <w:pPr>
              <w:spacing w:after="0"/>
              <w:rPr>
                <w:sz w:val="21"/>
                <w:szCs w:val="21"/>
                <w:color w:val="auto"/>
              </w:rPr>
            </w:pPr>
          </w:p>
        </w:tc>
        <w:tc>
          <w:tcPr>
            <w:tcW w:w="80" w:type="dxa"/>
            <w:vAlign w:val="bottom"/>
            <w:tcBorders>
              <w:bottom w:val="single" w:sz="8" w:color="auto"/>
              <w:right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380" w:type="dxa"/>
            <w:vAlign w:val="bottom"/>
            <w:tcBorders>
              <w:bottom w:val="single" w:sz="8" w:color="auto"/>
            </w:tcBorders>
            <w:gridSpan w:val="2"/>
          </w:tcPr>
          <w:p>
            <w:pPr>
              <w:spacing w:after="0"/>
              <w:rPr>
                <w:sz w:val="21"/>
                <w:szCs w:val="21"/>
                <w:color w:val="auto"/>
              </w:rPr>
            </w:pPr>
          </w:p>
        </w:tc>
        <w:tc>
          <w:tcPr>
            <w:tcW w:w="9520" w:type="dxa"/>
            <w:vAlign w:val="bottom"/>
            <w:tcBorders>
              <w:bottom w:val="single" w:sz="8" w:color="auto"/>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360" w:type="dxa"/>
            <w:vAlign w:val="bottom"/>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right w:val="single" w:sz="8" w:color="auto"/>
            </w:tcBorders>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Percent of Class Represented by Amount in Row (11)</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680" w:type="dxa"/>
            <w:vAlign w:val="bottom"/>
            <w:tcBorders>
              <w:bottom w:val="single" w:sz="8" w:color="auto"/>
            </w:tcBorders>
          </w:tcPr>
          <w:p>
            <w:pPr>
              <w:ind w:left="80"/>
              <w:spacing w:after="0"/>
              <w:rPr>
                <w:sz w:val="20"/>
                <w:szCs w:val="20"/>
                <w:color w:val="auto"/>
              </w:rPr>
            </w:pPr>
            <w:r>
              <w:rPr>
                <w:rFonts w:ascii="Arial" w:cs="Arial" w:eastAsia="Arial" w:hAnsi="Arial"/>
                <w:sz w:val="22"/>
                <w:szCs w:val="22"/>
                <w:color w:val="auto"/>
              </w:rPr>
              <w:t>0.2%</w:t>
            </w: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right w:val="single" w:sz="8" w:color="auto"/>
            </w:tcBorders>
          </w:tcPr>
          <w:p>
            <w:pPr>
              <w:spacing w:after="0"/>
              <w:rPr>
                <w:sz w:val="19"/>
                <w:szCs w:val="19"/>
                <w:color w:val="auto"/>
              </w:rPr>
            </w:pPr>
          </w:p>
        </w:tc>
        <w:tc>
          <w:tcPr>
            <w:tcW w:w="10580" w:type="dxa"/>
            <w:vAlign w:val="bottom"/>
            <w:gridSpan w:val="5"/>
          </w:tcPr>
          <w:p>
            <w:pPr>
              <w:ind w:left="80"/>
              <w:spacing w:after="0"/>
              <w:rPr>
                <w:sz w:val="20"/>
                <w:szCs w:val="20"/>
                <w:color w:val="auto"/>
              </w:rPr>
            </w:pPr>
            <w:r>
              <w:rPr>
                <w:rFonts w:ascii="Arial" w:cs="Arial" w:eastAsia="Arial" w:hAnsi="Arial"/>
                <w:sz w:val="18"/>
                <w:szCs w:val="18"/>
                <w:color w:val="auto"/>
              </w:rPr>
              <w:t>Type of Reporting Person (See Instructions)</w:t>
            </w:r>
          </w:p>
        </w:tc>
        <w:tc>
          <w:tcPr>
            <w:tcW w:w="0" w:type="dxa"/>
            <w:vAlign w:val="bottom"/>
          </w:tcPr>
          <w:p>
            <w:pPr>
              <w:spacing w:after="0"/>
              <w:rPr>
                <w:sz w:val="1"/>
                <w:szCs w:val="1"/>
                <w:color w:val="auto"/>
              </w:rPr>
            </w:pPr>
          </w:p>
        </w:tc>
      </w:tr>
      <w:tr>
        <w:trPr>
          <w:trHeight w:val="484"/>
        </w:trPr>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gridSpan w:val="2"/>
          </w:tcPr>
          <w:p>
            <w:pPr>
              <w:ind w:left="80"/>
              <w:spacing w:after="0"/>
              <w:rPr>
                <w:sz w:val="20"/>
                <w:szCs w:val="20"/>
                <w:color w:val="auto"/>
              </w:rPr>
            </w:pPr>
            <w:r>
              <w:rPr>
                <w:rFonts w:ascii="Arial" w:cs="Arial" w:eastAsia="Arial" w:hAnsi="Arial"/>
                <w:sz w:val="22"/>
                <w:szCs w:val="22"/>
                <w:color w:val="auto"/>
                <w:w w:val="96"/>
              </w:rPr>
              <w:t>IN, OO</w:t>
            </w: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40"/>
          </w:cols>
          <w:pgMar w:left="440" w:top="270" w:right="419" w:bottom="1440" w:gutter="0" w:footer="0" w:header="0"/>
        </w:sectPr>
      </w:pPr>
    </w:p>
    <w:bookmarkStart w:id="5" w:name="page6"/>
    <w:bookmarkEnd w:id="5"/>
    <w:p>
      <w:pPr>
        <w:spacing w:after="0"/>
        <w:tabs>
          <w:tab w:leader="none" w:pos="96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29251M106</w:t>
      </w:r>
      <w:r>
        <w:rPr>
          <w:sz w:val="20"/>
          <w:szCs w:val="20"/>
          <w:color w:val="auto"/>
        </w:rPr>
        <w:tab/>
      </w:r>
      <w:r>
        <w:rPr>
          <w:rFonts w:ascii="Arial" w:cs="Arial" w:eastAsia="Arial" w:hAnsi="Arial"/>
          <w:sz w:val="15"/>
          <w:szCs w:val="15"/>
          <w:b w:val="1"/>
          <w:bCs w:val="1"/>
          <w:color w:val="auto"/>
        </w:rPr>
        <w:t>Page 6 of 10 Pages</w:t>
      </w:r>
    </w:p>
    <w:p>
      <w:pPr>
        <w:spacing w:after="0" w:line="162"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u w:val="single" w:color="auto"/>
          <w:color w:val="auto"/>
        </w:rPr>
        <w:t>Security and Issuer</w:t>
      </w:r>
      <w:r>
        <w:rPr>
          <w:rFonts w:ascii="Arial" w:cs="Arial" w:eastAsia="Arial" w:hAnsi="Arial"/>
          <w:sz w:val="16"/>
          <w:szCs w:val="16"/>
          <w:color w:val="auto"/>
        </w:rPr>
        <w:t>.</w:t>
      </w:r>
    </w:p>
    <w:p>
      <w:pPr>
        <w:spacing w:after="0" w:line="117" w:lineRule="exact"/>
        <w:rPr>
          <w:sz w:val="20"/>
          <w:szCs w:val="20"/>
          <w:color w:val="auto"/>
        </w:rPr>
      </w:pPr>
    </w:p>
    <w:p>
      <w:pPr>
        <w:jc w:val="both"/>
        <w:ind w:right="620"/>
        <w:spacing w:after="0" w:line="264" w:lineRule="auto"/>
        <w:rPr>
          <w:sz w:val="20"/>
          <w:szCs w:val="20"/>
          <w:color w:val="auto"/>
        </w:rPr>
      </w:pPr>
      <w:r>
        <w:rPr>
          <w:rFonts w:ascii="Arial" w:cs="Arial" w:eastAsia="Arial" w:hAnsi="Arial"/>
          <w:sz w:val="18"/>
          <w:szCs w:val="18"/>
          <w:color w:val="auto"/>
        </w:rPr>
        <w:t>This statement on Schedule 13D (this “Statement”) relates to the shares of common stock, par value $0.0001 per share (the “Shares”), of Selecta Biosciences, Inc., a Delaware corporation (the “Issuer”). The Issuer’s principal executive offices are located at 480 Arsenal Way, Building One, Watertown, Massachusetts 02472. The Issuer’s telephone number is (617) 923-1400.</w:t>
      </w:r>
    </w:p>
    <w:p>
      <w:pPr>
        <w:spacing w:after="0" w:line="330"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u w:val="single" w:color="auto"/>
          <w:color w:val="auto"/>
        </w:rPr>
        <w:t>Identity and Background</w:t>
      </w:r>
      <w:r>
        <w:rPr>
          <w:rFonts w:ascii="Arial" w:cs="Arial" w:eastAsia="Arial" w:hAnsi="Arial"/>
          <w:sz w:val="16"/>
          <w:szCs w:val="16"/>
          <w:color w:val="auto"/>
        </w:rPr>
        <w:t>.</w:t>
      </w:r>
    </w:p>
    <w:p>
      <w:pPr>
        <w:spacing w:after="0" w:line="117" w:lineRule="exact"/>
        <w:rPr>
          <w:sz w:val="20"/>
          <w:szCs w:val="20"/>
          <w:color w:val="auto"/>
        </w:rPr>
      </w:pPr>
    </w:p>
    <w:p>
      <w:pPr>
        <w:ind w:right="100" w:firstLine="885"/>
        <w:spacing w:after="0" w:line="264" w:lineRule="auto"/>
        <w:tabs>
          <w:tab w:leader="none" w:pos="1303"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names of the reporting persons are Timothy A. Springer (“Dr. Springer”), TAS Partners LLC (“TAS”), Leukon Investments, LP (“Leukon”) and Chafen Lu (“Dr. Lu”). The reporting persons are collectively referred to herein as the “Reporting Persons.” Dr. Springer is a director of the Issuer and Dr. Lu is Dr. Springer’s wife.</w:t>
      </w:r>
    </w:p>
    <w:p>
      <w:pPr>
        <w:spacing w:after="0" w:line="181"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Reporting Persons have entered into a Joint Filing Agreement, dated as of the date hereof, a copy of which is filed with this Schedule 13D and incorporated herein by reference, pursuant to which the Reporting Persons have agreed to file this statement jointly in accordance with the provisions of Rule 13d-1(k) under the Act.</w:t>
      </w:r>
    </w:p>
    <w:p>
      <w:pPr>
        <w:spacing w:after="0" w:line="181" w:lineRule="exact"/>
        <w:rPr>
          <w:sz w:val="20"/>
          <w:szCs w:val="20"/>
          <w:color w:val="auto"/>
        </w:rPr>
      </w:pPr>
    </w:p>
    <w:p>
      <w:pPr>
        <w:ind w:left="1280" w:hanging="395"/>
        <w:spacing w:after="0"/>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business address of each of Dr. Springer, TAS, Leukon and Dr. Lu is 36 Woodman Road, Newton, MA, 02467.</w:t>
      </w:r>
    </w:p>
    <w:p>
      <w:pPr>
        <w:spacing w:after="0" w:line="225" w:lineRule="exact"/>
        <w:rPr>
          <w:rFonts w:ascii="Arial" w:cs="Arial" w:eastAsia="Arial" w:hAnsi="Arial"/>
          <w:sz w:val="18"/>
          <w:szCs w:val="18"/>
          <w:color w:val="auto"/>
        </w:rPr>
      </w:pPr>
    </w:p>
    <w:p>
      <w:pPr>
        <w:ind w:right="20" w:firstLine="885"/>
        <w:spacing w:after="0" w:line="286" w:lineRule="auto"/>
        <w:tabs>
          <w:tab w:leader="none" w:pos="1258"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present principal occupation or employment of Dr. Springer is the Latham Family Professor and a Professor of Biological Chemistry and Molecular Pharmacology at Harvard Medical School, and the Senior Investigator in the Program in Cellular and Molecular Medicine and a Professor of Medicine at Boston Children’s Hospital, in each case located at 3 Blackfan Circle, Room 3103, Boston, MA 02115.</w:t>
      </w:r>
    </w:p>
    <w:p>
      <w:pPr>
        <w:spacing w:after="0" w:line="16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present principal occupation or employment of Dr. Lu is an Assistant Professor in Pediatrics at Harvard Medical School and a Research Associate at Boston Children’s Hospital, in each case located at 3 Blackfan Circle, Room 3103, Boston, MA 02115.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principal business of each of Leukon and TAS is investment management.</w:t>
      </w:r>
    </w:p>
    <w:p>
      <w:pPr>
        <w:spacing w:after="0" w:line="225" w:lineRule="exact"/>
        <w:rPr>
          <w:sz w:val="20"/>
          <w:szCs w:val="20"/>
          <w:color w:val="auto"/>
        </w:rPr>
      </w:pPr>
    </w:p>
    <w:p>
      <w:pPr>
        <w:ind w:right="160" w:firstLine="885"/>
        <w:spacing w:after="0" w:line="277" w:lineRule="auto"/>
        <w:tabs>
          <w:tab w:leader="none" w:pos="1271"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None of the Reporting Persons has, during the last five years, been convicted in a criminal proceeding (excluding traffic violations or similar misdemeanors).</w:t>
      </w:r>
    </w:p>
    <w:p>
      <w:pPr>
        <w:spacing w:after="0" w:line="170" w:lineRule="exact"/>
        <w:rPr>
          <w:rFonts w:ascii="Arial" w:cs="Arial" w:eastAsia="Arial" w:hAnsi="Arial"/>
          <w:sz w:val="18"/>
          <w:szCs w:val="18"/>
          <w:color w:val="auto"/>
        </w:rPr>
      </w:pPr>
    </w:p>
    <w:p>
      <w:pPr>
        <w:ind w:right="360" w:firstLine="885"/>
        <w:spacing w:after="0" w:line="312" w:lineRule="auto"/>
        <w:tabs>
          <w:tab w:leader="none" w:pos="1261" w:val="left"/>
        </w:tabs>
        <w:numPr>
          <w:ilvl w:val="0"/>
          <w:numId w:val="4"/>
        </w:numPr>
        <w:rPr>
          <w:rFonts w:ascii="Arial" w:cs="Arial" w:eastAsia="Arial" w:hAnsi="Arial"/>
          <w:sz w:val="16"/>
          <w:szCs w:val="16"/>
          <w:color w:val="auto"/>
        </w:rPr>
      </w:pPr>
      <w:r>
        <w:rPr>
          <w:rFonts w:ascii="Arial" w:cs="Arial" w:eastAsia="Arial" w:hAnsi="Arial"/>
          <w:sz w:val="16"/>
          <w:szCs w:val="16"/>
          <w:color w:val="auto"/>
        </w:rPr>
        <w:t>None of the Reporting Persons was, during the last five years, a party to a civil proceeding of a judicial or administrative body of competent jurisdiction and, as a result of such proceeding, was or is subject to a judgment, decree or final order (1) enjoining future violations of, or prohibiting or mandating activities subject to, federal or state securities laws, or (2) finding any violation with respect to such laws.</w:t>
      </w:r>
    </w:p>
    <w:p>
      <w:pPr>
        <w:spacing w:after="0" w:line="146" w:lineRule="exact"/>
        <w:rPr>
          <w:rFonts w:ascii="Arial" w:cs="Arial" w:eastAsia="Arial" w:hAnsi="Arial"/>
          <w:sz w:val="16"/>
          <w:szCs w:val="16"/>
          <w:color w:val="auto"/>
        </w:rPr>
      </w:pPr>
    </w:p>
    <w:p>
      <w:pPr>
        <w:ind w:left="1240" w:hanging="355"/>
        <w:spacing w:after="0"/>
        <w:tabs>
          <w:tab w:leader="none" w:pos="1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Each of Dr. Springer and Dr. Lu is a citizen of the United States. Each of TAS and Leukon was formed and operates in the United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States.</w:t>
      </w:r>
    </w:p>
    <w:p>
      <w:pPr>
        <w:spacing w:after="0" w:line="359"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u w:val="single" w:color="auto"/>
          <w:color w:val="auto"/>
        </w:rPr>
        <w:t>Source and Amount of Funds or Other Consideration</w:t>
      </w:r>
      <w:r>
        <w:rPr>
          <w:rFonts w:ascii="Arial" w:cs="Arial" w:eastAsia="Arial" w:hAnsi="Arial"/>
          <w:sz w:val="16"/>
          <w:szCs w:val="16"/>
          <w:color w:val="auto"/>
        </w:rPr>
        <w:t>.</w:t>
      </w:r>
    </w:p>
    <w:p>
      <w:pPr>
        <w:spacing w:after="0" w:line="117"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On January 25, 2019, as part of an underwritten public offering by the Issuer, Dr. Springer purchased 4,000,000 shares of Common Stock at a price of $1.50 per share for an aggregate purchase price of approximately $6.0 million and Dr. Lu purchased 66,666 shares of Common Stock at a price of $1.50 per share for an aggregate purchase price of approximately $100,000. Each of Dr. Springer and Dr. Lu used personal funds for such acquisitions.</w:t>
      </w:r>
    </w:p>
    <w:p>
      <w:pPr>
        <w:spacing w:after="0" w:line="14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various open market purchases between November 9, 2017, November 10, 2017 and November 14, 2017, Dr. Springer acquired an aggregate of 101,184 Shares for aggregate consideration of approximately $935,000 (excluding commissions). In various open market purchases on November 9, 2017 and November 10, 2017, Dr. Lu acquired an aggregate of 9,752 Shares for aggregate consideration of approximately $90,000 (excluding commissions). Each of Dr. Springer and Dr. Lu used personal funds for such acquisitions.</w:t>
      </w:r>
    </w:p>
    <w:p>
      <w:pPr>
        <w:sectPr>
          <w:pgSz w:w="11900" w:h="16838" w:orient="portrait"/>
          <w:cols w:equalWidth="0" w:num="1">
            <w:col w:w="11020"/>
          </w:cols>
          <w:pgMar w:left="440" w:top="270" w:right="439" w:bottom="1440" w:gutter="0" w:footer="0" w:header="0"/>
        </w:sectPr>
      </w:pPr>
    </w:p>
    <w:bookmarkStart w:id="6" w:name="page7"/>
    <w:bookmarkEnd w:id="6"/>
    <w:p>
      <w:pPr>
        <w:spacing w:after="0"/>
        <w:tabs>
          <w:tab w:leader="none" w:pos="96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29251M106</w:t>
      </w:r>
      <w:r>
        <w:rPr>
          <w:sz w:val="20"/>
          <w:szCs w:val="20"/>
          <w:color w:val="auto"/>
        </w:rPr>
        <w:tab/>
      </w:r>
      <w:r>
        <w:rPr>
          <w:rFonts w:ascii="Arial" w:cs="Arial" w:eastAsia="Arial" w:hAnsi="Arial"/>
          <w:sz w:val="15"/>
          <w:szCs w:val="15"/>
          <w:b w:val="1"/>
          <w:bCs w:val="1"/>
          <w:color w:val="auto"/>
        </w:rPr>
        <w:t>Page 7 of 10 Pages</w:t>
      </w:r>
    </w:p>
    <w:p>
      <w:pPr>
        <w:spacing w:after="0" w:line="16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June 27, 2017, the Issuer entered into a securities purchase agreement (the “Springer Purchase Agreement”) with Dr. Springer pursuant to which Dr. Springer purchased from the Issuer 338,791 Shares (the “Private Placement Shares”) at a purchase price equal to $17.71 per Share, which was equal to the most recent consolidated closing bid price on the Nasdaq Global Market on June 23, 2017, and warrants to purchase 79,130 Shares (the “Warrant Shares”), exercisable at $17.71 per Share (the “Springer Offering”) at a purchase price of $0.125 per Warrant Share, consistent with Nasdaq Global Market requirements for an “at the market” offering. The Warrant Shares were issued to Dr. Springer pursuant to a separate Common Stock Purchase Warrant (the “Warrant”). The Warrant Shares are exercisable as of the date of grant and have a term of five years. To date, Dr. Springer has not exercised any of the Warrant Shares. The Springer Offering was effected concurrently with a separate private placement pursuant to which the Company sold to certain institutional investors (the “Investors”) an aggregate of 2,750,000 Shares at a purchase price equal to $16.00 per Share.</w:t>
      </w:r>
    </w:p>
    <w:p>
      <w:pPr>
        <w:spacing w:after="0" w:line="166"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 xml:space="preserve">Dr. Springer paid an aggregate purchase price of approximately $6.0 million for the Private Placement Shares and the Warrant Shares. The source of funds for such purchase was Dr. Springer’s personal funds. The Springer Purchase Agreement is incorporated herein as </w:t>
      </w:r>
      <w:r>
        <w:rPr>
          <w:rFonts w:ascii="Arial" w:cs="Arial" w:eastAsia="Arial" w:hAnsi="Arial"/>
          <w:sz w:val="17"/>
          <w:szCs w:val="17"/>
          <w:u w:val="single" w:color="auto"/>
          <w:color w:val="auto"/>
        </w:rPr>
        <w:t>Exhibit 99.1</w:t>
      </w:r>
      <w:r>
        <w:rPr>
          <w:rFonts w:ascii="Arial" w:cs="Arial" w:eastAsia="Arial" w:hAnsi="Arial"/>
          <w:sz w:val="17"/>
          <w:szCs w:val="17"/>
          <w:color w:val="auto"/>
        </w:rPr>
        <w:t xml:space="preserve"> by reference to Exhibit 10.2 to the Report on Form 8-K filed by the Issuer with the Securities and Exchange Commission on June 28, 2017. The Warrant is incorporated herein as </w:t>
      </w:r>
      <w:r>
        <w:rPr>
          <w:rFonts w:ascii="Arial" w:cs="Arial" w:eastAsia="Arial" w:hAnsi="Arial"/>
          <w:sz w:val="17"/>
          <w:szCs w:val="17"/>
          <w:u w:val="single" w:color="auto"/>
          <w:color w:val="auto"/>
        </w:rPr>
        <w:t>Exhibit 4.1</w:t>
      </w:r>
      <w:r>
        <w:rPr>
          <w:rFonts w:ascii="Arial" w:cs="Arial" w:eastAsia="Arial" w:hAnsi="Arial"/>
          <w:sz w:val="17"/>
          <w:szCs w:val="17"/>
          <w:color w:val="auto"/>
        </w:rPr>
        <w:t xml:space="preserve"> by reference to Exhibit 4.1 to the Report on Form 8-K filed by the Issuer with the Securities and Exchange Commission on June 28, 2017. In each case, any description thereof is qualified in its entirety by reference thereto.</w:t>
      </w:r>
    </w:p>
    <w:p>
      <w:pPr>
        <w:spacing w:after="0" w:line="321"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Item 4.</w:t>
      </w:r>
      <w:r>
        <w:rPr>
          <w:sz w:val="20"/>
          <w:szCs w:val="20"/>
          <w:color w:val="auto"/>
        </w:rPr>
        <w:tab/>
      </w:r>
      <w:r>
        <w:rPr>
          <w:rFonts w:ascii="Arial" w:cs="Arial" w:eastAsia="Arial" w:hAnsi="Arial"/>
          <w:sz w:val="16"/>
          <w:szCs w:val="16"/>
          <w:u w:val="single" w:color="auto"/>
          <w:color w:val="auto"/>
        </w:rPr>
        <w:t>Purpose of Transaction</w:t>
      </w:r>
      <w:r>
        <w:rPr>
          <w:rFonts w:ascii="Arial" w:cs="Arial" w:eastAsia="Arial" w:hAnsi="Arial"/>
          <w:sz w:val="16"/>
          <w:szCs w:val="16"/>
          <w:color w:val="auto"/>
        </w:rPr>
        <w:t>.</w:t>
      </w:r>
    </w:p>
    <w:p>
      <w:pPr>
        <w:spacing w:after="0" w:line="11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The applicable Reporting Persons made all acquisitions of Shares as described herein for investment purposes. Except as otherwise described in this statement, neither Dr. Springer nor the other Reporting Persons have any present plans or proposals that relate to or would result in: (i) the acquisition by any person of additional securities of the Issuer, or the disposition of securities of the Issuer; (ii) an extraordinary corporate transaction, such as a merger, reorganization or liquidation, involving the Issuer or any of its subsidiaries; (iii) a sale or transfer of a material amount of assets of the Issuer or any of its subsidiaries; (iv) any change in the present board of directors or management of the Issuer, including any plans or proposals to change the number or term of directors or to fill any existing vacancies on the board; (v) any material change in the present capitalization or dividend policy of the Issuer; (vi) any other material change in the Issuer’s business or corporate structure; (vii) changes in the Issuer’s charter, by-laws or instruments corresponding thereto or other actions which may impede the acquisition of control of the Issuer by any person; (viii) causing a class of securities of the Issuer to be de-listed from a national securities exchange or to cease to be authorized to be quoted in an inter-dealer quotation system of a registered national securities association; (ix) a class of equity securities of the Issuer becoming eligible for termination of registration pursuant to Section 12(g)(4) of the Exchange Act; or (x) any action similar to any of those enumerated above. The Reporting Persons may change their present intentions at any time and therefore reserve their right to make alternative plans or proposals in the future or take any other steps to enhance the value of their investment. The Reporting Persons further reserve the right to increase, decrease (including by distributions in kind to their partners or members) or eliminate their investment in the Issuer, or take any other action relative thereto, in all cases as permitted by the relevant securities laws and any agreement or agreements that have been or may be entered into with the Issuer. Any transactions that Dr. Springer or the other Reporting Persons may pursue may be made at any time and from time to time without prior notice and will depend upon a variety of factors, including, without limitation, current and anticipated future trading prices of the securities of the Issuer, the financial condition, results of operations and prospects of the Issuer, general economic, financial market and industry conditions, diversification of such Reporting Person’s investments, other investment and business opportunities available to the Reporting Persons, tax considerations and other factors.</w:t>
      </w:r>
    </w:p>
    <w:p>
      <w:pPr>
        <w:spacing w:after="0" w:line="200" w:lineRule="exact"/>
        <w:rPr>
          <w:sz w:val="20"/>
          <w:szCs w:val="20"/>
          <w:color w:val="auto"/>
        </w:rPr>
      </w:pPr>
    </w:p>
    <w:p>
      <w:pPr>
        <w:spacing w:after="0" w:line="338"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6"/>
          <w:szCs w:val="16"/>
          <w:u w:val="single" w:color="auto"/>
          <w:color w:val="auto"/>
        </w:rPr>
        <w:t>Interest in Securities of the Issuer</w:t>
      </w:r>
      <w:r>
        <w:rPr>
          <w:rFonts w:ascii="Arial" w:cs="Arial" w:eastAsia="Arial" w:hAnsi="Arial"/>
          <w:sz w:val="16"/>
          <w:szCs w:val="16"/>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 3 and the cover page of this Statement is incorporated herein by reference into this Item 5.</w:t>
      </w:r>
    </w:p>
    <w:p>
      <w:pPr>
        <w:spacing w:after="0" w:line="225" w:lineRule="exact"/>
        <w:rPr>
          <w:sz w:val="20"/>
          <w:szCs w:val="20"/>
          <w:color w:val="auto"/>
        </w:rPr>
      </w:pPr>
    </w:p>
    <w:p>
      <w:pPr>
        <w:ind w:right="40" w:firstLine="885"/>
        <w:spacing w:after="0" w:line="255" w:lineRule="auto"/>
        <w:tabs>
          <w:tab w:leader="none" w:pos="130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percentages of beneficial ownership reported in this Item 5, and on each Reporting Person’s cover page to this Schedule 13D, are based on a total of 44,733,437 Shares issued and outstanding as of March 8, 2019, as reported on the Issuer’s Annual Report on Form 10-K, dated March 15, 2019. All of the Share numbers reported below, and on each Reporting Person’s cover page to this Schedule 13D, are as of March 8, 2019. The number of Shares beneficially owned by each Reporting Person has not changed since the date of event that requires filing of this Statement, except that on June 16, 2017, the Issuer granted to Dr. Springer, for his service as a director of the Issuer, an option to purchase 6,410 Shares, at an exercise price of $17.47 per share, which vested on June 14, 2018.</w:t>
      </w:r>
    </w:p>
    <w:p>
      <w:pPr>
        <w:sectPr>
          <w:pgSz w:w="11900" w:h="16838" w:orient="portrait"/>
          <w:cols w:equalWidth="0" w:num="1">
            <w:col w:w="11020"/>
          </w:cols>
          <w:pgMar w:left="440" w:top="270" w:right="439" w:bottom="1440" w:gutter="0" w:footer="0" w:header="0"/>
        </w:sectPr>
      </w:pPr>
    </w:p>
    <w:bookmarkStart w:id="7" w:name="page8"/>
    <w:bookmarkEnd w:id="7"/>
    <w:p>
      <w:pPr>
        <w:spacing w:after="0"/>
        <w:tabs>
          <w:tab w:leader="none" w:pos="96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29251M106</w:t>
      </w:r>
      <w:r>
        <w:rPr>
          <w:sz w:val="20"/>
          <w:szCs w:val="20"/>
          <w:color w:val="auto"/>
        </w:rPr>
        <w:tab/>
      </w:r>
      <w:r>
        <w:rPr>
          <w:rFonts w:ascii="Arial" w:cs="Arial" w:eastAsia="Arial" w:hAnsi="Arial"/>
          <w:sz w:val="15"/>
          <w:szCs w:val="15"/>
          <w:b w:val="1"/>
          <w:bCs w:val="1"/>
          <w:color w:val="auto"/>
        </w:rPr>
        <w:t>Page 8 of 10 Pages</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color w:val="auto"/>
        </w:rPr>
        <w:t>The Reporting Persons, in the aggregate, beneficially own 6,310,789 Shares, representing approximately 14.1% of such class of securities.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Dr. Springer is the beneficial owner of a total of 6,310,789 Shares, representing approximately 14.1% of the outstanding Shares and consisting of</w:t>
      </w:r>
    </w:p>
    <w:p>
      <w:pPr>
        <w:spacing w:after="0" w:line="35" w:lineRule="exact"/>
        <w:rPr>
          <w:sz w:val="20"/>
          <w:szCs w:val="20"/>
          <w:color w:val="auto"/>
        </w:rPr>
      </w:pPr>
    </w:p>
    <w:p>
      <w:pPr>
        <w:ind w:right="100" w:firstLine="4"/>
        <w:spacing w:after="0" w:line="273" w:lineRule="auto"/>
        <w:tabs>
          <w:tab w:leader="none" w:pos="215" w:val="left"/>
        </w:tabs>
        <w:numPr>
          <w:ilvl w:val="0"/>
          <w:numId w:val="6"/>
        </w:numPr>
        <w:rPr>
          <w:rFonts w:ascii="Arial" w:cs="Arial" w:eastAsia="Arial" w:hAnsi="Arial"/>
          <w:sz w:val="17"/>
          <w:szCs w:val="17"/>
          <w:color w:val="auto"/>
        </w:rPr>
      </w:pPr>
      <w:r>
        <w:rPr>
          <w:rFonts w:ascii="Arial" w:cs="Arial" w:eastAsia="Arial" w:hAnsi="Arial"/>
          <w:sz w:val="17"/>
          <w:szCs w:val="17"/>
          <w:color w:val="auto"/>
        </w:rPr>
        <w:t>4,456,597 Shares held directly, (ii) 79,130 Shares underlying warrants exercisable within 60 days of March 8, 2019 held directly, (iii) 6,410 Shares issuable upon exercise of outstanding options within 60 days of March 8, 2019 and held directly, (iv) 445,576 Shares held by TAS, (v) 4,304 Shares underlying warrants exercisable within 60 days of March 8, 2019 held by TAS, (vi) 1,237,028 Shares held by Leukon and (vii) 5,326 Shares underlying warrants exercisable within 60 days of March 8, 2019 held by Leukon, and (viii) 76,418 Shares held by Dr. Lu.</w:t>
      </w:r>
    </w:p>
    <w:p>
      <w:pPr>
        <w:spacing w:after="0" w:line="177"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TAS is the beneficial owner of a total of 449,880 Shares, representing approximately 1.0% of the outstanding Shares and consisting of (i) 445,576 Shares and (ii) 4,304 Shares underlying warrants exercisable within 60 days of March 8, 2019. TAS holds all such Shares directly. Dr. Springer is the sole managing member of TAS.</w:t>
      </w:r>
    </w:p>
    <w:p>
      <w:pPr>
        <w:spacing w:after="0" w:line="18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Leukon is the beneficial owner of a total of 1,242,354 Shares, representing approximately 2.8% of the outstanding Shares and consisting of (i) 1,237,028 Shares and (ii) 5,326 Shares underlying warrants exercisable within 60 days of March 8, 2019. Leukon holds all such Shares directly. LKST, Inc. is the general partner of Leukon and Dr. Springer is the president of LKST, Inc.</w:t>
      </w:r>
    </w:p>
    <w:p>
      <w:pPr>
        <w:spacing w:after="0" w:line="18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Dr. Lu is the beneficial owner of a total of 76,418 Shares, representing approximately 0.2% of the outstanding Shares. Dr. Lu holds all such Shares directly. Dr. Lu is the spouse of Dr. Springer.</w:t>
      </w:r>
    </w:p>
    <w:p>
      <w:pPr>
        <w:spacing w:after="0" w:line="170" w:lineRule="exact"/>
        <w:rPr>
          <w:sz w:val="20"/>
          <w:szCs w:val="20"/>
          <w:color w:val="auto"/>
        </w:rPr>
      </w:pPr>
    </w:p>
    <w:p>
      <w:pPr>
        <w:ind w:firstLine="885"/>
        <w:spacing w:after="0" w:line="264" w:lineRule="auto"/>
        <w:tabs>
          <w:tab w:leader="none" w:pos="1271" w:val="left"/>
        </w:tabs>
        <w:numPr>
          <w:ilvl w:val="0"/>
          <w:numId w:val="7"/>
        </w:numPr>
        <w:rPr>
          <w:rFonts w:ascii="Arial" w:cs="Arial" w:eastAsia="Arial" w:hAnsi="Arial"/>
          <w:sz w:val="18"/>
          <w:szCs w:val="18"/>
          <w:color w:val="auto"/>
        </w:rPr>
      </w:pPr>
      <w:r>
        <w:rPr>
          <w:rFonts w:ascii="Arial" w:cs="Arial" w:eastAsia="Arial" w:hAnsi="Arial"/>
          <w:sz w:val="18"/>
          <w:szCs w:val="18"/>
          <w:color w:val="auto"/>
        </w:rPr>
        <w:t>Dr. Springer exercises sole voting and dispositive power over the Shares held by him directly and the Shares held by each of TAS and Leukon. Dr. Springer disclaims beneficial ownership of the Shares held by TAS and Leukon, except to the extent of his pecuniary interest therein. Dr. Lu exercises sole voting and dispositive power over the Shares held by her directly.</w:t>
      </w:r>
    </w:p>
    <w:p>
      <w:pPr>
        <w:spacing w:after="0" w:line="181" w:lineRule="exact"/>
        <w:rPr>
          <w:rFonts w:ascii="Arial" w:cs="Arial" w:eastAsia="Arial" w:hAnsi="Arial"/>
          <w:sz w:val="18"/>
          <w:szCs w:val="18"/>
          <w:color w:val="auto"/>
        </w:rPr>
      </w:pPr>
    </w:p>
    <w:p>
      <w:pPr>
        <w:ind w:right="40" w:firstLine="885"/>
        <w:spacing w:after="0" w:line="277" w:lineRule="auto"/>
        <w:tabs>
          <w:tab w:leader="none" w:pos="125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Reporting Persons have not engaged in any transactions with respect to the Shares during the 60 days before the date of this filing, except as described in Item 3 above.</w:t>
      </w:r>
    </w:p>
    <w:p>
      <w:pPr>
        <w:spacing w:after="0" w:line="170" w:lineRule="exact"/>
        <w:rPr>
          <w:rFonts w:ascii="Arial" w:cs="Arial" w:eastAsia="Arial" w:hAnsi="Arial"/>
          <w:sz w:val="18"/>
          <w:szCs w:val="18"/>
          <w:color w:val="auto"/>
        </w:rPr>
      </w:pPr>
    </w:p>
    <w:p>
      <w:pPr>
        <w:ind w:right="160" w:firstLine="885"/>
        <w:spacing w:after="0" w:line="277" w:lineRule="auto"/>
        <w:tabs>
          <w:tab w:leader="none" w:pos="1271"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person other than the Reporting Persons is known to have the right to receive or the power to direct the receipt of dividends from, or the proceeds from the sale of, the Shares.</w:t>
      </w:r>
    </w:p>
    <w:p>
      <w:pPr>
        <w:spacing w:after="0" w:line="170" w:lineRule="exact"/>
        <w:rPr>
          <w:rFonts w:ascii="Arial" w:cs="Arial" w:eastAsia="Arial" w:hAnsi="Arial"/>
          <w:sz w:val="18"/>
          <w:szCs w:val="18"/>
          <w:color w:val="auto"/>
        </w:rPr>
      </w:pPr>
    </w:p>
    <w:p>
      <w:pPr>
        <w:ind w:left="1320" w:hanging="435"/>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374"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u w:val="single" w:color="auto"/>
          <w:color w:val="auto"/>
        </w:rPr>
        <w:t>Contracts, Arrangements, Understandings or Relationships with Respect to Securities of the Issuer</w:t>
      </w:r>
      <w:r>
        <w:rPr>
          <w:rFonts w:ascii="Arial" w:cs="Arial" w:eastAsia="Arial" w:hAnsi="Arial"/>
          <w:sz w:val="16"/>
          <w:szCs w:val="16"/>
          <w:color w:val="auto"/>
        </w:rPr>
        <w: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under Items 2, 3, 4 and 5 of this Statement is incorporated herein by reference.</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Dr. Springer, together with the other Investors, entered into a Registration Rights Agreement with the Issuer on June 27, 2017 (the “Registration Rights Agreement”), which provides certain rights with respect to the registration of Shares under the Securities Act of 1933, as amended. Pursuant to the Registration Rights Agreement, the Issuer filed a registration statement on Form S-3 registering the sale by the Issuer of 3,167,921 Shares. The registration statement became effective July 21, 2017. The Registration Rights Agreement is incorporated herein as </w:t>
      </w:r>
      <w:r>
        <w:rPr>
          <w:rFonts w:ascii="Arial" w:cs="Arial" w:eastAsia="Arial" w:hAnsi="Arial"/>
          <w:sz w:val="18"/>
          <w:szCs w:val="18"/>
          <w:u w:val="single" w:color="auto"/>
          <w:color w:val="auto"/>
        </w:rPr>
        <w:t>Exhibit 99.2</w:t>
      </w:r>
      <w:r>
        <w:rPr>
          <w:rFonts w:ascii="Arial" w:cs="Arial" w:eastAsia="Arial" w:hAnsi="Arial"/>
          <w:sz w:val="18"/>
          <w:szCs w:val="18"/>
          <w:color w:val="auto"/>
        </w:rPr>
        <w:t xml:space="preserve"> by reference to Exhibit 10.4 to the Report on Form 8-K filed by the Issuer with the Securities and Exchange Commission on June 28, 2017, and any description thereof is qualified in its entirety by reference thereto.</w:t>
      </w:r>
    </w:p>
    <w:p>
      <w:pPr>
        <w:sectPr>
          <w:pgSz w:w="11900" w:h="16838" w:orient="portrait"/>
          <w:cols w:equalWidth="0" w:num="1">
            <w:col w:w="11020"/>
          </w:cols>
          <w:pgMar w:left="440" w:top="270" w:right="4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4140" w:type="dxa"/>
            <w:vAlign w:val="bottom"/>
            <w:gridSpan w:val="7"/>
          </w:tcPr>
          <w:p>
            <w:pPr>
              <w:spacing w:after="0"/>
              <w:rPr>
                <w:sz w:val="20"/>
                <w:szCs w:val="20"/>
                <w:color w:val="auto"/>
              </w:rPr>
            </w:pPr>
            <w:r>
              <w:rPr>
                <w:rFonts w:ascii="Arial" w:cs="Arial" w:eastAsia="Arial" w:hAnsi="Arial"/>
                <w:sz w:val="18"/>
                <w:szCs w:val="18"/>
                <w:b w:val="1"/>
                <w:bCs w:val="1"/>
                <w:color w:val="auto"/>
              </w:rPr>
              <w:t>CUSIP No</w:t>
            </w:r>
            <w:r>
              <w:rPr>
                <w:rFonts w:ascii="Arial" w:cs="Arial" w:eastAsia="Arial" w:hAnsi="Arial"/>
                <w:sz w:val="18"/>
                <w:szCs w:val="18"/>
                <w:color w:val="auto"/>
              </w:rPr>
              <w:t>.</w:t>
            </w:r>
            <w:r>
              <w:rPr>
                <w:rFonts w:ascii="Arial" w:cs="Arial" w:eastAsia="Arial" w:hAnsi="Arial"/>
                <w:sz w:val="18"/>
                <w:szCs w:val="18"/>
                <w:b w:val="1"/>
                <w:bCs w:val="1"/>
                <w:color w:val="auto"/>
              </w:rPr>
              <w:t xml:space="preserve"> 29251M106</w:t>
            </w:r>
          </w:p>
        </w:tc>
        <w:tc>
          <w:tcPr>
            <w:tcW w:w="1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780" w:type="dxa"/>
            <w:vAlign w:val="bottom"/>
            <w:gridSpan w:val="4"/>
          </w:tcPr>
          <w:p>
            <w:pPr>
              <w:ind w:left="3380"/>
              <w:spacing w:after="0"/>
              <w:rPr>
                <w:sz w:val="20"/>
                <w:szCs w:val="20"/>
                <w:color w:val="auto"/>
              </w:rPr>
            </w:pPr>
            <w:r>
              <w:rPr>
                <w:rFonts w:ascii="Arial" w:cs="Arial" w:eastAsia="Arial" w:hAnsi="Arial"/>
                <w:sz w:val="18"/>
                <w:szCs w:val="18"/>
                <w:b w:val="1"/>
                <w:bCs w:val="1"/>
                <w:color w:val="auto"/>
                <w:w w:val="84"/>
              </w:rPr>
              <w:t>Page 9 of 10 Pages</w:t>
            </w:r>
          </w:p>
        </w:tc>
        <w:tc>
          <w:tcPr>
            <w:tcW w:w="0" w:type="dxa"/>
            <w:vAlign w:val="bottom"/>
          </w:tcPr>
          <w:p>
            <w:pPr>
              <w:spacing w:after="0"/>
              <w:rPr>
                <w:sz w:val="1"/>
                <w:szCs w:val="1"/>
                <w:color w:val="auto"/>
              </w:rPr>
            </w:pPr>
          </w:p>
        </w:tc>
      </w:tr>
      <w:tr>
        <w:trPr>
          <w:trHeight w:val="324"/>
        </w:trPr>
        <w:tc>
          <w:tcPr>
            <w:tcW w:w="880" w:type="dxa"/>
            <w:vAlign w:val="bottom"/>
            <w:gridSpan w:val="3"/>
          </w:tcPr>
          <w:p>
            <w:pPr>
              <w:spacing w:after="0"/>
              <w:rPr>
                <w:sz w:val="20"/>
                <w:szCs w:val="20"/>
                <w:color w:val="auto"/>
              </w:rPr>
            </w:pPr>
            <w:r>
              <w:rPr>
                <w:rFonts w:ascii="Arial" w:cs="Arial" w:eastAsia="Arial" w:hAnsi="Arial"/>
                <w:sz w:val="18"/>
                <w:szCs w:val="18"/>
                <w:color w:val="auto"/>
              </w:rPr>
              <w:t>Item 7.</w:t>
            </w:r>
          </w:p>
        </w:tc>
        <w:tc>
          <w:tcPr>
            <w:tcW w:w="3260" w:type="dxa"/>
            <w:vAlign w:val="bottom"/>
            <w:gridSpan w:val="4"/>
          </w:tcPr>
          <w:p>
            <w:pPr>
              <w:spacing w:after="0"/>
              <w:rPr>
                <w:sz w:val="20"/>
                <w:szCs w:val="20"/>
                <w:color w:val="auto"/>
              </w:rPr>
            </w:pPr>
            <w:r>
              <w:rPr>
                <w:rFonts w:ascii="Arial" w:cs="Arial" w:eastAsia="Arial" w:hAnsi="Arial"/>
                <w:sz w:val="18"/>
                <w:szCs w:val="18"/>
                <w:color w:val="auto"/>
              </w:rPr>
              <w:t>Material to be Filed as Exhibits.</w:t>
            </w:r>
          </w:p>
        </w:tc>
        <w:tc>
          <w:tcPr>
            <w:tcW w:w="1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Exhibit</w:t>
            </w:r>
          </w:p>
        </w:tc>
        <w:tc>
          <w:tcPr>
            <w:tcW w:w="100" w:type="dxa"/>
            <w:vAlign w:val="bottom"/>
            <w:tcBorders>
              <w:top w:val="single" w:sz="8" w:color="auto"/>
            </w:tcBorders>
          </w:tcPr>
          <w:p>
            <w:pPr>
              <w:spacing w:after="0"/>
              <w:rPr>
                <w:sz w:val="24"/>
                <w:szCs w:val="24"/>
                <w:color w:val="auto"/>
              </w:rPr>
            </w:pPr>
          </w:p>
        </w:tc>
        <w:tc>
          <w:tcPr>
            <w:tcW w:w="216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60" w:type="dxa"/>
            <w:vAlign w:val="bottom"/>
            <w:vMerge w:val="restart"/>
          </w:tcPr>
          <w:p>
            <w:pPr>
              <w:spacing w:after="0"/>
              <w:rPr>
                <w:sz w:val="20"/>
                <w:szCs w:val="20"/>
                <w:color w:val="auto"/>
              </w:rPr>
            </w:pPr>
            <w:r>
              <w:rPr>
                <w:rFonts w:ascii="Arial" w:cs="Arial" w:eastAsia="Arial" w:hAnsi="Arial"/>
                <w:sz w:val="14"/>
                <w:szCs w:val="14"/>
                <w:b w:val="1"/>
                <w:bCs w:val="1"/>
                <w:color w:val="auto"/>
                <w:w w:val="94"/>
              </w:rPr>
              <w:t>Exhibit</w:t>
            </w:r>
          </w:p>
        </w:tc>
        <w:tc>
          <w:tcPr>
            <w:tcW w:w="4780" w:type="dxa"/>
            <w:vAlign w:val="bottom"/>
            <w:gridSpan w:val="4"/>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No.</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47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7"/>
        </w:trPr>
        <w:tc>
          <w:tcPr>
            <w:tcW w:w="460" w:type="dxa"/>
            <w:vAlign w:val="bottom"/>
            <w:gridSpan w:val="2"/>
          </w:tcPr>
          <w:p>
            <w:pPr>
              <w:jc w:val="right"/>
              <w:ind w:right="68"/>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0" w:type="dxa"/>
            <w:vAlign w:val="bottom"/>
            <w:tcBorders>
              <w:bottom w:val="single" w:sz="8" w:color="0000EE"/>
            </w:tcBorders>
            <w:gridSpan w:val="8"/>
          </w:tcPr>
          <w:p>
            <w:pPr>
              <w:spacing w:after="0"/>
              <w:rPr>
                <w:rFonts w:ascii="Arial" w:cs="Arial" w:eastAsia="Arial" w:hAnsi="Arial"/>
                <w:sz w:val="18"/>
                <w:szCs w:val="18"/>
                <w:color w:val="0000EE"/>
                <w:w w:val="89"/>
              </w:rPr>
            </w:pPr>
            <w:hyperlink r:id="rId36">
              <w:r>
                <w:rPr>
                  <w:rFonts w:ascii="Arial" w:cs="Arial" w:eastAsia="Arial" w:hAnsi="Arial"/>
                  <w:sz w:val="18"/>
                  <w:szCs w:val="18"/>
                  <w:color w:val="0000EE"/>
                  <w:w w:val="89"/>
                </w:rPr>
                <w:t>Common Stock Purchase Warrant, dated June 27, 2017, by and between Selecta Biosciences, Inc. and Timothy Springer, Ph.D.</w:t>
              </w:r>
            </w:hyperlink>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40" w:type="dxa"/>
            <w:vAlign w:val="bottom"/>
            <w:gridSpan w:val="9"/>
          </w:tcPr>
          <w:p>
            <w:pPr>
              <w:spacing w:after="0"/>
              <w:rPr>
                <w:sz w:val="20"/>
                <w:szCs w:val="20"/>
                <w:color w:val="auto"/>
              </w:rPr>
            </w:pPr>
            <w:r>
              <w:rPr>
                <w:rFonts w:ascii="Arial" w:cs="Arial" w:eastAsia="Arial" w:hAnsi="Arial"/>
                <w:sz w:val="18"/>
                <w:szCs w:val="18"/>
                <w:color w:val="auto"/>
                <w:w w:val="92"/>
              </w:rPr>
              <w:t>(incorporated by reference to Exhibit 4.1 to the Report on Form 8-K filed by the Issuer with the Securities and Exchange Commission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June 28, 2017).</w:t>
            </w:r>
          </w:p>
        </w:tc>
        <w:tc>
          <w:tcPr>
            <w:tcW w:w="1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460" w:type="dxa"/>
            <w:vAlign w:val="bottom"/>
            <w:gridSpan w:val="2"/>
          </w:tcPr>
          <w:p>
            <w:pPr>
              <w:jc w:val="right"/>
              <w:ind w:right="68"/>
              <w:spacing w:after="0"/>
              <w:rPr>
                <w:sz w:val="20"/>
                <w:szCs w:val="20"/>
                <w:color w:val="auto"/>
              </w:rPr>
            </w:pPr>
            <w:r>
              <w:rPr>
                <w:rFonts w:ascii="Arial" w:cs="Arial" w:eastAsia="Arial" w:hAnsi="Arial"/>
                <w:sz w:val="18"/>
                <w:szCs w:val="18"/>
                <w:color w:val="auto"/>
                <w:w w:val="85"/>
              </w:rPr>
              <w:t>99.1</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60" w:type="dxa"/>
            <w:vAlign w:val="bottom"/>
            <w:gridSpan w:val="3"/>
          </w:tcPr>
          <w:p>
            <w:pPr>
              <w:spacing w:after="0"/>
              <w:rPr>
                <w:rFonts w:ascii="Arial" w:cs="Arial" w:eastAsia="Arial" w:hAnsi="Arial"/>
                <w:sz w:val="18"/>
                <w:szCs w:val="18"/>
                <w:color w:val="0000EE"/>
                <w:w w:val="89"/>
              </w:rPr>
            </w:pPr>
            <w:hyperlink r:id="rId37">
              <w:r>
                <w:rPr>
                  <w:rFonts w:ascii="Arial" w:cs="Arial" w:eastAsia="Arial" w:hAnsi="Arial"/>
                  <w:sz w:val="18"/>
                  <w:szCs w:val="18"/>
                  <w:color w:val="0000EE"/>
                  <w:w w:val="89"/>
                </w:rPr>
                <w:t>Securities Purchase Agreement, dated June</w:t>
              </w:r>
            </w:hyperlink>
          </w:p>
        </w:tc>
        <w:tc>
          <w:tcPr>
            <w:tcW w:w="6880" w:type="dxa"/>
            <w:vAlign w:val="bottom"/>
            <w:gridSpan w:val="6"/>
          </w:tcPr>
          <w:p>
            <w:pPr>
              <w:ind w:left="40"/>
              <w:spacing w:after="0"/>
              <w:rPr>
                <w:rFonts w:ascii="Arial" w:cs="Arial" w:eastAsia="Arial" w:hAnsi="Arial"/>
                <w:sz w:val="18"/>
                <w:szCs w:val="18"/>
                <w:color w:val="0000EE"/>
                <w:w w:val="90"/>
              </w:rPr>
            </w:pPr>
            <w:hyperlink r:id="rId37">
              <w:r>
                <w:rPr>
                  <w:rFonts w:ascii="Arial" w:cs="Arial" w:eastAsia="Arial" w:hAnsi="Arial"/>
                  <w:sz w:val="18"/>
                  <w:szCs w:val="18"/>
                  <w:color w:val="0000EE"/>
                  <w:w w:val="90"/>
                </w:rPr>
                <w:t xml:space="preserve">26, 2017, by and between Selecta Biosciences, Inc. and Timothy Springer, Ph.D. </w:t>
              </w:r>
            </w:hyperlink>
            <w:r>
              <w:rPr>
                <w:rFonts w:ascii="Arial" w:cs="Arial" w:eastAsia="Arial" w:hAnsi="Arial"/>
                <w:sz w:val="18"/>
                <w:szCs w:val="18"/>
                <w:color w:val="000000"/>
                <w:w w:val="90"/>
              </w:rPr>
              <w:t>(incorporated</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gridSpan w:val="2"/>
            <w:shd w:val="clear" w:color="auto" w:fill="0000EE"/>
          </w:tcPr>
          <w:p>
            <w:pPr>
              <w:spacing w:after="0" w:line="20" w:lineRule="exact"/>
              <w:rPr>
                <w:sz w:val="1"/>
                <w:szCs w:val="1"/>
                <w:color w:val="auto"/>
              </w:rPr>
            </w:pPr>
          </w:p>
        </w:tc>
        <w:tc>
          <w:tcPr>
            <w:tcW w:w="6180" w:type="dxa"/>
            <w:vAlign w:val="bottom"/>
            <w:gridSpan w:val="4"/>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40" w:type="dxa"/>
            <w:vAlign w:val="bottom"/>
            <w:gridSpan w:val="9"/>
          </w:tcPr>
          <w:p>
            <w:pPr>
              <w:spacing w:after="0"/>
              <w:rPr>
                <w:sz w:val="20"/>
                <w:szCs w:val="20"/>
                <w:color w:val="auto"/>
              </w:rPr>
            </w:pPr>
            <w:r>
              <w:rPr>
                <w:rFonts w:ascii="Arial" w:cs="Arial" w:eastAsia="Arial" w:hAnsi="Arial"/>
                <w:sz w:val="18"/>
                <w:szCs w:val="18"/>
                <w:color w:val="auto"/>
                <w:w w:val="95"/>
              </w:rPr>
              <w:t>by reference to Exhibit 10.2 to the Report on Form 8-K filed by the Issuer with the Securities and Exchange Commission on June 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260" w:type="dxa"/>
            <w:vAlign w:val="bottom"/>
            <w:gridSpan w:val="2"/>
          </w:tcPr>
          <w:p>
            <w:pPr>
              <w:ind w:left="100"/>
              <w:spacing w:after="0"/>
              <w:rPr>
                <w:sz w:val="20"/>
                <w:szCs w:val="20"/>
                <w:color w:val="auto"/>
              </w:rPr>
            </w:pPr>
            <w:r>
              <w:rPr>
                <w:rFonts w:ascii="Arial" w:cs="Arial" w:eastAsia="Arial" w:hAnsi="Arial"/>
                <w:sz w:val="18"/>
                <w:szCs w:val="18"/>
                <w:color w:val="auto"/>
              </w:rPr>
              <w:t>2017).</w:t>
            </w:r>
          </w:p>
        </w:tc>
        <w:tc>
          <w:tcPr>
            <w:tcW w:w="6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460" w:type="dxa"/>
            <w:vAlign w:val="bottom"/>
            <w:gridSpan w:val="2"/>
          </w:tcPr>
          <w:p>
            <w:pPr>
              <w:jc w:val="right"/>
              <w:ind w:right="68"/>
              <w:spacing w:after="0"/>
              <w:rPr>
                <w:sz w:val="20"/>
                <w:szCs w:val="20"/>
                <w:color w:val="auto"/>
              </w:rPr>
            </w:pPr>
            <w:r>
              <w:rPr>
                <w:rFonts w:ascii="Arial" w:cs="Arial" w:eastAsia="Arial" w:hAnsi="Arial"/>
                <w:sz w:val="18"/>
                <w:szCs w:val="18"/>
                <w:color w:val="auto"/>
                <w:w w:val="85"/>
              </w:rPr>
              <w:t>99.2</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160" w:type="dxa"/>
            <w:vAlign w:val="bottom"/>
            <w:tcBorders>
              <w:bottom w:val="single" w:sz="8" w:color="0000EE"/>
            </w:tcBorders>
            <w:gridSpan w:val="3"/>
          </w:tcPr>
          <w:p>
            <w:pPr>
              <w:spacing w:after="0"/>
              <w:rPr>
                <w:rFonts w:ascii="Arial" w:cs="Arial" w:eastAsia="Arial" w:hAnsi="Arial"/>
                <w:sz w:val="18"/>
                <w:szCs w:val="18"/>
                <w:color w:val="0000EE"/>
                <w:w w:val="91"/>
              </w:rPr>
            </w:pPr>
            <w:hyperlink r:id="rId38">
              <w:r>
                <w:rPr>
                  <w:rFonts w:ascii="Arial" w:cs="Arial" w:eastAsia="Arial" w:hAnsi="Arial"/>
                  <w:sz w:val="18"/>
                  <w:szCs w:val="18"/>
                  <w:color w:val="0000EE"/>
                  <w:w w:val="91"/>
                </w:rPr>
                <w:t>Registration Rights Agreement, dated June</w:t>
              </w:r>
            </w:hyperlink>
          </w:p>
        </w:tc>
        <w:tc>
          <w:tcPr>
            <w:tcW w:w="5960" w:type="dxa"/>
            <w:vAlign w:val="bottom"/>
            <w:tcBorders>
              <w:bottom w:val="single" w:sz="8" w:color="0000EE"/>
            </w:tcBorders>
            <w:gridSpan w:val="4"/>
          </w:tcPr>
          <w:p>
            <w:pPr>
              <w:ind w:left="40"/>
              <w:spacing w:after="0"/>
              <w:rPr>
                <w:rFonts w:ascii="Arial" w:cs="Arial" w:eastAsia="Arial" w:hAnsi="Arial"/>
                <w:sz w:val="18"/>
                <w:szCs w:val="18"/>
                <w:color w:val="0000EE"/>
                <w:w w:val="89"/>
              </w:rPr>
            </w:pPr>
            <w:hyperlink r:id="rId38">
              <w:r>
                <w:rPr>
                  <w:rFonts w:ascii="Arial" w:cs="Arial" w:eastAsia="Arial" w:hAnsi="Arial"/>
                  <w:sz w:val="18"/>
                  <w:szCs w:val="18"/>
                  <w:color w:val="0000EE"/>
                  <w:w w:val="89"/>
                </w:rPr>
                <w:t>27, 2017, by and among Selecta Biosciences, Inc. and the Investors named therein</w:t>
              </w:r>
            </w:hyperlink>
          </w:p>
        </w:tc>
        <w:tc>
          <w:tcPr>
            <w:tcW w:w="9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40" w:type="dxa"/>
            <w:vAlign w:val="bottom"/>
            <w:gridSpan w:val="9"/>
          </w:tcPr>
          <w:p>
            <w:pPr>
              <w:spacing w:after="0"/>
              <w:rPr>
                <w:sz w:val="20"/>
                <w:szCs w:val="20"/>
                <w:color w:val="auto"/>
              </w:rPr>
            </w:pPr>
            <w:r>
              <w:rPr>
                <w:rFonts w:ascii="Arial" w:cs="Arial" w:eastAsia="Arial" w:hAnsi="Arial"/>
                <w:sz w:val="18"/>
                <w:szCs w:val="18"/>
                <w:color w:val="auto"/>
                <w:w w:val="91"/>
              </w:rPr>
              <w:t>(incorporated by reference to Exhibit 10.3 to the Report on Form 8-K filed by the Issuer with the Securities and Exchange Commission on</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60" w:type="dxa"/>
            <w:vAlign w:val="bottom"/>
            <w:gridSpan w:val="3"/>
          </w:tcPr>
          <w:p>
            <w:pPr>
              <w:spacing w:after="0"/>
              <w:rPr>
                <w:sz w:val="20"/>
                <w:szCs w:val="20"/>
                <w:color w:val="auto"/>
              </w:rPr>
            </w:pPr>
            <w:r>
              <w:rPr>
                <w:rFonts w:ascii="Arial" w:cs="Arial" w:eastAsia="Arial" w:hAnsi="Arial"/>
                <w:sz w:val="18"/>
                <w:szCs w:val="18"/>
                <w:color w:val="auto"/>
              </w:rPr>
              <w:t>June 28, 2017).</w:t>
            </w:r>
          </w:p>
        </w:tc>
        <w:tc>
          <w:tcPr>
            <w:tcW w:w="1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460" w:type="dxa"/>
            <w:vAlign w:val="bottom"/>
            <w:gridSpan w:val="2"/>
          </w:tcPr>
          <w:p>
            <w:pPr>
              <w:jc w:val="right"/>
              <w:ind w:right="68"/>
              <w:spacing w:after="0"/>
              <w:rPr>
                <w:sz w:val="20"/>
                <w:szCs w:val="20"/>
                <w:color w:val="auto"/>
              </w:rPr>
            </w:pPr>
            <w:r>
              <w:rPr>
                <w:rFonts w:ascii="Arial" w:cs="Arial" w:eastAsia="Arial" w:hAnsi="Arial"/>
                <w:sz w:val="18"/>
                <w:szCs w:val="18"/>
                <w:color w:val="auto"/>
                <w:w w:val="85"/>
              </w:rPr>
              <w:t>99.3</w:t>
            </w: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20" w:type="dxa"/>
            <w:vAlign w:val="bottom"/>
            <w:tcBorders>
              <w:bottom w:val="single" w:sz="8" w:color="0000EE"/>
            </w:tcBorders>
            <w:gridSpan w:val="2"/>
          </w:tcPr>
          <w:p>
            <w:pPr>
              <w:spacing w:after="0"/>
              <w:rPr>
                <w:sz w:val="20"/>
                <w:szCs w:val="20"/>
                <w:color w:val="auto"/>
              </w:rPr>
            </w:pPr>
            <w:r>
              <w:rPr>
                <w:rFonts w:ascii="Arial" w:cs="Arial" w:eastAsia="Arial" w:hAnsi="Arial"/>
                <w:sz w:val="18"/>
                <w:szCs w:val="18"/>
                <w:color w:val="0000EE"/>
                <w:w w:val="93"/>
              </w:rPr>
              <w:t>Joint Filing Agreement, filed herewith.</w:t>
            </w:r>
          </w:p>
        </w:tc>
        <w:tc>
          <w:tcPr>
            <w:tcW w:w="3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spacing w:after="0"/>
        <w:rPr>
          <w:sz w:val="20"/>
          <w:szCs w:val="20"/>
          <w:color w:val="auto"/>
        </w:rPr>
      </w:pPr>
      <w:r>
        <w:rPr>
          <w:rFonts w:ascii="Arial" w:cs="Arial" w:eastAsia="Arial" w:hAnsi="Arial"/>
          <w:sz w:val="18"/>
          <w:szCs w:val="18"/>
          <w:i w:val="1"/>
          <w:iCs w:val="1"/>
          <w:color w:val="auto"/>
        </w:rPr>
        <w:t>[signature page follows]</w:t>
      </w:r>
    </w:p>
    <w:p>
      <w:pPr>
        <w:sectPr>
          <w:pgSz w:w="11900" w:h="16838" w:orient="portrait"/>
          <w:cols w:equalWidth="0" w:num="1">
            <w:col w:w="11020"/>
          </w:cols>
          <w:pgMar w:left="440" w:top="270" w:right="439" w:bottom="1440" w:gutter="0" w:footer="0" w:header="0"/>
        </w:sectPr>
      </w:pPr>
    </w:p>
    <w:bookmarkStart w:id="9" w:name="page10"/>
    <w:bookmarkEnd w:id="9"/>
    <w:p>
      <w:pPr>
        <w:jc w:val="center"/>
        <w:ind w:right="-13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5" w:lineRule="exact"/>
        <w:rPr>
          <w:sz w:val="20"/>
          <w:szCs w:val="20"/>
          <w:color w:val="auto"/>
        </w:rPr>
      </w:pPr>
    </w:p>
    <w:p>
      <w:pPr>
        <w:ind w:firstLine="1433"/>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27, 2019</w:t>
      </w:r>
    </w:p>
    <w:p>
      <w:pPr>
        <w:spacing w:after="0" w:line="252"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/s/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4483100</wp:posOffset>
            </wp:positionH>
            <wp:positionV relativeFrom="paragraph">
              <wp:posOffset>14605</wp:posOffset>
            </wp:positionV>
            <wp:extent cx="252158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Timothy A Springer</w:t>
      </w:r>
    </w:p>
    <w:p>
      <w:pPr>
        <w:spacing w:after="0" w:line="225"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/s/ Chafen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4483100</wp:posOffset>
            </wp:positionH>
            <wp:positionV relativeFrom="paragraph">
              <wp:posOffset>14605</wp:posOffset>
            </wp:positionV>
            <wp:extent cx="252158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Chafen Lu</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TAS Partners LLC</w:t>
      </w:r>
    </w:p>
    <w:p>
      <w:pPr>
        <w:spacing w:after="0" w:line="225" w:lineRule="exact"/>
        <w:rPr>
          <w:sz w:val="20"/>
          <w:szCs w:val="20"/>
          <w:color w:val="auto"/>
        </w:rPr>
      </w:pPr>
    </w:p>
    <w:p>
      <w:pPr>
        <w:ind w:left="7060"/>
        <w:spacing w:after="0"/>
        <w:tabs>
          <w:tab w:leader="none" w:pos="7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4852035</wp:posOffset>
            </wp:positionH>
            <wp:positionV relativeFrom="paragraph">
              <wp:posOffset>14605</wp:posOffset>
            </wp:positionV>
            <wp:extent cx="215265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124"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Name: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4852035</wp:posOffset>
            </wp:positionH>
            <wp:positionV relativeFrom="paragraph">
              <wp:posOffset>14605</wp:posOffset>
            </wp:positionV>
            <wp:extent cx="215265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124" w:lineRule="exact"/>
        <w:rPr>
          <w:sz w:val="20"/>
          <w:szCs w:val="20"/>
          <w:color w:val="auto"/>
        </w:rPr>
      </w:pPr>
    </w:p>
    <w:p>
      <w:pPr>
        <w:ind w:left="7060"/>
        <w:spacing w:after="0"/>
        <w:tabs>
          <w:tab w:leader="none" w:pos="7620" w:val="left"/>
        </w:tabs>
        <w:rPr>
          <w:sz w:val="20"/>
          <w:szCs w:val="20"/>
          <w:color w:val="auto"/>
        </w:rPr>
      </w:pPr>
      <w:r>
        <w:rPr>
          <w:rFonts w:ascii="Arial" w:cs="Arial" w:eastAsia="Arial" w:hAnsi="Arial"/>
          <w:sz w:val="18"/>
          <w:szCs w:val="18"/>
          <w:color w:val="auto"/>
        </w:rPr>
        <w:t>Title:</w:t>
        <w:tab/>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4852035</wp:posOffset>
            </wp:positionH>
            <wp:positionV relativeFrom="paragraph">
              <wp:posOffset>14605</wp:posOffset>
            </wp:positionV>
            <wp:extent cx="215265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Leukon Investments, LP</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LKST Inc., its General Partner</w:t>
      </w:r>
    </w:p>
    <w:p>
      <w:pPr>
        <w:spacing w:after="0" w:line="224" w:lineRule="exact"/>
        <w:rPr>
          <w:sz w:val="20"/>
          <w:szCs w:val="20"/>
          <w:color w:val="auto"/>
        </w:rPr>
      </w:pPr>
    </w:p>
    <w:p>
      <w:pPr>
        <w:ind w:left="7060"/>
        <w:spacing w:after="0"/>
        <w:tabs>
          <w:tab w:leader="none" w:pos="7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4852035</wp:posOffset>
            </wp:positionH>
            <wp:positionV relativeFrom="paragraph">
              <wp:posOffset>14605</wp:posOffset>
            </wp:positionV>
            <wp:extent cx="215265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124"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Name: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4852035</wp:posOffset>
            </wp:positionH>
            <wp:positionV relativeFrom="paragraph">
              <wp:posOffset>14605</wp:posOffset>
            </wp:positionV>
            <wp:extent cx="215265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124" w:lineRule="exact"/>
        <w:rPr>
          <w:sz w:val="20"/>
          <w:szCs w:val="20"/>
          <w:color w:val="auto"/>
        </w:rPr>
      </w:pPr>
    </w:p>
    <w:p>
      <w:pPr>
        <w:ind w:left="7060"/>
        <w:spacing w:after="0"/>
        <w:tabs>
          <w:tab w:leader="none" w:pos="7620" w:val="left"/>
        </w:tabs>
        <w:rPr>
          <w:sz w:val="20"/>
          <w:szCs w:val="20"/>
          <w:color w:val="auto"/>
        </w:rPr>
      </w:pPr>
      <w:r>
        <w:rPr>
          <w:rFonts w:ascii="Arial" w:cs="Arial" w:eastAsia="Arial" w:hAnsi="Arial"/>
          <w:sz w:val="18"/>
          <w:szCs w:val="18"/>
          <w:color w:val="auto"/>
        </w:rPr>
        <w:t>Title:</w:t>
        <w:tab/>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4852035</wp:posOffset>
            </wp:positionH>
            <wp:positionV relativeFrom="paragraph">
              <wp:posOffset>14605</wp:posOffset>
            </wp:positionV>
            <wp:extent cx="215265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ectPr>
          <w:pgSz w:w="11900" w:h="16838" w:orient="portrait"/>
          <w:cols w:equalWidth="0" w:num="1">
            <w:col w:w="10880"/>
          </w:cols>
          <w:pgMar w:left="440" w:top="274" w:right="57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u w:val="single" w:color="auto"/>
          <w:color w:val="auto"/>
        </w:rPr>
        <w:t>Exhibit 99.3</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JOINT FILING AGREEMENT</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Pursuant to Rule 13d-1(k)(1) under the Securities Exchange Act of 1934, as amended, the undersigned hereby agree, as of March 27, 2019, that only one statement containing the information required by Schedule 13D, and each amendment thereto, need be filed with respect to the ownership by each of the undersigned of shares of common stock, $0.0001 par value per share of Selecta Biosciences, Inc., and such statement to which this Joint Filing Agreement is attached as </w:t>
      </w:r>
      <w:r>
        <w:rPr>
          <w:rFonts w:ascii="Arial" w:cs="Arial" w:eastAsia="Arial" w:hAnsi="Arial"/>
          <w:sz w:val="18"/>
          <w:szCs w:val="18"/>
          <w:u w:val="single" w:color="auto"/>
          <w:color w:val="auto"/>
        </w:rPr>
        <w:t>Exhibit 99.3</w:t>
      </w:r>
      <w:r>
        <w:rPr>
          <w:rFonts w:ascii="Arial" w:cs="Arial" w:eastAsia="Arial" w:hAnsi="Arial"/>
          <w:sz w:val="18"/>
          <w:szCs w:val="18"/>
          <w:color w:val="auto"/>
        </w:rPr>
        <w:t xml:space="preserve"> is filed on behalf of each of the undersigned.</w:t>
      </w:r>
    </w:p>
    <w:p>
      <w:pPr>
        <w:spacing w:after="0" w:line="214"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/s/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4483100</wp:posOffset>
            </wp:positionH>
            <wp:positionV relativeFrom="paragraph">
              <wp:posOffset>14605</wp:posOffset>
            </wp:positionV>
            <wp:extent cx="252158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Timothy A Springer</w:t>
      </w:r>
    </w:p>
    <w:p>
      <w:pPr>
        <w:spacing w:after="0" w:line="225"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/s/ Chafen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4483100</wp:posOffset>
            </wp:positionH>
            <wp:positionV relativeFrom="paragraph">
              <wp:posOffset>14605</wp:posOffset>
            </wp:positionV>
            <wp:extent cx="252158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Chafen Lu</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TAS Partners LLC</w:t>
      </w:r>
    </w:p>
    <w:p>
      <w:pPr>
        <w:spacing w:after="0" w:line="225" w:lineRule="exact"/>
        <w:rPr>
          <w:sz w:val="20"/>
          <w:szCs w:val="20"/>
          <w:color w:val="auto"/>
        </w:rPr>
      </w:pPr>
    </w:p>
    <w:p>
      <w:pPr>
        <w:ind w:left="7060"/>
        <w:spacing w:after="0"/>
        <w:tabs>
          <w:tab w:leader="none" w:pos="7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4852035</wp:posOffset>
            </wp:positionH>
            <wp:positionV relativeFrom="paragraph">
              <wp:posOffset>14605</wp:posOffset>
            </wp:positionV>
            <wp:extent cx="215265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124"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Name: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4852035</wp:posOffset>
            </wp:positionH>
            <wp:positionV relativeFrom="paragraph">
              <wp:posOffset>14605</wp:posOffset>
            </wp:positionV>
            <wp:extent cx="215265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124" w:lineRule="exact"/>
        <w:rPr>
          <w:sz w:val="20"/>
          <w:szCs w:val="20"/>
          <w:color w:val="auto"/>
        </w:rPr>
      </w:pPr>
    </w:p>
    <w:p>
      <w:pPr>
        <w:ind w:left="7060"/>
        <w:spacing w:after="0"/>
        <w:tabs>
          <w:tab w:leader="none" w:pos="7620" w:val="left"/>
        </w:tabs>
        <w:rPr>
          <w:sz w:val="20"/>
          <w:szCs w:val="20"/>
          <w:color w:val="auto"/>
        </w:rPr>
      </w:pPr>
      <w:r>
        <w:rPr>
          <w:rFonts w:ascii="Arial" w:cs="Arial" w:eastAsia="Arial" w:hAnsi="Arial"/>
          <w:sz w:val="18"/>
          <w:szCs w:val="18"/>
          <w:color w:val="auto"/>
        </w:rPr>
        <w:t>Title:</w:t>
        <w:tab/>
        <w:t>Manager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4852035</wp:posOffset>
            </wp:positionH>
            <wp:positionV relativeFrom="paragraph">
              <wp:posOffset>14605</wp:posOffset>
            </wp:positionV>
            <wp:extent cx="21526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Leukon Investments, LP</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LKST Inc., its General Partner</w:t>
      </w:r>
    </w:p>
    <w:p>
      <w:pPr>
        <w:spacing w:after="0" w:line="224" w:lineRule="exact"/>
        <w:rPr>
          <w:sz w:val="20"/>
          <w:szCs w:val="20"/>
          <w:color w:val="auto"/>
        </w:rPr>
      </w:pPr>
    </w:p>
    <w:p>
      <w:pPr>
        <w:ind w:left="7060"/>
        <w:spacing w:after="0"/>
        <w:tabs>
          <w:tab w:leader="none" w:pos="7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4852035</wp:posOffset>
            </wp:positionH>
            <wp:positionV relativeFrom="paragraph">
              <wp:posOffset>14605</wp:posOffset>
            </wp:positionV>
            <wp:extent cx="215265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124" w:lineRule="exact"/>
        <w:rPr>
          <w:sz w:val="20"/>
          <w:szCs w:val="20"/>
          <w:color w:val="auto"/>
        </w:rPr>
      </w:pPr>
    </w:p>
    <w:p>
      <w:pPr>
        <w:ind w:left="7060"/>
        <w:spacing w:after="0"/>
        <w:rPr>
          <w:sz w:val="20"/>
          <w:szCs w:val="20"/>
          <w:color w:val="auto"/>
        </w:rPr>
      </w:pPr>
      <w:r>
        <w:rPr>
          <w:rFonts w:ascii="Arial" w:cs="Arial" w:eastAsia="Arial" w:hAnsi="Arial"/>
          <w:sz w:val="18"/>
          <w:szCs w:val="18"/>
          <w:color w:val="auto"/>
        </w:rPr>
        <w:t>Name: Timothy A. Springer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4852035</wp:posOffset>
            </wp:positionH>
            <wp:positionV relativeFrom="paragraph">
              <wp:posOffset>14605</wp:posOffset>
            </wp:positionV>
            <wp:extent cx="215265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124" w:lineRule="exact"/>
        <w:rPr>
          <w:sz w:val="20"/>
          <w:szCs w:val="20"/>
          <w:color w:val="auto"/>
        </w:rPr>
      </w:pPr>
    </w:p>
    <w:p>
      <w:pPr>
        <w:ind w:left="7060"/>
        <w:spacing w:after="0"/>
        <w:tabs>
          <w:tab w:leader="none" w:pos="7620" w:val="left"/>
        </w:tabs>
        <w:rPr>
          <w:sz w:val="20"/>
          <w:szCs w:val="20"/>
          <w:color w:val="auto"/>
        </w:rPr>
      </w:pPr>
      <w:r>
        <w:rPr>
          <w:rFonts w:ascii="Arial" w:cs="Arial" w:eastAsia="Arial" w:hAnsi="Arial"/>
          <w:sz w:val="18"/>
          <w:szCs w:val="18"/>
          <w:color w:val="auto"/>
        </w:rPr>
        <w:t>Title:</w:t>
        <w:tab/>
        <w:t>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4852035</wp:posOffset>
            </wp:positionH>
            <wp:positionV relativeFrom="paragraph">
              <wp:posOffset>14605</wp:posOffset>
            </wp:positionV>
            <wp:extent cx="215265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sectPr>
      <w:pgSz w:w="11900" w:h="16838" w:orient="portrait"/>
      <w:cols w:equalWidth="0" w:num="1">
        <w:col w:w="11020"/>
      </w:cols>
      <w:pgMar w:left="440" w:top="1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1"/>
    </w:lvl>
  </w:abstractNum>
  <w:abstractNum w:abstractNumId="2">
    <w:nsid w:val="46E87CCD"/>
    <w:multiLevelType w:val="hybridMultilevel"/>
    <w:lvl w:ilvl="0">
      <w:lvlJc w:val="left"/>
      <w:lvlText w:val="(%1)"/>
      <w:numFmt w:val="lowerLetter"/>
      <w:start w:val="2"/>
    </w:lvl>
  </w:abstractNum>
  <w:abstractNum w:abstractNumId="3">
    <w:nsid w:val="3D1B58BA"/>
    <w:multiLevelType w:val="hybridMultilevel"/>
    <w:lvl w:ilvl="0">
      <w:lvlJc w:val="left"/>
      <w:lvlText w:val="(%1)"/>
      <w:numFmt w:val="lowerLetter"/>
      <w:start w:val="4"/>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Roman"/>
      <w:start w:val="1"/>
    </w:lvl>
  </w:abstractNum>
  <w:abstractNum w:abstractNumId="6">
    <w:nsid w:val="41B71EFB"/>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36" Type="http://schemas.openxmlformats.org/officeDocument/2006/relationships/hyperlink" Target="http://www.sec.gov/Archives/edgar/data/1453687/000145368717000048/exhibit41_selectabioscienc.htm" TargetMode="External"/><Relationship Id="rId37" Type="http://schemas.openxmlformats.org/officeDocument/2006/relationships/hyperlink" Target="http://www.sec.gov/Archives/edgar/data/1453687/000145368717000048/exhibit102_selectabioscien.htm" TargetMode="External"/><Relationship Id="rId38" Type="http://schemas.openxmlformats.org/officeDocument/2006/relationships/hyperlink" Target="http://www.sec.gov/Archives/edgar/data/1453687/000145368717000048/exhibit103_selectabioscien.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2019-12-03T19:14:05Z</dcterms:created>
  <dcterms:modified xsi:type="dcterms:W3CDTF">2019-12-03T19:14:05Z</dcterms:modified>
</cp:coreProperties>
</file>