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9, 2022</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001-37798</w:t>
            </w:r>
          </w:p>
        </w:tc>
        <w:tc>
          <w:tcPr>
            <w:tcW w:w="196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26-1622110</w:t>
            </w:r>
          </w:p>
        </w:tc>
      </w:tr>
      <w:tr>
        <w:trPr>
          <w:trHeight w:val="176"/>
        </w:trPr>
        <w:tc>
          <w:tcPr>
            <w:tcW w:w="2460" w:type="dxa"/>
            <w:vAlign w:val="bottom"/>
          </w:tcPr>
          <w:p>
            <w:pPr>
              <w:jc w:val="center"/>
              <w:ind w:right="490"/>
              <w:spacing w:after="0" w:line="176" w:lineRule="exact"/>
              <w:rPr>
                <w:sz w:val="20"/>
                <w:szCs w:val="20"/>
                <w:color w:val="auto"/>
              </w:rPr>
            </w:pPr>
            <w:r>
              <w:rPr>
                <w:rFonts w:ascii="Arial" w:cs="Arial" w:eastAsia="Arial" w:hAnsi="Arial"/>
                <w:sz w:val="18"/>
                <w:szCs w:val="18"/>
                <w:color w:val="auto"/>
                <w:w w:val="91"/>
              </w:rPr>
              <w:t>(State or other jurisdiction</w:t>
            </w:r>
          </w:p>
        </w:tc>
        <w:tc>
          <w:tcPr>
            <w:tcW w:w="496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(Commission</w:t>
            </w:r>
          </w:p>
        </w:tc>
        <w:tc>
          <w:tcPr>
            <w:tcW w:w="196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403"/>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(617) 923-1400</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3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5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098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February 9, 2022, Selecta Biosciences, Inc. (the “Company”) submitted a written response to the U.S. Food and Drug Administration (“FDA”) in order to provide the FDA with additional information on the chemistry, manufacturing and controls (CMC) related to its MMA-101 product candidate. As previously announced, the Company received a letter from the FDA on November 23, 2021 notifying the Company that the FDA had placed a clinical hold on the Company’s Phase 1/2 clinical trial of SEL-302 (which consists of MMA-101 plus ImmTOR) for the treatment of patients with methylmalonic acidemia (“MMA”).</w:t>
      </w:r>
    </w:p>
    <w:p>
      <w:pPr>
        <w:spacing w:after="0" w:line="8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FDA is expected to evaluate the Company’s response and determine whether the information provided is satisfactory to allow the Phase 1/2 clinical trial to proceed.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560" w:type="dxa"/>
            <w:vAlign w:val="bottom"/>
            <w:gridSpan w:val="2"/>
          </w:tcPr>
          <w:p>
            <w:pPr>
              <w:ind w:left="1840"/>
              <w:spacing w:after="0"/>
              <w:rPr>
                <w:sz w:val="20"/>
                <w:szCs w:val="20"/>
                <w:color w:val="auto"/>
              </w:rPr>
            </w:pPr>
            <w:r>
              <w:rPr>
                <w:rFonts w:ascii="Arial" w:cs="Arial" w:eastAsia="Arial" w:hAnsi="Arial"/>
                <w:sz w:val="18"/>
                <w:szCs w:val="18"/>
                <w:color w:val="auto"/>
              </w:rPr>
              <w:t>SELECTA BIOSCIENCES, INC.</w:t>
            </w:r>
          </w:p>
        </w:tc>
      </w:tr>
      <w:tr>
        <w:trPr>
          <w:trHeight w:val="688"/>
        </w:trPr>
        <w:tc>
          <w:tcPr>
            <w:tcW w:w="3620" w:type="dxa"/>
            <w:vAlign w:val="bottom"/>
          </w:tcPr>
          <w:p>
            <w:pPr>
              <w:spacing w:after="0"/>
              <w:rPr>
                <w:sz w:val="20"/>
                <w:szCs w:val="20"/>
                <w:color w:val="auto"/>
              </w:rPr>
            </w:pPr>
            <w:r>
              <w:rPr>
                <w:rFonts w:ascii="Arial" w:cs="Arial" w:eastAsia="Arial" w:hAnsi="Arial"/>
                <w:sz w:val="18"/>
                <w:szCs w:val="18"/>
                <w:color w:val="auto"/>
              </w:rPr>
              <w:t>Date: February 10, 2022</w:t>
            </w:r>
          </w:p>
        </w:tc>
        <w:tc>
          <w:tcPr>
            <w:tcW w:w="2420" w:type="dxa"/>
            <w:vAlign w:val="bottom"/>
          </w:tcPr>
          <w:p>
            <w:pPr>
              <w:ind w:left="18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36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36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00"/>
      </w:cols>
      <w:pgMar w:left="320" w:top="76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2022-02-10T07:02:32Z</dcterms:created>
  <dcterms:modified xsi:type="dcterms:W3CDTF">2022-02-10T07:02:32Z</dcterms:modified>
</cp:coreProperties>
</file>