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197"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36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02"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CURRENT REPORT</w:t>
      </w: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82"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Date of report (Date of earliest event reported): June 21, 2017</w:t>
      </w:r>
    </w:p>
    <w:p>
      <w:pPr>
        <w:spacing w:after="0" w:line="38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SELECTA BIOSCIENCES, INC.</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240" w:top="622" w:right="419" w:bottom="1440" w:gutter="0" w:footer="0" w:header="0"/>
        </w:sectPr>
      </w:pPr>
    </w:p>
    <w:p>
      <w:pPr>
        <w:spacing w:after="0" w:line="136"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2540"/>
        <w:spacing w:after="0"/>
        <w:rPr>
          <w:sz w:val="20"/>
          <w:szCs w:val="20"/>
          <w:color w:val="auto"/>
        </w:rPr>
      </w:pPr>
      <w:r>
        <w:rPr>
          <w:rFonts w:ascii="Arial" w:cs="Arial" w:eastAsia="Arial" w:hAnsi="Arial"/>
          <w:sz w:val="14"/>
          <w:szCs w:val="14"/>
          <w:b w:val="1"/>
          <w:bCs w:val="1"/>
          <w:color w:val="auto"/>
        </w:rPr>
        <w:t>001-37798</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26-1622110</w:t>
      </w:r>
    </w:p>
    <w:p>
      <w:pPr>
        <w:spacing w:after="0" w:line="84" w:lineRule="exact"/>
        <w:rPr>
          <w:sz w:val="24"/>
          <w:szCs w:val="24"/>
          <w:color w:val="auto"/>
        </w:rPr>
      </w:pPr>
    </w:p>
    <w:p>
      <w:pPr>
        <w:sectPr>
          <w:pgSz w:w="11900" w:h="16838" w:orient="portrait"/>
          <w:cols w:equalWidth="0" w:num="3">
            <w:col w:w="4660" w:space="720"/>
            <w:col w:w="3240" w:space="720"/>
            <w:col w:w="1900"/>
          </w:cols>
          <w:pgMar w:left="240" w:top="622" w:right="419" w:bottom="1440" w:gutter="0" w:footer="0" w:header="0"/>
          <w:type w:val="continuous"/>
        </w:sectPr>
      </w:pPr>
    </w:p>
    <w:p>
      <w:pPr>
        <w:ind w:left="780"/>
        <w:spacing w:after="0"/>
        <w:rPr>
          <w:sz w:val="20"/>
          <w:szCs w:val="20"/>
          <w:color w:val="auto"/>
        </w:rPr>
      </w:pPr>
      <w:r>
        <w:rPr>
          <w:rFonts w:ascii="Arial" w:cs="Arial" w:eastAsia="Arial" w:hAnsi="Arial"/>
          <w:sz w:val="15"/>
          <w:szCs w:val="15"/>
          <w:color w:val="auto"/>
        </w:rPr>
        <w:t>(State or other jurisdiction of</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580" w:space="720"/>
            <w:col w:w="3100" w:space="720"/>
            <w:col w:w="2120"/>
          </w:cols>
          <w:pgMar w:left="240" w:top="622" w:right="419" w:bottom="1440" w:gutter="0" w:footer="0" w:header="0"/>
          <w:type w:val="continuous"/>
        </w:sectPr>
      </w:pPr>
    </w:p>
    <w:p>
      <w:pPr>
        <w:spacing w:after="0" w:line="21"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480 Arsenal Way</w:t>
      </w:r>
    </w:p>
    <w:p>
      <w:pPr>
        <w:spacing w:after="0" w:line="25"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Watertown, MA 02472</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(Address of principal executive offices) (Zip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(617) 923-1400</w:t>
      </w:r>
    </w:p>
    <w:p>
      <w:pPr>
        <w:spacing w:after="0" w:line="25"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(Registrant’s telephone number, include area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240"/>
          </w:cols>
          <w:pgMar w:left="240" w:top="622" w:right="41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74" w:lineRule="exact"/>
        <w:rPr>
          <w:sz w:val="24"/>
          <w:szCs w:val="24"/>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67" w:lineRule="exact"/>
        <w:rPr>
          <w:sz w:val="24"/>
          <w:szCs w:val="24"/>
          <w:color w:val="auto"/>
        </w:rPr>
      </w:pPr>
    </w:p>
    <w:p>
      <w:pPr>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2" w:lineRule="exact"/>
        <w:rPr>
          <w:sz w:val="24"/>
          <w:szCs w:val="24"/>
          <w:color w:val="auto"/>
        </w:rPr>
      </w:pPr>
    </w:p>
    <w:p>
      <w:pPr>
        <w:ind w:right="80"/>
        <w:spacing w:after="0" w:line="279"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240"/>
          </w:cols>
          <w:pgMar w:left="240" w:top="622"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On June 15, 2017, Selecta Biosciences, Inc. (the “Company”) furnished a corporate slide presentation (the “June 15 Presentation”) providing additional data from the Company’s ongoing, open-label Phase 2 company-sponsored trial, which is assessing the safety, tolerability, pharmacokinetic and pharmacodynamics of SEL-212 in patients with elevated uric acid levels and symptomatic gout (the “Phase 2 Trial”).</w:t>
      </w:r>
    </w:p>
    <w:p>
      <w:pPr>
        <w:spacing w:after="0" w:line="163"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Company is now furnishing an updated corporate presentation (the “Updated Presentation”), which is attached to this Current Report on Form 8-K as Exhibit 99.1. In addition to incorporating information from the June 15 Presentation, the Updated Presentation includes, among other things, data with respect to Cohort 7 of the Phase 2 Trial, which were not contained in the June 15 Presentation.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Company undertakes no obligation to update, supplement or amend the materials attached hereto as Exhibit 99.1.</w:t>
      </w:r>
    </w:p>
    <w:p>
      <w:pPr>
        <w:spacing w:after="0" w:line="202"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206"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color w:val="auto"/>
        </w:rPr>
        <w:t>The Updated Presentation amends (i) the number of patients enrolled in the Phase 2 Trial as of June 12, 2017 from 60 to 62 and (ii) the percentage of patients reporting a gout flare in the first month of treatment from 15% to 14% as a result of the increase in the number of patients.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9160" w:type="dxa"/>
            <w:vAlign w:val="bottom"/>
          </w:tcPr>
          <w:p>
            <w:pPr>
              <w:spacing w:after="0"/>
              <w:rPr>
                <w:sz w:val="12"/>
                <w:szCs w:val="12"/>
                <w:color w:val="auto"/>
              </w:rPr>
            </w:pPr>
          </w:p>
        </w:tc>
      </w:tr>
      <w:tr>
        <w:trPr>
          <w:trHeight w:val="196"/>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No.</w:t>
            </w:r>
          </w:p>
        </w:tc>
        <w:tc>
          <w:tcPr>
            <w:tcW w:w="9160" w:type="dxa"/>
            <w:vAlign w:val="bottom"/>
          </w:tcPr>
          <w:p>
            <w:pPr>
              <w:ind w:left="4260"/>
              <w:spacing w:after="0"/>
              <w:rPr>
                <w:sz w:val="20"/>
                <w:szCs w:val="20"/>
                <w:color w:val="auto"/>
              </w:rPr>
            </w:pPr>
            <w:r>
              <w:rPr>
                <w:rFonts w:ascii="Arial" w:cs="Arial" w:eastAsia="Arial" w:hAnsi="Arial"/>
                <w:sz w:val="13"/>
                <w:szCs w:val="13"/>
                <w:b w:val="1"/>
                <w:bCs w:val="1"/>
                <w:color w:val="auto"/>
              </w:rPr>
              <w:t>Description</w:t>
            </w:r>
          </w:p>
        </w:tc>
      </w:tr>
      <w:tr>
        <w:trPr>
          <w:trHeight w:val="479"/>
        </w:trPr>
        <w:tc>
          <w:tcPr>
            <w:tcW w:w="1620" w:type="dxa"/>
            <w:vAlign w:val="bottom"/>
            <w:tcBorders>
              <w:top w:val="single" w:sz="8" w:color="auto"/>
            </w:tcBorders>
          </w:tcPr>
          <w:p>
            <w:pPr>
              <w:jc w:val="right"/>
              <w:ind w:right="430"/>
              <w:spacing w:after="0"/>
              <w:rPr>
                <w:sz w:val="20"/>
                <w:szCs w:val="20"/>
                <w:color w:val="auto"/>
              </w:rPr>
            </w:pPr>
            <w:r>
              <w:rPr>
                <w:rFonts w:ascii="Arial" w:cs="Arial" w:eastAsia="Arial" w:hAnsi="Arial"/>
                <w:sz w:val="16"/>
                <w:szCs w:val="16"/>
                <w:color w:val="auto"/>
              </w:rPr>
              <w:t>99.1</w:t>
            </w:r>
          </w:p>
        </w:tc>
        <w:tc>
          <w:tcPr>
            <w:tcW w:w="660" w:type="dxa"/>
            <w:vAlign w:val="bottom"/>
          </w:tcPr>
          <w:p>
            <w:pPr>
              <w:spacing w:after="0"/>
              <w:rPr>
                <w:sz w:val="24"/>
                <w:szCs w:val="24"/>
                <w:color w:val="auto"/>
              </w:rPr>
            </w:pPr>
          </w:p>
        </w:tc>
        <w:tc>
          <w:tcPr>
            <w:tcW w:w="9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Corporate presentation of Selecta Biosciences, Inc. dated June 21, 2017</w:t>
            </w:r>
          </w:p>
        </w:tc>
      </w:tr>
    </w:tbl>
    <w:p>
      <w:pPr>
        <w:sectPr>
          <w:pgSz w:w="11900" w:h="16838" w:orient="portrait"/>
          <w:cols w:equalWidth="0" w:num="1">
            <w:col w:w="11440"/>
          </w:cols>
          <w:pgMar w:left="240" w:top="726"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400" w:type="dxa"/>
            <w:vAlign w:val="bottom"/>
          </w:tcPr>
          <w:p>
            <w:pPr>
              <w:spacing w:after="0"/>
              <w:rPr>
                <w:sz w:val="17"/>
                <w:szCs w:val="17"/>
                <w:color w:val="auto"/>
              </w:rPr>
            </w:pPr>
          </w:p>
        </w:tc>
        <w:tc>
          <w:tcPr>
            <w:tcW w:w="8020" w:type="dxa"/>
            <w:vAlign w:val="bottom"/>
            <w:gridSpan w:val="2"/>
          </w:tcPr>
          <w:p>
            <w:pPr>
              <w:ind w:left="2100"/>
              <w:spacing w:after="0"/>
              <w:rPr>
                <w:sz w:val="20"/>
                <w:szCs w:val="20"/>
                <w:color w:val="auto"/>
              </w:rPr>
            </w:pPr>
            <w:r>
              <w:rPr>
                <w:rFonts w:ascii="Arial" w:cs="Arial" w:eastAsia="Arial" w:hAnsi="Arial"/>
                <w:sz w:val="16"/>
                <w:szCs w:val="16"/>
                <w:color w:val="auto"/>
              </w:rPr>
              <w:t>SELECTA BIOSCIENCES, INC.</w:t>
            </w:r>
          </w:p>
        </w:tc>
      </w:tr>
      <w:tr>
        <w:trPr>
          <w:trHeight w:val="724"/>
        </w:trPr>
        <w:tc>
          <w:tcPr>
            <w:tcW w:w="3400" w:type="dxa"/>
            <w:vAlign w:val="bottom"/>
          </w:tcPr>
          <w:p>
            <w:pPr>
              <w:spacing w:after="0"/>
              <w:rPr>
                <w:sz w:val="20"/>
                <w:szCs w:val="20"/>
                <w:color w:val="auto"/>
              </w:rPr>
            </w:pPr>
            <w:r>
              <w:rPr>
                <w:rFonts w:ascii="Arial" w:cs="Arial" w:eastAsia="Arial" w:hAnsi="Arial"/>
                <w:sz w:val="16"/>
                <w:szCs w:val="16"/>
                <w:color w:val="auto"/>
              </w:rPr>
              <w:t>Date: June 21, 2017</w:t>
            </w:r>
          </w:p>
        </w:tc>
        <w:tc>
          <w:tcPr>
            <w:tcW w:w="2760" w:type="dxa"/>
            <w:vAlign w:val="bottom"/>
          </w:tcPr>
          <w:p>
            <w:pPr>
              <w:ind w:left="2100"/>
              <w:spacing w:after="0"/>
              <w:rPr>
                <w:sz w:val="20"/>
                <w:szCs w:val="20"/>
                <w:color w:val="auto"/>
              </w:rPr>
            </w:pPr>
            <w:r>
              <w:rPr>
                <w:rFonts w:ascii="Arial" w:cs="Arial" w:eastAsia="Arial" w:hAnsi="Arial"/>
                <w:sz w:val="16"/>
                <w:szCs w:val="16"/>
                <w:color w:val="auto"/>
              </w:rPr>
              <w:t>By:</w:t>
            </w:r>
          </w:p>
        </w:tc>
        <w:tc>
          <w:tcPr>
            <w:tcW w:w="5260" w:type="dxa"/>
            <w:vAlign w:val="bottom"/>
          </w:tcPr>
          <w:p>
            <w:pPr>
              <w:ind w:left="20"/>
              <w:spacing w:after="0"/>
              <w:rPr>
                <w:sz w:val="20"/>
                <w:szCs w:val="20"/>
                <w:color w:val="auto"/>
              </w:rPr>
            </w:pPr>
            <w:r>
              <w:rPr>
                <w:rFonts w:ascii="Arial" w:cs="Arial" w:eastAsia="Arial" w:hAnsi="Arial"/>
                <w:sz w:val="16"/>
                <w:szCs w:val="16"/>
                <w:color w:val="auto"/>
              </w:rPr>
              <w:t>/s/ Werner Cautreels, Ph.D.</w:t>
            </w:r>
          </w:p>
        </w:tc>
      </w:tr>
      <w:tr>
        <w:trPr>
          <w:trHeight w:val="24"/>
        </w:trPr>
        <w:tc>
          <w:tcPr>
            <w:tcW w:w="34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9"/>
        </w:trPr>
        <w:tc>
          <w:tcPr>
            <w:tcW w:w="3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Werner Cautreels, Ph.D.</w:t>
            </w:r>
          </w:p>
        </w:tc>
      </w:tr>
      <w:tr>
        <w:trPr>
          <w:trHeight w:val="241"/>
        </w:trPr>
        <w:tc>
          <w:tcPr>
            <w:tcW w:w="3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40"/>
          </w:cols>
          <w:pgMar w:left="240" w:top="726"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9160" w:type="dxa"/>
            <w:vAlign w:val="bottom"/>
            <w:vMerge w:val="restart"/>
          </w:tcPr>
          <w:p>
            <w:pPr>
              <w:ind w:left="426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No.</w:t>
            </w:r>
          </w:p>
        </w:tc>
        <w:tc>
          <w:tcPr>
            <w:tcW w:w="9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5"/>
        </w:trPr>
        <w:tc>
          <w:tcPr>
            <w:tcW w:w="1620" w:type="dxa"/>
            <w:vAlign w:val="bottom"/>
            <w:tcBorders>
              <w:top w:val="single" w:sz="8" w:color="auto"/>
            </w:tcBorders>
          </w:tcPr>
          <w:p>
            <w:pPr>
              <w:jc w:val="right"/>
              <w:ind w:right="410"/>
              <w:spacing w:after="0"/>
              <w:rPr>
                <w:sz w:val="20"/>
                <w:szCs w:val="20"/>
                <w:color w:val="auto"/>
              </w:rPr>
            </w:pPr>
            <w:r>
              <w:rPr>
                <w:rFonts w:ascii="Arial" w:cs="Arial" w:eastAsia="Arial" w:hAnsi="Arial"/>
                <w:sz w:val="16"/>
                <w:szCs w:val="16"/>
                <w:color w:val="auto"/>
              </w:rPr>
              <w:t>99.1</w:t>
            </w:r>
          </w:p>
        </w:tc>
        <w:tc>
          <w:tcPr>
            <w:tcW w:w="660" w:type="dxa"/>
            <w:vAlign w:val="bottom"/>
          </w:tcPr>
          <w:p>
            <w:pPr>
              <w:spacing w:after="0"/>
              <w:rPr>
                <w:sz w:val="24"/>
                <w:szCs w:val="24"/>
                <w:color w:val="auto"/>
              </w:rPr>
            </w:pPr>
          </w:p>
        </w:tc>
        <w:tc>
          <w:tcPr>
            <w:tcW w:w="9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Corporate presentation of Selecta Biosciences, Inc. dated June 21, 2017</w:t>
            </w: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63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090" cy="5563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2019-12-07T10:18:19Z</dcterms:created>
  <dcterms:modified xsi:type="dcterms:W3CDTF">2019-12-07T10:18:19Z</dcterms:modified>
</cp:coreProperties>
</file>