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87" w:lineRule="exact"/>
        <w:rPr>
          <w:sz w:val="24"/>
          <w:szCs w:val="24"/>
          <w:color w:val="auto"/>
        </w:rPr>
      </w:pPr>
    </w:p>
    <w:p>
      <w:pPr>
        <w:ind w:left="3980" w:right="1540" w:hanging="3715"/>
        <w:spacing w:after="0" w:line="376" w:lineRule="auto"/>
        <w:tabs>
          <w:tab w:leader="none" w:pos="7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92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49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92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Times New Roman" w:cs="Times New Roman" w:eastAsia="Times New Roman" w:hAnsi="Times New Roman"/>
                <w:sz w:val="18"/>
                <w:szCs w:val="18"/>
                <w:b w:val="1"/>
                <w:bCs w:val="1"/>
                <w:color w:val="auto"/>
              </w:rPr>
              <w:t>617-923-1400</w:t>
            </w:r>
          </w:p>
        </w:tc>
      </w:tr>
    </w:tbl>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01" w:lineRule="exact"/>
        <w:rPr>
          <w:sz w:val="24"/>
          <w:szCs w:val="24"/>
          <w:color w:val="auto"/>
        </w:rPr>
      </w:pPr>
    </w:p>
    <w:p>
      <w:pPr>
        <w:ind w:left="19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7320" w:space="720"/>
            <w:col w:w="3380"/>
          </w:cols>
          <w:pgMar w:left="240" w:top="229" w:right="239" w:bottom="1440" w:gutter="0" w:footer="0" w:header="0"/>
          <w:type w:val="continuous"/>
        </w:sect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980" w:space="720"/>
            <w:col w:w="3720"/>
          </w:cols>
          <w:pgMar w:left="240" w:top="229" w:right="239" w:bottom="1440" w:gutter="0" w:footer="0" w:header="0"/>
          <w:type w:val="continuous"/>
        </w:sectPr>
      </w:pPr>
    </w:p>
    <w:p>
      <w:pPr>
        <w:ind w:left="77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202"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4, 2017 the registrant had 22,074,378 shares of common stock, par value $0.0001 per share, outstanding.</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17"/>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rFonts w:ascii="Times New Roman" w:cs="Times New Roman" w:eastAsia="Times New Roman" w:hAnsi="Times New Roman"/>
                <w:sz w:val="18"/>
                <w:szCs w:val="18"/>
                <w:color w:val="auto"/>
                <w:w w:val="99"/>
              </w:rPr>
            </w:pPr>
            <w:hyperlink w:anchor="page4">
              <w:r>
                <w:rPr>
                  <w:rFonts w:ascii="Times New Roman" w:cs="Times New Roman" w:eastAsia="Times New Roman" w:hAnsi="Times New Roman"/>
                  <w:sz w:val="18"/>
                  <w:szCs w:val="18"/>
                  <w:color w:val="auto"/>
                  <w:w w:val="99"/>
                </w:rPr>
                <w:t xml:space="preserve">Part </w:t>
              </w:r>
            </w:hyperlink>
            <w:r>
              <w:rPr>
                <w:rFonts w:ascii="Times New Roman" w:cs="Times New Roman" w:eastAsia="Times New Roman" w:hAnsi="Times New Roman"/>
                <w:sz w:val="18"/>
                <w:szCs w:val="18"/>
                <w:color w:val="auto"/>
                <w:w w:val="99"/>
              </w:rPr>
              <w:t>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as of June 30,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 Months and Six Months ended June 30, 2017</w:t>
            </w:r>
          </w:p>
        </w:tc>
        <w:tc>
          <w:tcPr>
            <w:tcW w:w="180" w:type="dxa"/>
            <w:vAlign w:val="bottom"/>
            <w:gridSpan w:val="2"/>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and 2016 (unaudited)</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June 30, 2017 and 2016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6</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8">
              <w:r>
                <w:rPr>
                  <w:rFonts w:ascii="Times New Roman" w:cs="Times New Roman" w:eastAsia="Times New Roman" w:hAnsi="Times New Roman"/>
                  <w:sz w:val="18"/>
                  <w:szCs w:val="18"/>
                  <w:color w:val="auto"/>
                  <w:w w:val="88"/>
                </w:rPr>
                <w:t>7</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34">
              <w:r>
                <w:rPr>
                  <w:rFonts w:ascii="Times New Roman" w:cs="Times New Roman" w:eastAsia="Times New Roman" w:hAnsi="Times New Roman"/>
                  <w:sz w:val="18"/>
                  <w:szCs w:val="18"/>
                  <w:color w:val="auto"/>
                  <w:w w:val="88"/>
                </w:rPr>
                <w:t>33</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43">
              <w:r>
                <w:rPr>
                  <w:rFonts w:ascii="Times New Roman" w:cs="Times New Roman" w:eastAsia="Times New Roman" w:hAnsi="Times New Roman"/>
                  <w:sz w:val="18"/>
                  <w:szCs w:val="18"/>
                  <w:color w:val="auto"/>
                  <w:w w:val="88"/>
                </w:rPr>
                <w:t>42</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44">
              <w:r>
                <w:rPr>
                  <w:rFonts w:ascii="Times New Roman" w:cs="Times New Roman" w:eastAsia="Times New Roman" w:hAnsi="Times New Roman"/>
                  <w:sz w:val="18"/>
                  <w:szCs w:val="18"/>
                  <w:color w:val="auto"/>
                  <w:w w:val="88"/>
                </w:rPr>
                <w:t>43</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Times New Roman" w:cs="Times New Roman" w:eastAsia="Times New Roman" w:hAnsi="Times New Roman"/>
                <w:sz w:val="18"/>
                <w:szCs w:val="18"/>
                <w:color w:val="auto"/>
                <w:w w:val="98"/>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45">
              <w:r>
                <w:rPr>
                  <w:rFonts w:ascii="Times New Roman" w:cs="Times New Roman" w:eastAsia="Times New Roman" w:hAnsi="Times New Roman"/>
                  <w:sz w:val="18"/>
                  <w:szCs w:val="18"/>
                  <w:color w:val="auto"/>
                  <w:w w:val="88"/>
                </w:rPr>
                <w:t>44</w:t>
              </w:r>
            </w:hyperlink>
          </w:p>
        </w:tc>
      </w:tr>
      <w:tr>
        <w:trPr>
          <w:trHeight w:val="57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45">
              <w:r>
                <w:rPr>
                  <w:rFonts w:ascii="Times New Roman" w:cs="Times New Roman" w:eastAsia="Times New Roman" w:hAnsi="Times New Roman"/>
                  <w:sz w:val="18"/>
                  <w:szCs w:val="18"/>
                  <w:color w:val="auto"/>
                  <w:w w:val="88"/>
                </w:rPr>
                <w:t>44</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89">
              <w:r>
                <w:rPr>
                  <w:rFonts w:ascii="Times New Roman" w:cs="Times New Roman" w:eastAsia="Times New Roman" w:hAnsi="Times New Roman"/>
                  <w:sz w:val="18"/>
                  <w:szCs w:val="18"/>
                  <w:color w:val="auto"/>
                  <w:w w:val="88"/>
                </w:rPr>
                <w:t>85</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90">
              <w:r>
                <w:rPr>
                  <w:rFonts w:ascii="Times New Roman" w:cs="Times New Roman" w:eastAsia="Times New Roman" w:hAnsi="Times New Roman"/>
                  <w:sz w:val="18"/>
                  <w:szCs w:val="18"/>
                  <w:color w:val="auto"/>
                  <w:w w:val="88"/>
                </w:rPr>
                <w:t>86</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90">
              <w:r>
                <w:rPr>
                  <w:rFonts w:ascii="Times New Roman" w:cs="Times New Roman" w:eastAsia="Times New Roman" w:hAnsi="Times New Roman"/>
                  <w:sz w:val="18"/>
                  <w:szCs w:val="18"/>
                  <w:color w:val="auto"/>
                  <w:w w:val="88"/>
                </w:rPr>
                <w:t>86</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90">
              <w:r>
                <w:rPr>
                  <w:rFonts w:ascii="Times New Roman" w:cs="Times New Roman" w:eastAsia="Times New Roman" w:hAnsi="Times New Roman"/>
                  <w:sz w:val="18"/>
                  <w:szCs w:val="18"/>
                  <w:color w:val="auto"/>
                  <w:w w:val="88"/>
                </w:rPr>
                <w:t>86</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90">
              <w:r>
                <w:rPr>
                  <w:rFonts w:ascii="Times New Roman" w:cs="Times New Roman" w:eastAsia="Times New Roman" w:hAnsi="Times New Roman"/>
                  <w:sz w:val="18"/>
                  <w:szCs w:val="18"/>
                  <w:color w:val="auto"/>
                  <w:w w:val="88"/>
                </w:rPr>
                <w:t>86</w:t>
              </w:r>
            </w:hyperlink>
          </w:p>
        </w:tc>
      </w:tr>
      <w:tr>
        <w:trPr>
          <w:trHeight w:val="588"/>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6"/>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4"/>
          </w:tcPr>
          <w:p>
            <w:pPr>
              <w:jc w:val="center"/>
              <w:ind w:left="319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0" w:lineRule="exact"/>
        <w:rPr>
          <w:sz w:val="20"/>
          <w:szCs w:val="20"/>
          <w:color w:val="auto"/>
        </w:rPr>
      </w:pPr>
    </w:p>
    <w:p>
      <w:pPr>
        <w:spacing w:after="0" w:line="20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200" w:lineRule="exact"/>
        <w:rPr>
          <w:sz w:val="20"/>
          <w:szCs w:val="20"/>
          <w:color w:val="auto"/>
        </w:rPr>
      </w:pPr>
    </w:p>
    <w:p>
      <w:pPr>
        <w:spacing w:after="0" w:line="205"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need to raise additional funds;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drugs;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our own manufacturing facilities and to receive or manufacture sufficient quantities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200" w:lineRule="exact"/>
        <w:rPr>
          <w:sz w:val="20"/>
          <w:szCs w:val="20"/>
          <w:color w:val="auto"/>
        </w:rPr>
      </w:pPr>
    </w:p>
    <w:p>
      <w:pPr>
        <w:spacing w:after="0" w:line="241"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37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1" w:right="2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82,630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58,656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Short-term deposits and investments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25,485</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114,578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86,816</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other deposits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15"/>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117,025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4,280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3,921</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Loans payable, current portion</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4,067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rent and lease incentive</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Loans payable, net of current portion</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7,977</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12,439</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Other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38,843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34,344</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(Notes 8 and 13)</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at June 30, 2017 and December 31, 2016,</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8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stock, $0.0001 par value; 200,000,000 shares authorized; 22,056,147 and 18,438,742 shares issued and outstanding as of June 30, 2017 and</w:t>
            </w:r>
          </w:p>
        </w:tc>
        <w:tc>
          <w:tcPr>
            <w:tcW w:w="180" w:type="dxa"/>
            <w:vAlign w:val="bottom"/>
          </w:tcPr>
          <w:p>
            <w:pPr>
              <w:spacing w:after="0"/>
              <w:rPr>
                <w:sz w:val="13"/>
                <w:szCs w:val="13"/>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31, 2016, respectively.</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265,297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211,125</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Receivable from stock option exercises</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(151,576)</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78,182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54,957</w:t>
            </w:r>
          </w:p>
        </w:tc>
        <w:tc>
          <w:tcPr>
            <w:tcW w:w="0" w:type="dxa"/>
            <w:vAlign w:val="bottom"/>
          </w:tcPr>
          <w:p>
            <w:pPr>
              <w:spacing w:after="0"/>
              <w:rPr>
                <w:sz w:val="1"/>
                <w:szCs w:val="1"/>
                <w:color w:val="auto"/>
              </w:rPr>
            </w:pPr>
          </w:p>
        </w:tc>
      </w:tr>
      <w:tr>
        <w:trPr>
          <w:trHeight w:val="21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117,025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4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5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 and collaboration revenue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23"/>
                <w:szCs w:val="23"/>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12,648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15,897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30,816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17,447</w:t>
            </w:r>
          </w:p>
        </w:tc>
        <w:tc>
          <w:tcPr>
            <w:tcW w:w="0" w:type="dxa"/>
            <w:vAlign w:val="bottom"/>
          </w:tcPr>
          <w:p>
            <w:pPr>
              <w:spacing w:after="0"/>
              <w:rPr>
                <w:sz w:val="1"/>
                <w:szCs w:val="1"/>
                <w:color w:val="auto"/>
              </w:rPr>
            </w:pPr>
          </w:p>
        </w:tc>
      </w:tr>
      <w:tr>
        <w:trPr>
          <w:trHeight w:val="25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income</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transaction gain (loss), net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expense, net</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0" w:type="dxa"/>
            <w:vAlign w:val="bottom"/>
          </w:tcPr>
          <w:p>
            <w:pPr>
              <w:spacing w:after="0"/>
              <w:rPr>
                <w:sz w:val="1"/>
                <w:szCs w:val="1"/>
                <w:color w:val="auto"/>
              </w:rPr>
            </w:pPr>
          </w:p>
        </w:tc>
      </w:tr>
      <w:tr>
        <w:trPr>
          <w:trHeight w:val="269"/>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56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5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0" w:type="dxa"/>
            <w:vAlign w:val="bottom"/>
          </w:tcPr>
          <w:p>
            <w:pPr>
              <w:spacing w:after="0"/>
              <w:rPr>
                <w:sz w:val="1"/>
                <w:szCs w:val="1"/>
                <w:color w:val="auto"/>
              </w:rPr>
            </w:pPr>
          </w:p>
        </w:tc>
      </w:tr>
      <w:tr>
        <w:trPr>
          <w:trHeight w:val="265"/>
        </w:trPr>
        <w:tc>
          <w:tcPr>
            <w:tcW w:w="5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redeemable convertible preferred stock</w:t>
            </w:r>
          </w:p>
        </w:tc>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255"/>
        </w:trPr>
        <w:tc>
          <w:tcPr>
            <w:tcW w:w="5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w:t>
            </w:r>
          </w:p>
        </w:tc>
        <w:tc>
          <w:tcPr>
            <w:tcW w:w="0" w:type="dxa"/>
            <w:vAlign w:val="bottom"/>
          </w:tcPr>
          <w:p>
            <w:pPr>
              <w:spacing w:after="0"/>
              <w:rPr>
                <w:sz w:val="1"/>
                <w:szCs w:val="1"/>
                <w:color w:val="auto"/>
              </w:rPr>
            </w:pPr>
          </w:p>
        </w:tc>
      </w:tr>
      <w:tr>
        <w:trPr>
          <w:trHeight w:val="259"/>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259"/>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18,814,570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3,322,546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18,645,339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2,749,105</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0"/>
          <w:szCs w:val="10"/>
          <w:b w:val="1"/>
          <w:bCs w:val="1"/>
          <w:color w:val="auto"/>
        </w:rPr>
        <w:t>Accumulated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Balance at December 31, 2016</w:t>
      </w:r>
    </w:p>
    <w:p>
      <w:pPr>
        <w:spacing w:after="0" w:line="155" w:lineRule="exact"/>
        <w:rPr>
          <w:sz w:val="20"/>
          <w:szCs w:val="20"/>
          <w:color w:val="auto"/>
        </w:rPr>
      </w:pPr>
    </w:p>
    <w:p>
      <w:pPr>
        <w:ind w:left="40" w:right="340"/>
        <w:spacing w:after="0" w:line="547" w:lineRule="auto"/>
        <w:rPr>
          <w:sz w:val="20"/>
          <w:szCs w:val="20"/>
          <w:color w:val="auto"/>
        </w:rPr>
      </w:pPr>
      <w:r>
        <w:rPr>
          <w:rFonts w:ascii="Times New Roman" w:cs="Times New Roman" w:eastAsia="Times New Roman" w:hAnsi="Times New Roman"/>
          <w:sz w:val="10"/>
          <w:szCs w:val="10"/>
          <w:color w:val="auto"/>
        </w:rPr>
        <w:t>Issuance of common stock under Employee Stock Purchase Plan Issuance of common stock upon exercise of options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88"/>
        </w:trPr>
        <w:tc>
          <w:tcPr>
            <w:tcW w:w="1820" w:type="dxa"/>
            <w:vAlign w:val="bottom"/>
            <w:tcBorders>
              <w:bottom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left="31"/>
              <w:spacing w:after="0" w:line="115" w:lineRule="exact"/>
              <w:rPr>
                <w:sz w:val="20"/>
                <w:szCs w:val="20"/>
                <w:color w:val="auto"/>
              </w:rPr>
            </w:pPr>
            <w:r>
              <w:rPr>
                <w:rFonts w:ascii="Times New Roman" w:cs="Times New Roman" w:eastAsia="Times New Roman" w:hAnsi="Times New Roman"/>
                <w:sz w:val="10"/>
                <w:szCs w:val="10"/>
                <w:b w:val="1"/>
                <w:bCs w:val="1"/>
                <w:color w:val="auto"/>
              </w:rPr>
              <w:t>paid</w:t>
            </w:r>
            <w:r>
              <w:rPr>
                <w:rFonts w:ascii="MS PGothic" w:cs="MS PGothic" w:eastAsia="MS PGothic" w:hAnsi="MS PGothic"/>
                <w:sz w:val="10"/>
                <w:szCs w:val="10"/>
                <w:color w:val="auto"/>
                <w:strike w:val="1"/>
              </w:rPr>
              <w:t>‑</w:t>
            </w:r>
            <w:r>
              <w:rPr>
                <w:rFonts w:ascii="Times New Roman" w:cs="Times New Roman" w:eastAsia="Times New Roman" w:hAnsi="Times New Roman"/>
                <w:sz w:val="10"/>
                <w:szCs w:val="10"/>
                <w:b w:val="1"/>
                <w:bCs w:val="1"/>
                <w:color w:val="auto"/>
              </w:rPr>
              <w:t>In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5"/>
              </w:rPr>
              <w:t>option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160" w:type="dxa"/>
            <w:vAlign w:val="bottom"/>
          </w:tcPr>
          <w:p>
            <w:pPr>
              <w:spacing w:after="0"/>
              <w:rPr>
                <w:sz w:val="24"/>
                <w:szCs w:val="24"/>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Stockholders’</w:t>
            </w:r>
          </w:p>
        </w:tc>
      </w:tr>
      <w:tr>
        <w:trPr>
          <w:trHeight w:val="233"/>
        </w:trPr>
        <w:tc>
          <w:tcPr>
            <w:tcW w:w="100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6"/>
              </w:rPr>
              <w:t>receivable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deficit</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89"/>
              </w:rPr>
              <w:t>loss</w:t>
            </w:r>
          </w:p>
        </w:tc>
        <w:tc>
          <w:tcPr>
            <w:tcW w:w="1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24"/>
        </w:trPr>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18,438,742</w:t>
            </w:r>
          </w:p>
        </w:tc>
        <w:tc>
          <w:tcPr>
            <w:tcW w:w="820" w:type="dxa"/>
            <w:vAlign w:val="bottom"/>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8"/>
                <w:szCs w:val="18"/>
                <w:color w:val="auto"/>
              </w:rPr>
            </w:pP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0"/>
                <w:szCs w:val="10"/>
                <w:color w:val="auto"/>
              </w:rPr>
              <w:t>211,125</w:t>
            </w:r>
          </w:p>
        </w:tc>
        <w:tc>
          <w:tcPr>
            <w:tcW w:w="100" w:type="dxa"/>
            <w:vAlign w:val="bottom"/>
          </w:tcPr>
          <w:p>
            <w:pPr>
              <w:spacing w:after="0"/>
              <w:rPr>
                <w:sz w:val="18"/>
                <w:szCs w:val="18"/>
                <w:color w:val="auto"/>
              </w:rPr>
            </w:pPr>
          </w:p>
        </w:tc>
        <w:tc>
          <w:tcPr>
            <w:tcW w:w="760" w:type="dxa"/>
            <w:vAlign w:val="bottom"/>
          </w:tcPr>
          <w:p>
            <w:pPr>
              <w:jc w:val="right"/>
              <w:ind w:right="63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95"/>
              </w:rPr>
              <w:t>(75)</w:t>
            </w:r>
          </w:p>
        </w:tc>
        <w:tc>
          <w:tcPr>
            <w:tcW w:w="100" w:type="dxa"/>
            <w:vAlign w:val="bottom"/>
          </w:tcPr>
          <w:p>
            <w:pPr>
              <w:spacing w:after="0"/>
              <w:rPr>
                <w:sz w:val="18"/>
                <w:szCs w:val="18"/>
                <w:color w:val="auto"/>
              </w:rPr>
            </w:pPr>
          </w:p>
        </w:tc>
        <w:tc>
          <w:tcPr>
            <w:tcW w:w="1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(151,576)</w:t>
            </w:r>
          </w:p>
        </w:tc>
        <w:tc>
          <w:tcPr>
            <w:tcW w:w="100" w:type="dxa"/>
            <w:vAlign w:val="bottom"/>
          </w:tcPr>
          <w:p>
            <w:pPr>
              <w:spacing w:after="0"/>
              <w:rPr>
                <w:sz w:val="18"/>
                <w:szCs w:val="18"/>
                <w:color w:val="auto"/>
              </w:rPr>
            </w:pP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(4,518)</w:t>
            </w:r>
          </w:p>
        </w:tc>
        <w:tc>
          <w:tcPr>
            <w:tcW w:w="100" w:type="dxa"/>
            <w:vAlign w:val="bottom"/>
          </w:tcPr>
          <w:p>
            <w:pPr>
              <w:spacing w:after="0"/>
              <w:rPr>
                <w:sz w:val="18"/>
                <w:szCs w:val="18"/>
                <w:color w:val="auto"/>
              </w:rPr>
            </w:pPr>
          </w:p>
        </w:tc>
        <w:tc>
          <w:tcPr>
            <w:tcW w:w="1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54,957</w:t>
            </w:r>
          </w:p>
        </w:tc>
      </w:tr>
      <w:tr>
        <w:trPr>
          <w:trHeight w:val="24"/>
        </w:trPr>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0"/>
        </w:trPr>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7"/>
                <w:szCs w:val="17"/>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r>
      <w:tr>
        <w:trPr>
          <w:trHeight w:val="270"/>
        </w:trPr>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204,252</w:t>
            </w:r>
          </w:p>
        </w:tc>
        <w:tc>
          <w:tcPr>
            <w:tcW w:w="82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93"/>
              </w:rPr>
              <w:t>454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-498475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-155575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940" w:space="720"/>
            <w:col w:w="77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660" w:type="dxa"/>
            <w:vAlign w:val="bottom"/>
          </w:tcPr>
          <w:p>
            <w:pPr>
              <w:ind w:left="40"/>
              <w:spacing w:after="0" w:line="115" w:lineRule="exact"/>
              <w:rPr>
                <w:sz w:val="20"/>
                <w:szCs w:val="20"/>
                <w:color w:val="auto"/>
              </w:rPr>
            </w:pPr>
            <w:r>
              <w:rPr>
                <w:rFonts w:ascii="Times New Roman" w:cs="Times New Roman" w:eastAsia="Times New Roman" w:hAnsi="Times New Roman"/>
                <w:sz w:val="10"/>
                <w:szCs w:val="10"/>
                <w:color w:val="auto"/>
              </w:rPr>
              <w:t>Stock</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based compensation expense</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3"/>
                <w:szCs w:val="13"/>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1,558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3"/>
                <w:szCs w:val="13"/>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1,558</w:t>
            </w: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Issuance of common stock, license agreement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324,362</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5,000</w:t>
            </w:r>
          </w:p>
        </w:tc>
      </w:tr>
      <w:tr>
        <w:trPr>
          <w:trHeight w:val="246"/>
        </w:trPr>
        <w:tc>
          <w:tcPr>
            <w:tcW w:w="36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Issuance of common stock, Private placement net of issuance costs</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3,088,791</w:t>
            </w: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47,160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47,160</w:t>
            </w:r>
          </w:p>
        </w:tc>
      </w:tr>
      <w:tr>
        <w:trPr>
          <w:trHeight w:val="24"/>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Currency translation adjustment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80</w:t>
            </w:r>
          </w:p>
        </w:tc>
      </w:tr>
      <w:tr>
        <w:trPr>
          <w:trHeight w:val="246"/>
        </w:trPr>
        <w:tc>
          <w:tcPr>
            <w:tcW w:w="36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Unrealized gains (losses) on securities</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25</w:t>
            </w:r>
          </w:p>
        </w:tc>
      </w:tr>
      <w:tr>
        <w:trPr>
          <w:trHeight w:val="24"/>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Net loss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(31,101)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(31,101)</w:t>
            </w:r>
          </w:p>
        </w:tc>
      </w:tr>
      <w:tr>
        <w:trPr>
          <w:trHeight w:val="231"/>
        </w:trPr>
        <w:tc>
          <w:tcPr>
            <w:tcW w:w="36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Balance at June 30, 2017</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22,056,147</w:t>
            </w:r>
          </w:p>
        </w:tc>
        <w:tc>
          <w:tcPr>
            <w:tcW w:w="5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265,297</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(182,677)</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(4,413)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78,182</w:t>
            </w:r>
          </w:p>
        </w:tc>
      </w:tr>
      <w:tr>
        <w:trPr>
          <w:trHeight w:val="20"/>
        </w:trPr>
        <w:tc>
          <w:tcPr>
            <w:tcW w:w="3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9" w:lineRule="exact"/>
        <w:rPr>
          <w:sz w:val="20"/>
          <w:szCs w:val="20"/>
          <w:color w:val="auto"/>
        </w:rPr>
      </w:pPr>
    </w:p>
    <w:p>
      <w:pPr>
        <w:jc w:val="right"/>
        <w:ind w:right="430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right"/>
        <w:ind w:right="43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(14,399)</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premiums and accretion of discounts on investments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w:t>
            </w:r>
          </w:p>
        </w:tc>
      </w:tr>
      <w:tr>
        <w:trPr>
          <w:trHeight w:val="275"/>
        </w:trPr>
        <w:tc>
          <w:tcPr>
            <w:tcW w:w="85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interest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w:t>
            </w: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redeemable convertible preferred stock warrant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 and other deposits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933</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Contingently repayable grant funding</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65"/>
        </w:trPr>
        <w:tc>
          <w:tcPr>
            <w:tcW w:w="85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(15,773)</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Maturities of short term government obligations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27,147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3,516</w:t>
            </w:r>
          </w:p>
        </w:tc>
      </w:tr>
      <w:tr>
        <w:trPr>
          <w:trHeight w:val="19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short term investments</w:t>
            </w: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78"/>
        </w:trPr>
        <w:tc>
          <w:tcPr>
            <w:tcW w:w="8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3,314</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Principle payments on loan payable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IPO costs paid</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Initial Public Offering, net of underwriters' discounts and commissions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65,100</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Private Placement, net of issuance costs ($24)</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r>
      <w:tr>
        <w:trPr>
          <w:trHeight w:val="25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62,508</w:t>
            </w:r>
          </w:p>
        </w:tc>
      </w:tr>
      <w:tr>
        <w:trPr>
          <w:trHeight w:val="25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262</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50,311</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58,656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32,337</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82,630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82,648</w:t>
            </w:r>
          </w:p>
        </w:tc>
      </w:tr>
      <w:tr>
        <w:trPr>
          <w:trHeight w:val="254"/>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671" w:gutter="0" w:footer="0" w:header="0"/>
        </w:sectPr>
      </w:pP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Reclassification of deferred IPO costs from non-current assets to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Initial public offering costs in accounts payable and accrued liabilities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Accrued dividends and accretion of preferred stock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Private placement offering costs in accounts payable and accrued liabilities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Unrealized gain on marketable securities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w:t>
            </w:r>
          </w:p>
        </w:tc>
        <w:tc>
          <w:tcPr>
            <w:tcW w:w="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540"/>
        </w:trPr>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r>
      <w:tr>
        <w:trPr>
          <w:trHeight w:val="270"/>
        </w:trPr>
        <w:tc>
          <w:tcPr>
            <w:tcW w:w="5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r>
      <w:tr>
        <w:trPr>
          <w:trHeight w:val="270"/>
        </w:trPr>
        <w:tc>
          <w:tcPr>
            <w:tcW w:w="5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r>
      <w:tr>
        <w:trPr>
          <w:trHeight w:val="270"/>
        </w:trPr>
        <w:tc>
          <w:tcPr>
            <w:tcW w:w="5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2,826</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2">
            <w:col w:w="7880" w:space="720"/>
            <w:col w:w="2820"/>
          </w:cols>
          <w:pgMar w:left="240" w:top="121" w:right="239" w:bottom="671"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b w:val="1"/>
          <w:bCs w:val="1"/>
          <w:color w:val="auto"/>
        </w:rPr>
        <w:t>.</w:t>
      </w:r>
    </w:p>
    <w:p>
      <w:pPr>
        <w:sectPr>
          <w:pgSz w:w="11900" w:h="16838" w:orient="portrait"/>
          <w:cols w:equalWidth="0" w:num="1">
            <w:col w:w="11420"/>
          </w:cols>
          <w:pgMar w:left="240" w:top="121" w:right="239" w:bottom="671" w:gutter="0" w:footer="0" w:header="0"/>
          <w:type w:val="continuous"/>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671"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2016 and Unaudited Three Months and Six Months Ended June 30, 2017 and 2016)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39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40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six months ended June 30, 2017 and 2016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2016 included in the Company’s Annual Report on Form 10-K that was filed with the SEC on March 28, 2017 (the "Annual Report on Form 10-K").</w:t>
      </w:r>
    </w:p>
    <w:p>
      <w:pPr>
        <w:spacing w:after="0" w:line="200" w:lineRule="exact"/>
        <w:rPr>
          <w:sz w:val="20"/>
          <w:szCs w:val="20"/>
          <w:color w:val="auto"/>
        </w:rPr>
      </w:pP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June 30, 2017 and consolidated results of operations for the three and six months ended June 30, 2017 and cash flows for the six months ended June 30, 2017. Such adjustments are of a normal and recurring nature. The results of operations for the three and six months ended June 30, 2017 are not necessarily indicative of the results of operations that may be expected for the year ending December 31, 2017.</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0" w:lineRule="exact"/>
        <w:rPr>
          <w:sz w:val="20"/>
          <w:szCs w:val="20"/>
          <w:color w:val="auto"/>
        </w:rPr>
      </w:pPr>
    </w:p>
    <w:p>
      <w:pPr>
        <w:spacing w:after="0" w:line="2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incurred losses since inception and negative cash flows from operating activities. As of June 30, 2017 and December 31, 2016, the Company had an accumulated deficit of $182.7 million and $151.6 million, respectively. The Company’s cash and cash equivalents as of June 30, 2017 and December 31, 2016, includes $1.8 million and $2.4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current operating plan, the Company expects that its cash, cash equivalents, short-term investments and restricted cash as of June 30, 2017, will fund its operating expenses and capital expenditure requirements into 2019 based on the latest forecast. The Company has based this estimate on assumptions that may prove to be wrong, and the Company could use its capital resources sooner than it currently expects. Additionally, the process of testing product candidates in clinical trials is costly, and the timing of progress in these trials is uncertain. Because the Company’s product candidates are in various stages of clinical and preclinical development and the outcome of these efforts is uncertain, the Company cannot estimate the actual amounts necessary to successfully complete the development and commercialization of its product candidates or whether, or when, it may achieve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June 30, 2017,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2" w:lineRule="exact"/>
        <w:rPr>
          <w:sz w:val="20"/>
          <w:szCs w:val="20"/>
          <w:color w:val="auto"/>
        </w:rPr>
      </w:pPr>
    </w:p>
    <w:p>
      <w:pPr>
        <w:ind w:right="7860" w:firstLine="8"/>
        <w:spacing w:after="0" w:line="75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00" w:lineRule="exact"/>
        <w:rPr>
          <w:sz w:val="20"/>
          <w:szCs w:val="20"/>
          <w:color w:val="auto"/>
        </w:rPr>
      </w:pPr>
    </w:p>
    <w:p>
      <w:pPr>
        <w:spacing w:after="0" w:line="2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made significant estimates and assumptions in determining the fair value of its common stock for those periods reported prior to the completion of the initial public offering of the Company’s common stock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its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the Company’s Board of Directors and stockholders approved a one-for-3.9 reverse stock split of the Company’s common stock. The reverse stock split became effective June 7, 2016. All share and per share amounts presented have been retroactively adjusted for all periods presented to give effect to this reverse stock split, including reclassifying an amount equal to the reduction in par value of common stock to additional paid-in capital.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Short Term Investments</w:t>
      </w:r>
    </w:p>
    <w:p>
      <w:pPr>
        <w:spacing w:after="0" w:line="200" w:lineRule="exact"/>
        <w:rPr>
          <w:sz w:val="20"/>
          <w:szCs w:val="20"/>
          <w:color w:val="auto"/>
        </w:rPr>
      </w:pPr>
    </w:p>
    <w:p>
      <w:pPr>
        <w:spacing w:after="0" w:line="245"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3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3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Concentrations of Credit Risk and 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Risk</w:t>
      </w:r>
    </w:p>
    <w:p>
      <w:pPr>
        <w:spacing w:after="0" w:line="200" w:lineRule="exact"/>
        <w:rPr>
          <w:sz w:val="20"/>
          <w:szCs w:val="20"/>
          <w:color w:val="auto"/>
        </w:rPr>
      </w:pP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June 30, 2017, the Company maintained approximately $1.9 million in Russian bank accounts, of which $1.8 million was held in U.S. dollars.</w:t>
      </w:r>
    </w:p>
    <w:p>
      <w:pPr>
        <w:spacing w:after="0" w:line="200" w:lineRule="exact"/>
        <w:rPr>
          <w:sz w:val="20"/>
          <w:szCs w:val="20"/>
          <w:color w:val="auto"/>
        </w:rPr>
      </w:pPr>
    </w:p>
    <w:p>
      <w:pPr>
        <w:spacing w:after="0" w:line="204" w:lineRule="exact"/>
        <w:rPr>
          <w:sz w:val="20"/>
          <w:szCs w:val="20"/>
          <w:color w:val="auto"/>
        </w:rPr>
      </w:pPr>
    </w:p>
    <w:p>
      <w:pPr>
        <w:ind w:right="180"/>
        <w:spacing w:after="0" w:line="222" w:lineRule="exact"/>
        <w:rPr>
          <w:sz w:val="20"/>
          <w:szCs w:val="20"/>
          <w:color w:val="auto"/>
        </w:rPr>
      </w:pPr>
      <w:r>
        <w:rPr>
          <w:rFonts w:ascii="Times New Roman" w:cs="Times New Roman" w:eastAsia="Times New Roman" w:hAnsi="Times New Roman"/>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known and supported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organizations. The Company did not have any off balance sheet arrangements as of June 30, 2017 and December 31, 2016.</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0" w:lineRule="exact"/>
        <w:rPr>
          <w:sz w:val="20"/>
          <w:szCs w:val="20"/>
          <w:color w:val="auto"/>
        </w:rPr>
      </w:pPr>
    </w:p>
    <w:p>
      <w:pPr>
        <w:spacing w:after="0" w:line="217"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w:t>
      </w:r>
    </w:p>
    <w:p>
      <w:pPr>
        <w:spacing w:after="0" w:line="200" w:lineRule="exact"/>
        <w:rPr>
          <w:sz w:val="20"/>
          <w:szCs w:val="20"/>
          <w:color w:val="auto"/>
        </w:rPr>
      </w:pPr>
    </w:p>
    <w:p>
      <w:pPr>
        <w:spacing w:after="0" w:line="216" w:lineRule="exact"/>
        <w:rPr>
          <w:sz w:val="20"/>
          <w:szCs w:val="20"/>
          <w:color w:val="auto"/>
        </w:rPr>
      </w:pPr>
    </w:p>
    <w:p>
      <w:pPr>
        <w:ind w:right="280"/>
        <w:spacing w:after="0" w:line="220" w:lineRule="exact"/>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ectPr>
          <w:pgSz w:w="11900" w:h="16838" w:orient="portrait"/>
          <w:cols w:equalWidth="0" w:num="1">
            <w:col w:w="11420"/>
          </w:cols>
          <w:pgMar w:left="240" w:top="121" w:right="239" w:bottom="76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765"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ind w:left="660" w:right="26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374" w:lineRule="exact"/>
        <w:rPr>
          <w:sz w:val="20"/>
          <w:szCs w:val="20"/>
          <w:color w:val="auto"/>
        </w:rPr>
      </w:pPr>
    </w:p>
    <w:p>
      <w:pPr>
        <w:ind w:left="660" w:right="16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If the asset or liability has a specified (contractual) term, a Level 2 input must be observable for substantially the full term of the asset or liability.</w:t>
      </w:r>
    </w:p>
    <w:p>
      <w:pPr>
        <w:spacing w:after="0" w:line="390" w:lineRule="exact"/>
        <w:rPr>
          <w:sz w:val="20"/>
          <w:szCs w:val="20"/>
          <w:color w:val="auto"/>
        </w:rPr>
      </w:pPr>
    </w:p>
    <w:p>
      <w:pPr>
        <w:ind w:left="660" w:right="12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3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367"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Fair value is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six months ended June 30, 2017 or the year ended December 31,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217" w:lineRule="exact"/>
        <w:rPr>
          <w:sz w:val="20"/>
          <w:szCs w:val="20"/>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38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Impairment of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Assets</w:t>
      </w:r>
    </w:p>
    <w:p>
      <w:pPr>
        <w:spacing w:after="0" w:line="200" w:lineRule="exact"/>
        <w:rPr>
          <w:sz w:val="20"/>
          <w:szCs w:val="20"/>
          <w:color w:val="auto"/>
        </w:rPr>
      </w:pPr>
    </w:p>
    <w:p>
      <w:pPr>
        <w:spacing w:after="0" w:line="241" w:lineRule="exact"/>
        <w:rPr>
          <w:sz w:val="20"/>
          <w:szCs w:val="20"/>
          <w:color w:val="auto"/>
        </w:rPr>
      </w:pPr>
    </w:p>
    <w:p>
      <w:pPr>
        <w:ind w:right="160"/>
        <w:spacing w:after="0" w:line="225" w:lineRule="exact"/>
        <w:rPr>
          <w:sz w:val="20"/>
          <w:szCs w:val="20"/>
          <w:color w:val="auto"/>
        </w:rPr>
      </w:pPr>
      <w:r>
        <w:rPr>
          <w:rFonts w:ascii="Times New Roman" w:cs="Times New Roman" w:eastAsia="Times New Roman" w:hAnsi="Times New Roman"/>
          <w:sz w:val="17"/>
          <w:szCs w:val="17"/>
          <w:color w:val="auto"/>
        </w:rPr>
        <w:t>The Company periodically evaluates its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as of June 30, 2017 and December 31,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exchange translation</w:t>
            </w:r>
          </w:p>
        </w:tc>
        <w:tc>
          <w:tcPr>
            <w:tcW w:w="120" w:type="dxa"/>
            <w:vAlign w:val="bottom"/>
          </w:tcPr>
          <w:p>
            <w:pPr>
              <w:spacing w:after="0"/>
              <w:rPr>
                <w:sz w:val="13"/>
                <w:szCs w:val="1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 (losses) on</w:t>
            </w:r>
          </w:p>
        </w:tc>
        <w:tc>
          <w:tcPr>
            <w:tcW w:w="240" w:type="dxa"/>
            <w:vAlign w:val="bottom"/>
          </w:tcPr>
          <w:p>
            <w:pPr>
              <w:spacing w:after="0"/>
              <w:rPr>
                <w:sz w:val="13"/>
                <w:szCs w:val="13"/>
                <w:color w:val="auto"/>
              </w:rPr>
            </w:pP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9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r>
      <w:tr>
        <w:trPr>
          <w:trHeight w:val="255"/>
        </w:trPr>
        <w:tc>
          <w:tcPr>
            <w:tcW w:w="5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265"/>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comprehensive gain (loss) during the period</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r>
      <w:tr>
        <w:trPr>
          <w:trHeight w:val="242"/>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June 30, 2017</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38"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73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Comprehensive income (loss) is the total net earnings and all other non-owner changes in equity. Except for net income and unrealized gains and losses on available-for-sale securities and foreign exchange translation adjustments, the Company does not have any transactions or other economic events that qualify as comprehensive income (loss). There were no reclassifications out of accumulated other comprehensive income or loss as well as no tax effect for the period presented.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0" w:lineRule="exact"/>
        <w:rPr>
          <w:sz w:val="20"/>
          <w:szCs w:val="20"/>
          <w:color w:val="auto"/>
        </w:rPr>
      </w:pPr>
    </w:p>
    <w:p>
      <w:pPr>
        <w:spacing w:after="0" w:line="2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Accordingly, revenue is recognized when all of the following criteria are met:</w:t>
      </w:r>
    </w:p>
    <w:p>
      <w:pPr>
        <w:spacing w:after="0" w:line="392"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00" w:lineRule="exact"/>
        <w:rPr>
          <w:sz w:val="20"/>
          <w:szCs w:val="20"/>
          <w:color w:val="auto"/>
        </w:rPr>
      </w:pPr>
    </w:p>
    <w:p>
      <w:pPr>
        <w:spacing w:after="0" w:line="24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enters into collaborative arrangements for the development and commercialization of product candidates utilizing the Company’s Synthetic Vaccine Particles (SVP™) technology. The terms of these agreements contain multiple deliverables which may include (i) licenses, or options to obtain licenses, to its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and (v) options to acquire licenses for additional therapeutic areas. Payments to the Company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3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evaluating multiple element arrangements such as the agreements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59"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8"/>
          <w:szCs w:val="18"/>
          <w:color w:val="auto"/>
        </w:rPr>
        <w:t>The Company determines the estimated selling price for deliverables within each agreement using vendor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objective evidence (“VSOE”) of selling price, if available,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 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Options for future deliverables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0"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Agreements</w:t>
      </w:r>
    </w:p>
    <w:p>
      <w:pPr>
        <w:spacing w:after="0" w:line="200" w:lineRule="exact"/>
        <w:rPr>
          <w:sz w:val="20"/>
          <w:szCs w:val="20"/>
          <w:color w:val="auto"/>
        </w:rPr>
      </w:pPr>
    </w:p>
    <w:p>
      <w:pPr>
        <w:spacing w:after="0" w:line="245"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200" w:lineRule="exact"/>
        <w:rPr>
          <w:sz w:val="20"/>
          <w:szCs w:val="20"/>
          <w:color w:val="auto"/>
        </w:rPr>
      </w:pPr>
    </w:p>
    <w:p>
      <w:pPr>
        <w:spacing w:after="0" w:line="2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Amounts received prior to satisfying the above revenue recognition criteria are recorded as deferred revenue in the accompanying consolidated balance sheets.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0" w:lineRule="exact"/>
        <w:rPr>
          <w:sz w:val="20"/>
          <w:szCs w:val="20"/>
          <w:color w:val="auto"/>
        </w:rPr>
      </w:pPr>
    </w:p>
    <w:p>
      <w:pPr>
        <w:spacing w:after="0" w:line="245"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200" w:lineRule="exact"/>
        <w:rPr>
          <w:sz w:val="20"/>
          <w:szCs w:val="20"/>
          <w:color w:val="auto"/>
        </w:rPr>
      </w:pPr>
    </w:p>
    <w:p>
      <w:pPr>
        <w:spacing w:after="0" w:line="24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29" w:lineRule="exact"/>
        <w:rPr>
          <w:sz w:val="20"/>
          <w:szCs w:val="20"/>
          <w:color w:val="auto"/>
        </w:rPr>
      </w:pPr>
      <w:r>
        <w:rPr>
          <w:rFonts w:ascii="Times New Roman" w:cs="Times New Roman" w:eastAsia="Times New Roman" w:hAnsi="Times New Roman"/>
          <w:sz w:val="17"/>
          <w:szCs w:val="17"/>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likely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not be realized.</w:t>
      </w:r>
    </w:p>
    <w:p>
      <w:pPr>
        <w:spacing w:after="0" w:line="396"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recognition threshold is calculated as the largest amount that is more than 50% likely of being realized upon resolution of the contingency. The Company accounts for</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0" w:lineRule="exact"/>
        <w:rPr>
          <w:sz w:val="20"/>
          <w:szCs w:val="20"/>
          <w:color w:val="auto"/>
        </w:rPr>
      </w:pPr>
    </w:p>
    <w:p>
      <w:pPr>
        <w:spacing w:after="0" w:line="24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Prior to the completion of the IPO, the Company classified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determines the accounting classification of warrants that are issued, as either liability or equity, by first assessing whether the warrants meet liability classification in accordance with ASC 480-10, Accounting for Certain Financial Instruments with Characteristics of both Liabilities and Equity, and then in accordance with ASC 815-40, Accounting for Derivative Financial Instruments Indexed to, and Potentially Settled in, a Company’s Own Stock. Under ASC 480,warrants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our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subsequent to the issuance date.</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00" w:lineRule="exact"/>
        <w:rPr>
          <w:sz w:val="20"/>
          <w:szCs w:val="20"/>
          <w:color w:val="auto"/>
        </w:rPr>
      </w:pPr>
    </w:p>
    <w:p>
      <w:pPr>
        <w:spacing w:after="0" w:line="241"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The Company accounts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granted to employees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using a fair value method.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net of estimated forfeitures.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subject to revaluation over their vesting terms. The Company reduces recorded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in the financial statements is based on awards that are ultimately expected to vest.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0" w:lineRule="exact"/>
        <w:rPr>
          <w:sz w:val="20"/>
          <w:szCs w:val="20"/>
          <w:color w:val="auto"/>
        </w:rPr>
      </w:pPr>
    </w:p>
    <w:p>
      <w:pPr>
        <w:spacing w:after="0" w:line="24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Comprehensive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It includes all changes in equity during a period except those resulting from investments by owners and distributions to owners. Comprehensive loss consists of both: (i) all components of net loss and (ii) all components of comprehensive loss other than net loss, referred to as other comprehensive loss. For all periods presented, other comprehensive loss is comprised of foreign currency translation adjustments and the unrealized gains and losses on investments.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00" w:lineRule="exact"/>
        <w:rPr>
          <w:sz w:val="20"/>
          <w:szCs w:val="20"/>
          <w:color w:val="auto"/>
        </w:rPr>
      </w:pPr>
    </w:p>
    <w:p>
      <w:pPr>
        <w:spacing w:after="0" w:line="245"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basic and diluted loss per share have been the same.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00" w:lineRule="exact"/>
        <w:rPr>
          <w:sz w:val="20"/>
          <w:szCs w:val="20"/>
          <w:color w:val="auto"/>
        </w:rPr>
      </w:pPr>
    </w:p>
    <w:p>
      <w:pPr>
        <w:spacing w:after="0" w:line="217"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The difference between rent expense recognized and rental payments is recorded as deferred rent in the accompanying consolidated balance sheets.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00" w:lineRule="exact"/>
        <w:rPr>
          <w:sz w:val="20"/>
          <w:szCs w:val="20"/>
          <w:color w:val="auto"/>
        </w:rPr>
      </w:pPr>
    </w:p>
    <w:p>
      <w:pPr>
        <w:spacing w:after="0" w:line="24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its contingent liabilities in accordance with ASC No.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June 30, 2017 and December 31, 2016, the Company was not a party to any litigation that could have a material adverse effect on the Company’s business, financial position, results of operations or cash flows.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impact of recently issued standards that are not yet effective will have a material impact on the Company's financial position or results of operations upon adoption.</w:t>
      </w:r>
    </w:p>
    <w:p>
      <w:pPr>
        <w:spacing w:after="0" w:line="3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amendments in ASU 2014-09 are effective for reporting periods beginning after December 15, 2017. Early adoption is permitted, but not before December 15, 2016. The new standard will be effective for us beginning January 1, 2018.</w:t>
      </w:r>
    </w:p>
    <w:p>
      <w:pPr>
        <w:spacing w:after="0" w:line="200" w:lineRule="exact"/>
        <w:rPr>
          <w:sz w:val="20"/>
          <w:szCs w:val="20"/>
          <w:color w:val="auto"/>
        </w:rPr>
      </w:pP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initiated an assessment of the potential changes from adopting ASU 2014-09 and is in the process of evaluating whether the expected effect of these changes is material to its financial statements. The assessment includes identifying and analyzing the impact of the standard by reviewing the Company's current accounting policies and practices to identify potential differences that would result from applying the requirements of the new standard to each revenue contract associated with all of the Company's revenue streams. As of June 30, 2017, the Company had two revenue contracts that would require assessment under ASU 2014-09. The Company plans to adopt the new standard effective January 1, 2018 using the modified retrospective method. The Company continues to monitor additional changes, modifications, clarifications or interpretations being undertaken by the FASB, which may impact the Company’s current conclusions. The Company is still evaluating aspects of ASU 2014-09 and has not determined how it may impact its financial position, results of operations or related disclosures.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xml:space="preserve"> (“ASU 2014-15”). ASU 2014-15 requires management to assess an entity’s ability to continue as a going concern and to provide related disclosures in certain circumstances. The requirement of ASU 2014-15 became effective for the annual financial statement period ending after December 15, 2016. We adopted ASU 2014-15 for the year ended December 31, 2016, and the adoption did not have a material effect on the Company's consolidated financial statements.</w:t>
      </w:r>
    </w:p>
    <w:p>
      <w:pPr>
        <w:spacing w:after="0" w:line="18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The Company is currently evaluating the effect of the adoption of this guidance on its consolidated financial statements.</w:t>
      </w:r>
    </w:p>
    <w:p>
      <w:pPr>
        <w:spacing w:after="0" w:line="39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2016-9”), which simplifies several aspects of accounting for share-based payment transactions including the income tax</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consequences, classification of awards as either equity or liabilities, the estimation of forfeitures, shares withheld for taxes and classification on the statement of cash flows. This guidance is effective for the Company on January 1, 2017 and early adoption was permitted. The Company adopted ASU 2016-09 during the first fiscal quarter ended on March 31, 2017. As part of the adoption of this guidance the Company will continue to use estimated forfeitures in its calculation of stock-based compensation expense.</w:t>
      </w:r>
    </w:p>
    <w:p>
      <w:pPr>
        <w:spacing w:after="0" w:line="3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excess tax benefits and tax deficiencies from stock-based compensation awards accounted for under ASC 718 are recognized as income tax benefit or expense, respectively, in the statements of operations. The income tax related items had no effect on the current period presentation as the Company maintains a full valuation allowance against its deferred tax assets. In addition, excess tax benefits for share-based payments are presented as an operating activity in the statements of cash flows rather than financing activity. The changes have been applied prospectively in accordance with the ASU and prior periods have not been adjusted. As a result of the adoption on January 1, 2017, the net operating losses deferred tax assets were increased by $0.3 million, which was offset by a corresponding increase in the valuation allowance.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Statements of Cash Flows - Classifications of Certain Cash Receipts and Cash Payments</w:t>
      </w:r>
      <w:r>
        <w:rPr>
          <w:rFonts w:ascii="Times New Roman" w:cs="Times New Roman" w:eastAsia="Times New Roman" w:hAnsi="Times New Roman"/>
          <w:sz w:val="18"/>
          <w:szCs w:val="18"/>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Company is currently evaluating the effect of the adoption of this guidance on its consolidated financial statements.</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November 2016, the FASB issued ASU No. 2016-18, S</w:t>
      </w:r>
      <w:r>
        <w:rPr>
          <w:rFonts w:ascii="Times New Roman" w:cs="Times New Roman" w:eastAsia="Times New Roman" w:hAnsi="Times New Roman"/>
          <w:sz w:val="18"/>
          <w:szCs w:val="18"/>
          <w:i w:val="1"/>
          <w:iCs w:val="1"/>
          <w:color w:val="auto"/>
        </w:rPr>
        <w:t>tatement of Cash Flows, Restricted Cash</w:t>
      </w:r>
      <w:r>
        <w:rPr>
          <w:rFonts w:ascii="Times New Roman" w:cs="Times New Roman" w:eastAsia="Times New Roman" w:hAnsi="Times New Roman"/>
          <w:sz w:val="18"/>
          <w:szCs w:val="18"/>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Upon implementation of ASU 2016-18 the Company will present $0.4 million in the Consolidated Statements of Cash Flows in the "Cash and cash equivalents at beginning of period".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Available-for-Sale Marketable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and December 31, 2016, the Company’s available-for-sale marketable securities consisted of debt securities issued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and corporate debt securities.</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marketable securities by major type of security as of June 30, 2017 and December 31, 2016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30,035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30,025</w:t>
            </w: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available-for-sale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30,025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5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56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5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0" w:type="dxa"/>
            <w:vAlign w:val="bottom"/>
          </w:tcPr>
          <w:p>
            <w:pPr>
              <w:spacing w:after="0"/>
              <w:rPr>
                <w:sz w:val="1"/>
                <w:szCs w:val="1"/>
                <w:color w:val="auto"/>
              </w:rPr>
            </w:pPr>
          </w:p>
        </w:tc>
      </w:tr>
      <w:tr>
        <w:trPr>
          <w:trHeight w:val="242"/>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available-for-sale marketable securities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available-for-sale marketable securities are classified in the Company’s Condensed Balance Sheets as Short term deposits and investments.</w:t>
      </w:r>
    </w:p>
    <w:p>
      <w:pPr>
        <w:spacing w:after="0" w:line="200" w:lineRule="exact"/>
        <w:rPr>
          <w:sz w:val="20"/>
          <w:szCs w:val="20"/>
          <w:color w:val="auto"/>
        </w:rPr>
      </w:pPr>
    </w:p>
    <w:p>
      <w:pPr>
        <w:spacing w:after="0" w:line="24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classifies its marketable debt securities based on their contractual maturity dates. As of June 30, 2017, the Company’s marketable debt securities mature at various dates through December 2017. The fair values and amortized cost of</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debt securities by contractual maturity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255"/>
        </w:trPr>
        <w:tc>
          <w:tcPr>
            <w:tcW w:w="5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30,025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30,035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24,785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r>
    </w:tbl>
    <w:p>
      <w:pPr>
        <w:spacing w:after="0" w:line="200" w:lineRule="exact"/>
        <w:rPr>
          <w:sz w:val="20"/>
          <w:szCs w:val="20"/>
          <w:color w:val="auto"/>
        </w:rPr>
      </w:pP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2017 the Company held a total of 23 positions, all of which were in an unrealized loss position, none of which had been in an unrealized loss position for 12 months or greater. The aggregate fair value of the investments in an unrealized loss position is $30.0 million. Based on the Company’s review of these securities, the Company believes that the cost basis of its available-for-sale marketable securities is recoverable and that, therefore, it had no other-than-temporary impairments on these securities as of June 30, 2017. The Company does not intend to sell these debt securities and the Company believes it is not more likely than not that it will be required to sell these securities before the recovery of their amortized cost basis, which may be maturity.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00" w:lineRule="exact"/>
        <w:rPr>
          <w:sz w:val="20"/>
          <w:szCs w:val="20"/>
          <w:color w:val="auto"/>
        </w:rPr>
      </w:pPr>
    </w:p>
    <w:p>
      <w:pPr>
        <w:spacing w:after="0" w:line="245"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data):</w:t>
      </w:r>
    </w:p>
    <w:p>
      <w:pPr>
        <w:sectPr>
          <w:pgSz w:w="11900" w:h="16838" w:orient="portrait"/>
          <w:cols w:equalWidth="0" w:num="1">
            <w:col w:w="11420"/>
          </w:cols>
          <w:pgMar w:left="240" w:top="121" w:right="239" w:bottom="792" w:gutter="0" w:footer="0" w:header="0"/>
        </w:sectPr>
      </w:pPr>
    </w:p>
    <w:p>
      <w:pPr>
        <w:spacing w:after="0" w:line="200" w:lineRule="exact"/>
        <w:rPr>
          <w:sz w:val="20"/>
          <w:szCs w:val="20"/>
          <w:color w:val="auto"/>
        </w:rPr>
      </w:pPr>
    </w:p>
    <w:p>
      <w:pPr>
        <w:spacing w:after="0" w:line="37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50800</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03" w:lineRule="exact"/>
        <w:rPr>
          <w:sz w:val="20"/>
          <w:szCs w:val="20"/>
          <w:color w:val="auto"/>
        </w:rPr>
      </w:pPr>
    </w:p>
    <w:p>
      <w:pPr>
        <w:ind w:left="616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50800</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50800</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50800</wp:posOffset>
            </wp:positionV>
            <wp:extent cx="1783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9" w:lineRule="exact"/>
        <w:rPr>
          <w:sz w:val="20"/>
          <w:szCs w:val="20"/>
          <w:color w:val="auto"/>
        </w:rPr>
      </w:pPr>
    </w:p>
    <w:p>
      <w:pPr>
        <w:sectPr>
          <w:pgSz w:w="11900" w:h="16838" w:orient="portrait"/>
          <w:cols w:equalWidth="0" w:num="2">
            <w:col w:w="8420" w:space="720"/>
            <w:col w:w="2280"/>
          </w:cols>
          <w:pgMar w:left="240" w:top="121" w:right="239" w:bottom="792"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0" w:type="dxa"/>
            <w:vAlign w:val="bottom"/>
          </w:tcPr>
          <w:p>
            <w:pPr>
              <w:spacing w:after="0"/>
              <w:rPr>
                <w:sz w:val="1"/>
                <w:szCs w:val="1"/>
                <w:color w:val="auto"/>
              </w:rPr>
            </w:pPr>
          </w:p>
        </w:tc>
      </w:tr>
      <w:tr>
        <w:trPr>
          <w:trHeight w:val="78"/>
        </w:trPr>
        <w:tc>
          <w:tcPr>
            <w:tcW w:w="5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accretion on preferred stock</w:t>
            </w:r>
          </w:p>
        </w:tc>
        <w:tc>
          <w:tcPr>
            <w:tcW w:w="3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78"/>
        </w:trPr>
        <w:tc>
          <w:tcPr>
            <w:tcW w:w="56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outstanding—basic and diluted</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18,814,570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3,322,546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18,645,339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2,749,105</w:t>
            </w:r>
          </w:p>
        </w:tc>
        <w:tc>
          <w:tcPr>
            <w:tcW w:w="0" w:type="dxa"/>
            <w:vAlign w:val="bottom"/>
          </w:tcPr>
          <w:p>
            <w:pPr>
              <w:spacing w:after="0"/>
              <w:rPr>
                <w:sz w:val="1"/>
                <w:szCs w:val="1"/>
                <w:color w:val="auto"/>
              </w:rPr>
            </w:pPr>
          </w:p>
        </w:tc>
      </w:tr>
      <w:tr>
        <w:trPr>
          <w:trHeight w:val="186"/>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stockholders—basic and diluted</w:t>
            </w: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51"/>
        </w:trPr>
        <w:tc>
          <w:tcPr>
            <w:tcW w:w="5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Potential common shares issuable upon conversion of warrants to purchase common stock and stock options that are excluded from the computation of diluted weighted average shares outstanding are as follows: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218"/>
        </w:trPr>
        <w:tc>
          <w:tcPr>
            <w:tcW w:w="8120" w:type="dxa"/>
            <w:vAlign w:val="bottom"/>
          </w:tcPr>
          <w:p>
            <w:pPr>
              <w:spacing w:after="0"/>
              <w:rPr>
                <w:sz w:val="18"/>
                <w:szCs w:val="18"/>
                <w:color w:val="auto"/>
              </w:rPr>
            </w:pPr>
          </w:p>
        </w:tc>
        <w:tc>
          <w:tcPr>
            <w:tcW w:w="16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1"/>
        </w:trPr>
        <w:tc>
          <w:tcPr>
            <w:tcW w:w="8120" w:type="dxa"/>
            <w:vAlign w:val="bottom"/>
          </w:tcPr>
          <w:p>
            <w:pPr>
              <w:spacing w:after="0"/>
              <w:rPr>
                <w:sz w:val="4"/>
                <w:szCs w:val="4"/>
                <w:color w:val="auto"/>
              </w:rPr>
            </w:pPr>
          </w:p>
        </w:tc>
        <w:tc>
          <w:tcPr>
            <w:tcW w:w="2200" w:type="dxa"/>
            <w:vAlign w:val="bottom"/>
            <w:tcBorders>
              <w:bottom w:val="single" w:sz="8" w:color="auto"/>
            </w:tcBorders>
            <w:gridSpan w:val="3"/>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0"/>
        </w:trPr>
        <w:tc>
          <w:tcPr>
            <w:tcW w:w="8120" w:type="dxa"/>
            <w:vAlign w:val="bottom"/>
          </w:tcPr>
          <w:p>
            <w:pPr>
              <w:spacing w:after="0"/>
              <w:rPr>
                <w:sz w:val="20"/>
                <w:szCs w:val="20"/>
                <w:color w:val="auto"/>
              </w:rPr>
            </w:pPr>
          </w:p>
        </w:tc>
        <w:tc>
          <w:tcPr>
            <w:tcW w:w="2200" w:type="dxa"/>
            <w:vAlign w:val="bottom"/>
            <w:gridSpan w:val="3"/>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20"/>
                <w:szCs w:val="20"/>
                <w:color w:val="auto"/>
              </w:rPr>
            </w:pPr>
          </w:p>
        </w:tc>
      </w:tr>
      <w:tr>
        <w:trPr>
          <w:trHeight w:val="203"/>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2,143,734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2,113,538</w:t>
            </w:r>
          </w:p>
        </w:tc>
      </w:tr>
      <w:tr>
        <w:trPr>
          <w:trHeight w:val="78"/>
        </w:trPr>
        <w:tc>
          <w:tcPr>
            <w:tcW w:w="8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9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warrants to purchase common stock</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176,432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113,795</w:t>
            </w:r>
          </w:p>
        </w:tc>
      </w:tr>
      <w:tr>
        <w:trPr>
          <w:trHeight w:val="78"/>
        </w:trPr>
        <w:tc>
          <w:tcPr>
            <w:tcW w:w="8120" w:type="dxa"/>
            <w:vAlign w:val="bottom"/>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2,320,166</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2,227,333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00" w:lineRule="exact"/>
        <w:rPr>
          <w:sz w:val="20"/>
          <w:szCs w:val="20"/>
          <w:color w:val="auto"/>
        </w:rPr>
      </w:pPr>
    </w:p>
    <w:p>
      <w:pPr>
        <w:spacing w:after="0" w:line="20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financial assets and liabilities that are measured and carried at fair value as of June 30, 2017 and December 31, 2016, and indicate the level within the fair value hierarchy where each measurement is classified. Below is a summary of assets measured at fair value on a recurring basis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12,156</w:t>
            </w:r>
          </w:p>
        </w:tc>
      </w:tr>
      <w:tr>
        <w:trPr>
          <w:trHeight w:val="260"/>
        </w:trPr>
        <w:tc>
          <w:tcPr>
            <w:tcW w:w="6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bonds, included in investments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30,025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30,025</w:t>
            </w:r>
          </w:p>
        </w:tc>
      </w:tr>
    </w:tbl>
    <w:p>
      <w:pPr>
        <w:spacing w:after="0" w:line="200" w:lineRule="exact"/>
        <w:rPr>
          <w:sz w:val="20"/>
          <w:szCs w:val="20"/>
          <w:color w:val="auto"/>
        </w:rPr>
      </w:pPr>
    </w:p>
    <w:p>
      <w:pPr>
        <w:sectPr>
          <w:pgSz w:w="11900" w:h="16838" w:orient="portrait"/>
          <w:cols w:equalWidth="0" w:num="1">
            <w:col w:w="11420"/>
          </w:cols>
          <w:pgMar w:left="240" w:top="121" w:right="239" w:bottom="792"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792"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r>
      <w:tr>
        <w:trPr>
          <w:trHeight w:val="265"/>
        </w:trPr>
        <w:tc>
          <w:tcPr>
            <w:tcW w:w="6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Tri-party repurchase agreements, included in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w:t>
            </w:r>
          </w:p>
        </w:tc>
        <w:tc>
          <w:tcPr>
            <w:tcW w:w="240" w:type="dxa"/>
            <w:vAlign w:val="bottom"/>
          </w:tcPr>
          <w:p>
            <w:pPr>
              <w:spacing w:after="0"/>
              <w:rPr>
                <w:sz w:val="23"/>
                <w:szCs w:val="23"/>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w:t>
            </w:r>
          </w:p>
        </w:tc>
      </w:tr>
      <w:tr>
        <w:trPr>
          <w:trHeight w:val="27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bonds, included in investments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r>
    </w:tbl>
    <w:p>
      <w:pPr>
        <w:spacing w:after="0" w:line="200" w:lineRule="exact"/>
        <w:rPr>
          <w:sz w:val="20"/>
          <w:szCs w:val="20"/>
          <w:color w:val="auto"/>
        </w:rPr>
      </w:pPr>
    </w:p>
    <w:p>
      <w:pPr>
        <w:spacing w:after="0" w:line="34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At June 30, 2017, all cash and cash equivalent investments where held in money market funds. At December 31, 2016, all cash and cash equivalent investments where held in money market funds and tri-party repurchase agreements. The tri-party repurchase agreements are collateralized by government securities for an amount not less than 102% of their value. All tri-party repurchase agreements have maturities of three months or less at the time of investment.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date for Corporate Bonds, included in investments at June 30, 2017 and December 31, 2016 was 218 days and 297 days,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Corporate Bonds approximates amortized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16"/>
        </w:trPr>
        <w:tc>
          <w:tcPr>
            <w:tcW w:w="88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Laboratory equipment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5,123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4,713</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Furniture and fixtures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Office equipment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215"/>
        </w:trPr>
        <w:tc>
          <w:tcPr>
            <w:tcW w:w="8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5,787</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(3,740)</w:t>
            </w:r>
          </w:p>
        </w:tc>
      </w:tr>
      <w:tr>
        <w:trPr>
          <w:trHeight w:val="215"/>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2,047</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$0.2 million for the three months ended June 30, 2017 and 2016 and $0.4 million for the six months ended June 30, 2017 and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5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1,551</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portion of deferred rent and lease incentive</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Collaboration and licensing</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patent fees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794</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grant refund</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r>
      <w:tr>
        <w:trPr>
          <w:trHeight w:val="21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3,921</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684"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680" w:firstLine="8"/>
        <w:spacing w:after="0" w:line="737"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spacing w:after="0" w:line="1" w:lineRule="exact"/>
        <w:rPr>
          <w:sz w:val="20"/>
          <w:szCs w:val="20"/>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The Company has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operating lease for its laboratory and office space located in Watertown, Massachusetts.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0" w:lineRule="exact"/>
        <w:rPr>
          <w:sz w:val="20"/>
          <w:szCs w:val="20"/>
          <w:color w:val="auto"/>
        </w:rPr>
      </w:pP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3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2016, the Company signed an amendment to the operating lease, which extends the lease term of the Company's laboratory and office space through March 31, 2020. The lease agreement includes a rent escalation clause, and accordingly, rent expense is being recognized on a straight-line basis over the lease term.</w:t>
      </w:r>
    </w:p>
    <w:p>
      <w:pPr>
        <w:spacing w:after="0" w:line="3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Deferred rent and lease incentive liability totaled $0.3 million and $0.3 million as of June 30, 2017 and December 31, 2016, respectively. Included in that amount, the current portion of deferred rent and lease incentive liability is classified as accrued expenses and was less than $0.1 million at June 30, 2017 and December 31, 2016, respectively.</w:t>
      </w:r>
    </w:p>
    <w:p>
      <w:pPr>
        <w:spacing w:after="0" w:line="3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Company has a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facility agreement for its Moscow, Russia facility. Rent expense is recognized as incurred.</w:t>
      </w:r>
    </w:p>
    <w:p>
      <w:pPr>
        <w:spacing w:after="0" w:line="200" w:lineRule="exact"/>
        <w:rPr>
          <w:sz w:val="20"/>
          <w:szCs w:val="20"/>
          <w:color w:val="auto"/>
        </w:rPr>
      </w:pPr>
    </w:p>
    <w:p>
      <w:pPr>
        <w:spacing w:after="0" w:line="27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Rent expense, net of sublease payments, for the three months ended June 30, 2017 and 2016 was $0.4 million and $0.3 million, respectively. For the six months ended June 30, 2017 and 2016, the rent expense, net of sublease payments was 0.9 million and $0.7 million,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 future minimum lease payments under the lease agreement, as amended by the lease amendments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Year ended December 31,</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1"/>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2017</w:t>
            </w: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w:t>
            </w:r>
          </w:p>
        </w:tc>
      </w:tr>
      <w:tr>
        <w:trPr>
          <w:trHeight w:val="211"/>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1,291</w:t>
            </w:r>
          </w:p>
        </w:tc>
      </w:tr>
      <w:tr>
        <w:trPr>
          <w:trHeight w:val="221"/>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1,330</w:t>
            </w:r>
          </w:p>
        </w:tc>
      </w:tr>
      <w:tr>
        <w:trPr>
          <w:trHeight w:val="211"/>
        </w:trPr>
        <w:tc>
          <w:tcPr>
            <w:tcW w:w="10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r>
      <w:tr>
        <w:trPr>
          <w:trHeight w:val="21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4,200</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request in such capacity. The term of the indemnification is for the director’s lifetime. The maximum potential amount of future payments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could be required to make is unlimited; however, the Company has directors’ insurance coverage that limits its exposure and enables it to recover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any future amounts paid. The Company also has indemnification arrangements under certain of its facility leases that require it to indemnify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against certain costs, expenses, fines, suits, claims, demands, liabilities, and actions directly resulting from certain breaches, violations, or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any covenant or condition of the Company’s lease. The term of the indemnification is for the term of the related lease agreement.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potential amount of future payments the Company could be required to make under these indemnification agreements is unlimited. To date,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not experienced any material losses related to any of its indemnification obligations, and no material claims with respect thereto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The Company does not expect significant claims related to these indemnification obligations and, accordingly, has concluded that the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obligations is negligible, and no related reserves have been established.</w:t>
      </w: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480" w:firstLine="8"/>
        <w:spacing w:after="0" w:line="533"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Term Loans</w:t>
      </w:r>
    </w:p>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 As of June 30, 2017 and December 31, 2016, the outstanding principal balance under the Term Loans was $10.2 million and $12.0 million, respectively.</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2% if prepaid after the first anniversary but before the second anniversaries, and 1% if prepaid after the second anniversary.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 Under the Term Loans, the Company is not required to maintain a minimum cash balance.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17,888 shares of the Company’s common stock at an exercise price of $16.77 per share. These warrants are classified as permanent equity in the accompanying consolidated balance sheets and will expire ten years from the date of issuance.</w:t>
      </w:r>
    </w:p>
    <w:p>
      <w:pPr>
        <w:spacing w:after="0" w:line="18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Additionally, with the refinancing of the Term Loans at December 31, 2015, the Company granted the lenders 37,978 shares of the Company’s Series E Preferred which also was converted at the IPO to warrants to purchase 15,094 shares of Company’s common stock at an exercise price of $11.32 per share. These warrants are classified as permanent equity in the accompanying consolidated balance sheets and will expire ten years from the date of issuance.</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initial grant date fair value of the Series D Preferred and Series E Preferred warrants was $0.1 million and $0.1 million for each issuance respectively, and was recorded as a loan discount.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Term Loan discounts are amortized as additional interest expense over the term of the loans. During the three months ended June 30, 2017 and 2016, the Company recognized $0.3 million and $0.3 million, respectively, of interest expense related to the Term Loan. A total of $0.6 million and $0.6 million was recorded as interest expense related to the Term Loan for the six months ended June 30, 2017 and 2016, respectively.</w:t>
      </w:r>
    </w:p>
    <w:p>
      <w:pPr>
        <w:spacing w:after="0" w:line="3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December 2016, a total of 16,493 warrants to purchase common stock were exercised under a cashless exercise, resulting in a net issuance of 4,697 shares of common stock. The warrant exercise prices had been established at the time that the warrants were converted.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on the Term Loans as of June 30, 2017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Remaining for 2017</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3,102</w:t>
            </w: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4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5,319</w:t>
            </w:r>
          </w:p>
        </w:tc>
      </w:tr>
      <w:tr>
        <w:trPr>
          <w:trHeight w:val="196"/>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3,379</w:t>
            </w:r>
          </w:p>
        </w:tc>
      </w:tr>
      <w:tr>
        <w:trPr>
          <w:trHeight w:val="20"/>
        </w:trPr>
        <w:tc>
          <w:tcPr>
            <w:tcW w:w="9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00"/>
          </w:cols>
          <w:pgMar w:left="240" w:top="121" w:right="2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Total minimum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8342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12890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Less: Amount representing interest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Less: Debt discount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342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1289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Less: Current portion of loans payable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Loans payable, net of current portion</w:t>
      </w:r>
    </w:p>
    <w:p>
      <w:pPr>
        <w:spacing w:after="0" w:line="20" w:lineRule="exact"/>
        <w:rPr>
          <w:sz w:val="20"/>
          <w:szCs w:val="20"/>
          <w:color w:val="auto"/>
        </w:rPr>
      </w:pPr>
      <w:r>
        <w:rPr>
          <w:sz w:val="20"/>
          <w:szCs w:val="20"/>
          <w:color w:val="auto"/>
        </w:rPr>
        <w:br w:type="column"/>
      </w:r>
    </w:p>
    <w:p>
      <w:pPr>
        <w:ind w:left="685"/>
        <w:spacing w:after="0"/>
        <w:rPr>
          <w:sz w:val="20"/>
          <w:szCs w:val="20"/>
          <w:color w:val="auto"/>
        </w:rPr>
      </w:pPr>
      <w:r>
        <w:rPr>
          <w:rFonts w:ascii="Times New Roman" w:cs="Times New Roman" w:eastAsia="Times New Roman" w:hAnsi="Times New Roman"/>
          <w:sz w:val="14"/>
          <w:szCs w:val="14"/>
          <w:color w:val="auto"/>
        </w:rPr>
        <w:t>11,800</w:t>
      </w:r>
    </w:p>
    <w:p>
      <w:pPr>
        <w:spacing w:after="0" w:line="55"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(915)</w:t>
      </w:r>
    </w:p>
    <w:p>
      <w:pPr>
        <w:spacing w:after="0" w:line="42"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(541)</w:t>
      </w:r>
    </w:p>
    <w:p>
      <w:pPr>
        <w:spacing w:after="0" w:line="42"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(4,612)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 w:lineRule="exact"/>
        <w:rPr>
          <w:sz w:val="20"/>
          <w:szCs w:val="20"/>
          <w:color w:val="auto"/>
        </w:rPr>
      </w:pPr>
    </w:p>
    <w:p>
      <w:pPr>
        <w:ind w:left="765" w:hanging="765"/>
        <w:spacing w:after="0"/>
        <w:tabs>
          <w:tab w:leader="none" w:pos="76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49530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25"/>
          </w:cols>
          <w:pgMar w:left="240" w:top="121" w:right="259" w:bottom="1440" w:gutter="0" w:footer="0" w:header="0"/>
          <w:type w:val="continuous"/>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11). The difference between the carrying value and accrued interest of the convertible notes that were converted and the combined fair value of the Series E Preferred shares and common stock warrants issued were negligible. There was no interest expense related to the convertible notes for the three months and six months ended June 30, 2017 and 2016 because they were previously settled.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00" w:lineRule="exact"/>
        <w:rPr>
          <w:sz w:val="20"/>
          <w:szCs w:val="20"/>
          <w:color w:val="auto"/>
        </w:rPr>
      </w:pPr>
    </w:p>
    <w:p>
      <w:pPr>
        <w:spacing w:after="0" w:line="24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Prior to the completion of its IPO, the Company had 37,835,623 and 28,804,969 authorized shares of preferred stock, par value $0.0001 per share (the "Preferred Stock") as of December 31, 2015 and 2014, respectively. The Company issued Preferred Stock to investors for cash or as settlement for outstanding debt under convertible notes (Note 9). All outstanding shares of the Company’s convertible preferred stock automatically converted into 10,126,118 shares of the Company’s common stock upon the closing of the IPO on June 27, 2016.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79,130 shares of common stock (“Warrant Shares”), exercisable at $17.71 per Warrant Share. The purchase price for each warrant was equal to $0.125 for each Warrant Share, consistent with NASDAQ Global Market requirements for an “at the market” offering. In connection with the Springer Purchase Agreement, the Company issued a Common Stock Purchase Warrant for the issuance of the Warrant Shares, which has a term of five years.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After deducting for placement agent fees and offering expenses, the aggregate net proceeds from the 2017 PIPE was approximately $47.2 million. The Company expects to use the proceeds from the 2017 PIPE towards working capital requirements and general corporate purposes.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Company agreed to use its reasonable best efforts to cause this registration statement to be declared effective by the SEC within 60 days after the closing of the 2017 PIPE (or within 90 days after the closing of the 2017 PIPE if the SEC reviews the registration statement).</w:t>
      </w:r>
    </w:p>
    <w:p>
      <w:pPr>
        <w:spacing w:after="0" w:line="18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Company has also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21, 2016 the Company completed the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200" w:lineRule="exact"/>
        <w:rPr>
          <w:sz w:val="20"/>
          <w:szCs w:val="20"/>
          <w:color w:val="auto"/>
        </w:rPr>
      </w:pPr>
    </w:p>
    <w:p>
      <w:pPr>
        <w:spacing w:after="0" w:line="20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200,000,000 shares of common stock authorized for issuance, $0.0001 par value per share, with 22,056,147 shares issued and outstanding. The voting, dividend and liquidation rights of the common stockholders are subject to and qualified by the rights, powers and preferences of the preferred stock. The common stock has the following characteristics: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0" w:lineRule="exact"/>
        <w:rPr>
          <w:sz w:val="20"/>
          <w:szCs w:val="20"/>
          <w:color w:val="auto"/>
        </w:rPr>
      </w:pPr>
    </w:p>
    <w:p>
      <w:pPr>
        <w:spacing w:after="0" w:line="24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one vote for each share of common stock held with respect to all matters voted on by the stockholders of the Company.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receive dividends, if and when declared by the Board of Directors. Through June 30, 2017, no dividends have been declared or paid on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0" w:lineRule="exact"/>
        <w:rPr>
          <w:sz w:val="20"/>
          <w:szCs w:val="20"/>
          <w:color w:val="auto"/>
        </w:rPr>
      </w:pPr>
    </w:p>
    <w:p>
      <w:pPr>
        <w:spacing w:after="0" w:line="24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Upon the liquidation of the Company, the common stockholders are entitled to receive all assets of the Company available for distribution to such stockholders.</w:t>
      </w:r>
    </w:p>
    <w:p>
      <w:pPr>
        <w:sectPr>
          <w:pgSz w:w="11900" w:h="16838" w:orient="portrait"/>
          <w:cols w:equalWidth="0" w:num="1">
            <w:col w:w="11400"/>
          </w:cols>
          <w:pgMar w:left="240" w:top="121" w:right="259" w:bottom="5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54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Periods ending</w:t>
            </w:r>
          </w:p>
        </w:tc>
      </w:tr>
      <w:tr>
        <w:trPr>
          <w:trHeight w:val="264"/>
        </w:trPr>
        <w:tc>
          <w:tcPr>
            <w:tcW w:w="790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4"/>
        </w:trPr>
        <w:tc>
          <w:tcPr>
            <w:tcW w:w="790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00" w:type="dxa"/>
            <w:vAlign w:val="bottom"/>
          </w:tcPr>
          <w:p>
            <w:pPr>
              <w:spacing w:after="0"/>
              <w:rPr>
                <w:sz w:val="22"/>
                <w:szCs w:val="22"/>
                <w:color w:val="auto"/>
              </w:rPr>
            </w:pPr>
          </w:p>
        </w:tc>
      </w:tr>
      <w:tr>
        <w:trPr>
          <w:trHeight w:val="27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176,432</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97,302</w:t>
            </w:r>
          </w:p>
        </w:tc>
      </w:tr>
      <w:tr>
        <w:trPr>
          <w:trHeight w:val="26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1,627,734</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939,317</w:t>
            </w:r>
          </w:p>
        </w:tc>
      </w:tr>
      <w:tr>
        <w:trPr>
          <w:trHeight w:val="270"/>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2,143,734</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2,128,346</w:t>
            </w:r>
          </w:p>
        </w:tc>
      </w:tr>
      <w:tr>
        <w:trPr>
          <w:trHeight w:val="21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3,947,900</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3,164,965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9500" w:firstLine="8"/>
        <w:spacing w:after="0" w:line="503"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Stock Options</w:t>
      </w:r>
    </w:p>
    <w:p>
      <w:pPr>
        <w:spacing w:after="0" w:line="1"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color w:val="auto"/>
        </w:rPr>
        <w:t>The Company maintained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and restricted stock awards as determined by the Board. As of June 30, 2017, a total of 2,213,412 shares of common stock were authorized for grants under the 2008 Plan with 18,947 shares available for future grants. Stock options that are granted under the 2008 Plan, and subject to cancellation become available under the 2016 Plan as shares available for future grants. All unvested stock options granted under the 2008 Plan may be exercised into restricted stock subject to forfeiture provisions upon termination.</w:t>
      </w:r>
    </w:p>
    <w:p>
      <w:pPr>
        <w:spacing w:after="0" w:line="201"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The 2008 Plan provided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2008 Plan vest over periods as determined by the Board, which are generally four years and, for options, with terms that generally expire ten years from the grant date. The fair value of each option award was estimated on the grant date using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 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only on the awards that are expected to vest.</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the effective date of our Registration Statement on Form S-1 relating to the initial public offering of our common stock on June 21, 2016, the Company ceased granting awards under the 2008 Plan; however, awards issued under the 2008 Plan remain subject to the terms of the 2008 Plan and the applicable 2008 Plan agreement.</w:t>
      </w:r>
    </w:p>
    <w:p>
      <w:pPr>
        <w:spacing w:after="0" w:line="17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restricted stock and other stock and cash based awards as determined by the Board. As of June 30, 2017, a total of 1,962,393 shares of common stock are authorized for grants under the 2016 Plan with 1,251,331 shares available for future grant.</w:t>
      </w:r>
    </w:p>
    <w:p>
      <w:pPr>
        <w:spacing w:after="0" w:line="20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2016 Plan provides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2016 Plan vest over periods as determined by the Board, which are generally four years and, for options, with terms that generally expire ten years from the grant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for employee stock option grants issued during the six months ended June 30, 2017 and 2016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8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65"/>
        </w:trPr>
        <w:tc>
          <w:tcPr>
            <w:tcW w:w="8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2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6.05</w:t>
            </w:r>
          </w:p>
        </w:tc>
      </w:tr>
      <w:tr>
        <w:trPr>
          <w:trHeight w:val="265"/>
        </w:trPr>
        <w:tc>
          <w:tcPr>
            <w:tcW w:w="8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96.10%</w:t>
            </w:r>
          </w:p>
        </w:tc>
      </w:tr>
      <w:tr>
        <w:trPr>
          <w:trHeight w:val="275"/>
        </w:trPr>
        <w:tc>
          <w:tcPr>
            <w:tcW w:w="8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12.60</w:t>
            </w:r>
          </w:p>
        </w:tc>
      </w:tr>
    </w:tbl>
    <w:p>
      <w:pPr>
        <w:spacing w:after="0" w:line="200" w:lineRule="exact"/>
        <w:rPr>
          <w:sz w:val="20"/>
          <w:szCs w:val="20"/>
          <w:color w:val="auto"/>
        </w:rPr>
      </w:pPr>
    </w:p>
    <w:p>
      <w:pPr>
        <w:spacing w:after="0" w:line="24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resulting weighted average grant date fair value of stock options granted to employees during the six months ended June 30, 2017 and 2016 was $12.00 and $9.84, respectively. The aggregate intrinsic value of stock options exercised during the six months ended June 30, 2017 and 2016 was $1.6 million and $0.9 million, respectively.</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Employee stock-based compensation for the three and six month periods ended June 30, 2017 was $0.7 million and $1.3 million, respectively, as compared to $0.3 million and $0.5 million, respectively, for the comparable 2016 periods.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June 30, 2017 and 2016, total unrecognized compensation expense related to unvested employee stock options was $7.1 million and $5.7 million, respectively, which is expected to be recognized over a weighted average period of 2.8 years and 3 years, respectively.</w:t>
      </w:r>
    </w:p>
    <w:p>
      <w:pPr>
        <w:spacing w:after="0" w:line="162" w:lineRule="exact"/>
        <w:rPr>
          <w:sz w:val="20"/>
          <w:szCs w:val="20"/>
          <w:color w:val="auto"/>
        </w:rPr>
      </w:pPr>
    </w:p>
    <w:p>
      <w:pPr>
        <w:ind w:right="800"/>
        <w:spacing w:after="0" w:line="235" w:lineRule="exact"/>
        <w:rPr>
          <w:sz w:val="20"/>
          <w:szCs w:val="20"/>
          <w:color w:val="auto"/>
        </w:rPr>
      </w:pPr>
      <w:r>
        <w:rPr>
          <w:rFonts w:ascii="Times New Roman" w:cs="Times New Roman" w:eastAsia="Times New Roman" w:hAnsi="Times New Roman"/>
          <w:sz w:val="18"/>
          <w:szCs w:val="18"/>
          <w:color w:val="auto"/>
        </w:rPr>
        <w:t>During the six months ended June 30, 2017, there were no options granted to non-employees. The weighted average assumptions used for unvested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 options that were granted during the six months ended June 30, 2016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9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99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15"/>
        </w:trPr>
        <w:tc>
          <w:tcPr>
            <w:tcW w:w="99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11"/>
        </w:trPr>
        <w:tc>
          <w:tcPr>
            <w:tcW w:w="9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9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 (in years)</w:t>
            </w:r>
          </w:p>
        </w:tc>
        <w:tc>
          <w:tcPr>
            <w:tcW w:w="1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9.70</w:t>
            </w:r>
          </w:p>
        </w:tc>
      </w:tr>
      <w:tr>
        <w:trPr>
          <w:trHeight w:val="193"/>
        </w:trPr>
        <w:tc>
          <w:tcPr>
            <w:tcW w:w="9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w:t>
            </w:r>
          </w:p>
        </w:tc>
      </w:tr>
    </w:tbl>
    <w:p>
      <w:pPr>
        <w:spacing w:after="0" w:line="200" w:lineRule="exact"/>
        <w:rPr>
          <w:sz w:val="20"/>
          <w:szCs w:val="20"/>
          <w:color w:val="auto"/>
        </w:rPr>
      </w:pPr>
    </w:p>
    <w:p>
      <w:pPr>
        <w:spacing w:after="0" w:line="222" w:lineRule="exact"/>
        <w:rPr>
          <w:sz w:val="20"/>
          <w:szCs w:val="20"/>
          <w:color w:val="auto"/>
        </w:rPr>
      </w:pPr>
    </w:p>
    <w:p>
      <w:pPr>
        <w:ind w:right="440"/>
        <w:spacing w:after="0" w:line="232" w:lineRule="exact"/>
        <w:rPr>
          <w:sz w:val="20"/>
          <w:szCs w:val="20"/>
          <w:color w:val="auto"/>
        </w:rPr>
      </w:pPr>
      <w:r>
        <w:rPr>
          <w:rFonts w:ascii="Times New Roman" w:cs="Times New Roman" w:eastAsia="Times New Roman" w:hAnsi="Times New Roman"/>
          <w:sz w:val="18"/>
          <w:szCs w:val="18"/>
          <w:color w:val="auto"/>
        </w:rPr>
        <w:t>The unvested options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revalued using the Company’s estimate of fair value on each vesting and reporting date through the remaining vesting period. Non-employee stock-based compensation for the three and six month periods ended June 30, 2017 were $0.1 million and $0.2 million, respectively, as compared to less than $0.1 million and $0.1 million, respectively, for the comparable 2016 periods.</w:t>
      </w:r>
    </w:p>
    <w:p>
      <w:pPr>
        <w:spacing w:after="0" w:line="171"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As of June 30, 2017 and 2016, total unrecognized compensation expense related to unvested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 options was $0.8 million and $0.9 million, respectively.</w:t>
      </w:r>
    </w:p>
    <w:p>
      <w:pPr>
        <w:spacing w:after="0" w:line="1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2017, a total of 22,531 stock options were exercised by employees in which the exercises remained unsettled as of June 30, 2017. No shares of common stock were issued as a result of the unsettled transaction, while the Company recognized the grant exercises and related stock option receivable.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the 2008 Plan and the 2016 Plan during the six months ended June 30,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75"/>
        </w:trPr>
        <w:tc>
          <w:tcPr>
            <w:tcW w:w="4700" w:type="dxa"/>
            <w:vAlign w:val="bottom"/>
          </w:tcPr>
          <w:p>
            <w:pPr>
              <w:spacing w:after="0"/>
              <w:rPr>
                <w:sz w:val="23"/>
                <w:szCs w:val="23"/>
                <w:color w:val="auto"/>
              </w:rPr>
            </w:pPr>
          </w:p>
        </w:tc>
        <w:tc>
          <w:tcPr>
            <w:tcW w:w="16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2016</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1,733,561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16,503</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248,100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(131,684)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June 30,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1,844,069</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19,519</w:t>
            </w: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at June 30,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913,232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12,835</w:t>
            </w:r>
          </w:p>
        </w:tc>
      </w:tr>
      <w:tr>
        <w:trPr>
          <w:trHeight w:val="282"/>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June 30,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1,721,508</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18,719</w:t>
            </w:r>
          </w:p>
        </w:tc>
      </w:tr>
      <w:tr>
        <w:trPr>
          <w:trHeight w:val="224"/>
        </w:trPr>
        <w:tc>
          <w:tcPr>
            <w:tcW w:w="47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Employee</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2016</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394,785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5,145</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(95,120)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June 30,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299,665</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4,563</w:t>
            </w: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at June 30,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246,929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3,904</w:t>
            </w: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June 30,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299,665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4,563</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76"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7"/>
          <w:szCs w:val="17"/>
          <w:color w:val="auto"/>
        </w:rPr>
        <w:t>Under the ESPP, the Company has set two six-month offering periods during each calendar year, one beginning March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and the other beginning September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purchase price of the shares may not be less than 85% of the fair market value on the first or last trading day of the offering period, whichever is lower. A total of 357,456 shares of common stock are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w:t>
      </w:r>
    </w:p>
    <w:p>
      <w:pPr>
        <w:spacing w:after="0" w:line="20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8"/>
          <w:szCs w:val="18"/>
          <w:color w:val="auto"/>
        </w:rPr>
        <w:t>The fair value of the purchase rights granted under the ESPP for the offering period beginning March 1, 2017 was estimated by applying Black-Scholes using the following range of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4"/>
        </w:trPr>
        <w:tc>
          <w:tcPr>
            <w:tcW w:w="982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r>
      <w:tr>
        <w:trPr>
          <w:trHeight w:val="198"/>
        </w:trPr>
        <w:tc>
          <w:tcPr>
            <w:tcW w:w="9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$4.49</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$5.99</w:t>
            </w:r>
          </w:p>
        </w:tc>
      </w:tr>
      <w:tr>
        <w:trPr>
          <w:trHeight w:val="289"/>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6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0.79%</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1.02%</w:t>
            </w:r>
          </w:p>
        </w:tc>
      </w:tr>
      <w:tr>
        <w:trPr>
          <w:trHeight w:val="279"/>
        </w:trPr>
        <w:tc>
          <w:tcPr>
            <w:tcW w:w="9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55.84%</w:t>
            </w: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75.78%</w:t>
            </w:r>
          </w:p>
        </w:tc>
      </w:tr>
      <w:tr>
        <w:trPr>
          <w:trHeight w:val="289"/>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w:t>
            </w:r>
          </w:p>
        </w:tc>
        <w:tc>
          <w:tcPr>
            <w:tcW w:w="6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r>
      <w:tr>
        <w:trPr>
          <w:trHeight w:val="193"/>
        </w:trPr>
        <w:tc>
          <w:tcPr>
            <w:tcW w:w="9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6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r>
    </w:tbl>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 recorded less than $0.1 million of stock-based compensation expense and issued no shares of common stock to employees under the ESPP. There was no stock-based compensation expense related to the ESPP recorded for the three and six months ended June 30,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the ESPP and restricted common stock in the following expense categories of its consolidated statements of operations and comprehensive loss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r>
      <w:tr>
        <w:trPr>
          <w:trHeight w:val="255"/>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w:t>
            </w:r>
          </w:p>
        </w:tc>
      </w:tr>
      <w:tr>
        <w:trPr>
          <w:trHeight w:val="265"/>
        </w:trPr>
        <w:tc>
          <w:tcPr>
            <w:tcW w:w="5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460</w:t>
            </w:r>
          </w:p>
        </w:tc>
        <w:tc>
          <w:tcPr>
            <w:tcW w:w="24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r>
      <w:tr>
        <w:trPr>
          <w:trHeight w:val="242"/>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863</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649</w:t>
            </w:r>
          </w:p>
        </w:tc>
      </w:tr>
      <w:tr>
        <w:trPr>
          <w:trHeight w:val="20"/>
        </w:trPr>
        <w:tc>
          <w:tcPr>
            <w:tcW w:w="5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right="9320" w:firstLine="8"/>
        <w:spacing w:after="0" w:line="50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Arrangements Spark license agreement</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an upfront cash payment of $10.0 million under the Spark License Agreement, additional payments of an aggregate of $5.0 million in two payments of $2.5 million each will be due within twelve months of the contract dated December 2, 2016 (“Contract Date”). The first of the two additional payments was scheduled to be made on or before May 31, 2017 (the “May 2017 License Payment).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License Agreement may be terminated by Spark for convenience upon ninety days’ notice. Either party may terminate the License Agreement on a target-by-target basis for material breach with respect to such target.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2016, the Company also entered into a Share Purchase Agreement (the “Purchase Agreement”) with Spark. Pursuant to the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Stock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Stock Purchase Agreement are subject to customary conditions. Beyond the Initial Closing, the Purchase Agreement provides for potential future sales of shares by the Company to Spark as follows:</w:t>
      </w:r>
    </w:p>
    <w:p>
      <w:pPr>
        <w:spacing w:after="0" w:line="185" w:lineRule="exact"/>
        <w:rPr>
          <w:sz w:val="20"/>
          <w:szCs w:val="20"/>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Acquisition Right. During the period beginning on May 1, 2017 and ending on June 1, 2017, Spark had the right (the “First Acquisition Right”) to purchase a number of shares of Common Stock equal to an aggregate price of $5.0 million. See "</w:t>
      </w:r>
      <w:r>
        <w:rPr>
          <w:rFonts w:ascii="Times New Roman" w:cs="Times New Roman" w:eastAsia="Times New Roman" w:hAnsi="Times New Roman"/>
          <w:sz w:val="18"/>
          <w:szCs w:val="18"/>
          <w:b w:val="1"/>
          <w:bCs w:val="1"/>
          <w:color w:val="auto"/>
        </w:rPr>
        <w:t>Spark letter agreement</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Acquisition Right. During the period beginning on October 1, 2017 and ending on November 1, 2017, Spark will have the right (the “Second Acquisition Right”) to purchase a number of shares of Common Stock equal to an aggregate price of $5.0 million.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First Acquisition Rights and Second Acquisition Rights are collectively referred to herein as the “Acquisition Rights”. The number of shares issued under the Second Acquisition Right will be determined based on the calculated purchase price on the date of notification, which is defined as an amount equal to 115% of the average daily volume weighted average price (“VWAP”) of the Common Stock during the thirty consecutive calendar days leading up to and ending on the day prior to the Second Acquisition Right notification date.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Spark License Agreement and Purchase Agreement, the Company recorded a liability as of June 30, 2017, for contractual payments defined in the MIT license agreement (Note 15) totaling $0.4 million for the MIT sub-license provided to Spark, and $0.1 million relative to the calculated premium paid by Spark for the equity investment made under the First Acquisition Right outlined in the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Spark License Agreement contains the following deliverables: (1) certain exclusive, worldwide, royalty bearing licenses to the Company’s intellectual property and a license to conduct certain research activities under the collaboration, or the License Deliverable, (2) options to research, develop and commercialize gene therapies utilizing the SVP technology for up to four additional target therapy options, or the Option Deliverable, and (3) manufactured supply of pre-clinical and clinical SVP, or the Supply Deliverable. The Company considered the provisions of the multiple-element arrangement guidance in determining how to recognize the revenue associated with the identified deliverables. The Company has accounted for access to certain of the Company's technology through the various licenses and rights to use under the license deliverables listed above and the delivery of the manufactured supply as a single unit of accounting. The deliverables are not considered to have standalone value from one another and amounts allocated to these obligations will be recognized throughout the estimated period of delivery of the supply.</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Option Deliverable is determined to be substantive at the outset of the agreement, and therefore will not be considered an element of the arrangement when allocating the consideration as there is considerable uncertainty that the options would be exercised. Although the options are not considered a deliverable at inception, it was determined that there is a significant and incremental discount that requires inclusion as an element of the initial allocation of contract consideration.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Company evaluated the stock purchase agreement and the collaboration and license agreement as one arrangement and determined that the initial purchase of common stock combined with the embedded future stock Acquisition Rights had a fair value of $2.7 million and this amount was recorded in equity.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evaluated and determined that the Acquisition Rights under the stock purchase agreement are not freestanding instruments as these rights are not legally detachable from the Company’s common stock. In addition, the Company has further assessed that the Acquisition Rights were clearly and closely related to the economic characteristic and risk of the Common Stock. The Company determined that the Acquisition Rights are embedded and inseparable from the initial stock purchase and no subsequent remeasurement is necessary.</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Allocable arrangement consideration at inception consisted of the total non-contingent payments aggregating to $15 million. The Company allocated $2.7 million to equity (representing the fair value of the initial purchase of common stock combined with the embedded future stock Acquisition Rights), $7.1 million to the License and Supply Deliverable combined unit of accounting and $5.2 million to the discount on the Option Deliverable. The total arrangement consideration for the License and Supply deliverable and the Option deliverable was allocated using the relative best estimate of selling price method to each deliverable. The best estimate of selling price for the License and Supply deliverable was determined using a discounted cash flow model that includes Level 3 fair value measurements. The best estimate of selling price for the Option Deliverable was determined based on the fair value of the license minus the strike price of the option. The consideration allocated to the combined unit of accounting for the License and Supply Deliverable, totaling $7.1 million, will be recognized based on the expected deliveries over an initial term which is estimated to be approximately four years. The discount associated with the Option Deliverable, totaling $5.2 million, will be recognized, if the options are exercised, over the related expected deliveries of supply. If the options expire without exercise, the related deferred revenue will be recognized upon expiration (December 1, 2019).</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revenues related to the Spark License Agreement recognized during the three months ended June 30, 2017 and 2016. Revenues totaling less than $0.1 million were recognized related to the Spark License Agreement during the six months ended June 30, 2017. There were no revenues recognized for the six months ended June 30, 2016.</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determined that each potential future clinical and regulatory milestone was non-substantive, therefore, any consideration received will be allocated to the License and Supply Deliverable and Option Deliverable using the relative selling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Sales-based milestones and royalty payments are expected to be recognized when earned.</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2017, there was $12.2 million of deferred revenue related to this agreement. A total of $2.5 million was recorded as a current liability and $9.7 million was classified as a long term liability in the accompanying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 letter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Consistent with the First Acquisition Right, Spark purchased 324,362 shares of common stock pursuant to the Stock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Contract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Sanofi Collaboration Agreement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no revenue for the three and six months ended June 30, 2017, and $0.3 million and $0.4 million for the three and six months ended June 30, 2016,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Sanofi Collaboration Agreement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November 9, 2016, the Company received written notice from Sanofi that Sanofi had elected to terminate in its entirety the Sanofi Agreement. The termination of the Sanofi Agreement was effective on May 8, 2017, or the Termination Date, which was six months from the date of the notice.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December 31, 2016, the Company recognized the remaining $2.2 million in revenue associated with the Sanofi Agreement, as the Company has no further performance obligation under the contact.</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All rights granted to Sanofi terminated and reverted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also expired on the Termination Date.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exercised its right to acquire the development programs under the Sanofi Agreement. The Company is solely responsible for performing and funding any development and clinical trial activities relating to further development of vaccine candidates that it chooses to undertake after the 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Research and Collaboration Agreements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other research and collaboration agreements in 2017 and 2016 for which the Company recognized no revenue for the three and six months ended June 30, 2017 and less than $0.1 million recognized for the three and six months ended June 30,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Agreements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NIH</w:t>
      </w:r>
    </w:p>
    <w:p>
      <w:pPr>
        <w:spacing w:after="0" w:line="22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no revenue for the three and six months ended June 30, 2017. For the three and six months ended June 30, 2016, the Company recognized revenue of $1.2 million and $3.0 million, respectively.</w:t>
      </w:r>
    </w:p>
    <w:p>
      <w:pPr>
        <w:spacing w:after="0" w:line="1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second grant is for an aggregate amount of $0.2 million, which was awarded in September 2015 for the development of nanoparticles for immune tolerance to factor VIII. The Company recognized revenue of less than $0.1 million for the three months ended June 30, 2017 and 2016 and the six months ended June 30, 2017 and 2016, related to this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JDRF</w:t>
      </w:r>
    </w:p>
    <w:p>
      <w:pPr>
        <w:spacing w:after="0" w:line="2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together with Sanofi, entered into a joint grant with JDRF in September 2014 for $0.4 million to conduct Type 1 Diabetes research. The Company recognized no revenue for the three months ended June 30, 2017 and less than $0.1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2016. During the six months ended June 30, 2017 and 2016 the Company recognized $0.1 million related to this grant.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 and Melinda Gates Foundation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 grant terms. For the three months ended June 30, 2017 and 2016, the Company recognized revenue of less than $0.1 million and $0.1 million, respectively. Total revenue recognized for the six months ended June 30, 2017 and 2016 was $0.1 million and $0.3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Minpromtorg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June 30, 2017, the Company received payments totaling approximately $1.4 million. No additional payments are expected to be received under the terms of the contract.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first audit period expired on December 31, 2015, and as a result $0.4 million of revenue was recognized for the year ended December 31, 2015. The second and third audit periods expired during the twelve months ended December 31, 2016, and as a result $0.5 million of revenue was recognized for the year ended December 31, 2016. The third audit period, is the final audit to be conducted under the contract. As of December 31, 2016, the deferred revenue associated with Minpromtorg contract has been fully recognized. There was no revenue recognized during the three and six months ended June 30, 2017, and a total of $0.2 million of revenue recognized during the three and six months ended June 30,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Skolkovo</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six months ended June 30, 2017.</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the Skolkovo audit or the expiration of the audit term.</w:t>
      </w:r>
    </w:p>
    <w:p>
      <w:pPr>
        <w:spacing w:after="0" w:line="200" w:lineRule="exact"/>
        <w:rPr>
          <w:sz w:val="20"/>
          <w:szCs w:val="20"/>
          <w:color w:val="auto"/>
        </w:rPr>
      </w:pPr>
    </w:p>
    <w:p>
      <w:pPr>
        <w:spacing w:after="0" w:line="38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14. Related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Party Transactions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Series B Preferred and Series D Preferred financings (as described in Note 11), the Company’s landlord (the “Landlord”) purchased 49,254 shares of Series B Preferred at $2.03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11). The Landlord paid the same price as the price paid by other investors in each of these Preferred Stock purchases. At the IPO, all preferred stock was converted to common stock.</w:t>
      </w:r>
    </w:p>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incurred expenses for consulting services provided by its founders totaling less than $0.1 million and $0.1 million during the three months ended June 30, 2017 and 2016, respectively, and $0.1 million and $0.2 million for the six months ended June 30, 2017 and 2016, respectively.</w:t>
      </w:r>
    </w:p>
    <w:p>
      <w:pPr>
        <w:spacing w:after="0" w:line="158"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License Agreements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w:t>
      </w:r>
    </w:p>
    <w:p>
      <w:pPr>
        <w:spacing w:after="0" w:line="229" w:lineRule="exact"/>
        <w:rPr>
          <w:sz w:val="20"/>
          <w:szCs w:val="20"/>
          <w:color w:val="auto"/>
        </w:rPr>
      </w:pPr>
    </w:p>
    <w:p>
      <w:pPr>
        <w:ind w:right="40"/>
        <w:spacing w:after="0" w:line="221" w:lineRule="exact"/>
        <w:rPr>
          <w:sz w:val="20"/>
          <w:szCs w:val="20"/>
          <w:color w:val="auto"/>
        </w:rPr>
      </w:pPr>
      <w:r>
        <w:rPr>
          <w:rFonts w:ascii="Times New Roman" w:cs="Times New Roman" w:eastAsia="Times New Roman" w:hAnsi="Times New Roman"/>
          <w:sz w:val="18"/>
          <w:szCs w:val="18"/>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expense in 2008.</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June 30, 2017, and in connection with the execution of the Spark License Agreement, the Company has made contractual payments pursuant to the Exclusive Patent License totaling $1.5 million for the sublicense granted to Spark, and $0.2 million relative to the calculated premium paid by Spark for the initial equity investment made under the Purchase Agreement. As of June 30, 2017, the Company recorded a liability totaling $0.4 million for the additional Spark sub-license payment received, and $0.1 million relative to the calculated premium paid by Spark for the equity investment made under the First Acquisition Right outlined in the Purchase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In May 2014, the Company entered into a license agreement with Shenyang Sunshine Pharmaceutical Co., Ltd. (“3SBio”), which is referred to as the 3SBio License. Pursuant to the 3SBio License, the Company was granted an exclusive license to certain pegsiticase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patents and related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owned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under the 3SBio License. An additional liability totaling $2.0 million for milestone payments has been expensed in 2016, and is included with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related to the pegsiticase component of products at percentages ranging from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mid single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digits for products containing the Company’s SVP technology, and a range of no more than ten percent points from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low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products without the Company’s SVP technology. The Company will pay these royalties to 3SBio, subject to specified reductions, on a</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until the later of (i) the date that all of the patent rights for that product have expired in that country, or (ii)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number of years from the first commercial sale of such product in such country.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3SBio License expires on the date of expiration of all of the Company’s royalty payment obligations unless earlier terminated by either party for an</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uncured material default or for the other party’s bankruptcy. Any such termination by 3SBio for material default may be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or</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in certain circumstances. The Company may also terminate the 3SBio License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or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reason effective upon 60 days’ prior written notice to 3SBio or, with respect to a given product, immediately upon written notice to 3SBio if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identifies a safety or efficacy concern related to such product.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owned or controlled by MEE, for use of Anc80 gene therapy vectors for gene augmentation therapies expressing certain target sequences.</w:t>
      </w:r>
    </w:p>
    <w:p>
      <w:pPr>
        <w:spacing w:after="0" w:line="20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0"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Pursuant to the MEE Agreement, the Company agreed to pay MEE a license fee in the low six figures, annual license maintenance fees ranging from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twenty thousands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equal to a percentage of net sales ranging from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 figures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 figures, depending on the prevalence of the targeted disease.</w:t>
      </w:r>
    </w:p>
    <w:p>
      <w:pPr>
        <w:spacing w:after="0" w:line="204"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the Company has paid a total of $0.1 million in license fees due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provide for any income taxes in any of the three or six month periods ended June 30, 2017 or 2016.</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2014, the Company's Russian subsidiary was granted a 10 year tax holiday in Russia. The Company's foreign operations continue to benefit from the tax holiday, which is set to expire December 31, 2023.</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U.S. net deferred tax assets. As required by the provisions of ASC 740, Income Taxes, management has determined that it is more-likely-than-not that the Company will not utilize the benefits of federal and state U.S. net deferred tax assets for financial reporting purposes. Accordingly, the net deferred tax assets are subject to a valuation allowance at June 30, 2017 and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401(k) Savings Plan</w:t>
      </w:r>
    </w:p>
    <w:p>
      <w:pPr>
        <w:spacing w:after="0" w:line="201" w:lineRule="exact"/>
        <w:rPr>
          <w:sz w:val="20"/>
          <w:szCs w:val="20"/>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The Company maintains a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Contributions by the Company totaling less than $0.1 million for the three months ended June 30, 2017 and 2016, and $0.1 million and less than $0.1 million for the six months ended June 30, 2017 and 2016, respectively, have been recorded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Subsequent to quarter end, on August 10, 2017, the Company filed a universal shelf registration statement on Form S-3 to sell up to $200 million of common stock and entered into a sales agreement with Jefferies LLC, as sales agent, pursuant to which the Company may, from time to time, issue and sell common stock with an aggregate value of up to $50 million in an at-the-market, or ATM, offering. The shelf registration statement has not yet been declared effective by the SEC. However, if the Company's public float (the market value of the Company's common stock held by non-affiliates) falls below $75 million, the Company will also be subject to a further limitation under which the Company can sell no more than one third of the Company's public float in any 12-month period. Further, the number of shares the Company can sell at any time may be limited to 20% of the Company's common stock under applicable Nasdaq Marketplace Rules.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121"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1"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We are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immune tolerance to mitigate the formation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antibodies, or ADAs, in response to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sustaining biologic drugs. We believe our SVP technology has the potential for broad applications to both enhance existing biologic drugs and enable novel therapies. Our lead product candidate,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is currently in a comprehensive Phase 1/2 clinical program. The Phase 1/2 clinical program is comprised of two Phase 1 clinical trials and a Phase 2 clinical trial, which commenced in October 2016, and is designed to evaluate the ability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to control uric acid levels and mitigate the formation of ADAs. The Phase 1 clinical trials have been completed and we initiated the Phase 2 clinical trial in the fourth quarter of 2016. In addition to SEL-212, we have in-licensed LMB-100, a next-generation immunotoxin that is currently in a Phase 1 clinical program at the Center for Cancer Research at the National Cancer Institute, for pancreatic cancer, mesothelioma and other cancers. We also commenced dosing in May 2017 for a Phase 1 clinical trial for SEL-070, a nicotine vaccine candidate in development for smoking cessation and relapse prevention, to assess its safety, tolerability and pharmacodynamic profile.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incurred net losses of $31.1 million and $14.4 million for the six months ended June 30, 2017 and 2016, respectively. As of June 30, 2017, we had an accumulated deficit of $182.7 million. We expect to continue incurring significant expenses and operating losses for at least the next several years as we:</w:t>
      </w:r>
    </w:p>
    <w:p>
      <w:pPr>
        <w:spacing w:after="0" w:line="310" w:lineRule="exact"/>
        <w:rPr>
          <w:sz w:val="20"/>
          <w:szCs w:val="20"/>
          <w:color w:val="auto"/>
        </w:rPr>
      </w:pPr>
    </w:p>
    <w:p>
      <w:pPr>
        <w:ind w:left="240" w:hanging="232"/>
        <w:spacing w:after="0" w:line="207" w:lineRule="exact"/>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expand clinical trials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w:t>
      </w:r>
    </w:p>
    <w:p>
      <w:pPr>
        <w:spacing w:after="0" w:line="38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358" w:lineRule="exact"/>
        <w:rPr>
          <w:rFonts w:ascii="Times New Roman" w:cs="Times New Roman" w:eastAsia="Times New Roman" w:hAnsi="Times New Roman"/>
          <w:sz w:val="18"/>
          <w:szCs w:val="18"/>
          <w:color w:val="auto"/>
        </w:rPr>
      </w:pPr>
    </w:p>
    <w:p>
      <w:pPr>
        <w:ind w:left="340" w:right="40" w:hanging="332"/>
        <w:spacing w:after="0" w:line="239" w:lineRule="exact"/>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external manufacturing capabilities to commercialize any products for which we may obtain regulatory approval;</w:t>
      </w:r>
    </w:p>
    <w:p>
      <w:pPr>
        <w:spacing w:after="0" w:line="3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3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operational and financial personnel, to execute our business plan; and</w:t>
      </w:r>
    </w:p>
    <w:p>
      <w:pPr>
        <w:spacing w:after="0" w:line="38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and clinical, scientific, operational, financial and management information systems to support our product development and potential future commercialization efforts, and to enable us to operate as a public company.</w:t>
      </w:r>
    </w:p>
    <w:p>
      <w:pPr>
        <w:sectPr>
          <w:pgSz w:w="11900" w:h="16838" w:orient="portrait"/>
          <w:cols w:equalWidth="0" w:num="1">
            <w:col w:w="11400"/>
          </w:cols>
          <w:pgMar w:left="240" w:top="121" w:right="25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expect that our existing cash, cash equivalents, short-term investments and restricted cash as of June 30, 2017, will enable us to fund our operating expenses and capital expenditure requirements into 2019. For additional information, see “-Liquidity and Capital Resources.”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and collaboration revenue</w:t>
      </w:r>
    </w:p>
    <w:p>
      <w:pPr>
        <w:spacing w:after="0" w:line="229"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As a result of the termination of the license and research collaboration agreement that we entered into with Sanofi in November 2012, or the Sanofi Agreement, which termination was effective on May 8, 2017, we will not receive any further collaboration payments related to the Sanofi Agreement. For a further description of the agreements underlying our collaboration and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see Notes 2 and 13 to our consolidated financial statements included elsewhere in this Quarterly Report on Form 10-Q.</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compensation and benefits for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research and development employees, including stock-based compensation, an allocation of facilities expenses, overhead expenses, manufacturing process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development and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7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and primarily include contract manufacturing organization, or CMO, and CRO, related costs, and internal research and development costs, which are primarily compensation expenses for our research and development employees, lab supplies, analytical testing, allocated overhead costs and other related expenses. As we expand the clinical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 We have incurred a total of $127.2 million in research and development expenses from inception through June 30, 2017, with a majority of the expenses being spent on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a prior nicotine vaccine, and the remainder being spent on our various discovery and preclinical stage product candidate programs and the general expansion of our technology.</w:t>
      </w:r>
    </w:p>
    <w:p>
      <w:pPr>
        <w:spacing w:after="0" w:line="2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development expenses for the foreseeable future as we seek to complete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research and development expenses during the periods indicated (in thousands,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22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2"/>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8"/>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External research and development expenses: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SEL-212</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9,329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3,833</w:t>
            </w: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Discovery and preclinical stage product programs, collectively</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3,102</w:t>
            </w:r>
          </w:p>
        </w:tc>
      </w:tr>
      <w:tr>
        <w:trPr>
          <w:trHeight w:val="270"/>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Internal research and development expenses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5,713</w:t>
            </w:r>
          </w:p>
        </w:tc>
      </w:tr>
      <w:tr>
        <w:trPr>
          <w:trHeight w:val="24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10,994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22,038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12,648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1" w:lineRule="exact"/>
        <w:rPr>
          <w:sz w:val="20"/>
          <w:szCs w:val="20"/>
          <w:color w:val="auto"/>
        </w:rPr>
      </w:pPr>
    </w:p>
    <w:p>
      <w:pPr>
        <w:ind w:right="100"/>
        <w:spacing w:after="0" w:line="224" w:lineRule="exact"/>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our executive, finance, business development and support functions. Other general and administrative expenses include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property-related legal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and cash equivalents and short term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for the three and six months ended June 30, 2017 and 2016 was de minimis.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June 30, 2017 and December 31, 2016, we maintained cash of $1.9 million and $2.5 million, respectively, in Russian banks, of which $1.8 million and $1.6 million was denominated in U.S. dollars for the periods ended June 30, 2017 and December 31, 2016, respectively. The amounts denominated in U.S. dollars and used in transacting the day to day operations are subject to transaction gains and losses, which are reported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2016, we had net operating loss carryforwards, or NOLs, for federal and state income tax purposes of $102.1 million and $95.6 million, respectively, which expire at various times through 2036. In 2014, our wholly owned subsidiary, Selecta RUS, was granted a “Skolkovo designated” resident status in Russia. As a result, the subsidiary operates as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corporate tax exempt entity, with lower employee and employment taxes. All foreign net operating loss carryforwards have been eliminated. The state NOLs began expiring in 2015 and will continue to expire through 2036. At December 31, 2016, we had available federal and state research and development income tax credits of approximately $2.1 million and $1.5 million respectively, which may be available to reduce future income taxes, if any, at various times through 2036.</w:t>
      </w:r>
    </w:p>
    <w:p>
      <w:pPr>
        <w:spacing w:after="0" w:line="180"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Utilization of the NOLs and credits may be subject to a substantial annual limitation due to ownership change limitations provided by Section 382 of the Internal Revenue Code of 1986, as amended. Specifically, this limitation may arise in the event of a cumulative change in our ownership of more than 50% within any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The amount of the annual limitation is determined based on our value immediately before the ownership change. Subsequent ownership changes may further affect the limitation in future years. The annual limitation may result in the expiration of our NOLs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revenue for the three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3"/>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3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 revenue</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1,675</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65"/>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Collaboration revenue</w:t>
            </w:r>
          </w:p>
        </w:tc>
        <w:tc>
          <w:tcPr>
            <w:tcW w:w="940" w:type="dxa"/>
            <w:vAlign w:val="bottom"/>
          </w:tcPr>
          <w:p>
            <w:pPr>
              <w:spacing w:after="0"/>
              <w:rPr>
                <w:sz w:val="23"/>
                <w:szCs w:val="23"/>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42"/>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total revenue decreased by $2.0 million, or 99%, as compared to the three months ended June 30, 2016. The decrease was the result of reduced revenue from the Company's NIDA grant, resulting in a $1.2 million reduction year over year, as well as a $0.5 million decrease in other grant revenues, all resulting from the wind down of the grant terms. A decrease in collaboration revenues was the result of the termination of the Sanofi collaboration in November 2016 resulting in a decrease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10,994</w:t>
            </w:r>
          </w:p>
        </w:tc>
        <w:tc>
          <w:tcPr>
            <w:tcW w:w="5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4,994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C2C2C"/>
        </w:rPr>
        <w:t>three months ended June 30, 2017, our research and development expenses increased by $5.0 million, or 83%, as compared to the 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period in 2016, reflecting the incremental costs for headcount, consulting and clinical to continue and expand the Phase 2 stage of our Phase 1/2 clinical program for our lead product candidate SEL-212 and consulting, licensing, supplies and testing activities to initiate or expand research on our other pipeline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three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6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4,903</w:t>
            </w:r>
          </w:p>
        </w:tc>
        <w:tc>
          <w:tcPr>
            <w:tcW w:w="5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2,418</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2,485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2017, our general and administrative expenses increased $2.5 million, or 103%, as compared to the 2016 period, primarily due to (i) $0.7 million related to growth in headcount to support public company filings and control processes, (ii) a $0.1 million increase in consulting fees for market research and investor relations, (iii)$0.3 million of stock compensation expense, (iv) $0.3 million of licensing fees associated with collaborations, (v) $0.7 million relating to the continued increase in our patent inventory and reimbursement of expenses for our patent in-licensing activities, (vi) $0.1 million of office and facilities expense resulting from increased headcount and (vii) $0.3 million of other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Investment income increased by $0.1 million during the three months ended June 30, 2017 as compared to the comparable period in 2016. This increase was due to an increase of $30.0 million of investments held by us as of June 30, 2017 compared to the holdings as of June 30,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recognized a foreign currency gain of $0.1 million and a foreign currency loss of $0.2 million during the three months ended June 30, 2017 and 2016 respectively, reflecting the fluctuation of the U.S. dollar to the Russian ruble from the beginning to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was $0.3 million for each of the three months ended June 30, 2017 and 2016, respectively, representing interest expense and amortization of the carrying costs of our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was de minimis for the three months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revenue for the six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3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 revenue</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65"/>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Collaboration revenue</w:t>
            </w:r>
          </w:p>
        </w:tc>
        <w:tc>
          <w:tcPr>
            <w:tcW w:w="9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504</w:t>
            </w:r>
          </w:p>
        </w:tc>
        <w:tc>
          <w:tcPr>
            <w:tcW w:w="24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4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total revenue decreased by $3.9 million, or 96%, as compared to the six months ended June 30, 2016. The decrease in grant revenue was the result of reduced revenue from our NIDA grant, resulting in a $3.0 million reduction year over year, as well as a $0.5 million decrease in other grant revenues resulting from the wind down of grant terms. The decrease in collaboration revenues was the result of the termination of the Sanofi collaboration in November 2016 resulting in a decrease of $0.4 million from the comparative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six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22,038</w:t>
            </w:r>
          </w:p>
        </w:tc>
        <w:tc>
          <w:tcPr>
            <w:tcW w:w="5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12,648</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9,390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 xml:space="preserve">During the six months ended June 30, 2017, our research and development expenses increased by $9.4 million, or 74%, as compared to the comparable period in 2016, </w:t>
      </w:r>
      <w:r>
        <w:rPr>
          <w:rFonts w:ascii="Times New Roman" w:cs="Times New Roman" w:eastAsia="Times New Roman" w:hAnsi="Times New Roman"/>
          <w:sz w:val="17"/>
          <w:szCs w:val="17"/>
          <w:color w:val="2C2C2C"/>
        </w:rPr>
        <w:t>reflecting the incremental costs for headcount, consulting and clinical to continue and expand the Phase 2 stage of our Phase 1/2 clinical program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C2C2C"/>
        </w:rPr>
        <w:t>our lead product candidate SEL-212 and consulting, licensing, supplies and testing activities to initiate or expand research on our other pipeline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six months ended June 30,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8,778</w:t>
            </w:r>
          </w:p>
        </w:tc>
        <w:tc>
          <w:tcPr>
            <w:tcW w:w="5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4,799</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3,979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2017, our general and administrative expenses increased $4.0 million, or 83%, as compared to the 2016 period, primarily due to (i) $1.3 million related to growth in headcount to support public company filings and control processes, (ii) a $0.3 million increase in consulting fees for market research and investor relations, (iii) $0.6 million of stock compensation expense, (iv) $0.3 million of licensing fees associated with collaborations,</w:t>
      </w:r>
    </w:p>
    <w:p>
      <w:pPr>
        <w:spacing w:after="0" w:line="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(v)$0.9 million relating to the continued increase in our patent inventory and reimbursement of expenses for our patent in-licensing activities, (vi) $0.3 million of office and facilities expense resulting from increased headcount and (vii) $0.3 million of other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Investment income increased by $0.2 million during the six months ended June 30, 2017 as compared to the comparable period in 2016. This increase was due to an increase of $30.0 million of investments held by the Company as of June 30, 2017 compared to the holdings as of June 30,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recognized a foreign currency loss of $0.1 million and $0.4 million during the six months ended June 30, 2017 and 2016, respectively, reflecting the fluctuation of the U.S. dollar to the Russian ruble from the beginning to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was $0.6 million for each of the six months ended June 30, 2017 and 2016, respectively, representing interest expense and amortization of the carrying costs of our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was de minimis for the six months ended June 30, 2017 and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45"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and other collaborations and strategic alliances.</w:t>
      </w: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our inception through June 30, 2017, we had raised an aggregate of $291.2 million to fund our operations, of which $118.5 million was from the sale of preferred stock, $9.9 million was from government grants, $14.3 million was from borrowings under our credit facility, $36.8 million was through our collaborations and license agreements, $64.5 million in combined net proceeds from our initial public offering in June 2016 and the underwriters' exercise in part of their option to purchase additional shares of our common stock in July 2016, and $47.2 million in combined net proceeds from our private placement of common stock in June 2017, or the 2017 PIPE.</w:t>
      </w:r>
    </w:p>
    <w:p>
      <w:pPr>
        <w:spacing w:after="0" w:line="4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w:t>
      </w:r>
    </w:p>
    <w:p>
      <w:pPr>
        <w:spacing w:after="0" w:line="3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Institutional Purchase Agreement, we agreed to sell an aggregate of 2,750,000 shares of our common stock to the Institutional Investors for aggregate gross proceeds of $44 million, at a purchase price equal to $16.00 per share. Pursuant to the Springer Purchase Agreement, we agreed to sell to Dr. Springer an aggregate of 338,791 shares of common stock at a purchase price equal to $17.71 per share, which was equal to the most recent consolidated closing bid price on the NASDAQ Global Market on June 23, 2017, and warrants to purchase 79,130 shares of common stock, or the Warrant Shares, exercisable at $17.71 per Warrant Share. The purchase price for each warrant was equal to $0.125 for each Warrant Share, consistent with NASDAQ Global Market requirements for an “at the market” offering. The Springer Offering resulted in additional aggregate gross proceeds to us of approximately $6 million for total aggregate gross proceeds to us of $50 million. On June 27, 2017, in connection with issuance of the Warrant Shares, we entered into a Common Stock Purchase Warrant with Dr. Springer, or the Warrant. The Warrant has a term of five years. We closed under the Institutional Purchase Agreement and the Springer Purchase Agreement on June 27, 2017.</w:t>
      </w:r>
    </w:p>
    <w:p>
      <w:pPr>
        <w:spacing w:after="0" w:line="200" w:lineRule="exact"/>
        <w:rPr>
          <w:sz w:val="20"/>
          <w:szCs w:val="20"/>
          <w:color w:val="auto"/>
        </w:rPr>
      </w:pPr>
    </w:p>
    <w:p>
      <w:pPr>
        <w:spacing w:after="0" w:line="20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of June 30, 2017, our cash equivalents and short term investments were $112.7 million, of which $1.9 million was held by our Russian subsidiary designated solely for use in its operations including $0.1 million of restricted cash. Our Russian subsidiary cash is consolidated for financial reporting purposes.</w:t>
      </w:r>
    </w:p>
    <w:p>
      <w:pPr>
        <w:spacing w:after="0" w:line="3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to our existing cash equivalents and short term investments, we receive research and development funding pursuant to our research grants and collaboration agreements. In November 2016, we received written notice from Sanofi that Sanofi had elected to terminate in its entirety the Sanofi Agreement. The termination of the Sanofi Agreement was effective on May 8, 2017. Currently, funding from research grants and payments under our remaining collaboration agreements represent our only source of committed external funds.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00" w:lineRule="exact"/>
        <w:rPr>
          <w:sz w:val="20"/>
          <w:szCs w:val="20"/>
          <w:color w:val="auto"/>
        </w:rPr>
      </w:pPr>
    </w:p>
    <w:p>
      <w:pPr>
        <w:spacing w:after="0" w:line="245"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In August 2013, we entered into a credit facility with Oxford Finance, LLC, or Oxford, and Pacific Western Bank, as successor in interest to Square 1 Bank, as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200" w:lineRule="exact"/>
        <w:rPr>
          <w:sz w:val="20"/>
          <w:szCs w:val="20"/>
          <w:color w:val="auto"/>
        </w:rPr>
      </w:pPr>
    </w:p>
    <w:p>
      <w:pPr>
        <w:spacing w:after="0" w:line="217"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The credit facility is secured by substantially all of our personal property other than our intellectual property. The term loan under the credit facility bears interest at an annual rate equal to the greater of (i) 8.0% and (ii) the sum of (a)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U.S. LIBOR rate five business days prior to the applicable funding date plus (b) 7.68%. We were required to make interest payments through January 1, 2017, or the interest only period. Following the interest only period, all outstanding borrowings under the credit facility began amortizing with monthly payments of principal and interest being made over 30 consecutive monthly installments. All loans under the facility mature on July 1, 2019, and include a final payment fee equal to 6.0% of the total amount borrowed under the credit facility. This final payment has been recorded as a discount to the loan balance and is being amortized into interest expense over the life of the loan.</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121" w:right="2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loan is prepayable at our option in whole, but not in part, subject to a prepayment fee of 2.0% if the terms loans are prepaid between the first and second anniversary of the December 31, 2015 borrowing date, and 1.0%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200" w:lineRule="exact"/>
        <w:rPr>
          <w:sz w:val="20"/>
          <w:szCs w:val="20"/>
          <w:color w:val="auto"/>
        </w:rPr>
      </w:pPr>
    </w:p>
    <w:p>
      <w:pPr>
        <w:spacing w:after="0" w:line="20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w:t>
      </w:r>
    </w:p>
    <w:p>
      <w:pPr>
        <w:spacing w:after="0" w:line="377" w:lineRule="exact"/>
        <w:rPr>
          <w:sz w:val="20"/>
          <w:szCs w:val="20"/>
          <w:color w:val="auto"/>
        </w:rPr>
      </w:pPr>
    </w:p>
    <w:p>
      <w:pPr>
        <w:jc w:val="both"/>
        <w:ind w:right="20"/>
        <w:spacing w:after="0" w:line="228" w:lineRule="exact"/>
        <w:rPr>
          <w:sz w:val="20"/>
          <w:szCs w:val="20"/>
          <w:color w:val="auto"/>
        </w:rPr>
      </w:pPr>
      <w:r>
        <w:rPr>
          <w:rFonts w:ascii="Times New Roman" w:cs="Times New Roman" w:eastAsia="Times New Roman" w:hAnsi="Times New Roman"/>
          <w:sz w:val="18"/>
          <w:szCs w:val="18"/>
          <w:color w:val="auto"/>
        </w:rPr>
        <w:t>The credit facility also includes events of default, the occurrence and continuation of which provide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future funding requirements</w:t>
      </w:r>
    </w:p>
    <w:p>
      <w:pPr>
        <w:spacing w:after="0" w:line="200" w:lineRule="exact"/>
        <w:rPr>
          <w:sz w:val="20"/>
          <w:szCs w:val="20"/>
          <w:color w:val="auto"/>
        </w:rPr>
      </w:pPr>
    </w:p>
    <w:p>
      <w:pPr>
        <w:spacing w:after="0" w:line="2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in connection with our continuing operations.</w:t>
      </w:r>
    </w:p>
    <w:p>
      <w:pPr>
        <w:spacing w:after="0" w:line="200" w:lineRule="exact"/>
        <w:rPr>
          <w:sz w:val="20"/>
          <w:szCs w:val="20"/>
          <w:color w:val="auto"/>
        </w:rPr>
      </w:pPr>
    </w:p>
    <w:p>
      <w:pPr>
        <w:spacing w:after="0" w:line="20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Based on the current operating plan, we expect that our cash, cash equivalents, short-term investments and restricted cash as of June 30, 2017, will fund our operating expenses and capital expenditure requirements into 2019.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200" w:lineRule="exact"/>
        <w:rPr>
          <w:sz w:val="20"/>
          <w:szCs w:val="20"/>
          <w:color w:val="auto"/>
        </w:rPr>
      </w:pPr>
    </w:p>
    <w:p>
      <w:pPr>
        <w:spacing w:after="0" w:line="204"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SEL-212;</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ability to enter into additional collaboration agreements and our ability to achieve milestones under these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3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w:t>
      </w:r>
    </w:p>
    <w:p>
      <w:pPr>
        <w:spacing w:after="0" w:line="200" w:lineRule="exact"/>
        <w:rPr>
          <w:sz w:val="20"/>
          <w:szCs w:val="20"/>
          <w:color w:val="auto"/>
        </w:rPr>
      </w:pPr>
    </w:p>
    <w:p>
      <w:pPr>
        <w:spacing w:after="0" w:line="2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2017 and 2016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for the six months ended June 30, 2017 and 2016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Beginning of the period</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58,656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32,337</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(15,773)</w:t>
            </w: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3,314</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62,508</w:t>
            </w:r>
          </w:p>
        </w:tc>
      </w:tr>
      <w:tr>
        <w:trPr>
          <w:trHeight w:val="265"/>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262</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End of the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82,648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0" w:lineRule="exact"/>
        <w:rPr>
          <w:sz w:val="20"/>
          <w:szCs w:val="20"/>
          <w:color w:val="auto"/>
        </w:rPr>
      </w:pPr>
    </w:p>
    <w:p>
      <w:pPr>
        <w:spacing w:after="0" w:line="2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$23.9 million for the six months ended June 30, 2017 as compared to $15.8 million for the six months ended June 30, 2016. The increase in net cash used in operating activities of $8.2 million reflects a$16.7 million increase in recorded net loss associated with the increased research and development expenses as we advanced from Phase 1 to Phase 2 clinical trials coupled with (i) $1.9 million in net cash used to pay outstanding accounts payable associated with operations and (ii) a decrease in recorded deferred revenues of $0.8 million offset by (i) an increase in recorded accrued expenses and other liabilities of $5.5 million (ii) $3.4 million reduction in restricted cash and other assets (iii) a`n increase in (non-cash) stock-based compensation expense of $0.9 million and (iv) $1.4 million decrease of outstanding accounts receivable.</w:t>
      </w:r>
    </w:p>
    <w:p>
      <w:pPr>
        <w:sectPr>
          <w:pgSz w:w="11900" w:h="16838" w:orient="portrait"/>
          <w:cols w:equalWidth="0" w:num="1">
            <w:col w:w="11420"/>
          </w:cols>
          <w:pgMar w:left="240" w:top="121" w:right="23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23"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and provided by investing activities</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$5.8 million for the six months ended June 30, 2017, as compared to $3.3 million of net cash provided by investing activities for the six months ended June 30, 2016. The net change in cash of $9.1 million used in investing activities for the six months ended June 30, 2017 resulted from the purchase of additional short term investments totaling $32.5 million combined with additional equipment purchases of $0.2 million offset by maturities of short term investments of $23.6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0" w:lineRule="exact"/>
        <w:rPr>
          <w:sz w:val="20"/>
          <w:szCs w:val="20"/>
          <w:color w:val="auto"/>
        </w:rPr>
      </w:pPr>
    </w:p>
    <w:p>
      <w:pPr>
        <w:spacing w:after="0" w:line="2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$53.7 million for the six months ended June 30, 2017 as compared to $62.5 million for the six months ended June 30, 2016. The decrease of $8.8 million resulted from (i) $50.0 million of net cash derived from the 2017 PIPE, (ii) $5.0 million received in connection with the issuance of common stock to Spark for contractual equity acquisition rights and (iii) $0.5 million from the exercise of employee stock options, offset by $1.8 million of loan principle payments made during the six months ended June 30, 2017 as opposed to the net cash of $62.5 million received in connection with our IPO related activities in 2016.</w:t>
      </w:r>
    </w:p>
    <w:p>
      <w:pPr>
        <w:spacing w:after="0" w:line="4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cash and cash equivalents, short term investments and restricted cash at the end of the period is translated using the exchange rate as of the ending balance sheet date.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was included in our 2016 Annual Report on Form 10-K. There have been no material changes from the contractual commitments and obligations previously disclosed in our 2016 Annual Report on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we did not have any off-balance sheet arrangements as defined in the rules and regulations of the Securities and Exchange Commission.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0" w:lineRule="exact"/>
        <w:rPr>
          <w:sz w:val="20"/>
          <w:szCs w:val="20"/>
          <w:color w:val="auto"/>
        </w:rPr>
      </w:pPr>
    </w:p>
    <w:p>
      <w:pPr>
        <w:spacing w:after="0" w:line="24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United States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there were no material changes to our critical accounting policies as reported in our 2016 Annual Report on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ind w:right="120"/>
        <w:spacing w:after="0" w:line="224" w:lineRule="exact"/>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2017 and December 31, 2016, we had cash equivalents and short term investments of $112.7 million and $84.1 million, respectively, consisting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and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the low risk profile of our money market accounts and investments, and our current plan to hold investments to</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maturity, an immediate 100 basis point change in interest rates would not have a material effect on the fair market value of our cash equivalents or short-term investments.</w:t>
      </w:r>
    </w:p>
    <w:p>
      <w:pPr>
        <w:spacing w:after="0" w:line="3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June 30, 2017, we held $1.9 million of total cash in Russian banks to support our Russian subsidiary, which includes $1.8 million of cash and cash equivalents and $0.1 million of restricted cash, of which $1.8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2017 that have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1"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00" w:lineRule="exact"/>
        <w:rPr>
          <w:sz w:val="20"/>
          <w:szCs w:val="20"/>
          <w:color w:val="auto"/>
        </w:rPr>
      </w:pPr>
    </w:p>
    <w:p>
      <w:pPr>
        <w:spacing w:after="0" w:line="217"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are a development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-223520</wp:posOffset>
            </wp:positionV>
            <wp:extent cx="6413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in every year. Our net loss was $31.1 million for the six months ended June 30, 2017 and $36.2 million and $25.2 million for the years ended December 31, 2016 and 2015, respectively. As of June 30, 2017, we had an accumulated deficit of $182.7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In November 2016, we received written notice from Sanofi that Sanofi had elected to terminate in its entirety our license and research collaboration agreement with Sanofi, or the Sanofi Agreement. As a result of the termination of the Sanofi Agreement, which was effective on May 8, 2017, we will not receive any future payments related to the Sanofi Agreement.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380" w:lineRule="exact"/>
        <w:rPr>
          <w:sz w:val="20"/>
          <w:szCs w:val="20"/>
          <w:color w:val="auto"/>
        </w:rPr>
      </w:pPr>
    </w:p>
    <w:p>
      <w:pPr>
        <w:ind w:left="240" w:hanging="232"/>
        <w:spacing w:after="0" w:line="207" w:lineRule="exact"/>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SVP technology and discover and develop additional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3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external manufacturing capabilities to commercialize any products for which we may obtain regulatory approval;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9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377" w:lineRule="exact"/>
        <w:rPr>
          <w:rFonts w:ascii="Times New Roman" w:cs="Times New Roman" w:eastAsia="Times New Roman" w:hAnsi="Times New Roman"/>
          <w:sz w:val="18"/>
          <w:szCs w:val="18"/>
          <w:color w:val="auto"/>
        </w:rPr>
      </w:pPr>
    </w:p>
    <w:p>
      <w:pPr>
        <w:ind w:left="340" w:right="180" w:hanging="251"/>
        <w:spacing w:after="0" w:line="282"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ectPr>
          <w:pgSz w:w="11900" w:h="16838" w:orient="portrait"/>
          <w:cols w:equalWidth="0" w:num="1">
            <w:col w:w="11420"/>
          </w:cols>
          <w:pgMar w:left="240" w:top="121" w:right="239" w:bottom="98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981"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200" w:lineRule="exact"/>
        <w:rPr>
          <w:sz w:val="20"/>
          <w:szCs w:val="20"/>
          <w:color w:val="auto"/>
        </w:rPr>
      </w:pPr>
    </w:p>
    <w:p>
      <w:pPr>
        <w:spacing w:after="0" w:line="20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3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3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37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Times New Roman" w:cs="Times New Roman" w:eastAsia="Times New Roman" w:hAnsi="Times New Roman"/>
          <w:sz w:val="18"/>
          <w:szCs w:val="18"/>
          <w:b w:val="1"/>
          <w:bCs w:val="1"/>
          <w:color w:val="auto"/>
        </w:rPr>
        <w:t>.</w:t>
      </w:r>
    </w:p>
    <w:p>
      <w:pPr>
        <w:spacing w:after="0" w:line="362"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conduct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and restricted cash as of June 30, 2017 will enable us to fund our operating expenses and capital expenditure requirements into 2019. We have based this estimate on assumptions that may prove to be wrong, and we could use our capital resources sooner than we currently expect. Our future capital requirements will depend on many factors, including:</w:t>
      </w:r>
    </w:p>
    <w:p>
      <w:pPr>
        <w:spacing w:after="0" w:line="364" w:lineRule="exact"/>
        <w:rPr>
          <w:sz w:val="20"/>
          <w:szCs w:val="20"/>
          <w:color w:val="auto"/>
        </w:rPr>
      </w:pPr>
    </w:p>
    <w:p>
      <w:pPr>
        <w:ind w:left="240" w:hanging="232"/>
        <w:spacing w:after="0" w:line="207" w:lineRule="exact"/>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ectPr>
          <w:pgSz w:w="11900" w:h="16838" w:orient="portrait"/>
          <w:cols w:equalWidth="0" w:num="1">
            <w:col w:w="11380"/>
          </w:cols>
          <w:pgMar w:left="240" w:top="121" w:right="279" w:bottom="33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21" w:right="279" w:bottom="333"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line="235" w:lineRule="exact"/>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39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34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3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from research and development activities in collaboration with Sanofi represented a significant portion of our revenues and the loss of these revenues may adversely affect our business and our liquidity.</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Revenues from research and development activities under the Sanofi Agreement were a significant source of revenues in 2016. In November 2016, we received written notice from Sanofi that Sanofi had elected to terminate in its entirety the Sanofi Agreement. The termination of the Sanofi Agreement was effective on May 8, 2017, which was six months from the date of the notice. The loss of revenue derived from research and development activities under the Sanofi Agreement may adversely affect our business and our liquidity. In addition, Sanofi's termination of this agreement could adversely affect our reputation.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45"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our product candidate utilizing LMB-100 which is co-administered with SVP-Rapamycin, SELA-070 and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product candidates are still in preclinical development. While we have completed our Phase 1 clinical trial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we have not yet completed any other clinical trials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any other product candidates. We initiated our Phase 2 clinical trial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and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0" w:lineRule="exact"/>
        <w:rPr>
          <w:sz w:val="20"/>
          <w:szCs w:val="20"/>
          <w:color w:val="auto"/>
        </w:rPr>
      </w:pPr>
    </w:p>
    <w:p>
      <w:pPr>
        <w:spacing w:after="0" w:line="21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3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a $12.0 million credit facility with Oxford Finance LLC, or Oxford, and Pacific Western Bank, as successor in interest to Square 1 Bank, that is secured by a lien covering substantially all of our personal property, excluding intellectual property. As of June 30, 2017, the outstanding principal balance under the credit facility was $10.2 million. The credit facility contains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121" w:right="2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affirmative and negative covenants and events of default applicable to us and our subsidiaries. The affirmative covenants include, among others,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requiring us (and us to cause our subsidiaries) to maintain our legal existence and governmental approvals, deliver certain financial reports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notifications, maintain proper books of record and account, timely file and pay tax returns, maintain inventory and insurance coverage, maintain unrestricted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a control account equal to or greater than the lesser of 105% of all outstanding amounts under the credit facility and 100% of the cash and cash</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equivalents of our company and our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Selecta Biosciences Security Corporation, and protect material intellectual property.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covenants include, among others, restrictions on us and our subsidiaries from transferring collateral, changing businesses, dissolving, liquidating,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mergers or acquisitions, adding new offices or locations, making certain organizational changes, incurring additional indebtedness, encumbering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paying cash dividends or making other distributions, making investments, selling assets, undergoing a change in control, engaging in certain</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ordinary course material transactions with affiliates, and making certain payments or transfers to our subsidiary Selecta (RUS) LLC, or Selecta RUS,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subject to certain exceptions. If we default under the credit facility, Oxford, as collateral agent for the lenders, may accelerate all of our repayment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 take control of our pledged assets, potentially requiring us to renegotiate our agreement on terms less favorable to us or to immediately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Further, if we are liquidated, the lenders’ right to repayment would be senior to the rights of the holders of our common stock to receive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liquidation. The lenders could declare a default upon the occurrence of any event that they interpret as a material adverse effect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facility, thereby requiring us to repay the loan immediately or to attempt to reverse the declaration of default through negotiation or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declaration by the lenders of an event of default could significantly harm our business and prospects and could cause the price of our common stock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2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$1.9 million of total cash in Russian banks as of June 30, 2017, including $1.8 million of cash and cash equivalents and $0.1 million of restricted cash.</w:t>
      </w:r>
    </w:p>
    <w:p>
      <w:pPr>
        <w:spacing w:after="0" w:line="3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3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We have net operating loss carryforwards, or NOLs, for federal and state income tax purposes which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NOLs to offset future taxable income. If the U.S. Internal Revenue Service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00" w:lineRule="exact"/>
        <w:rPr>
          <w:sz w:val="20"/>
          <w:szCs w:val="20"/>
          <w:color w:val="auto"/>
        </w:rPr>
      </w:pPr>
    </w:p>
    <w:p>
      <w:pPr>
        <w:spacing w:after="0" w:line="24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346"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8"/>
          <w:szCs w:val="18"/>
          <w:color w:val="auto"/>
        </w:rPr>
        <w:t>We are primarily using our SVP technology to improve and enable biologics that treat rare and serious diseases, with an initial focus on developing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severe gout. While we believe our preclinical and clinical data to date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121"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 or --establishing such capabilities ourselves;</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and the medical community;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government payors, for our products, if approved;</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200" w:lineRule="exact"/>
        <w:rPr>
          <w:sz w:val="20"/>
          <w:szCs w:val="20"/>
          <w:color w:val="auto"/>
        </w:rPr>
      </w:pPr>
    </w:p>
    <w:p>
      <w:pPr>
        <w:spacing w:after="0" w:line="24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349"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specific immune tolerance to biologic drugs or stimulate the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-223520</wp:posOffset>
            </wp:positionV>
            <wp:extent cx="6413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67"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All of our product candidates are derived from our SVP technology, which is an unproven approach to inducing antigen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tolerance or stimulating the immune system. In addition,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uses pegsiticase, a biologic, which we source primarily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386" w:lineRule="exact"/>
        <w:rPr>
          <w:sz w:val="20"/>
          <w:szCs w:val="20"/>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As a result, we cannot be certain that our approach, or our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will lead to the development or approval of marketable products. In addition:</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unproven nature of our SVP therapeutics, they may have different efficacy and safety rates in various indications;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line="222" w:lineRule="exact"/>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regulatory review process, increase our expected development costs or delay or prevent commercialization of our product candidates; and</w:t>
      </w:r>
    </w:p>
    <w:p>
      <w:pPr>
        <w:spacing w:after="0" w:line="386" w:lineRule="exact"/>
        <w:rPr>
          <w:rFonts w:ascii="Times New Roman" w:cs="Times New Roman" w:eastAsia="Times New Roman" w:hAnsi="Times New Roman"/>
          <w:sz w:val="18"/>
          <w:szCs w:val="18"/>
          <w:color w:val="auto"/>
        </w:rPr>
      </w:pPr>
    </w:p>
    <w:p>
      <w:pPr>
        <w:ind w:left="340" w:right="60" w:hanging="332"/>
        <w:spacing w:after="0" w:line="232" w:lineRule="exact"/>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biologics license application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another product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foregoing, would effectively prevent or delay approval of our lead and other product candidates.</w:t>
      </w:r>
    </w:p>
    <w:p>
      <w:pPr>
        <w:sectPr>
          <w:pgSz w:w="11900" w:h="16838" w:orient="portrait"/>
          <w:cols w:equalWidth="0" w:num="1">
            <w:col w:w="11380"/>
          </w:cols>
          <w:pgMar w:left="240" w:top="121" w:right="279" w:bottom="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019"/>
          </w:cols>
          <w:pgMar w:left="1440" w:top="45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applying our SVP technology to antigen-specific immune tolerance for gene therapy involving gene augmentation, replacement or editing. So far no gene therapy product has been approved for a genetic disease in the United States and only two such products have been approved in the European Union.</w:t>
      </w:r>
    </w:p>
    <w:p>
      <w:pPr>
        <w:spacing w:after="0" w:line="39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3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requirements of the FDA, the European Medicines Agency, or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and clinical trial requirements for novel product candidates can be more expensive and take longer than for other, better known or more extensively studied product candidates.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or (“NIH Guidelines”). 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Specifically, under the modified NIH Guidelines, RAC review of the protocol will be required only in exceptional cases where (a) an oversight body such as an Institutional Biosafety Committee, or IBC, which provides local review and oversight of research utilizing recombinant or synthetic nucleic acid molecules, or an IRB determines that the protocol would significantly benefit from RAC review, and (b) the protocol (i) uses a new vector, genetic material, or delivery methodology that represents a first-in-human experience and thus presents an unknown risk, and/or (ii) relies on preclinical safety data that were obtained using a new preclinical model system of unknown and unconfirmed value, and/or (iii) involves a proposed vector, gene construct, or method of delivery associated with possible toxicities that are not widely known and that may render it difficult for oversight bodies to evaluate the protocol rigorously.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the study is not subject to in-depth, public RAC review. In addition, clinical trials involving a gene therapy product candidate must be authorized by an applicable IRB and an IBC, which provides oversight of recombinant DNA research.</w:t>
      </w:r>
    </w:p>
    <w:p>
      <w:pPr>
        <w:spacing w:after="0" w:line="3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2012, the European Medicines Agency approved a gene therapy product called Glybera, which is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We cannot predict how long it will take or how much it will cost to obtain regulatory approvals for a gene therapy product candidate in either the United States or the European Union or how long it will take to commercialize a gene therapy product candidate.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200" w:lineRule="exact"/>
        <w:rPr>
          <w:sz w:val="20"/>
          <w:szCs w:val="20"/>
          <w:color w:val="auto"/>
        </w:rPr>
      </w:pPr>
    </w:p>
    <w:p>
      <w:pPr>
        <w:spacing w:after="0" w:line="20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we advance any gene therapy product candidate,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21"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Delay or failure to obtain, or unexpected costs in obtaining, the regulatory approval necessary to bring a potential product to market would materially and adversely affect our business, financial condition, results of operations and prospects.</w:t>
      </w:r>
    </w:p>
    <w:p>
      <w:pPr>
        <w:spacing w:after="0" w:line="39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3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200" w:lineRule="exact"/>
        <w:rPr>
          <w:sz w:val="20"/>
          <w:szCs w:val="20"/>
          <w:color w:val="auto"/>
        </w:rPr>
      </w:pPr>
    </w:p>
    <w:p>
      <w:pPr>
        <w:spacing w:after="0" w:line="21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lead product candidate, SEL-212, is currently being evaluated in a Phase 2 clinical program that we initiated in October 2016 and we expect it to conclude by the end of 2017. In April 2017, we also in-licensed LMB-100, a next-generation immunotoxin that is currently in a Phase 1 clinical program at the Center for Cancer Research at the NCI, for pancreatic cancer, mesothelioma and other cancers. For this product candidate, we plan to co-administer LMB-100 with SVP-Rapamycin.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200" w:lineRule="exact"/>
        <w:rPr>
          <w:sz w:val="20"/>
          <w:szCs w:val="20"/>
          <w:color w:val="auto"/>
        </w:rPr>
      </w:pPr>
    </w:p>
    <w:p>
      <w:pPr>
        <w:spacing w:after="0" w:line="2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200" w:lineRule="exact"/>
        <w:rPr>
          <w:sz w:val="20"/>
          <w:szCs w:val="20"/>
          <w:color w:val="auto"/>
        </w:rPr>
      </w:pP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3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37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incomplete or inconclusive results;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3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CROs, or clinical trial sites;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3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required for clinical trials of our product candidates may be larger than we expect;</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meet their contractual obligations to us in a timely manner, or at all;</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377"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expect;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3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expect;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37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3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39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the support of collaborators, requiring us to bear more of the burden of research and development;</w:t>
      </w:r>
    </w:p>
    <w:p>
      <w:pPr>
        <w:sectPr>
          <w:pgSz w:w="11900" w:h="16838" w:orient="portrait"/>
          <w:cols w:equalWidth="0" w:num="1">
            <w:col w:w="11420"/>
          </w:cols>
          <w:pgMar w:left="240" w:top="121" w:right="239" w:bottom="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36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 or</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3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367"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We are initially developing our lead product candidate,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refractory gout, which affects approximately 50,000 patients in the United States. Accordingly, there is a limited number of patients who could enroll in our clinical studies.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size of the patient population, patient enrollment is also affected by other factors including:</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facilitate timely enrollment in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engagement with, or enthusiasm about, the trial;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participating in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ectPr>
          <w:pgSz w:w="11900" w:h="16838" w:orient="portrait"/>
          <w:cols w:equalWidth="0" w:num="1">
            <w:col w:w="11400"/>
          </w:cols>
          <w:pgMar w:left="240" w:top="121" w:right="259" w:bottom="0" w:gutter="0" w:footer="0" w:header="0"/>
          <w:type w:val="continuous"/>
        </w:sectPr>
      </w:pPr>
    </w:p>
    <w:bookmarkStart w:id="55" w:name="page56"/>
    <w:bookmarkEnd w:id="55"/>
    <w:p>
      <w:pPr>
        <w:ind w:left="5612" w:right="4419" w:hanging="5612"/>
        <w:spacing w:after="0" w:line="81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52</w:t>
      </w:r>
    </w:p>
    <w:p>
      <w:pPr>
        <w:sectPr>
          <w:pgSz w:w="11900" w:h="16838" w:orient="portrait"/>
          <w:cols w:equalWidth="0" w:num="1">
            <w:col w:w="10211"/>
          </w:cols>
          <w:pgMar w:left="248" w:top="43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3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3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200" w:lineRule="exact"/>
        <w:rPr>
          <w:sz w:val="20"/>
          <w:szCs w:val="20"/>
          <w:color w:val="auto"/>
        </w:rPr>
      </w:pPr>
    </w:p>
    <w:p>
      <w:pPr>
        <w:spacing w:after="0" w:line="20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commitments that render the approved product not commercially viable.</w:t>
      </w:r>
    </w:p>
    <w:p>
      <w:pPr>
        <w:spacing w:after="0" w:line="392"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Although the FDA and other regulatory authorities have approved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in the past, they are monitoring whether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that could adversely affect our product candidates.</w:t>
      </w:r>
    </w:p>
    <w:p>
      <w:pPr>
        <w:spacing w:after="0" w:line="200" w:lineRule="exact"/>
        <w:rPr>
          <w:sz w:val="20"/>
          <w:szCs w:val="20"/>
          <w:color w:val="auto"/>
        </w:rPr>
      </w:pP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37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3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400"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21" w:right="2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Pharma plc, may seek orphan drug status for the same biologic or drug for the same indication as our product candidates. In this regard, Krystexxa® (pegloticase) previously obtained orphan drug status for chronic refractory gout, although the exclusivity period has lapsed. However, Krystexxa could in the future obtain orphan drug status for chronic tophaceous gout, an indication we plan to pursue.</w:t>
      </w:r>
    </w:p>
    <w:p>
      <w:pPr>
        <w:spacing w:after="0" w:line="3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3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375"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0" w:lineRule="exact"/>
        <w:rPr>
          <w:sz w:val="20"/>
          <w:szCs w:val="20"/>
          <w:color w:val="auto"/>
        </w:rPr>
      </w:pP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39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3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37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21" w:right="2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 become subject to fines, injunctions or the imposition of civil or criminal penalties;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78" w:lineRule="exact"/>
        <w:rPr>
          <w:sz w:val="20"/>
          <w:szCs w:val="20"/>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any of which would harm our business.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3SBio in China as our primary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368" w:lineRule="exact"/>
        <w:rPr>
          <w:sz w:val="20"/>
          <w:szCs w:val="20"/>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We obtain the biologic pegsiticase, a component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primarily from 3SBio in China. Under our license agreement with 3SBio, we are not permitted to manufacture pegsiticase and, while we have entered into a contract with a back-up supplier located outside of China, we expect to continue to rely on 3SBio as the primary supplier of pegsiticase for the foreseeable future. .</w:t>
      </w:r>
    </w:p>
    <w:p>
      <w:pPr>
        <w:spacing w:after="0" w:line="200" w:lineRule="exact"/>
        <w:rPr>
          <w:sz w:val="20"/>
          <w:szCs w:val="20"/>
          <w:color w:val="auto"/>
        </w:rPr>
      </w:pPr>
    </w:p>
    <w:p>
      <w:pPr>
        <w:spacing w:after="0" w:line="216"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51" w:lineRule="exact"/>
        <w:rPr>
          <w:sz w:val="20"/>
          <w:szCs w:val="20"/>
          <w:color w:val="auto"/>
        </w:rPr>
      </w:pPr>
    </w:p>
    <w:p>
      <w:pPr>
        <w:ind w:right="140"/>
        <w:spacing w:after="0" w:line="250" w:lineRule="exact"/>
        <w:rPr>
          <w:sz w:val="20"/>
          <w:szCs w:val="20"/>
          <w:color w:val="auto"/>
        </w:rPr>
      </w:pPr>
      <w:r>
        <w:rPr>
          <w:rFonts w:ascii="Times New Roman" w:cs="Times New Roman" w:eastAsia="Times New Roman" w:hAnsi="Times New Roman"/>
          <w:sz w:val="18"/>
          <w:szCs w:val="18"/>
          <w:color w:val="auto"/>
        </w:rPr>
        <w:t>We may be unable to establish any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entails additional risks, including the:</w:t>
      </w:r>
    </w:p>
    <w:p>
      <w:pPr>
        <w:spacing w:after="0" w:line="150" w:lineRule="exact"/>
        <w:rPr>
          <w:sz w:val="20"/>
          <w:szCs w:val="20"/>
          <w:color w:val="auto"/>
        </w:rPr>
      </w:pPr>
    </w:p>
    <w:p>
      <w:pPr>
        <w:ind w:left="340" w:right="440" w:hanging="332"/>
        <w:spacing w:after="0" w:line="239"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regulatory requirements, maintain quality assurance, meet our needs, specifications or schedules or continue to supply products to us;</w:t>
      </w:r>
    </w:p>
    <w:p>
      <w:pPr>
        <w:sectPr>
          <w:pgSz w:w="11900" w:h="16838" w:orient="portrait"/>
          <w:cols w:equalWidth="0" w:num="1">
            <w:col w:w="11400"/>
          </w:cols>
          <w:pgMar w:left="240" w:top="121"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21" w:right="2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right="700" w:hanging="332"/>
        <w:spacing w:after="0" w:line="239"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7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manufacturing agreements by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253" w:lineRule="exact"/>
        <w:rPr>
          <w:rFonts w:ascii="Times New Roman" w:cs="Times New Roman" w:eastAsia="Times New Roman" w:hAnsi="Times New Roman"/>
          <w:sz w:val="18"/>
          <w:szCs w:val="18"/>
          <w:color w:val="auto"/>
        </w:rPr>
      </w:pPr>
    </w:p>
    <w:p>
      <w:pPr>
        <w:jc w:val="both"/>
        <w:ind w:left="340" w:right="100" w:hanging="332"/>
        <w:spacing w:after="0" w:line="229"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w:t>
      </w:r>
    </w:p>
    <w:p>
      <w:pPr>
        <w:spacing w:after="0" w:line="15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at times that are costly or inconvenient for us.</w:t>
      </w:r>
    </w:p>
    <w:p>
      <w:pPr>
        <w:spacing w:after="0" w:line="225" w:lineRule="exact"/>
        <w:rPr>
          <w:sz w:val="20"/>
          <w:szCs w:val="20"/>
          <w:color w:val="auto"/>
        </w:rPr>
      </w:pPr>
    </w:p>
    <w:p>
      <w:pPr>
        <w:ind w:right="80"/>
        <w:spacing w:after="0" w:line="221"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are is unable to comply with cGMP regulations or if the FDA does not approve their facilities upon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4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80"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right="20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340" w:right="40" w:hanging="332"/>
        <w:spacing w:after="0" w:line="229" w:lineRule="exact"/>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expensive;</w:t>
      </w:r>
    </w:p>
    <w:p>
      <w:pPr>
        <w:spacing w:after="0" w:line="178"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would potentially lose the right to pursue further development 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technology and use this knowledge to compete with us in the future;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conflicts between different collaborators that could negatively affect those collaborations and potentially others;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future collaborators or acquirers; and</w:t>
      </w:r>
    </w:p>
    <w:p>
      <w:pPr>
        <w:spacing w:after="0" w:line="22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which was effective on May 8, 2017, and as a result we will not receive any future payments related in the Sanofi Agreement. In addition, in June 2017 we notified Spark that our license agreement with Spark would automatically terminate because Spark had not made a required license payment by May 31, 2017, unless the payment was made within five days. While we subsequently entered into a letter agreement with Spark, pursuant to which the parties agreed that Spark would make the license payment by June 6, 2017 and we revoked our notice of termination, there can be no assurance that our license agreement with Spark will not be terminated in the future.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report also apply to the activities of our therapeutic program collaborators and there can be no assurance that our collaborations will produce positive results or successful products on a timely basis or at all.</w:t>
      </w:r>
    </w:p>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39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59" w:lineRule="exact"/>
        <w:rPr>
          <w:sz w:val="20"/>
          <w:szCs w:val="20"/>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 including our Phase 2 clinical trial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179"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388"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46"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We have a pilot manufacturing facility at our Watertown, Massachusetts location where we conduct process development,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to replace our manufacturing capabilities. In such event, we would be forced to identify and rely entirely on alternative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60"/>
        <w:spacing w:after="0" w:line="224" w:lineRule="exact"/>
        <w:rPr>
          <w:sz w:val="20"/>
          <w:szCs w:val="20"/>
          <w:color w:val="auto"/>
        </w:rPr>
      </w:pPr>
      <w:r>
        <w:rPr>
          <w:rFonts w:ascii="Times New Roman" w:cs="Times New Roman" w:eastAsia="Times New Roman" w:hAnsi="Times New Roman"/>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or commercial use.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LEGAL COMPLIANCE MATTERS</w:t>
      </w:r>
    </w:p>
    <w:p>
      <w:pPr>
        <w:spacing w:after="0" w:line="225" w:lineRule="exact"/>
        <w:rPr>
          <w:sz w:val="20"/>
          <w:szCs w:val="20"/>
          <w:color w:val="auto"/>
        </w:rPr>
      </w:pPr>
    </w:p>
    <w:p>
      <w:pPr>
        <w:ind w:right="66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 necessary for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-99695</wp:posOffset>
            </wp:positionV>
            <wp:extent cx="6413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9"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adequate reimbursement for our product candidates;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candidates with other medicines patients are taking;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awareness with patients and physicians about the harmful effects of uric acid deposits;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any approved product candidates as well as competitive products and other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certain types of patients to take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remain attractive in the event of changing treatment guidelines;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350"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47"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225"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governmental agencies for our product candidates.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may fail to offer material commercial advantages over other treatments.</w:t>
      </w:r>
    </w:p>
    <w:p>
      <w:pPr>
        <w:spacing w:after="0" w:line="229"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severe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0" w:lineRule="exact"/>
        <w:rPr>
          <w:sz w:val="20"/>
          <w:szCs w:val="20"/>
          <w:color w:val="auto"/>
        </w:rPr>
      </w:pPr>
    </w:p>
    <w:p>
      <w:pPr>
        <w:spacing w:after="0" w:line="2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121"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property rights, they will be protected from competition for the life of the applicable patents. However,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or biosimilar products.</w:t>
      </w:r>
    </w:p>
    <w:p>
      <w:pPr>
        <w:spacing w:after="0" w:line="170"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coverage or reimbursement policies, any of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-223520</wp:posOffset>
            </wp:positionV>
            <wp:extent cx="6413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pay for and establish reimbursement levels.</w:t>
      </w:r>
    </w:p>
    <w:p>
      <w:pPr>
        <w:spacing w:after="0" w:line="173"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The process for determining whether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Even if we do obtain adequate levels of reimbursement,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medications. Increasingly,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1"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or that coverage or an adequate level of reimbursement will be available.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6"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clinical trial participants or increased difficulty in enrolling future participants;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or to reach a settlement;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approved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Although we do not have any current plans to market and sell our products in other jurisdictions outside of the United States, we may decide to do so in the future and either we or our collaborators would need to obtain separate marketing approvals and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240" w:top="1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398"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may be subject to applicable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-361315</wp:posOffset>
            </wp:positionV>
            <wp:extent cx="6413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-361315</wp:posOffset>
            </wp:positionV>
            <wp:extent cx="6413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49"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Healthcare providers, customers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will play a primary role in the recommendation and prescription of any product candidates for which we may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1" w:lineRule="exact"/>
        <w:rPr>
          <w:sz w:val="20"/>
          <w:szCs w:val="20"/>
          <w:color w:val="auto"/>
        </w:rPr>
      </w:pPr>
    </w:p>
    <w:p>
      <w:pPr>
        <w:ind w:left="340" w:right="120" w:hanging="332"/>
        <w:spacing w:after="0" w:line="227" w:lineRule="exact"/>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constitutes a false or fraudulent claim for purposes of the False Claims Act);</w:t>
      </w:r>
    </w:p>
    <w:p>
      <w:pPr>
        <w:spacing w:after="0" w:line="180" w:lineRule="exact"/>
        <w:rPr>
          <w:rFonts w:ascii="Times New Roman" w:cs="Times New Roman" w:eastAsia="Times New Roman" w:hAnsi="Times New Roman"/>
          <w:sz w:val="18"/>
          <w:szCs w:val="18"/>
          <w:color w:val="auto"/>
        </w:rPr>
      </w:pPr>
    </w:p>
    <w:p>
      <w:pPr>
        <w:ind w:left="340" w:right="140" w:hanging="332"/>
        <w:spacing w:after="0" w:line="289"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58" w:lineRule="exact"/>
        <w:rPr>
          <w:rFonts w:ascii="Times New Roman" w:cs="Times New Roman" w:eastAsia="Times New Roman" w:hAnsi="Times New Roman"/>
          <w:sz w:val="17"/>
          <w:szCs w:val="17"/>
          <w:color w:val="auto"/>
        </w:rPr>
      </w:pPr>
    </w:p>
    <w:p>
      <w:pPr>
        <w:ind w:left="340" w:right="80" w:hanging="332"/>
        <w:spacing w:after="0" w:line="220" w:lineRule="exact"/>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a person or entity does not need to have actual knowledge of the statute or specific intent to violate it to have committed a violation;</w:t>
      </w:r>
    </w:p>
    <w:p>
      <w:pPr>
        <w:spacing w:after="0" w:line="200"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6"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55" w:lineRule="exact"/>
        <w:rPr>
          <w:rFonts w:ascii="Times New Roman" w:cs="Times New Roman" w:eastAsia="Times New Roman" w:hAnsi="Times New Roman"/>
          <w:sz w:val="18"/>
          <w:szCs w:val="18"/>
          <w:color w:val="auto"/>
        </w:rPr>
      </w:pPr>
    </w:p>
    <w:p>
      <w:pPr>
        <w:ind w:left="340" w:right="80" w:hanging="332"/>
        <w:spacing w:after="0" w:line="250" w:lineRule="exact"/>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21"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line="305" w:lineRule="auto"/>
        <w:rPr>
          <w:sz w:val="20"/>
          <w:szCs w:val="20"/>
          <w:color w:val="auto"/>
        </w:rPr>
      </w:pPr>
      <w:r>
        <w:rPr>
          <w:rFonts w:ascii="Times New Roman" w:cs="Times New Roman" w:eastAsia="Times New Roman" w:hAnsi="Times New Roman"/>
          <w:sz w:val="18"/>
          <w:szCs w:val="18"/>
          <w:color w:val="auto"/>
        </w:rPr>
        <w:t>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pricing information; and state and foreign laws governing the privacy and security of health information in some circumstances, many of which differ from each other in significant ways and often are not preempted by HIPAA, thus complicating compliance efforts.</w:t>
      </w:r>
    </w:p>
    <w:p>
      <w:pPr>
        <w:spacing w:after="0" w:line="1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200" w:lineRule="exact"/>
        <w:rPr>
          <w:sz w:val="20"/>
          <w:szCs w:val="20"/>
          <w:color w:val="auto"/>
        </w:rPr>
      </w:pPr>
    </w:p>
    <w:p>
      <w:pPr>
        <w:spacing w:after="0" w:line="20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120"/>
        <w:spacing w:after="0" w:line="222"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to profitably sell any product candidates for which we obtain marketing approval.</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in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133" w:lineRule="exact"/>
        <w:rPr>
          <w:rFonts w:ascii="Times New Roman" w:cs="Times New Roman" w:eastAsia="Times New Roman" w:hAnsi="Times New Roman"/>
          <w:sz w:val="18"/>
          <w:szCs w:val="18"/>
          <w:color w:val="auto"/>
        </w:rPr>
      </w:pPr>
    </w:p>
    <w:p>
      <w:pPr>
        <w:ind w:left="340" w:right="100" w:hanging="332"/>
        <w:spacing w:after="0" w:line="232" w:lineRule="exact"/>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discounts off negotiated prices of applicable brand drugs to eligible beneficiaries under their coverage gap period, as a condition for the manufacturer’s outpatient drugs to be covered under Medicare Part D;</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hanging="332"/>
        <w:spacing w:after="0" w:line="239" w:lineRule="exact"/>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As a result, there have been delays in the implementation of, and action taken to repeal or replace, certain aspects of the ACA. We expect that the new presidential administration and U.S. Congress will continue to seek to modify, repeal, or otherwise invalidate all, or certain provisions of, the ACA. There is uncertainty with respect to the impact the current presidential administration and the U.S. Congress may have, if any, and any changes, which could have an impact on coverage and reimbursement for healthcare items and services covered by plans that were authorized by the ACA, will likely take time to unfold. We cannot predict the ultimate content, timing or effect of any healthcare reform legislation or the impact of potential legislation on us.</w:t>
      </w:r>
    </w:p>
    <w:p>
      <w:pPr>
        <w:spacing w:after="0" w:line="200" w:lineRule="exact"/>
        <w:rPr>
          <w:sz w:val="20"/>
          <w:szCs w:val="20"/>
          <w:color w:val="auto"/>
        </w:rPr>
      </w:pPr>
    </w:p>
    <w:p>
      <w:pPr>
        <w:spacing w:after="0" w:line="2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become increasingly aggressive in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62" w:lineRule="exact"/>
        <w:rPr>
          <w:sz w:val="20"/>
          <w:szCs w:val="20"/>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Legislative and regulatory proposals have been made to expand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other requirements.</w:t>
      </w:r>
    </w:p>
    <w:p>
      <w:pPr>
        <w:spacing w:after="0" w:line="366"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-360045</wp:posOffset>
            </wp:positionV>
            <wp:extent cx="6413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1"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21" w:right="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55"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The FDA may also impose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and surveillance to monitor the safety or efficacy of our approved products. The FDA closely regulates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and if we market our products outside of their approved indications, we may be subject to enforcement action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8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21"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If these executive actions impose constraints on FDA’s ability to engage in oversight and implementation activities in the normal course, our business may be negatively impacted.</w:t>
      </w:r>
    </w:p>
    <w:p>
      <w:pPr>
        <w:spacing w:after="0" w:line="375"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corruption laws, and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-360045</wp:posOffset>
            </wp:positionV>
            <wp:extent cx="6413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-360045</wp:posOffset>
            </wp:positionV>
            <wp:extent cx="6413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80"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in the countries in which we conduct activities.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20"/>
          </w:cols>
          <w:pgMar w:left="24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countries, can further reduce prices.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which is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51" w:lineRule="exact"/>
        <w:rPr>
          <w:sz w:val="20"/>
          <w:szCs w:val="20"/>
          <w:color w:val="auto"/>
        </w:rPr>
      </w:pPr>
    </w:p>
    <w:p>
      <w:pPr>
        <w:jc w:val="both"/>
        <w:ind w:right="160"/>
        <w:spacing w:after="0" w:line="232" w:lineRule="exact"/>
        <w:rPr>
          <w:sz w:val="20"/>
          <w:szCs w:val="20"/>
          <w:color w:val="auto"/>
        </w:rPr>
      </w:pPr>
      <w:r>
        <w:rPr>
          <w:rFonts w:ascii="Times New Roman" w:cs="Times New Roman" w:eastAsia="Times New Roman" w:hAnsi="Times New Roman"/>
          <w:sz w:val="18"/>
          <w:szCs w:val="18"/>
          <w:color w:val="auto"/>
        </w:rPr>
        <w:t>The patent prosecution process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Any of these outcomes could impair our ability to prevent competition from third parties, which may have an adverse impact on our business.</w:t>
      </w:r>
    </w:p>
    <w:p>
      <w:pPr>
        <w:spacing w:after="0" w:line="1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84"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product. These and other factors may provide opportunities for our competitors to design around our patents, should they issue.</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57"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We may be subject to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or technology that is not covered by our patents. Although our agreements require all of our employees to assign their inventions to us, and we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require all of our employees, consultants, advisors and any other third parties who have access to our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 and technology to enter into appropriate confidentiality agreements, we cannot be certain that our trade secrets, proprietary</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confidential information and technology will not be subject to unauthorized disclosure or that our competitors will not otherwise gain</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access to or independently develop substantially equivalent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information and technology. Furthermore, the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some foreign countries do not protect proprietary rights to the same extent or in the same manner as the laws of the United States As a result, we may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encounter significant problems in protecting and defending our intellectual property globally. If we are unable to prevent unauthorized disclosure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related to our product candidates and technology to third parties, we may not be able to establish or maintain a competitive advantage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which could adversely affect our business and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prevent all potential threats to competitive advantages we may have.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examples are illustrative:</w:t>
      </w:r>
    </w:p>
    <w:p>
      <w:pPr>
        <w:spacing w:after="0" w:line="225"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collaborators might not have been the first to make the inventions covered by the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225"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licensed may not cover our products or may be held not infringed, invalid or unenforceable, as a result of legal challenges by our competitors;</w:t>
      </w:r>
    </w:p>
    <w:p>
      <w:pPr>
        <w:spacing w:after="0" w:line="133" w:lineRule="exact"/>
        <w:rPr>
          <w:rFonts w:ascii="Times New Roman" w:cs="Times New Roman" w:eastAsia="Times New Roman" w:hAnsi="Times New Roman"/>
          <w:sz w:val="18"/>
          <w:szCs w:val="18"/>
          <w:color w:val="auto"/>
        </w:rPr>
      </w:pPr>
    </w:p>
    <w:p>
      <w:pPr>
        <w:ind w:left="340" w:right="200" w:hanging="332"/>
        <w:spacing w:after="0" w:line="239" w:lineRule="exact"/>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granted patents that we own or have licensed, especially patents that we either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if certain information was withheld from or misrepresented to the patent examiner, such patents might be held to be unenforceable;</w:t>
      </w:r>
    </w:p>
    <w:p>
      <w:pPr>
        <w:spacing w:after="0" w:line="19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 candidates;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340" w:right="540" w:hanging="332"/>
        <w:spacing w:after="0" w:line="239" w:lineRule="exact"/>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for certain technologies, trade secrets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a third party may subsequently file a patent covering such intellectual property.</w:t>
      </w:r>
    </w:p>
    <w:p>
      <w:pPr>
        <w:spacing w:after="0" w:line="1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ind w:right="460"/>
        <w:spacing w:after="0" w:line="229" w:lineRule="exact"/>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how, our business and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-51435</wp:posOffset>
            </wp:positionV>
            <wp:extent cx="6413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technology and other proprietary information, to maintain our competitive position. We seek to protect these trade secrets, in part, by entering into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was signed into law.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many of the substantive changes to patent law associated with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This introduces additional complexities into the prosecution and management of our portfolio.</w:t>
      </w:r>
    </w:p>
    <w:p>
      <w:pPr>
        <w:spacing w:after="0" w:line="151"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In addition,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0"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64" w:lineRule="exact"/>
        <w:rPr>
          <w:sz w:val="20"/>
          <w:szCs w:val="20"/>
          <w:color w:val="auto"/>
        </w:rPr>
      </w:pPr>
    </w:p>
    <w:p>
      <w:pPr>
        <w:ind w:right="50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consuming and ultimately unsuccessful.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-223520</wp:posOffset>
            </wp:positionV>
            <wp:extent cx="6413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7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2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140"/>
        <w:spacing w:after="0" w:line="229" w:lineRule="exact"/>
        <w:rPr>
          <w:sz w:val="20"/>
          <w:szCs w:val="20"/>
          <w:color w:val="auto"/>
        </w:rPr>
      </w:pPr>
      <w:r>
        <w:rPr>
          <w:rFonts w:ascii="Times New Roman" w:cs="Times New Roman" w:eastAsia="Times New Roman" w:hAnsi="Times New Roman"/>
          <w:sz w:val="18"/>
          <w:szCs w:val="18"/>
          <w:color w:val="auto"/>
        </w:rPr>
        <w:t>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w:t>
      </w:r>
    </w:p>
    <w:p>
      <w:pPr>
        <w:spacing w:after="0" w:line="179"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right="300" w:hanging="332"/>
        <w:spacing w:after="0" w:line="235" w:lineRule="exact"/>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w:t>
      </w:r>
    </w:p>
    <w:p>
      <w:pPr>
        <w:spacing w:after="0" w:line="1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harm our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229"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infringement or unauthorized use. This can be expensive, particularly for a company of our size,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enablement, or failure to claim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examination,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0" w:lineRule="exact"/>
        <w:rPr>
          <w:sz w:val="20"/>
          <w:szCs w:val="20"/>
          <w:color w:val="auto"/>
        </w:rPr>
      </w:pPr>
    </w:p>
    <w:p>
      <w:pPr>
        <w:spacing w:after="0" w:line="222" w:lineRule="exact"/>
        <w:rPr>
          <w:sz w:val="20"/>
          <w:szCs w:val="20"/>
          <w:color w:val="auto"/>
        </w:rPr>
      </w:pPr>
    </w:p>
    <w:p>
      <w:pPr>
        <w:jc w:val="both"/>
        <w:ind w:right="7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fees and failure to properly legalize and submit formal documents. In such an event, our competitors might be able to enter the market, which would have an adverse effect on our business.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121"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3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use these proprietary rights. We may be unable to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compositions, methods of use, processes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from third parties that we identify as necessary for our product candidates. The licensing and acquisition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is a competitive area, and a number of more established companies are also pursuing strategies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w:t>
      </w:r>
    </w:p>
    <w:p>
      <w:pPr>
        <w:spacing w:after="0" w:line="176"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we are unable to successfully obtain rights to required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0" w:lineRule="exact"/>
        <w:rPr>
          <w:sz w:val="20"/>
          <w:szCs w:val="20"/>
          <w:color w:val="auto"/>
        </w:rPr>
      </w:pPr>
    </w:p>
    <w:p>
      <w:pPr>
        <w:spacing w:after="0" w:line="2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21" w:right="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25" w:lineRule="exact"/>
        <w:rPr>
          <w:sz w:val="20"/>
          <w:szCs w:val="20"/>
          <w:color w:val="auto"/>
        </w:rPr>
      </w:pPr>
      <w:r>
        <w:rPr>
          <w:rFonts w:ascii="Times New Roman" w:cs="Times New Roman" w:eastAsia="Times New Roman" w:hAnsi="Times New Roman"/>
          <w:sz w:val="17"/>
          <w:szCs w:val="17"/>
          <w:color w:val="auto"/>
        </w:rPr>
        <w:t>their assignment agreements may not be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3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0" w:lineRule="exact"/>
        <w:rPr>
          <w:sz w:val="20"/>
          <w:szCs w:val="20"/>
          <w:color w:val="auto"/>
        </w:rPr>
      </w:pPr>
    </w:p>
    <w:p>
      <w:pPr>
        <w:spacing w:after="0" w:line="20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names, and any failure or delay associated with such approval may adversely affect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9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4"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which is an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process with uncertain outcomes. Accordingly, we may choose not to seek patent protection in certain countries, and we will not have the benefit of patent protection in such countries.</w:t>
      </w:r>
    </w:p>
    <w:p>
      <w:pPr>
        <w:spacing w:after="0" w:line="20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364"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Waxman Act and similar foreign legislation extending the terms of our patents for our product candidates,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-223520</wp:posOffset>
            </wp:positionV>
            <wp:extent cx="6413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effect on the future commercial prospects of our product candidates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It is possible that Congress may take measures to reduce or eliminate these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98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RISKS RELATED TO EMPLOYEE MATTERS AND MANAGING GROWTH AND OTHER RISKS RELATED TO OUR BUSINESS </w:t>
      </w: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20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 Russia and internationally could adversely affect our business.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340" w:right="7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of and enforcing our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hanging="332"/>
        <w:spacing w:after="0" w:line="207" w:lineRule="exact"/>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payor reimbursement regimes, government payors or patient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systems;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225" w:lineRule="exact"/>
        <w:rPr>
          <w:rFonts w:ascii="Times New Roman" w:cs="Times New Roman" w:eastAsia="Times New Roman" w:hAnsi="Times New Roman"/>
          <w:sz w:val="18"/>
          <w:szCs w:val="18"/>
          <w:color w:val="auto"/>
        </w:rPr>
      </w:pPr>
    </w:p>
    <w:p>
      <w:pPr>
        <w:jc w:val="both"/>
        <w:ind w:left="340" w:right="10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76"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225"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risks, including use of the legal system by the government to benefit itself or affiliated entities at our expense, including expropriation of property;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35" w:lineRule="exact"/>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Sanctions relating to Russia, and Russia’s response to those sanctions, could adversely affect our business.</w:t>
      </w:r>
    </w:p>
    <w:p>
      <w:pPr>
        <w:spacing w:after="0" w:line="200" w:lineRule="exact"/>
        <w:rPr>
          <w:sz w:val="20"/>
          <w:szCs w:val="20"/>
          <w:color w:val="auto"/>
        </w:rPr>
      </w:pPr>
    </w:p>
    <w:p>
      <w:pPr>
        <w:spacing w:after="0" w:line="245"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In response to the events in Crimea and other factors, the United States and the European Union have imposed sanctions on certain individuals, companies and financial institutions in Russia and additional sanctions could be forthcoming. In response, Russia has imposed entry bans on certain U.S. lawmakers and officials, and Russia has also announced that it is prepared to take additional retaliatory action in response to further Russia-related sanctions imposed by the United States in August 2017.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21" w:right="2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6"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related to acquired companies;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or impairment charges relating to acquired businesses; and</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62" w:lineRule="exact"/>
        <w:rPr>
          <w:sz w:val="20"/>
          <w:szCs w:val="20"/>
          <w:color w:val="auto"/>
        </w:rPr>
      </w:pPr>
    </w:p>
    <w:p>
      <w:pPr>
        <w:jc w:val="both"/>
        <w:ind w:right="380"/>
        <w:spacing w:after="0" w:line="220" w:lineRule="exact"/>
        <w:rPr>
          <w:sz w:val="20"/>
          <w:szCs w:val="20"/>
          <w:color w:val="auto"/>
        </w:rPr>
      </w:pPr>
      <w:r>
        <w:rPr>
          <w:rFonts w:ascii="Times New Roman" w:cs="Times New Roman" w:eastAsia="Times New Roman" w:hAnsi="Times New Roman"/>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0" w:lineRule="exact"/>
        <w:rPr>
          <w:sz w:val="20"/>
          <w:szCs w:val="20"/>
          <w:color w:val="auto"/>
        </w:rPr>
      </w:pPr>
    </w:p>
    <w:p>
      <w:pPr>
        <w:spacing w:after="0" w:line="24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3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The stock market in general and the market for smaller biopharmaceutical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392"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termination of, or any development related to any collaboration or licensing arrangement;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225"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market expectation of additional financing efforts;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projections or development timelines of the investment community or that we provide to the public;</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additional product candidates or products;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common stock by us or our stockholders in the future as well as the overall trading volume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31% of our outstanding voting stock as of June 30, 2017.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121" w:right="2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Approximately 12.9 million shares of our common stock became eligible to be sold into the market on December 19, 2016, unless held by one of our affiliates, in which case the resale of those securities is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200" w:lineRule="exact"/>
        <w:rPr>
          <w:sz w:val="20"/>
          <w:szCs w:val="20"/>
          <w:color w:val="auto"/>
        </w:rPr>
      </w:pP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including if we become a “large accelerated filer,” our annual gross revenues exceed</w:t>
      </w:r>
    </w:p>
    <w:p>
      <w:pPr>
        <w:spacing w:after="0" w:line="2"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$1.0 billion or we issue more than $1.0 billion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in any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we will cease to be an emerging growth company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9" w:lineRule="exact"/>
        <w:rPr>
          <w:sz w:val="20"/>
          <w:szCs w:val="20"/>
          <w:color w:val="auto"/>
        </w:rPr>
      </w:pPr>
    </w:p>
    <w:p>
      <w:pPr>
        <w:ind w:left="340" w:right="60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121" w:right="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sale of any shares of our common stock at such discount. In addition, as opportunities present themselves, we may enter into financing or similar arrangements in the future, including the issuance of debt securities, preferred stock or common stock. If we issue common stock or securities exercisable for or convertible into common stock, our common stockholders would experience additional dilution and, as a result, our stock price may decline.</w:t>
      </w:r>
    </w:p>
    <w:p>
      <w:pPr>
        <w:spacing w:after="0" w:line="4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instance, we recently completed a private placement that resulted in approximately $50 million in aggregate gross proceeds. On June 26, 2017 we entered into a securities purchase agreement, or the Institutional SPA, with the purchasers named therein, or the Institutional Investors, and a securities purchase agreement, or the Springer SPA, with Timothy Springer, Ph.D., a member of our board of directors.</w:t>
      </w:r>
    </w:p>
    <w:p>
      <w:pPr>
        <w:spacing w:after="0" w:line="3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Institutional SPA, we agreed to sell an aggregate of 2,750,000 shares of our common stock to the Institutional Investors for aggregate gross proceeds of $44 million, at a purchase price equal to $16.00 per share. Pursuant to the Springer SPA, we agreed to sell to Dr. Springer an aggregate of 338,791 shares of our common stock at a purchase price equal to $17.71 per share, which was equal to the most recent consolidated closing bid price on the NASDAQ Global Market on June 23, 2017, and warrants to purchase 79,130 shares of common stock, exercisable at $17.71 per share. The closing of the Springer SPA resulted in additional aggregate gross proceeds to us of approximately $6 million for a total of $50 million. The closing of these transactions occurred on June 27, 2017.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on December 2, 2016 we entered into a stock purchase agreement, or the Spark SPA, with Spark Therapeutics, Inc., or Spark, in conjunction with a license and option agreement with Spark. Pursuant to the Spark SPA, we issued and sold 197,238 shares of our common stock to Spark for gross proceeds of $5.0 million, which purchase price per share represented a 115.0% premium to the average of the daily volume-weighted average price, or VWAP, of the common stock during the thirty consecutive calendar days ending on, and including, December 1, 2016. Spark agreed to make two additional investments of $5.0 million in our common stock, in each case at a 115.0% premium, subject to the terms and conditions of the Spark SPA. The first additional investment was consummated on June 8, 2017 when Spark purchased 324,362 shares of common stock pursuant to the Spark SPA, as amended by a letter agreement between Spark and us dated June 6, 2017, for an aggregate purchase price of $5.0 million. The second additional investment is contemplated to take place between October 1, 2017 and November 1, 2017.</w:t>
      </w:r>
    </w:p>
    <w:p>
      <w:pPr>
        <w:spacing w:after="0" w:line="39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47" w:lineRule="exact"/>
        <w:rPr>
          <w:sz w:val="20"/>
          <w:szCs w:val="20"/>
          <w:color w:val="auto"/>
        </w:rPr>
      </w:pPr>
    </w:p>
    <w:p>
      <w:pPr>
        <w:ind w:right="40"/>
        <w:spacing w:after="0" w:line="223" w:lineRule="exact"/>
        <w:rPr>
          <w:sz w:val="20"/>
          <w:szCs w:val="20"/>
          <w:color w:val="auto"/>
        </w:rPr>
      </w:pPr>
      <w:r>
        <w:rPr>
          <w:rFonts w:ascii="Times New Roman" w:cs="Times New Roman" w:eastAsia="Times New Roman" w:hAnsi="Times New Roman"/>
          <w:sz w:val="18"/>
          <w:szCs w:val="18"/>
          <w:color w:val="auto"/>
        </w:rPr>
        <w:t>Pursuant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continue to dedicate internal resources, engage outside consultants, developed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3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3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61" w:lineRule="exact"/>
        <w:rPr>
          <w:sz w:val="20"/>
          <w:szCs w:val="20"/>
          <w:color w:val="auto"/>
        </w:rPr>
      </w:pPr>
    </w:p>
    <w:p>
      <w:pPr>
        <w:ind w:left="340" w:right="280" w:hanging="332"/>
        <w:spacing w:after="0" w:line="239" w:lineRule="exact"/>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staggered terms, which may delay the ability of stockholders to change the membership of a majority of our board of directors;</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96" w:lineRule="exact"/>
        <w:rPr>
          <w:rFonts w:ascii="Times New Roman" w:cs="Times New Roman" w:eastAsia="Times New Roman" w:hAnsi="Times New Roman"/>
          <w:sz w:val="18"/>
          <w:szCs w:val="18"/>
          <w:color w:val="auto"/>
        </w:rPr>
      </w:pPr>
    </w:p>
    <w:p>
      <w:pPr>
        <w:ind w:left="340" w:right="100" w:hanging="332"/>
        <w:spacing w:after="0" w:line="239" w:lineRule="exact"/>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2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6"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80"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paying any cash dividends on our capital stock in the foreseeable future, capital appreciation, if any, will be your sole source of gain.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0" w:lineRule="exact"/>
        <w:rPr>
          <w:sz w:val="20"/>
          <w:szCs w:val="20"/>
          <w:color w:val="auto"/>
        </w:rPr>
      </w:pPr>
    </w:p>
    <w:p>
      <w:pPr>
        <w:spacing w:after="0" w:line="2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the board of directors.</w:t>
      </w:r>
    </w:p>
    <w:p>
      <w:pPr>
        <w:spacing w:after="0" w:line="3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27, 2017, pursuant to the Institutional Purchase Agreement, we issued and sold an aggregate of 2,750,000 shares of our common stock to the Institutional Investors for aggregate gross proceeds of $44 million, at a purchase price equal to $16.00 per share. On June 27, 2017, pursuant to the Springer Purchase Agreement, we issued and sold to Dr. Springer an aggregate of 338,791 shares of our common stock at a purchase price equal to $17.71 per share, which was equal to the most recent consolidated closing bid price on the NASDAQ Global Market on June 23, 2017, and warrants to purchase 79,130 shares of our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121" w:right="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common stock, or the Warrant Shares, exercisable at $17.71 per share. The purchase price for each warrant was equal to$0.125 for each Warrant Share, consistent with NASDAQ Global Market requirements for an “at the market” offering. In connection with the Springer Purchase Agreement, we entered into a Common Stock Purchase Warrant with Dr. Springer, or the Warrant, to issue the Warrant Shares. The Warrant has a term of five years. The closing of the Springer Purchase Agreement resulted in additional aggregate gross proceeds to us of approximately $6.0 million for a total of $50.0 million in aggregate gross proceeds.</w:t>
      </w:r>
    </w:p>
    <w:p>
      <w:pPr>
        <w:spacing w:after="0" w:line="4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transactions are exempt from registration pursuant to Section 4(a)(2) of the Securities Act of 1933, as amended, or the Securities Act, and Regulation D promulgated thereunder, as a transaction by an issuer not involving a public offering. The Institutional Investors and Dr. Springer have acquired the securities for investment only and not with a view to or for sale in connection with any distribution thereof, and appropriate legends have been affixed to the securities issued in these transactions.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21, 2016, we completed the initial public offering of our common stock and issued and sold 5,000,000 shares of our common stock at a public offering price of $14.00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all of the shares in the offering were registered under the Securities Act pursuant to a Registration Statement on Form S-1 (File No. 333-211555), as amended, which was declared effective by the Securities and Exchange Commission, or the SEC, on June 21, 2016, and a Registration Statement on Form S-1MEF (File No. 333-212162), which was automatically effective upon filing with the SEC on June 21, 2016. On July 25, 2016, we closed the underwriters’ over-allotment option in part, and we sold 289,633 shares at a price to the public of $14.00 per share.</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6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2017</w:t>
            </w: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Werner Cautreels, Ph.D.</w:t>
            </w:r>
          </w:p>
        </w:tc>
      </w:tr>
      <w:tr>
        <w:trPr>
          <w:trHeight w:val="27"/>
        </w:trPr>
        <w:tc>
          <w:tcPr>
            <w:tcW w:w="3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Werner Cautreels, Ph.D.</w:t>
            </w:r>
          </w:p>
        </w:tc>
      </w:tr>
      <w:tr>
        <w:trPr>
          <w:trHeight w:val="270"/>
        </w:trPr>
        <w:tc>
          <w:tcPr>
            <w:tcW w:w="37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and Director</w:t>
            </w:r>
          </w:p>
        </w:tc>
      </w:tr>
      <w:tr>
        <w:trPr>
          <w:trHeight w:val="270"/>
        </w:trPr>
        <w:tc>
          <w:tcPr>
            <w:tcW w:w="37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3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2017</w:t>
            </w: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Siewers</w:t>
            </w:r>
          </w:p>
        </w:tc>
      </w:tr>
      <w:tr>
        <w:trPr>
          <w:trHeight w:val="27"/>
        </w:trPr>
        <w:tc>
          <w:tcPr>
            <w:tcW w:w="3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Siewers</w:t>
            </w:r>
          </w:p>
        </w:tc>
      </w:tr>
      <w:tr>
        <w:trPr>
          <w:trHeight w:val="270"/>
        </w:trPr>
        <w:tc>
          <w:tcPr>
            <w:tcW w:w="37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Financial Officer and Treasurer</w:t>
            </w:r>
          </w:p>
        </w:tc>
      </w:tr>
      <w:tr>
        <w:trPr>
          <w:trHeight w:val="270"/>
        </w:trPr>
        <w:tc>
          <w:tcPr>
            <w:tcW w:w="37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Filing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Restated Certificate of Incorporation of Selecta</w:t>
            </w: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6/29/2016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Biosciences, Inc.</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Selecta</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6/29/2016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Biosciences, Inc.</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License Agreement, entered into as of</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5/11/2017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27, 2017, by and between the U.S.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Department of Health and Human Services, as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represented by The National Cancer Institute an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Institute or Center of the National Institutes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and the Registrant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Purchase Warrant, dated June 27,</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6/28/2017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by and between the Registrant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Springer, Ph.D.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Purchase Agreement, dated June 26,</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6/28/2017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by and among the Registrant and the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Investors named therein</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Purchase Agreement, dated June 26,</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6/28/2017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by and between the Registrant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Springer, Ph.D.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June 27,</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6/28/2017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by and among the Registrant and the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Investors named therein</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10.6†</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&amp; Restated License Agreement, dated</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May 31, 2017, by and between the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 and Shenyang Sunshine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Pharmaceutical Co., Ltd.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10.7†</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Agreement, dated June 6, 2017, by and</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the Registrant and Spark Therapeutics,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 15d-14(a) Certification of Chief</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 15d-14(a) Certification of Chief</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Financial</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101.CAL</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66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623"/>
        </w:trPr>
        <w:tc>
          <w:tcPr>
            <w:tcW w:w="1280" w:type="dxa"/>
            <w:vAlign w:val="bottom"/>
            <w:tcBorders>
              <w:top w:val="single" w:sz="8" w:color="0000EE"/>
            </w:tcBorders>
            <w:gridSpan w:val="2"/>
          </w:tcPr>
          <w:p>
            <w:pPr>
              <w:ind w:left="2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3440" w:type="dxa"/>
            <w:vAlign w:val="bottom"/>
          </w:tcPr>
          <w:p>
            <w:pPr>
              <w:spacing w:after="0"/>
              <w:rPr>
                <w:sz w:val="20"/>
                <w:szCs w:val="20"/>
                <w:color w:val="auto"/>
              </w:rPr>
            </w:pPr>
          </w:p>
        </w:tc>
      </w:tr>
      <w:tr>
        <w:trPr>
          <w:trHeight w:val="252"/>
        </w:trPr>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101.PRE</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3440" w:type="dxa"/>
            <w:vAlign w:val="bottom"/>
          </w:tcPr>
          <w:p>
            <w:pPr>
              <w:spacing w:after="0"/>
              <w:rPr>
                <w:sz w:val="20"/>
                <w:szCs w:val="20"/>
                <w:color w:val="auto"/>
              </w:rPr>
            </w:pPr>
          </w:p>
        </w:tc>
      </w:tr>
      <w:tr>
        <w:trPr>
          <w:trHeight w:val="675"/>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c>
          <w:tcPr>
            <w:tcW w:w="3440" w:type="dxa"/>
            <w:vAlign w:val="bottom"/>
          </w:tcPr>
          <w:p>
            <w:pPr>
              <w:spacing w:after="0"/>
              <w:rPr>
                <w:sz w:val="24"/>
                <w:szCs w:val="24"/>
                <w:color w:val="auto"/>
              </w:rPr>
            </w:pPr>
          </w:p>
        </w:tc>
      </w:tr>
      <w:tr>
        <w:trPr>
          <w:trHeight w:val="648"/>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Furnished herewith.</w:t>
            </w:r>
          </w:p>
        </w:tc>
        <w:tc>
          <w:tcPr>
            <w:tcW w:w="34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4"/>
        <w:spacing w:after="0" w:line="282" w:lineRule="auto"/>
        <w:tabs>
          <w:tab w:leader="none" w:pos="8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exhibit has been omitted and filed separately with the Securities and Exchange Commission pursuant to a confidential treatment request under 17 C.F.R. Sections 200.80(b)(4) and 24b-2.</w:t>
      </w:r>
    </w:p>
    <w:p>
      <w:pPr>
        <w:spacing w:after="0" w:line="378" w:lineRule="exact"/>
        <w:rPr>
          <w:sz w:val="20"/>
          <w:szCs w:val="20"/>
          <w:color w:val="auto"/>
        </w:rPr>
      </w:pPr>
    </w:p>
    <w:p>
      <w:pPr>
        <w:ind w:left="660" w:hanging="4"/>
        <w:spacing w:after="0" w:line="282" w:lineRule="auto"/>
        <w:tabs>
          <w:tab w:leader="none" w:pos="9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Certain information in this exhibit has been omitted and filed separately with the Securities and Exchange Commission.</w:t>
      </w:r>
    </w:p>
    <w:p>
      <w:pPr>
        <w:sectPr>
          <w:pgSz w:w="11900" w:h="16838" w:orient="portrait"/>
          <w:cols w:equalWidth="0" w:num="1">
            <w:col w:w="11420"/>
          </w:cols>
          <w:pgMar w:left="240" w:top="108" w:right="239" w:bottom="1440" w:gutter="0" w:footer="0" w:header="0"/>
        </w:sectPr>
      </w:pPr>
    </w:p>
    <w:bookmarkStart w:id="93" w:name="page94"/>
    <w:bookmarkEnd w:id="93"/>
    <w:p>
      <w:pPr>
        <w:ind w:left="10400"/>
        <w:spacing w:after="0"/>
        <w:rPr>
          <w:sz w:val="20"/>
          <w:szCs w:val="20"/>
          <w:color w:val="auto"/>
        </w:rPr>
      </w:pPr>
      <w:r>
        <w:rPr>
          <w:rFonts w:ascii="Times New Roman" w:cs="Times New Roman" w:eastAsia="Times New Roman" w:hAnsi="Times New Roman"/>
          <w:sz w:val="19"/>
          <w:szCs w:val="19"/>
          <w:b w:val="1"/>
          <w:bCs w:val="1"/>
          <w:color w:val="ACACAC"/>
        </w:rPr>
        <w:t>Exhibit 10.6</w:t>
      </w:r>
    </w:p>
    <w:p>
      <w:pPr>
        <w:spacing w:after="0" w:line="13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6"/>
          <w:szCs w:val="16"/>
          <w:color w:val="ACACAC"/>
        </w:rPr>
        <w:t>CERTAIN MATERIAL (INDICATED BY ASTERISKS)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&amp; RESTATED LICENSE AGREEMENT</w:t>
      </w:r>
    </w:p>
    <w:p>
      <w:pPr>
        <w:spacing w:after="0" w:line="1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Amended &amp; Restated License Agreement (the “Agreement”), dated as of 31 May, 2017 (the “Effective Date”), is made by and between Shenyang Sunshine Pharmaceutical Co., Ltd., a Chinese Corporation, with an address at No. 3 A1 Road 10, Shenyang Economic and Technology Development Zone, Shenyang, China 110027 and its affiliates (“3SBio”), and Selecta Biosciences, Inc., a Delaware corporation, with an address at 480 Arsenal Street, Building One, Watertown, MA 02472 (“Selecta”). 3SBio and Selecta are sometimes hereinafter referred to each as a “Party” and collectively as the “Parties.”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3SBio has been engaged in the development of Pegsiticase, and owns and otherwise controls certain patent rights and know-how with respect thereto;</w:t>
      </w:r>
    </w:p>
    <w:p>
      <w:pPr>
        <w:spacing w:after="0" w:line="5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Selecta desires to acquire exclusive rights under the 3SBio Patent Rights and 3SBio Know-How in order to continue the development thereof and products based thereupon;</w:t>
      </w:r>
    </w:p>
    <w:p>
      <w:pPr>
        <w:spacing w:after="0" w:line="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Parties entered into a license agreement on May 12, 2014 (the “Original Effective Date”) pursuant to which 3SBio granted an exclusive license to Selecta under the 3SBio Patent Rights and 3SBio Know-How for Selecta to Develop and Commercialize Licensed Compounds and Products and a co-exclusive license to Selecta under the 3SBio Patent Rights and 3SBio Know-How for Selecta to Manufacture Licensed Compounds and Products (as such terms are defined herein) (the “Original Agreement”); and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desire to amend and restate the terms and conditions of the Original Agreement as set forth herein.</w:t>
      </w:r>
    </w:p>
    <w:p>
      <w:pPr>
        <w:spacing w:after="0" w:line="108"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NOW, THEREFORE, the Parties hereby agree to amend and restate the Original Agreement as of the Effective Date such that it reads in its entirety as follows:</w:t>
      </w:r>
    </w:p>
    <w:p>
      <w:pPr>
        <w:spacing w:after="0" w:line="38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 of this Agreement, the following words and phrases will have the meanings set forth below:</w:t>
      </w:r>
    </w:p>
    <w:p>
      <w:pPr>
        <w:spacing w:after="0" w:line="121"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20"/>
          <w:szCs w:val="20"/>
          <w:color w:val="auto"/>
        </w:rPr>
        <w:t>1.1 “3SBio Know-How” means all Know-How, existing as of the Original Effective Date or arising during the Term, owned or in-licensed by 3SBio or any of its Affiliates, that is reasonably necessary or desirable for the Manufacture, use, sale, offer for sale, importation, Development or Commercialization of any Licensed Compound or Product.</w:t>
      </w:r>
    </w:p>
    <w:p>
      <w:pPr>
        <w:spacing w:after="0" w:line="54"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auto"/>
        </w:rPr>
        <w:t>1.2 “3SBio Patent Rights” means all Patents, existing as of the Original Effective Date or arising during the Term, owned or in-licensed by 3SBio or any of its Affiliates, and either related to any Licensed Compound or Product, or reasonably necessary or desirable for the Manufacture, use, sale, offer for sale, importation, Development or Commercialization of any Licensed Compound or Product. A complete and accurate list of all of the 3SBio Patent Rights as of the Effective Date is set forth on Exhibit A.</w:t>
      </w:r>
    </w:p>
    <w:p>
      <w:pPr>
        <w:spacing w:after="0" w:line="7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1.3 “Affiliate” of an entity means any other entity which (directly or indirectly) is controlled by, controls or is under common control with such entity. For the purposes of this definition, the term “control” (including, with correlative meanings, the terms “controlled by”</w:t>
      </w: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and “under common control with”) as used with respect to an entity means (a) in the case of a corporate entity, direct or indirect ownership of voting securities entitled to cast at least fifty percent (50%) of the votes in the election of directors or (b) in the case of a non-corporate entity, direct or indirect ownership of at least fifty percent (50%) of the equity interests with the power to direct the management and policies of such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540" w:right="140" w:hanging="4382"/>
        <w:spacing w:after="0" w:line="281" w:lineRule="auto"/>
        <w:tabs>
          <w:tab w:leader="none" w:pos="546" w:val="left"/>
        </w:tabs>
        <w:numPr>
          <w:ilvl w:val="0"/>
          <w:numId w:val="55"/>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14" w:right="239" w:bottom="1440" w:gutter="0" w:footer="0" w:header="0"/>
        </w:sectPr>
      </w:pPr>
    </w:p>
    <w:bookmarkStart w:id="94" w:name="page95"/>
    <w:bookmarkEnd w:id="94"/>
    <w:p>
      <w:pPr>
        <w:ind w:right="640"/>
        <w:spacing w:after="0" w:line="269" w:lineRule="auto"/>
        <w:rPr>
          <w:sz w:val="20"/>
          <w:szCs w:val="20"/>
          <w:color w:val="auto"/>
        </w:rPr>
      </w:pPr>
      <w:r>
        <w:rPr>
          <w:rFonts w:ascii="Times New Roman" w:cs="Times New Roman" w:eastAsia="Times New Roman" w:hAnsi="Times New Roman"/>
          <w:sz w:val="20"/>
          <w:szCs w:val="20"/>
          <w:color w:val="auto"/>
        </w:rPr>
        <w:t>entity, provided that if local law restricts foreign ownership, control will be established by direct or indirect ownership of the maximum ownership percentage that may, under such local law, be owned by foreign interests.</w:t>
      </w:r>
    </w:p>
    <w:p>
      <w:pPr>
        <w:spacing w:after="0" w:line="5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1.4 “BLA” means a Biologics License Application filed with the FDA or an equivalent application to any other Regulatory Authority within the Territory requesting market approval for a new biological product (or a New Drug Application (“NDA”), or equivalent application, in the event that the FDA or other Regulatory Authority determines that an NDA (or its foreign equivalent), rather than a BLA (or its foreign equivalent), is the appropriate mechanism for requesting such approval).</w:t>
      </w:r>
    </w:p>
    <w:p>
      <w:pPr>
        <w:spacing w:after="0" w:line="85" w:lineRule="exact"/>
        <w:rPr>
          <w:sz w:val="20"/>
          <w:szCs w:val="20"/>
          <w:color w:val="auto"/>
        </w:rPr>
      </w:pPr>
    </w:p>
    <w:p>
      <w:pPr>
        <w:ind w:right="280" w:firstLine="648"/>
        <w:spacing w:after="0" w:line="297" w:lineRule="auto"/>
        <w:rPr>
          <w:sz w:val="20"/>
          <w:szCs w:val="20"/>
          <w:color w:val="auto"/>
        </w:rPr>
      </w:pPr>
      <w:r>
        <w:rPr>
          <w:rFonts w:ascii="Times New Roman" w:cs="Times New Roman" w:eastAsia="Times New Roman" w:hAnsi="Times New Roman"/>
          <w:sz w:val="20"/>
          <w:szCs w:val="20"/>
          <w:color w:val="auto"/>
        </w:rPr>
        <w:t>1.5 “Calendar Quarter” means the respective periods of three (3) consecutive calendar months ending on March 31, June 30, September 30 and December 31.</w:t>
      </w:r>
    </w:p>
    <w:p>
      <w:pPr>
        <w:spacing w:after="0" w:line="5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“Calendar Year” means each successive period of twelve (12) months commencing on January 1 and ending on December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133" w:lineRule="exact"/>
        <w:rPr>
          <w:sz w:val="20"/>
          <w:szCs w:val="20"/>
          <w:color w:val="auto"/>
        </w:rPr>
      </w:pPr>
    </w:p>
    <w:p>
      <w:pPr>
        <w:ind w:right="260" w:firstLine="648"/>
        <w:spacing w:after="0" w:line="297" w:lineRule="auto"/>
        <w:rPr>
          <w:sz w:val="20"/>
          <w:szCs w:val="20"/>
          <w:color w:val="auto"/>
        </w:rPr>
      </w:pPr>
      <w:r>
        <w:rPr>
          <w:rFonts w:ascii="Times New Roman" w:cs="Times New Roman" w:eastAsia="Times New Roman" w:hAnsi="Times New Roman"/>
          <w:sz w:val="20"/>
          <w:szCs w:val="20"/>
          <w:color w:val="auto"/>
        </w:rPr>
        <w:t>1.7 “Clinical Studies” means any study in which human subjects are dosed with a drug, whether approved or investigational, including any Phase 1, 2, 3 or 4 study.</w:t>
      </w:r>
    </w:p>
    <w:p>
      <w:pPr>
        <w:spacing w:after="0" w:line="52"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20"/>
          <w:szCs w:val="20"/>
          <w:color w:val="auto"/>
        </w:rPr>
        <w:t>1.8 “Clinical Supply Agreement” means that certain Manufacturing Services Agreement dated August 1, 2014 by and between the Parties.</w:t>
      </w:r>
    </w:p>
    <w:p>
      <w:pPr>
        <w:spacing w:after="0" w:line="52" w:lineRule="exact"/>
        <w:rPr>
          <w:sz w:val="20"/>
          <w:szCs w:val="20"/>
          <w:color w:val="auto"/>
        </w:rPr>
      </w:pPr>
    </w:p>
    <w:p>
      <w:pPr>
        <w:ind w:right="360" w:firstLine="648"/>
        <w:spacing w:after="0" w:line="297" w:lineRule="auto"/>
        <w:rPr>
          <w:sz w:val="20"/>
          <w:szCs w:val="20"/>
          <w:color w:val="auto"/>
        </w:rPr>
      </w:pPr>
      <w:r>
        <w:rPr>
          <w:rFonts w:ascii="Times New Roman" w:cs="Times New Roman" w:eastAsia="Times New Roman" w:hAnsi="Times New Roman"/>
          <w:sz w:val="20"/>
          <w:szCs w:val="20"/>
          <w:color w:val="auto"/>
        </w:rPr>
        <w:t>1.9 “Combination Product” means a Product that includes at least one (1) additional active ingredient other than a Licensed Compound. A Combination Product includes a Selecta Product.</w:t>
      </w:r>
    </w:p>
    <w:p>
      <w:pPr>
        <w:spacing w:after="0" w:line="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1.10 “Commercially Reasonable Efforts” means, with respect to Licensed Compounds or Products, that level of efforts and resources commonly dedicated by a biotechnology company to the Development or Commercialization, as the case may be, of a product of similar market potential at a similar stage in its lifecycle to the Licensed Compounds or Products, in each case taking into account issues of safety and efficacy, product profile, the proprietary position, the then current competitive environment and the likely timing of market entry, the regulatory environment and status of such product, and other relevant scientific, technical and commercial factors. However, with respect to Selecta, Commercially Reasonable Efforts includes, [***].</w:t>
      </w:r>
    </w:p>
    <w:p>
      <w:pPr>
        <w:spacing w:after="0" w:line="78" w:lineRule="exact"/>
        <w:rPr>
          <w:sz w:val="20"/>
          <w:szCs w:val="20"/>
          <w:color w:val="auto"/>
        </w:rPr>
      </w:pPr>
    </w:p>
    <w:p>
      <w:pPr>
        <w:jc w:val="both"/>
        <w:ind w:right="320" w:firstLine="648"/>
        <w:spacing w:after="0" w:line="282" w:lineRule="auto"/>
        <w:rPr>
          <w:sz w:val="20"/>
          <w:szCs w:val="20"/>
          <w:color w:val="auto"/>
        </w:rPr>
      </w:pPr>
      <w:r>
        <w:rPr>
          <w:rFonts w:ascii="Times New Roman" w:cs="Times New Roman" w:eastAsia="Times New Roman" w:hAnsi="Times New Roman"/>
          <w:sz w:val="20"/>
          <w:szCs w:val="20"/>
          <w:color w:val="auto"/>
        </w:rPr>
        <w:t>1.11 “Commercialization” means activities directed to obtaining pricing and reimbursement approvals, carrying out Phase 4 studies for, marketing, promoting, distributing, importing, exporting, offering for sale or selling any pharmaceutical product, including any Product. Commercialization specifically excludes Development and Manufacturing.</w:t>
      </w:r>
    </w:p>
    <w:p>
      <w:pPr>
        <w:spacing w:after="0" w:line="54"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0"/>
          <w:szCs w:val="20"/>
          <w:color w:val="auto"/>
        </w:rPr>
        <w:t>1.12 “Confidential Information” means all Know-How, marketing plans, strategies and customer lists, and other information or material that are disclosed or provided by a Party or its Affiliates to the other Party or its Affiliates, regardless of whether any of the foregoing are marked “confidential” or “proprietary” or communicated to the other by the disclosing Party or its Affiliates in oral, written, graphic, or electronic form.</w:t>
      </w:r>
    </w:p>
    <w:p>
      <w:pPr>
        <w:spacing w:after="0" w:line="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“Confidentiality Agreement” means that certain Nondisclosure Agreement dated August 28, 2013 by and between the Parties.</w:t>
      </w:r>
    </w:p>
    <w:p>
      <w:pPr>
        <w:spacing w:after="0" w:line="108" w:lineRule="exact"/>
        <w:rPr>
          <w:sz w:val="20"/>
          <w:szCs w:val="20"/>
          <w:color w:val="auto"/>
        </w:rPr>
      </w:pPr>
    </w:p>
    <w:p>
      <w:pPr>
        <w:ind w:right="520" w:firstLine="648"/>
        <w:spacing w:after="0" w:line="247" w:lineRule="auto"/>
        <w:rPr>
          <w:sz w:val="20"/>
          <w:szCs w:val="20"/>
          <w:color w:val="auto"/>
        </w:rPr>
      </w:pPr>
      <w:r>
        <w:rPr>
          <w:rFonts w:ascii="Times New Roman" w:cs="Times New Roman" w:eastAsia="Times New Roman" w:hAnsi="Times New Roman"/>
          <w:sz w:val="20"/>
          <w:szCs w:val="20"/>
          <w:color w:val="auto"/>
        </w:rPr>
        <w:t>1.14 “Development” or “Developed” means non-clinical and clinical drug development activities reasonably related to the development and submission of information to a Regulatory Authority, including toxicology, pharmacology and other discovery and pre-clinical efforts, test method development and stability testing, manufacturing process development and improvement, process validation, process scale-up, formulation development, delivery system development, quality assurance and quality control development, statistical analysis, Clinical Studies, regulatory affairs, and Regulatory</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2</w:t>
      </w:r>
    </w:p>
    <w:p>
      <w:pPr>
        <w:spacing w:after="0" w:line="113" w:lineRule="exact"/>
        <w:rPr>
          <w:sz w:val="20"/>
          <w:szCs w:val="20"/>
          <w:color w:val="auto"/>
        </w:rPr>
      </w:pPr>
    </w:p>
    <w:p>
      <w:pPr>
        <w:jc w:val="center"/>
        <w:ind w:left="4540" w:right="100" w:hanging="4382"/>
        <w:spacing w:after="0" w:line="281" w:lineRule="auto"/>
        <w:tabs>
          <w:tab w:leader="none" w:pos="546" w:val="left"/>
        </w:tabs>
        <w:numPr>
          <w:ilvl w:val="0"/>
          <w:numId w:val="56"/>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360" w:right="2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Approvals (and specifically excluding activities directed to obtaining pricing and reimbursement approvals).</w:t>
      </w:r>
    </w:p>
    <w:p>
      <w:pPr>
        <w:spacing w:after="0" w:line="108" w:lineRule="exact"/>
        <w:rPr>
          <w:sz w:val="20"/>
          <w:szCs w:val="20"/>
          <w:color w:val="auto"/>
        </w:rPr>
      </w:pPr>
    </w:p>
    <w:p>
      <w:pPr>
        <w:ind w:right="1080" w:firstLine="648"/>
        <w:spacing w:after="0" w:line="269" w:lineRule="auto"/>
        <w:rPr>
          <w:sz w:val="20"/>
          <w:szCs w:val="20"/>
          <w:color w:val="auto"/>
        </w:rPr>
      </w:pPr>
      <w:r>
        <w:rPr>
          <w:rFonts w:ascii="Times New Roman" w:cs="Times New Roman" w:eastAsia="Times New Roman" w:hAnsi="Times New Roman"/>
          <w:sz w:val="20"/>
          <w:szCs w:val="20"/>
          <w:color w:val="auto"/>
        </w:rPr>
        <w:t>1.15 “Drug Master File” or “DMF” means any drug master file filed with the FDA or the equivalent filed with any other Governmental Authority with respect to a Licensed Compound or Product or any component or intermediate thereof.</w:t>
      </w:r>
    </w:p>
    <w:p>
      <w:pPr>
        <w:spacing w:after="0" w:line="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“EMA” means the European Medicines Agency and any successor agency thereto.</w:t>
      </w:r>
    </w:p>
    <w:p>
      <w:pPr>
        <w:spacing w:after="0" w:line="108"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1.17 “European Union” or “EU” means the countries of the European Economic Area, as it is constituted on the Original Effective Date and as it may be expanded from time to time after the Effective Date.</w:t>
      </w:r>
    </w:p>
    <w:p>
      <w:pPr>
        <w:spacing w:after="0" w:line="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“FDA” means the United States Food and Drug Administration or any successor agency thereto.</w:t>
      </w:r>
    </w:p>
    <w:p>
      <w:pPr>
        <w:spacing w:after="0" w:line="10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“Field” means all therapeutic, diagnostic and prophylactic human uses.</w:t>
      </w:r>
    </w:p>
    <w:p>
      <w:pPr>
        <w:spacing w:after="0" w:line="1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9"/>
          <w:szCs w:val="19"/>
          <w:color w:val="auto"/>
        </w:rPr>
        <w:t>1.20 “First Commercial Sale” means, with respect to any Product, the first sale by Selecta, its Affiliates or Sublicensees for use or consumption by the general public of such Product in a country or region in the Territory after all required Regulatory Approvals have been granted, or otherwise permitted, by the governing health authority of such country or region. “First Commercial Sale” will not include the sale of any Product for use in clinical trials or for compassionate use prior to receipt of Regulatory Approval in the country or region in question.</w:t>
      </w:r>
    </w:p>
    <w:p>
      <w:pPr>
        <w:spacing w:after="0" w:line="58" w:lineRule="exact"/>
        <w:rPr>
          <w:sz w:val="20"/>
          <w:szCs w:val="20"/>
          <w:color w:val="auto"/>
        </w:rPr>
      </w:pPr>
    </w:p>
    <w:p>
      <w:pPr>
        <w:ind w:right="300" w:firstLine="648"/>
        <w:spacing w:after="0" w:line="249" w:lineRule="auto"/>
        <w:rPr>
          <w:sz w:val="20"/>
          <w:szCs w:val="20"/>
          <w:color w:val="auto"/>
        </w:rPr>
      </w:pPr>
      <w:r>
        <w:rPr>
          <w:rFonts w:ascii="Times New Roman" w:cs="Times New Roman" w:eastAsia="Times New Roman" w:hAnsi="Times New Roman"/>
          <w:sz w:val="20"/>
          <w:szCs w:val="20"/>
          <w:color w:val="auto"/>
        </w:rPr>
        <w:t>1.21 “Governmental Authority”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72" w:lineRule="exact"/>
        <w:rPr>
          <w:sz w:val="20"/>
          <w:szCs w:val="20"/>
          <w:color w:val="auto"/>
        </w:rPr>
      </w:pPr>
    </w:p>
    <w:p>
      <w:pPr>
        <w:ind w:right="720" w:firstLine="648"/>
        <w:spacing w:after="0" w:line="254" w:lineRule="auto"/>
        <w:rPr>
          <w:sz w:val="20"/>
          <w:szCs w:val="20"/>
          <w:color w:val="auto"/>
        </w:rPr>
      </w:pPr>
      <w:r>
        <w:rPr>
          <w:rFonts w:ascii="Times New Roman" w:cs="Times New Roman" w:eastAsia="Times New Roman" w:hAnsi="Times New Roman"/>
          <w:sz w:val="20"/>
          <w:szCs w:val="20"/>
          <w:color w:val="auto"/>
        </w:rPr>
        <w:t>1.22 “IND” means an Investigational New Drug application, Clinical Study Application, Clinical Trial Exemption, or similar application or submission for approval to conduct human clinical investigations filed with or submitted to a Regulatory Authority in conformance with the requirements of such Regulatory Authority.</w:t>
      </w:r>
    </w:p>
    <w:p>
      <w:pPr>
        <w:spacing w:after="0" w:line="67"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1.23 “Inventions” means any idea, data, writing, invention, discovery, improvement or other technology, whether or not patentable, copyrightable or protectable as a trade secret, confidential information or know-how or any other form of intellectual property.</w:t>
      </w:r>
    </w:p>
    <w:p>
      <w:pPr>
        <w:spacing w:after="0" w:line="5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1.24 “Know-How” means know-how, trade secrets, chemical and biological materials, formulations, information, documents, studies, results, data and regulatory approvals, data (including from Clinical Studies), filings and correspondence (including DMFs), including biological, chemical, pharmacological, toxicological, pre-clinical, clinical and assay data, manufacturing processes and data, specifications, sourcing information, assays, and quality control and testing procedures, whether or not patented or patentable.</w:t>
      </w:r>
    </w:p>
    <w:p>
      <w:pPr>
        <w:spacing w:after="0" w:line="288"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1.25 “Law” means any federal, state, provincial, local, international or multinational law, statute, standard, ordinance, code, rule, regulation, resolution or 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3</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57"/>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60" w:right="239" w:bottom="1440" w:gutter="0" w:footer="0" w:header="0"/>
        </w:sectPr>
      </w:pPr>
    </w:p>
    <w:bookmarkStart w:id="96" w:name="page97"/>
    <w:bookmarkEnd w:id="96"/>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1.26 “Licensed Compound” means (a) the compound known as Pegsiticase, a recombinant uricase derived from Candida Utilis and pegylated with [***], and (b) any back-up compounds or any other forms thereof, including [***]; (c) any compounds from any of those identified in clauses (a) or (b) conjugated with any linker or linked to any other molecular entity, including those compounds linked to the same or other PEG molecules; (d) any salts, prodrugs, esters, amides, active metabolites, solvates, intermediates, fragments, derivatives (including pegylated versions and any linkers thereof), analogs and polymorphs of any compounds covered by the foregoing clauses (a), (b), (c) or this clause (d), and (e) any improvements to any of the foregoing covered by the foregoing clauses (a), (b), (c), (d) or this clause (e). For clarity, Licensed Compound excludes Selecta Product.</w:t>
      </w:r>
    </w:p>
    <w:p>
      <w:pPr>
        <w:spacing w:after="0" w:line="295"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1.27 “Licensed Product” means a pharmaceutical composition containing the Licensed Compound alone, in all forms, presentations, formulations and dosages. Licensed Product excludes Selecta Product.</w:t>
      </w:r>
    </w:p>
    <w:p>
      <w:pPr>
        <w:spacing w:after="0" w:line="268"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1.28 “Licensed Product Drug Product” means the Licensed Product formulated with mannitol, sterile filtered, filled into vials and lyophilized.</w:t>
      </w:r>
    </w:p>
    <w:p>
      <w:pPr>
        <w:spacing w:after="0" w:line="2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color w:val="auto"/>
        </w:rPr>
        <w:t>“Licensed Product Drug Substance” means the Licensed Product in bulk drug substance form.</w:t>
      </w:r>
    </w:p>
    <w:p>
      <w:pPr>
        <w:spacing w:after="0" w:line="3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color w:val="auto"/>
        </w:rPr>
        <w:t>“MAA” means (a) a marketing authorization application filed with (i) the EMA under the centralized EMA filing procedure or</w:t>
      </w:r>
    </w:p>
    <w:p>
      <w:pPr>
        <w:spacing w:after="0" w:line="22" w:lineRule="exact"/>
        <w:rPr>
          <w:sz w:val="20"/>
          <w:szCs w:val="20"/>
          <w:color w:val="auto"/>
        </w:rPr>
      </w:pPr>
    </w:p>
    <w:p>
      <w:pPr>
        <w:ind w:right="200" w:firstLine="8"/>
        <w:spacing w:after="0" w:line="242" w:lineRule="auto"/>
        <w:tabs>
          <w:tab w:leader="none" w:pos="29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Regulatory Authority in any country of the EU if the centralized EMA filing procedure is not used or (b) any other equivalent or related regulatory submission, in either case to gain approval to market a Product in any country in the European Union, in each case including, for clarity, amendments thereto and supplemental applications.</w:t>
      </w:r>
    </w:p>
    <w:p>
      <w:pPr>
        <w:spacing w:after="0" w:line="2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“Major European Country” means any of the United Kingdom, France, Germany, Italy or Spain.</w:t>
      </w:r>
    </w:p>
    <w:p>
      <w:pPr>
        <w:spacing w:after="0" w:line="32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1.32 “Manufacturing” or “Manufacture” means, as applicable, all activities related to the production, manufacture, processing, filling, packaging, labeling, shipping, warehousing, holding and storage of Licensed Compounds, Products and/or any components thereof, including to make and have made any of the foregoing, process and formulation development, process qualification and validation, test method development, in-process testing, stability testing, release testing, manufacturing scale-up, preclinical, clinical and commercial manufacture and analytical methods development and validation, product characterization, formulation, quality assurance and quality control development, and testing and release.</w:t>
      </w:r>
    </w:p>
    <w:p>
      <w:pPr>
        <w:spacing w:after="0" w:line="29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1.33 “Net Sales” means the gross amount billed by Selecta and its Affiliates and Sublicensees to a Third Party for Products less the following:</w:t>
      </w:r>
    </w:p>
    <w:p>
      <w:pPr>
        <w:spacing w:after="0" w:line="281" w:lineRule="exact"/>
        <w:rPr>
          <w:sz w:val="20"/>
          <w:szCs w:val="20"/>
          <w:color w:val="auto"/>
        </w:rPr>
      </w:pPr>
    </w:p>
    <w:p>
      <w:pPr>
        <w:ind w:left="2180" w:hanging="875"/>
        <w:spacing w:after="0"/>
        <w:tabs>
          <w:tab w:leader="none" w:pos="21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trade, quantity or cash discounts to the extent actually allowed and taken;</w:t>
      </w:r>
    </w:p>
    <w:p>
      <w:pPr>
        <w:spacing w:after="0" w:line="350"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repaid or credited by reason of rejection or return;</w:t>
      </w:r>
    </w:p>
    <w:p>
      <w:pPr>
        <w:spacing w:after="0" w:line="350" w:lineRule="exact"/>
        <w:rPr>
          <w:rFonts w:ascii="Times New Roman" w:cs="Times New Roman" w:eastAsia="Times New Roman" w:hAnsi="Times New Roman"/>
          <w:sz w:val="20"/>
          <w:szCs w:val="20"/>
          <w:color w:val="auto"/>
        </w:rPr>
      </w:pPr>
    </w:p>
    <w:p>
      <w:pPr>
        <w:ind w:right="40" w:firstLine="1305"/>
        <w:spacing w:after="0" w:line="282" w:lineRule="auto"/>
        <w:tabs>
          <w:tab w:leader="none" w:pos="216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separately stated on purchase orders, invoices or other documents of sale, any taxes or other governmental charges levied on the production, sale, transportation, delivery or use of a Product which is paid by or on behalf of Selecta or any of its Affiliates or Sublicensees; and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4</w:t>
      </w:r>
    </w:p>
    <w:p>
      <w:pPr>
        <w:spacing w:after="0" w:line="113" w:lineRule="exact"/>
        <w:rPr>
          <w:sz w:val="20"/>
          <w:szCs w:val="20"/>
          <w:color w:val="auto"/>
        </w:rPr>
      </w:pPr>
    </w:p>
    <w:p>
      <w:pPr>
        <w:jc w:val="center"/>
        <w:ind w:left="4540" w:right="120" w:hanging="4382"/>
        <w:spacing w:after="0" w:line="281" w:lineRule="auto"/>
        <w:tabs>
          <w:tab w:leader="none" w:pos="546" w:val="left"/>
        </w:tabs>
        <w:numPr>
          <w:ilvl w:val="0"/>
          <w:numId w:val="60"/>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576" w:right="259" w:bottom="1440" w:gutter="0" w:footer="0" w:header="0"/>
        </w:sectPr>
      </w:pPr>
    </w:p>
    <w:bookmarkStart w:id="97" w:name="page98"/>
    <w:bookmarkEnd w:id="97"/>
    <w:p>
      <w:pPr>
        <w:ind w:right="20" w:firstLine="1305"/>
        <w:spacing w:after="0" w:line="273" w:lineRule="auto"/>
        <w:tabs>
          <w:tab w:leader="none" w:pos="217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outbound transportation costs prepaid or allowed and costs of insurance in transit. Net Sales will be calculated only once with respect to each Product sold by Selecta, any Affiliate and/or any Sublicensee for the first sale to a Third Party, even if such Product is sold more than once in the course of its transfer to the ultimate end-user. The transfer or sale of Products between any of Selecta and an Affiliate or Sublicensee, e.g., in a manufacturing or supply agreement, will not be included in Net Sales, unless such transfer or sale is a final purchase by Selecta or its Affiliate or Sublicensee, without the intent to resell or redistribute to a Third Party. Net Sales for any Combination Product will be calculated [***].</w:t>
      </w:r>
    </w:p>
    <w:p>
      <w:pPr>
        <w:spacing w:after="0" w:line="2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1.34 “Patents,” as used in this Agreement, means all letters patent, patent applications and statutory invention registrations throughout the Territory, as well as any and all substitutions, extensions (including supplementary protection certificates), renewals, continuations, continuations-in-part, divisionals, patents-of-addition, re-examinations and/or reissues thereof.</w:t>
      </w:r>
    </w:p>
    <w:p>
      <w:pPr>
        <w:spacing w:after="0" w:line="2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“Product” means a Licensed Product or a Selecta Product.</w:t>
      </w:r>
    </w:p>
    <w:p>
      <w:pPr>
        <w:spacing w:after="0" w:line="3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1.36 “Regulatory Approval” means, with respect to a country or region in the Territory, approvals, licenses, registrations or authorizations from the relevant Regulatory Authority necessary in order to import, distribute, market or sell a pharmaceutical product (including any Product) in such country or region, but not including any pricing or reimbursement approvals.</w:t>
      </w:r>
    </w:p>
    <w:p>
      <w:pPr>
        <w:spacing w:after="0" w:line="2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1.37 “Regulatory Authority” means the FDA, the EMA, and any other analogous Regulatory Authority or agency involved in granting approvals (including any required pricing or reimbursement approvals) for the Development, Manufacture or Commercialization of any pharmaceutical product (including any Product) in the Territory.</w:t>
      </w:r>
    </w:p>
    <w:p>
      <w:pPr>
        <w:spacing w:after="0" w:line="283" w:lineRule="exact"/>
        <w:rPr>
          <w:sz w:val="20"/>
          <w:szCs w:val="20"/>
          <w:color w:val="auto"/>
        </w:rPr>
      </w:pPr>
    </w:p>
    <w:p>
      <w:pPr>
        <w:ind w:right="280" w:firstLine="648"/>
        <w:spacing w:after="0" w:line="247" w:lineRule="auto"/>
        <w:rPr>
          <w:sz w:val="20"/>
          <w:szCs w:val="20"/>
          <w:color w:val="auto"/>
        </w:rPr>
      </w:pPr>
      <w:r>
        <w:rPr>
          <w:rFonts w:ascii="Times New Roman" w:cs="Times New Roman" w:eastAsia="Times New Roman" w:hAnsi="Times New Roman"/>
          <w:sz w:val="20"/>
          <w:szCs w:val="20"/>
          <w:color w:val="auto"/>
        </w:rPr>
        <w:t>1.38 “Regulatory Filing” means any documentation comprising or relating to or supporting any filing or application with any Regulatory Authority with respect to any compound or product (including any Licensed Compound or Product), or its use or potential use in humans, including any documents submitted to any Regulatory Authority and all supporting data, including INDs, BLAs and NDAs, and all correspondence with any Regulatory Authority with respect to such compound or product (including minutes of any meetings, telephone conferences or discussions with any Regulatory Authority).</w:t>
      </w:r>
    </w:p>
    <w:p>
      <w:pPr>
        <w:spacing w:after="0" w:line="289"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1.39 “Selecta Development Plan” means Selecta’s plan setting forth the activities and timelines relating to the Development of the Licensed Compounds and Products.</w:t>
      </w:r>
    </w:p>
    <w:p>
      <w:pPr>
        <w:spacing w:after="0" w:line="268"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1.40 “Selecta Product” means a pharmaceutical composition containing a combination of a Licensed Compound or Licensed Product with Selecta Technology, whether or not as the sole active ingredient, in all forms, presentations, formulations and dosage forms.</w:t>
      </w:r>
    </w:p>
    <w:p>
      <w:pPr>
        <w:spacing w:after="0" w:line="2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“Selecta Technology” means Selecta’s proprietary Synthetic Vaccine Particle Platform.</w:t>
      </w:r>
    </w:p>
    <w:p>
      <w:pPr>
        <w:spacing w:after="0" w:line="3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color w:val="auto"/>
        </w:rPr>
        <w:t>“Territory” means:</w:t>
      </w:r>
    </w:p>
    <w:p>
      <w:pPr>
        <w:spacing w:after="0" w:line="324" w:lineRule="exact"/>
        <w:rPr>
          <w:sz w:val="20"/>
          <w:szCs w:val="20"/>
          <w:color w:val="auto"/>
        </w:rPr>
      </w:pPr>
    </w:p>
    <w:p>
      <w:pPr>
        <w:ind w:right="340" w:firstLine="1305"/>
        <w:spacing w:after="0" w:line="269" w:lineRule="auto"/>
        <w:tabs>
          <w:tab w:leader="none" w:pos="171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Licensed Compounds or Licensed Products: worldwide, except for Greater China (defined as mainland China, Hong Kong, Macao and Taiwan) and Japan.</w:t>
      </w:r>
    </w:p>
    <w:p>
      <w:pPr>
        <w:spacing w:after="0" w:line="267"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Selecta Products: worldwide, except for Greater China.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5</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63"/>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89" w:right="239" w:bottom="1440" w:gutter="0" w:footer="0" w:header="0"/>
        </w:sectPr>
      </w:pPr>
    </w:p>
    <w:bookmarkStart w:id="98" w:name="page99"/>
    <w:bookmarkEnd w:id="98"/>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color w:val="auto"/>
        </w:rPr>
        <w:t>“Third Party” means any person or entity other than Selecta or 3SBio or any of their Affiliates.</w:t>
      </w:r>
    </w:p>
    <w:p>
      <w:pPr>
        <w:spacing w:after="0" w:line="32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1.44 “United States” or “U.S.” means the United States of America, including its territories and possessions, the District of Columbia and Puerto Rico.</w:t>
      </w:r>
    </w:p>
    <w:p>
      <w:pPr>
        <w:spacing w:after="0" w:line="268"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0"/>
          <w:szCs w:val="20"/>
          <w:color w:val="auto"/>
        </w:rPr>
        <w:t>1.45 “Valid Claim” means a claim of any examined, issued and unexpired composition of matter or method of use patent contained within the 3SBio Patent Rights, which claim has not been revoked or held invalid or unenforceable by a final decision of a court or other government agency of competent jurisdiction from which no appeal can be or has been taken and has not been held or admitted to be invalid or unenforceable through re-examination, disclaimer, reissue, opposition procedure, nullity suit or otherwise, and which claim covers a Product or its use.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w w:val="97"/>
              </w:rPr>
              <w:t>Section 2.</w:t>
            </w:r>
          </w:p>
        </w:tc>
        <w:tc>
          <w:tcPr>
            <w:tcW w:w="54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License Grants.</w:t>
            </w:r>
          </w:p>
        </w:tc>
      </w:tr>
      <w:tr>
        <w:trPr>
          <w:trHeight w:val="20"/>
        </w:trPr>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561"/>
        </w:trPr>
        <w:tc>
          <w:tcPr>
            <w:tcW w:w="156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2.1</w:t>
            </w:r>
          </w:p>
        </w:tc>
        <w:tc>
          <w:tcPr>
            <w:tcW w:w="86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Exclusive License. 3SBio, for itself and on behalf of its Affiliates, hereby grants to Selecta and its Affiliates:</w:t>
            </w: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355" w:lineRule="exact"/>
        <w:rPr>
          <w:sz w:val="20"/>
          <w:szCs w:val="20"/>
          <w:color w:val="auto"/>
        </w:rPr>
      </w:pPr>
    </w:p>
    <w:p>
      <w:pPr>
        <w:ind w:right="20" w:firstLine="1305"/>
        <w:spacing w:after="0" w:line="290" w:lineRule="auto"/>
        <w:tabs>
          <w:tab w:leader="none" w:pos="2164"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exclusive (even as to 3SBio and its Affiliates, but subject to Section 5.3(c)) license, with the right to sublicense in accordance with Section 2.2 only, under the 3SBio Patent Rights and 3SBio Know-How, to use, have used, sell, have sold, offer to sell, have offered to sell, import, have imported, research, have researched, Develop, have Developed, distribute, have distributed, Commercialize, have Commercialized, and otherwise exploit or have exploited (but not Manufacture or have Manufactured) Licensed Compounds and Products in the Field in the Territory. The foregoing license grant includes the right to disclose or make reference to all Regulatory Approvals, Regulatory Filings and correspondence (including DMFs) as necessary for Development and Commercialization contained within the 3SBio Know-How.</w:t>
      </w:r>
    </w:p>
    <w:p>
      <w:pPr>
        <w:spacing w:after="0" w:line="279" w:lineRule="exact"/>
        <w:rPr>
          <w:rFonts w:ascii="Times New Roman" w:cs="Times New Roman" w:eastAsia="Times New Roman" w:hAnsi="Times New Roman"/>
          <w:sz w:val="19"/>
          <w:szCs w:val="19"/>
          <w:color w:val="auto"/>
        </w:rPr>
      </w:pPr>
    </w:p>
    <w:p>
      <w:pPr>
        <w:jc w:val="both"/>
        <w:ind w:right="60" w:firstLine="1305"/>
        <w:spacing w:after="0" w:line="282" w:lineRule="auto"/>
        <w:tabs>
          <w:tab w:leader="none" w:pos="217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co-exclusive license (only with respect to 3SBio and its Affiliates), with the right to sublicense in accordance with Section 2.2 only, under the 3SBio Patent Rights and 3SBio Know-How, to Manufacture and have Manufactured (including directly with one or more CMOs) Licensed Compounds and Licensed Products in the Field in the Territory subject to Section 6.1 and Section 6.4.</w:t>
      </w:r>
    </w:p>
    <w:p>
      <w:pPr>
        <w:spacing w:after="0" w:line="283" w:lineRule="exact"/>
        <w:rPr>
          <w:rFonts w:ascii="Times New Roman" w:cs="Times New Roman" w:eastAsia="Times New Roman" w:hAnsi="Times New Roman"/>
          <w:sz w:val="20"/>
          <w:szCs w:val="20"/>
          <w:color w:val="auto"/>
        </w:rPr>
      </w:pPr>
    </w:p>
    <w:p>
      <w:pPr>
        <w:ind w:firstLine="1305"/>
        <w:spacing w:after="0" w:line="275" w:lineRule="auto"/>
        <w:tabs>
          <w:tab w:leader="none" w:pos="216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license, with the right to sublicense in accordance with Section 2.2 only, under the 3SBio Patent Rights and 3SBio Know-How, to Manufacture and have Manufactured (including directly with one or more CMOs) Selecta Products in the Field in the Territory using Licensed Compounds or Licensed Product Drug Substance supplied by 3SBio (unless one or more of the conditions of Section 2.1(b) apply that would allow Selecta or its CMOs to manufacture Licensed Product Drug Substance). For clarity, Selecta shall have the exclusive right to fill finish Licensed Product Drug Substance manufactured by 3SBio in the Field and in the Territory.</w:t>
      </w:r>
    </w:p>
    <w:p>
      <w:pPr>
        <w:spacing w:after="0" w:line="2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Sublicenses</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right="120" w:firstLine="1305"/>
        <w:spacing w:after="0" w:line="249" w:lineRule="auto"/>
        <w:tabs>
          <w:tab w:leader="none" w:pos="171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licenses contained in Section 2.1 include the right to grant sublicenses to Third Parties, and such sublicensees may (subject to any applicable terms and conditions of this Agreement) freely grant further sublicenses through multiple tiers to other Third Parties (each such Third Party sublicensee, a “Sublicensee”), providing that such further sublicenses preserve the rights and privileges of 3SBio under this Agreement.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6</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66"/>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99" w:name="page100"/>
    <w:bookmarkEnd w:id="99"/>
    <w:p>
      <w:pPr>
        <w:ind w:right="480" w:firstLine="1305"/>
        <w:spacing w:after="0" w:line="274" w:lineRule="auto"/>
        <w:tabs>
          <w:tab w:leader="none" w:pos="1725"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this Agreement for any reason, each of Selecta’s sublicenses hereunder will survive and will be automatically assigned from Selecta to 3SBio, so long as the applicable Sublicensee is then in compliance with its sublicense agreement; provided, however, that 3SBio’s obligations to any such Sublicensee will be no greater than 3SBio’s obligations to Selecta hereunder.</w:t>
      </w:r>
    </w:p>
    <w:p>
      <w:pPr>
        <w:spacing w:after="0" w:line="2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Restrictions on 3SBio</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firstLine="1305"/>
        <w:spacing w:after="0" w:line="245" w:lineRule="auto"/>
        <w:tabs>
          <w:tab w:leader="none" w:pos="171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3SBio and its Affiliates will not grant or provide to any Third Party any Know-How, Patent or other intellectual property rights or Confidential Information inconsistent with the terms of this Agreement. For as long as the license grants set forth in Section 2.1 are in effect, (i) 3SBio Know-How will be treated as Confidential Information of both Selecta and 3SBio, and 3SBio and its Affiliates will not disclose 3SBio Know-How except as permitted by Sections 10.1(b) or 10.1(c), and (ii) 3SBio and its Affiliates will not provide to any person or entity (other than Selecta or its Affiliates or Sublicensees or their respective designees) any Licensed Compounds or Products in the Field in the Territory.</w:t>
      </w:r>
    </w:p>
    <w:p>
      <w:pPr>
        <w:spacing w:after="0" w:line="293" w:lineRule="exact"/>
        <w:rPr>
          <w:rFonts w:ascii="Times New Roman" w:cs="Times New Roman" w:eastAsia="Times New Roman" w:hAnsi="Times New Roman"/>
          <w:sz w:val="20"/>
          <w:szCs w:val="20"/>
          <w:color w:val="auto"/>
        </w:rPr>
      </w:pPr>
    </w:p>
    <w:p>
      <w:pPr>
        <w:ind w:right="140" w:firstLine="1305"/>
        <w:spacing w:after="0" w:line="247" w:lineRule="auto"/>
        <w:tabs>
          <w:tab w:leader="none" w:pos="17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neither 3SBio or its Affiliates will, directly or indirectly, Manufacture, use, sell, offer for sale, import, research, Develop, distribute, Commercialize or otherwise exploit, either directly or indirectly: (i) any Licensed Compound or Product for any use in the Field in the Territory; (ii) any product containing any Licensed Compound or Licensed Product for any use in the Field in the Territory (no matter the mode of administration); or (iii) any product containing a compound covered by the claims of the 3SBio Patent Rights for any use in Field in the Territory, in each case except as expressly permitted in this Agreement and the Supply Agreements.</w:t>
      </w:r>
    </w:p>
    <w:p>
      <w:pPr>
        <w:spacing w:after="0" w:line="288" w:lineRule="exact"/>
        <w:rPr>
          <w:rFonts w:ascii="Times New Roman" w:cs="Times New Roman" w:eastAsia="Times New Roman" w:hAnsi="Times New Roman"/>
          <w:sz w:val="20"/>
          <w:szCs w:val="20"/>
          <w:color w:val="auto"/>
        </w:rPr>
      </w:pPr>
    </w:p>
    <w:p>
      <w:pPr>
        <w:ind w:right="60" w:firstLine="1305"/>
        <w:spacing w:after="0" w:line="254" w:lineRule="auto"/>
        <w:tabs>
          <w:tab w:leader="none" w:pos="171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3SBio may not assign, convey, sell, lease, encumber, license, sublicense or otherwise transfer to or grant any right in or to (collectively, “Transfer”) a Third Party any or all of the 3SBio Patent Rights or 3SBio Know-How without making such transaction subject to the licenses and other rights granted in this Agreement.</w:t>
      </w:r>
    </w:p>
    <w:p>
      <w:pPr>
        <w:spacing w:after="0" w:line="28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License Limitations</w:t>
      </w:r>
      <w:r>
        <w:rPr>
          <w:rFonts w:ascii="Times New Roman" w:cs="Times New Roman" w:eastAsia="Times New Roman" w:hAnsi="Times New Roman"/>
          <w:sz w:val="20"/>
          <w:szCs w:val="20"/>
          <w:color w:val="auto"/>
        </w:rPr>
        <w:t>. No licenses or other rights are granted by 3SBio hereunder to use any trademark, trade name, trade dress or service mark owned or in-licensed by 3SBio or any of its Affiliates. All licenses and other rights are or will be granted only as expressly provided in this Agreement, and no other licenses or other rights are or will be created or granted hereunder by implication. For clarity, except as set forth in Section 2.1, Selecta is not granting any licenses or other rights hereunder, and no licenses or other rights are or will be created or granted hereunder by implication.</w:t>
      </w:r>
    </w:p>
    <w:p>
      <w:pPr>
        <w:spacing w:after="0" w:line="30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Transfer of 3SBio Know-How</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right="280" w:firstLine="648"/>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Parties hereby acknowledge and agree that Selecta has received one (1) electronic copy of all documents, data or other information in 3SBio’s or its Affiliates’ possession as of the Original Effective Date that describe or contain 3SBio Know-How (including any Clinical Studies on the Licensed Compounds). 3SBio will provide and transfer to Selecta in the same manner all additional 3SBio Know-How that may from time to time during the Term become available to 3SBio or its Affiliates.</w:t>
      </w:r>
    </w:p>
    <w:p>
      <w:pPr>
        <w:spacing w:after="0" w:line="288" w:lineRule="exact"/>
        <w:rPr>
          <w:sz w:val="20"/>
          <w:szCs w:val="20"/>
          <w:color w:val="auto"/>
        </w:rPr>
      </w:pPr>
    </w:p>
    <w:p>
      <w:pPr>
        <w:ind w:right="6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Technical Assistance</w:t>
      </w:r>
      <w:r>
        <w:rPr>
          <w:rFonts w:ascii="Times New Roman" w:cs="Times New Roman" w:eastAsia="Times New Roman" w:hAnsi="Times New Roman"/>
          <w:sz w:val="20"/>
          <w:szCs w:val="20"/>
          <w:color w:val="auto"/>
        </w:rPr>
        <w:t>. During the period commencing upon the Original Effective Date and ending upon [***], 3SBio will reasonably cooperate [***] with Selecta to (a) provide technical</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7</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69"/>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00" w:name="page101"/>
    <w:bookmarkEnd w:id="100"/>
    <w:p>
      <w:pPr>
        <w:spacing w:after="0" w:line="247" w:lineRule="auto"/>
        <w:rPr>
          <w:sz w:val="20"/>
          <w:szCs w:val="20"/>
          <w:color w:val="auto"/>
        </w:rPr>
      </w:pPr>
      <w:r>
        <w:rPr>
          <w:rFonts w:ascii="Times New Roman" w:cs="Times New Roman" w:eastAsia="Times New Roman" w:hAnsi="Times New Roman"/>
          <w:sz w:val="20"/>
          <w:szCs w:val="20"/>
          <w:color w:val="auto"/>
        </w:rPr>
        <w:t>assistance to Selecta or its designee, and (b) transfer to Selecta any additional 3SBio Know-How licensed under Section 2.1, in each case which is necessary for the transfer of Development efforts related to Licensed Compounds and Products. Such cooperation will include providing Selecta with reasonable access by teleconference or in-person at 3SBio’s facilities to 3SBio personnel involved in the research and Development of Licensed Compounds and Licensed Products to provide Selecta with a reasonable level of technical assistance and consultation in connection with the transfer of 3SBio Know-How.</w:t>
      </w:r>
    </w:p>
    <w:p>
      <w:pPr>
        <w:spacing w:after="0" w:line="30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Governance</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Joint Steering Committee</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right="20" w:firstLine="1305"/>
        <w:spacing w:after="0" w:line="275" w:lineRule="auto"/>
        <w:tabs>
          <w:tab w:leader="none" w:pos="216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steering committee (the “JSC”) consists of four (4) members, [***] of whom have been designated by Selecta, and [***] of whom have been designated by 3SBio. Selecta and 3SBio may replace any or all of its representatives on the JSC at any time upon written notice to the other Party. A Party may designate a substitute to temporarily attend and perform the functions of such Party’s designee at any meeting of the JSC; provided, however, that such designee will have appropriate expertise. The chairperson of the JSC will be a representative of [***].</w:t>
      </w:r>
    </w:p>
    <w:p>
      <w:pPr>
        <w:spacing w:after="0" w:line="289" w:lineRule="exact"/>
        <w:rPr>
          <w:rFonts w:ascii="Times New Roman" w:cs="Times New Roman" w:eastAsia="Times New Roman" w:hAnsi="Times New Roman"/>
          <w:sz w:val="20"/>
          <w:szCs w:val="20"/>
          <w:color w:val="auto"/>
        </w:rPr>
      </w:pPr>
    </w:p>
    <w:p>
      <w:pPr>
        <w:ind w:right="20" w:firstLine="1305"/>
        <w:spacing w:after="0" w:line="270" w:lineRule="auto"/>
        <w:tabs>
          <w:tab w:leader="none" w:pos="217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purpose of the JSC is (i) to oversee the Manufacturing and Development activities for the Licensed Compounds and Products consistent with the terms and conditions of this Agreement and the Supply Agreements; (ii) to facilitate communication between the Parties with regard to the Manufacturing and Development of the Licensed Compounds and Products so that each Party is kept reasonably informed of the other Party’s activities; (iii) to oversee all key decisions with respect to any Third Party contract manufacturer (a “CMO”) that is used pursuant to this Agreement or the Supply Agreements, including choice of materials, decisions on manufacturing process, manufacturing scale, analytical methods, schedule and budget; (iv) to determine any material issues raised by any CMO that is used pursuant to this Agreement or the Supply Agreements with respect to the Manufacture of Licensed Compounds or Licensed Products; and (v) to review regulatory filings and correspondence between 3SBio or Selecta and regulatory agencies to the extent that these regulatory filings and correspondence relate to the Licensed Compound and are reasonably required to support regulatory filings of Selecta or 3SBio in their respective territories. For clarity, the JSC does not have the authority to interpret, or facilitate negotiation of, the terms of this Agreement or the respective rights of the parties thereunder.</w:t>
      </w:r>
    </w:p>
    <w:p>
      <w:pPr>
        <w:spacing w:after="0" w:line="300" w:lineRule="exact"/>
        <w:rPr>
          <w:rFonts w:ascii="Times New Roman" w:cs="Times New Roman" w:eastAsia="Times New Roman" w:hAnsi="Times New Roman"/>
          <w:sz w:val="20"/>
          <w:szCs w:val="20"/>
          <w:color w:val="auto"/>
        </w:rPr>
      </w:pPr>
    </w:p>
    <w:p>
      <w:pPr>
        <w:ind w:right="20" w:firstLine="1305"/>
        <w:spacing w:after="0" w:line="272" w:lineRule="auto"/>
        <w:tabs>
          <w:tab w:leader="none" w:pos="216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JSC may make decisions, with respect to Products in the Territory, that are subject to the JSC’s decision-making authority and responsibilities as set forth in Section 4.1(b). Regardless of the number of individuals attending any JSC meeting, Selecta and 3SBio will have a single vote each. The JSC will attempt in good faith to reach unanimity with respect to matters that come before it for decision and will give consideration to the views, positions and recommendations of each Party on such matters. If the JSC is unable to reach unanimity upon any issue or matter that is brought before it for decision within [***] days after consideration by the JSC then, and in each such event, the chairperson of the JSC will be entitled to make the final decision for the JSC with respect to such issue or matter, which decision will be binding upon the Parties.</w:t>
      </w:r>
    </w:p>
    <w:p>
      <w:pPr>
        <w:spacing w:after="0" w:line="282" w:lineRule="exact"/>
        <w:rPr>
          <w:sz w:val="20"/>
          <w:szCs w:val="20"/>
          <w:color w:val="auto"/>
        </w:rPr>
      </w:pPr>
    </w:p>
    <w:p>
      <w:pPr>
        <w:jc w:val="both"/>
        <w:ind w:right="60" w:firstLine="648"/>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Meetings</w:t>
      </w:r>
      <w:r>
        <w:rPr>
          <w:rFonts w:ascii="Times New Roman" w:cs="Times New Roman" w:eastAsia="Times New Roman" w:hAnsi="Times New Roman"/>
          <w:sz w:val="20"/>
          <w:szCs w:val="20"/>
          <w:color w:val="auto"/>
        </w:rPr>
        <w:t>. The chairperson of the JSC will call meetings as reasonably requested during the Term by one of the Parties; provided, however, that the JSC will meet no more frequently than [***] and no more than [***]. The chairperson will establish the timing and agenda of all JSC meetings and will transmit notice of such meetings, including the agenda therefor, to all JSC members;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8</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71"/>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01" w:name="page102"/>
    <w:bookmarkEnd w:id="101"/>
    <w:p>
      <w:pPr>
        <w:ind w:right="100"/>
        <w:spacing w:after="0" w:line="247" w:lineRule="auto"/>
        <w:rPr>
          <w:sz w:val="20"/>
          <w:szCs w:val="20"/>
          <w:color w:val="auto"/>
        </w:rPr>
      </w:pPr>
      <w:r>
        <w:rPr>
          <w:rFonts w:ascii="Times New Roman" w:cs="Times New Roman" w:eastAsia="Times New Roman" w:hAnsi="Times New Roman"/>
          <w:sz w:val="20"/>
          <w:szCs w:val="20"/>
          <w:color w:val="auto"/>
        </w:rPr>
        <w:t>provided, however, either Party may request that specific items be included on the applicable agenda and may request that additional meetings be scheduled as needed. Meetings may be held in person, by telephone or by video conference call and the location of each meeting will be mutually agreed upon by the Parties. On advance written notice to the other Party, additional participants may be invited by any representative to attend meetings where appropriate. Each Party will be responsible for all travel and related costs and expenses for its members and other representatives to participate in or attend committee meetings.</w:t>
      </w:r>
    </w:p>
    <w:p>
      <w:pPr>
        <w:spacing w:after="0" w:line="28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Minutes</w:t>
      </w:r>
      <w:r>
        <w:rPr>
          <w:rFonts w:ascii="Times New Roman" w:cs="Times New Roman" w:eastAsia="Times New Roman" w:hAnsi="Times New Roman"/>
          <w:sz w:val="20"/>
          <w:szCs w:val="20"/>
          <w:color w:val="auto"/>
        </w:rPr>
        <w:t>. Minutes of each JSC and JSC subcommittee meeting will be transcribed and issued by the chairperson of the JSC. Such minutes will include only key discussion points and decisions made and provide a list of any identified issues yet to be resolved, either within such committee or through the relevant resolution process, if any. The Parties will agree on the minutes of each meeting promptly, but in no event later than ten (10) business days after receipt of such minutes from the chairperson. Meeting minutes will be considered approved when a written copy is signed by each Party, which approved minutes will be maintained by each Party for archival purposes.</w:t>
      </w:r>
    </w:p>
    <w:p>
      <w:pPr>
        <w:spacing w:after="0" w:line="289" w:lineRule="exact"/>
        <w:rPr>
          <w:sz w:val="20"/>
          <w:szCs w:val="20"/>
          <w:color w:val="auto"/>
        </w:rPr>
      </w:pPr>
    </w:p>
    <w:p>
      <w:pPr>
        <w:ind w:right="340" w:firstLine="648"/>
        <w:spacing w:after="0" w:line="24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Change in Scope of JSC Responsibilities</w:t>
      </w:r>
      <w:r>
        <w:rPr>
          <w:rFonts w:ascii="Times New Roman" w:cs="Times New Roman" w:eastAsia="Times New Roman" w:hAnsi="Times New Roman"/>
          <w:sz w:val="20"/>
          <w:szCs w:val="20"/>
          <w:color w:val="auto"/>
        </w:rPr>
        <w:t>. The JSC will no longer have review or management interests in Manufacturing and supply of Licensed Compound or Licensed Products upon the earlier of: (a) the satisfaction of both of the following requirements (i) the commencement of the first Phase 3 Clinical Study for the first Product Developed under this Agreement, and (ii) the effective date of the Commercial Supply Agreement; or (b) the expiration or termination of this Agreement,</w:t>
      </w:r>
    </w:p>
    <w:p>
      <w:pPr>
        <w:spacing w:after="0" w:line="288" w:lineRule="exact"/>
        <w:rPr>
          <w:sz w:val="20"/>
          <w:szCs w:val="20"/>
          <w:color w:val="auto"/>
        </w:rPr>
      </w:pPr>
    </w:p>
    <w:p>
      <w:pPr>
        <w:jc w:val="center"/>
        <w:ind w:right="-59"/>
        <w:spacing w:after="0"/>
        <w:tabs>
          <w:tab w:leader="none" w:pos="1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Disbanding of the JSC</w:t>
      </w:r>
      <w:r>
        <w:rPr>
          <w:rFonts w:ascii="Times New Roman" w:cs="Times New Roman" w:eastAsia="Times New Roman" w:hAnsi="Times New Roman"/>
          <w:sz w:val="19"/>
          <w:szCs w:val="19"/>
          <w:color w:val="auto"/>
        </w:rPr>
        <w:t>. The JSC will disband at the first filing for BLA in the United States or a Major European Country.</w:t>
      </w:r>
    </w:p>
    <w:p>
      <w:pPr>
        <w:spacing w:after="0" w:line="3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 Amendment</w:t>
      </w:r>
      <w:r>
        <w:rPr>
          <w:rFonts w:ascii="Times New Roman" w:cs="Times New Roman" w:eastAsia="Times New Roman" w:hAnsi="Times New Roman"/>
          <w:sz w:val="20"/>
          <w:szCs w:val="20"/>
          <w:color w:val="auto"/>
        </w:rPr>
        <w:t>. The JSC has only the powers assigned to it in this Section 4. All activities conducted by and decisions taken by the JSC will be consistent with and subject to the provisions of this Agreement, and the JSC does not have any power to (a) take any action that conflicts with the terms of this Agreement, (b) amend, modify or waive compliance with any of the terms of this Agreement, nor (c) create any new obligations on any of the Parties.</w:t>
      </w:r>
    </w:p>
    <w:p>
      <w:pPr>
        <w:spacing w:after="0" w:line="30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Development and Commercialization; Regulatory Responsibilities</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Development</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right="200" w:firstLine="1305"/>
        <w:spacing w:after="0" w:line="297" w:lineRule="auto"/>
        <w:tabs>
          <w:tab w:leader="none" w:pos="216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acknowledge and agree that Selecta has provided the Selecta Development Plan to the JSC for review, which Selecta Development Plan may be amended from time to time by the JSC.</w:t>
      </w:r>
    </w:p>
    <w:p>
      <w:pPr>
        <w:spacing w:after="0" w:line="268" w:lineRule="exact"/>
        <w:rPr>
          <w:rFonts w:ascii="Times New Roman" w:cs="Times New Roman" w:eastAsia="Times New Roman" w:hAnsi="Times New Roman"/>
          <w:sz w:val="20"/>
          <w:szCs w:val="20"/>
          <w:color w:val="auto"/>
        </w:rPr>
      </w:pPr>
    </w:p>
    <w:p>
      <w:pPr>
        <w:ind w:firstLine="1305"/>
        <w:spacing w:after="0" w:line="297" w:lineRule="auto"/>
        <w:tabs>
          <w:tab w:leader="none" w:pos="217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use Commercially Reasonable Efforts to Develop the Product in the Field in the Territory in accordance with the Selecta Development Plan, at Selecta’s sole cost and expense.</w:t>
      </w:r>
    </w:p>
    <w:p>
      <w:pPr>
        <w:spacing w:after="0" w:line="268" w:lineRule="exact"/>
        <w:rPr>
          <w:rFonts w:ascii="Times New Roman" w:cs="Times New Roman" w:eastAsia="Times New Roman" w:hAnsi="Times New Roman"/>
          <w:sz w:val="20"/>
          <w:szCs w:val="20"/>
          <w:color w:val="auto"/>
        </w:rPr>
      </w:pPr>
    </w:p>
    <w:p>
      <w:pPr>
        <w:ind w:right="60" w:firstLine="1305"/>
        <w:spacing w:after="0" w:line="297" w:lineRule="auto"/>
        <w:tabs>
          <w:tab w:leader="none" w:pos="221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Selecta, or one of its Affiliates or Sublicensees, as applicable, will use Commercially Reasonable Efforts to Develop at least one (1) Product toward Regulatory Approval in the United States or the European Union.</w:t>
      </w:r>
    </w:p>
    <w:p>
      <w:pPr>
        <w:spacing w:after="0" w:line="268" w:lineRule="exact"/>
        <w:rPr>
          <w:rFonts w:ascii="Times New Roman" w:cs="Times New Roman" w:eastAsia="Times New Roman" w:hAnsi="Times New Roman"/>
          <w:sz w:val="20"/>
          <w:szCs w:val="20"/>
          <w:color w:val="auto"/>
        </w:rPr>
      </w:pPr>
    </w:p>
    <w:p>
      <w:pPr>
        <w:ind w:right="900" w:firstLine="1305"/>
        <w:spacing w:after="0" w:line="297" w:lineRule="auto"/>
        <w:tabs>
          <w:tab w:leader="none" w:pos="217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completion of [***], and after opportunity for discussion at the next JSC meeting following the completion of such [***], Selecta will provide written notice to 3SBio</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9</w:t>
      </w:r>
    </w:p>
    <w:p>
      <w:pPr>
        <w:spacing w:after="0" w:line="113" w:lineRule="exact"/>
        <w:rPr>
          <w:sz w:val="20"/>
          <w:szCs w:val="20"/>
          <w:color w:val="auto"/>
        </w:rPr>
      </w:pPr>
    </w:p>
    <w:p>
      <w:pPr>
        <w:jc w:val="center"/>
        <w:ind w:left="4540" w:right="100" w:hanging="4382"/>
        <w:spacing w:after="0" w:line="281" w:lineRule="auto"/>
        <w:tabs>
          <w:tab w:leader="none" w:pos="546" w:val="left"/>
        </w:tabs>
        <w:numPr>
          <w:ilvl w:val="0"/>
          <w:numId w:val="73"/>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576" w:right="279" w:bottom="1440" w:gutter="0" w:footer="0" w:header="0"/>
        </w:sectPr>
      </w:pPr>
    </w:p>
    <w:bookmarkStart w:id="102" w:name="page103"/>
    <w:bookmarkEnd w:id="102"/>
    <w:p>
      <w:pPr>
        <w:ind w:right="180"/>
        <w:spacing w:after="0" w:line="282" w:lineRule="auto"/>
        <w:rPr>
          <w:sz w:val="20"/>
          <w:szCs w:val="20"/>
          <w:color w:val="auto"/>
        </w:rPr>
      </w:pPr>
      <w:r>
        <w:rPr>
          <w:rFonts w:ascii="Times New Roman" w:cs="Times New Roman" w:eastAsia="Times New Roman" w:hAnsi="Times New Roman"/>
          <w:sz w:val="20"/>
          <w:szCs w:val="20"/>
          <w:color w:val="auto"/>
        </w:rPr>
        <w:t>regarding whether Selecta will proceed to Develop Licensed Products or Selecta Products under this Agreement. For clarity’s sake, Selecta is entitled under this Agreement to Develop both Licensed Products and Selecta Products in their respective territories at the same time or at different times upon written notice to 3SBio.</w:t>
      </w:r>
    </w:p>
    <w:p>
      <w:pPr>
        <w:spacing w:after="0" w:line="2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Regulatory Submissions and Regulatory Approvals</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firstLine="1305"/>
        <w:spacing w:after="0" w:line="269" w:lineRule="auto"/>
        <w:tabs>
          <w:tab w:leader="none" w:pos="171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have sole authority and responsibility, at its sole cost and expense and in Selecta’s sole discretion, to seek and attempt to obtain all Regulatory Approvals for the Products in the Field in the Territory.</w:t>
      </w:r>
    </w:p>
    <w:p>
      <w:pPr>
        <w:spacing w:after="0" w:line="267"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own all regulatory submissions, including all applications, for Regulatory Approvals for the Products in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Field in the Territory.</w:t>
      </w:r>
    </w:p>
    <w:p>
      <w:pPr>
        <w:spacing w:after="0" w:line="301" w:lineRule="exact"/>
        <w:rPr>
          <w:rFonts w:ascii="Times New Roman" w:cs="Times New Roman" w:eastAsia="Times New Roman" w:hAnsi="Times New Roman"/>
          <w:sz w:val="20"/>
          <w:szCs w:val="20"/>
          <w:color w:val="auto"/>
        </w:rPr>
      </w:pPr>
    </w:p>
    <w:p>
      <w:pPr>
        <w:ind w:right="60" w:firstLine="1305"/>
        <w:spacing w:after="0" w:line="244" w:lineRule="auto"/>
        <w:tabs>
          <w:tab w:leader="none" w:pos="171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be the primary contact with each Regulatory Authority in the Territory and will be solely responsible for all communications with each Regulatory Authority that relate to any Regulatory Filing or Regulatory Approval in the Territory, provided, however, that upon the reasonable request of Selecta, 3SBio will provide appropriate personnel to participate in discussions with a Regulatory Authority regarding the regulatory review process and will assist and consult with Selecta in applying for Regulatory Approval in the Territory in accordance with the terms of Section 3.2. In providing such assistance, 3SBio will not contact the Regulatory Authorities in the Territory without the prior written approval of Selecta, and, if contacted by a Regulatory Authority with respect to a Product in the Territory, will refer such contact to Selecta.</w:t>
      </w:r>
    </w:p>
    <w:p>
      <w:pPr>
        <w:spacing w:after="0" w:line="294" w:lineRule="exact"/>
        <w:rPr>
          <w:rFonts w:ascii="Times New Roman" w:cs="Times New Roman" w:eastAsia="Times New Roman" w:hAnsi="Times New Roman"/>
          <w:sz w:val="20"/>
          <w:szCs w:val="20"/>
          <w:color w:val="auto"/>
        </w:rPr>
      </w:pPr>
    </w:p>
    <w:p>
      <w:pPr>
        <w:ind w:right="80" w:firstLine="1305"/>
        <w:spacing w:after="0" w:line="245" w:lineRule="auto"/>
        <w:tabs>
          <w:tab w:leader="none" w:pos="17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receipt of each Regulatory Approval in the Territory, Selecta will have exclusive authority and responsibility to submit all reports or amendments necessary to maintain such Regulatory Approvals and to seek revisions of the conditions of each such Regulatory Approval. Selecta will have sole authority and responsibility in the Territory to seek and/or obtain any necessary Regulatory Authority approvals of any product label, or Regulatory Authority-approved prescribing information, package inserts, monographs and packaging used in connection with Products, as well as promotional material used in connection with Products, and for determining whether the same requires Regulatory Approval.</w:t>
      </w:r>
    </w:p>
    <w:p>
      <w:pPr>
        <w:spacing w:after="0" w:line="29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Commercialization</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right="400" w:firstLine="1305"/>
        <w:spacing w:after="0" w:line="269" w:lineRule="auto"/>
        <w:tabs>
          <w:tab w:leader="none" w:pos="171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use Commercially Reasonable Efforts to Commercialize at least one Product for use in the Field in those countries in the Territory for which Regulatory Approval has been obtained.</w:t>
      </w:r>
    </w:p>
    <w:p>
      <w:pPr>
        <w:spacing w:after="0" w:line="267" w:lineRule="exact"/>
        <w:rPr>
          <w:rFonts w:ascii="Times New Roman" w:cs="Times New Roman" w:eastAsia="Times New Roman" w:hAnsi="Times New Roman"/>
          <w:sz w:val="20"/>
          <w:szCs w:val="20"/>
          <w:color w:val="auto"/>
        </w:rPr>
      </w:pPr>
    </w:p>
    <w:p>
      <w:pPr>
        <w:ind w:right="100" w:firstLine="1305"/>
        <w:spacing w:after="0" w:line="269" w:lineRule="auto"/>
        <w:tabs>
          <w:tab w:leader="none" w:pos="172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be solely responsible, at its sole cost and expense, for all Commercialization activities under this Agreement and will keep 3SBio reasonably informed as to the progress of such activities.</w:t>
      </w:r>
    </w:p>
    <w:p>
      <w:pPr>
        <w:spacing w:after="0" w:line="267" w:lineRule="exact"/>
        <w:rPr>
          <w:rFonts w:ascii="Times New Roman" w:cs="Times New Roman" w:eastAsia="Times New Roman" w:hAnsi="Times New Roman"/>
          <w:sz w:val="20"/>
          <w:szCs w:val="20"/>
          <w:color w:val="auto"/>
        </w:rPr>
      </w:pPr>
    </w:p>
    <w:p>
      <w:pPr>
        <w:ind w:right="100" w:firstLine="1305"/>
        <w:spacing w:after="0" w:line="247" w:lineRule="auto"/>
        <w:tabs>
          <w:tab w:leader="none" w:pos="171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Selecta not undertake to Commercialize a Product in a country in Specified Regions within forty-eight (48) months following the first Approval of a Product in the United States or a Major European Country, 3SBio shall have the right, upon written notice to Selecta, to Commercialize a Licensed Product in such country using its own data and resources. The Specified Regions are limited to Africa, South America and Asia. The choice of 3SBio to commercialize a Licensed Product under this paragraph 5.3(c) shall not preclude Selecta from exploitation of a Selecta</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CACAC"/>
        </w:rPr>
        <w:t>10</w:t>
      </w:r>
    </w:p>
    <w:p>
      <w:pPr>
        <w:spacing w:after="0" w:line="113" w:lineRule="exact"/>
        <w:rPr>
          <w:sz w:val="20"/>
          <w:szCs w:val="20"/>
          <w:color w:val="auto"/>
        </w:rPr>
      </w:pPr>
    </w:p>
    <w:p>
      <w:pPr>
        <w:jc w:val="center"/>
        <w:ind w:left="4540" w:right="100" w:hanging="4382"/>
        <w:spacing w:after="0" w:line="281" w:lineRule="auto"/>
        <w:tabs>
          <w:tab w:leader="none" w:pos="546" w:val="left"/>
        </w:tabs>
        <w:numPr>
          <w:ilvl w:val="0"/>
          <w:numId w:val="76"/>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589" w:right="279" w:bottom="1440" w:gutter="0" w:footer="0" w:header="0"/>
        </w:sectPr>
      </w:pPr>
    </w:p>
    <w:bookmarkStart w:id="103" w:name="page104"/>
    <w:bookmarkEnd w:id="103"/>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Product in the affected countries and throughout the Territory. Should Selecta subsequently Commercialize a Selecta Product in a country in which 3SBio has Commercialized a Licensed product under this paragraph 5.3(c), then 3SBio shall cease immediately Commercialization of Licensed Products in that country.</w:t>
      </w:r>
    </w:p>
    <w:p>
      <w:pPr>
        <w:spacing w:after="0" w:line="2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Reporting and Access Limits</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right="140" w:firstLine="1305"/>
        <w:spacing w:after="0" w:line="269" w:lineRule="auto"/>
        <w:tabs>
          <w:tab w:leader="none" w:pos="171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written request of 3SBio, Selecta will provide [***] summary reports to 3SBio about Selecta’s progress on the Selecta Development Plan and Commercialization activities.</w:t>
      </w:r>
    </w:p>
    <w:p>
      <w:pPr>
        <w:spacing w:after="0" w:line="267"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received or obtained by 3SBio under this Section 5 will be treated as Selecta Confidential Information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31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Manufacturing</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Research and Clinical Supplies</w:t>
      </w:r>
      <w:r>
        <w:rPr>
          <w:rFonts w:ascii="Times New Roman" w:cs="Times New Roman" w:eastAsia="Times New Roman" w:hAnsi="Times New Roman"/>
          <w:sz w:val="20"/>
          <w:szCs w:val="20"/>
          <w:color w:val="auto"/>
        </w:rPr>
        <w:t>. 3SBio will be responsible for the Manufacture and supply of all cGMP Licensed Product Drug Substance and Licensed Product Drug Product to Selecta, its Affiliates and Sublicensees for use in toxicology, pharmacology, Phase 1 clinical studies and Phase 2 clinical studies (the “Research and Clinical Supplies”). In the event that 3SBio fails to supply such Research and Clinical Supplies or such supplies do not meet applicable cGMP, then Selecta will have the right to qualify and contract directly with one or more CMOs as a back-up supplier of such Research and Clinical Supplies and 3SBio will cooperate in good faith to facilitate a technical transfer of the Manufacture and supply of the Licensed Compounds to Selecta’s designated CMO(s), including any appropriate 3SBio Know-How transfer activities. 3SBio shall have the right to review and approve in writing the wording of the contract with the CMO, which shall not be unreasonably withheld, in advance of the contract’s execution within [***] days following receipt of a copy from Selecta. For clarity, the terms of the contract with the CMO(s) shall have binding and enforceable terms requiring the CMO(s) to cooperate with 3SBio to transfer all information and samples reasonably necessary for 3SBio’s regulatory filings outside the Territory and to undertake Manufacturing of Licensed Product Drug Substance at its own facilities starting in Phase 3.</w:t>
      </w:r>
    </w:p>
    <w:p>
      <w:pPr>
        <w:spacing w:after="0" w:line="299" w:lineRule="exact"/>
        <w:rPr>
          <w:sz w:val="20"/>
          <w:szCs w:val="20"/>
          <w:color w:val="auto"/>
        </w:rPr>
      </w:pPr>
    </w:p>
    <w:p>
      <w:pPr>
        <w:ind w:right="360" w:firstLine="648"/>
        <w:spacing w:after="0" w:line="24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CMC Information</w:t>
      </w:r>
      <w:r>
        <w:rPr>
          <w:rFonts w:ascii="Times New Roman" w:cs="Times New Roman" w:eastAsia="Times New Roman" w:hAnsi="Times New Roman"/>
          <w:sz w:val="20"/>
          <w:szCs w:val="20"/>
          <w:color w:val="auto"/>
        </w:rPr>
        <w:t>. From time to time during the Term, 3SBio will provide all necessary CMC information to Selecta or its designee for incorporation into Regulatory Filings and Regulatory Approvals for the Products in the Field in the Territory. Selecta shall use Commercially Reasonable Efforts to provide to 3SBio all CMC information and samples from its chosen CMO as necessary for 3SBio’s regulatory filings outside the Territory.</w:t>
      </w:r>
    </w:p>
    <w:p>
      <w:pPr>
        <w:spacing w:after="0" w:line="2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32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Phase 3 and Commercial Supply of Licensed Product Drug Substance</w:t>
      </w:r>
      <w:r>
        <w:rPr>
          <w:rFonts w:ascii="Times New Roman" w:cs="Times New Roman" w:eastAsia="Times New Roman" w:hAnsi="Times New Roman"/>
          <w:sz w:val="20"/>
          <w:szCs w:val="20"/>
          <w:color w:val="auto"/>
        </w:rPr>
        <w:t>. Promptly following the Effective Date, and subject to the terms and conditions set forth in this Section 6, the Parties will begin to negotiate in good faith the terms of and enter into a commercial supply agreement and quality agreement (the “Commercial Supply Agreement,” and together with the Clinical Supply Agreement, the “Supply Agreements”), pursuant to which 3SBio will supply Licensed Product Drug Substance to Selecta, its Affiliates and Sublicensees required for Phase 3 Clinical Studies (the “Phase 3 Supplies”) and Phase 4 Clinical Studies (if any) or Commercialization in the Territory (the “Commercial Supplies”), and Selecta will Manufacture or have Manufactured the finished form of the Licensed Product. In the event that (a) 3SBio fails to supply the Phase 3 Supplies or (b) Selecta decides to engage one or more CMOs as a managed back-up Licensed Product Drug Substance supplier for</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CACAC"/>
        </w:rPr>
        <w:t>11</w:t>
      </w:r>
    </w:p>
    <w:p>
      <w:pPr>
        <w:spacing w:after="0" w:line="113" w:lineRule="exact"/>
        <w:rPr>
          <w:sz w:val="20"/>
          <w:szCs w:val="20"/>
          <w:color w:val="auto"/>
        </w:rPr>
      </w:pPr>
    </w:p>
    <w:p>
      <w:pPr>
        <w:jc w:val="center"/>
        <w:ind w:left="4540" w:right="100" w:hanging="4382"/>
        <w:spacing w:after="0" w:line="281" w:lineRule="auto"/>
        <w:tabs>
          <w:tab w:leader="none" w:pos="546" w:val="left"/>
        </w:tabs>
        <w:numPr>
          <w:ilvl w:val="0"/>
          <w:numId w:val="78"/>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576" w:right="279" w:bottom="1440" w:gutter="0" w:footer="0" w:header="0"/>
        </w:sectPr>
      </w:pPr>
    </w:p>
    <w:bookmarkStart w:id="104" w:name="page105"/>
    <w:bookmarkEnd w:id="104"/>
    <w:p>
      <w:pPr>
        <w:ind w:right="100"/>
        <w:spacing w:after="0" w:line="243" w:lineRule="auto"/>
        <w:rPr>
          <w:sz w:val="20"/>
          <w:szCs w:val="20"/>
          <w:color w:val="auto"/>
        </w:rPr>
      </w:pPr>
      <w:r>
        <w:rPr>
          <w:rFonts w:ascii="Times New Roman" w:cs="Times New Roman" w:eastAsia="Times New Roman" w:hAnsi="Times New Roman"/>
          <w:sz w:val="20"/>
          <w:szCs w:val="20"/>
          <w:color w:val="auto"/>
        </w:rPr>
        <w:t xml:space="preserve">purposes of such CMO(s) to be qualified as a commercial supplier with applicable Regulatory Authorities, then Selecta will have the right to Manufacture itself, or qualify and contract directly with one or more CMOs, to serve as a secondary supplier of Licensed Product Drug Substance;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exercise of this manufacturing right, a CMO engaged by Selecta for the sole purpose of (b) above shall supply no more than [***] percent (***%) of the ongoing supply needs of Selecta for Commercial Supplies on an ongoing basis for use in the Territory, except in the event of a supply shortage by 3SBio, in which case Selecta shall have the right to either manufacture itself or engage such CMO to manufacture such additional amount as is required to compensate for such shortage;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during the term of this Agreement, except in the event of filling a supply shortage, Selecta shall purchase at least [***percent ([***]%) of its supply of Licensed Product Drug Substance for its commercial supply requirements for Licensed Product Drug Substance in the Territory from 3SBio on a cost plus [***] percent ([***]%) basis.</w:t>
      </w:r>
    </w:p>
    <w:p>
      <w:pPr>
        <w:spacing w:after="0" w:line="29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10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337"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u w:val="single" w:color="auto"/>
          <w:color w:val="auto"/>
        </w:rPr>
        <w:t>Adverse Events; Pharmacovigilance; Recalls</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Adverse Event Reporting</w:t>
      </w:r>
      <w:r>
        <w:rPr>
          <w:rFonts w:ascii="Times New Roman" w:cs="Times New Roman" w:eastAsia="Times New Roman" w:hAnsi="Times New Roman"/>
          <w:sz w:val="20"/>
          <w:szCs w:val="20"/>
          <w:color w:val="auto"/>
        </w:rPr>
        <w:t>. Each Party will provide the other Party with all information available to such Party that such other Party may reasonably require to comply with its pharmacovigilance responsibilities under applicable Law, including notice of any Adverse Drug Experiences from pre-clinical or clinical laboratory, animal toxicology and pharmacology studies, Clinical Studies and commercial experiences with any Licensed Compound or Licensed Product, whether by such Party, its Affiliates or, in the case of Selecta, its Sublicensees. “Adverse Drug Experience” means (a) any finding from tests in laboratory animals or in vitro that suggests a significant risk for human subjects including reports of mutagenicity, teratogenicity or carcinogenicity and (b) any undesirable, untoward or noxious event or experience associated with the clinical, commercial or other use, or occurring following administration, of any Licensed Compound or Licensed Product in humans, occurring at any dose, whether expected or unexpected and whether considered related or unrelated to any Licensed Compound or Licensed Product, including such an event or experience as occurs in the course of the use of any Licensed Compound or Licensed Product in professional practice, in a clinical trial, from overdose, whether accidental or intentional, from abuse, from withdrawal or from a failure of expected pharmacological or biological therapeutic action of any Licensed Compound or Licensed Product, and including those events or experiences that are required to be reported to the FDA under 21 C.F.R. Sections 312.32 or 314.80, or to foreign Regulatory Authorities under corresponding applicable Law outside the United States.</w:t>
      </w:r>
    </w:p>
    <w:p>
      <w:pPr>
        <w:spacing w:after="0" w:line="294"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Pharmacovigilance</w:t>
      </w:r>
      <w:r>
        <w:rPr>
          <w:rFonts w:ascii="Times New Roman" w:cs="Times New Roman" w:eastAsia="Times New Roman" w:hAnsi="Times New Roman"/>
          <w:sz w:val="20"/>
          <w:szCs w:val="20"/>
          <w:color w:val="auto"/>
        </w:rPr>
        <w:t>. Subject to the terms and conditions of this Agreement, within [***] months of the Original Effective Date, 3SBio and Selecta will discuss and develop mutually acceptable guidelines and procedures for the investigation, exchange, receipt, recordation, communication (as between the Parties) and exchange of Adverse Drug Experience information and all other information regarding matters covered in this Section 7. Until such guidelines and procedures are set forth in such pharmacovigilance agreement, the terms of Section 7 will apply. Following the execution of the pharmacovigilance agreement, Section 7 will cease to apply unless expressly agreed otherwise by the Parties. Such pharmacovigilance agreement will include provisions for the direct and prompt reporting of adverse events to Selecta in the English language by 3SBio employees or representatives and vice versa, the recording and maintenance by Selecta of records of all adverse events reported with respect to any Licensed Compound or the Licensed Product in the Field on a</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12</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79"/>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05" w:name="page106"/>
    <w:bookmarkEnd w:id="105"/>
    <w:p>
      <w:pPr>
        <w:ind w:right="140"/>
        <w:spacing w:after="0" w:line="244" w:lineRule="auto"/>
        <w:rPr>
          <w:sz w:val="20"/>
          <w:szCs w:val="20"/>
          <w:color w:val="auto"/>
        </w:rPr>
      </w:pPr>
      <w:r>
        <w:rPr>
          <w:rFonts w:ascii="Times New Roman" w:cs="Times New Roman" w:eastAsia="Times New Roman" w:hAnsi="Times New Roman"/>
          <w:sz w:val="20"/>
          <w:szCs w:val="20"/>
          <w:color w:val="auto"/>
        </w:rPr>
        <w:t>worldwide basis in an electronic database, and the establishment of appropriate mechanisms by which 3SBio can access such database on a read only basis to comply with applicable Law and to perform its responsibilities and exercise its rights under this Agreement; provided, however, that Selecta will not assume any regulatory compliance responsibilities of 3SBio with respect to pharmacovigilance outside the Territory by virtue of its establishment and maintenance of such global database. Selecta will bear all costs incurred in connection with receiving, recording, reviewing, communicating, reporting and responding to adverse events in the Territory, and 3SBio will bear all costs incurred in connection with the same outside the Territory; provided, however, that Selecta will establish and maintain such global database at its sole cost and expense.</w:t>
      </w:r>
    </w:p>
    <w:p>
      <w:pPr>
        <w:spacing w:after="0" w:line="29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Notification and Recall</w:t>
      </w:r>
      <w:r>
        <w:rPr>
          <w:rFonts w:ascii="Times New Roman" w:cs="Times New Roman" w:eastAsia="Times New Roman" w:hAnsi="Times New Roman"/>
          <w:sz w:val="20"/>
          <w:szCs w:val="20"/>
          <w:color w:val="auto"/>
        </w:rPr>
        <w:t>. In the event that any Regulatory Authority issues or requests a recall or takes similar action in connection with a Licensed Product or in the event either Party determines that an event, incident or circumstance has occurred that may result in the need for a recall or market withdrawal, the Party notified of or desiring such recall or similar action will, within twenty-four (24) hours, advise the other Party thereof by telephone (and confirmed by email or facsimile), email or facsimile. Selecta will have the sole right to decide, in its discretion, whether to conduct a recall, at its expense, of a Licensed Product in the Territory, and the manner in which any such recall will be conducted. 3SBio will have the sole right to decide, in its discretion, whether to conduct a recall, at its expense, of a Licensed Product outside the Territory, and the manner in which any such recall will be conducted.</w:t>
      </w:r>
    </w:p>
    <w:p>
      <w:pPr>
        <w:spacing w:after="0" w:line="295"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Recall Expenses</w:t>
      </w:r>
      <w:r>
        <w:rPr>
          <w:rFonts w:ascii="Times New Roman" w:cs="Times New Roman" w:eastAsia="Times New Roman" w:hAnsi="Times New Roman"/>
          <w:sz w:val="20"/>
          <w:szCs w:val="20"/>
          <w:color w:val="auto"/>
        </w:rPr>
        <w:t>. Selecta will bear the expenses of any recall of a Licensed Product in the Territory; provided, however, that 3SBio will bear the expense of a recall to the extent that such recall resulted from 3SBio’s breach of its obligations hereunder. 3SBio will bear the expenses of any recall of a Licensed Product outside the Territory; provided, however, that Selecta will bear the expense of a recall to the extent that such recall resulted from Selecta’s breach of its obligations hereunder.</w:t>
      </w:r>
    </w:p>
    <w:p>
      <w:pPr>
        <w:spacing w:after="0" w:line="30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Payments by Selecta</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The Parties hereby acknowledge and agree that as of the Effective Date, Selecta has paid to 3SBio (or its designated Affiliate) the following non-refundable, non-creditable payments: (a) US$500,000 within [***] business days after the Original Effective Date; and (b) US$500,000 within [***]. For purposes of this Agreement, “commencement” means (i) [***]; and (ii) [***].</w:t>
      </w:r>
    </w:p>
    <w:p>
      <w:pPr>
        <w:spacing w:after="0" w:line="28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Milestone Payments</w:t>
      </w:r>
      <w:r>
        <w:rPr>
          <w:rFonts w:ascii="Times New Roman" w:cs="Times New Roman" w:eastAsia="Times New Roman" w:hAnsi="Times New Roman"/>
          <w:sz w:val="20"/>
          <w:szCs w:val="20"/>
          <w:color w:val="auto"/>
        </w:rPr>
        <w:t>. As set forth in the following table, Selecta will make the following non-refundable Development milestone payments to 3SBio, or a designated Affiliate, upon achievement of each of the Development milestone events. Each milestone payment will be payable by Selecta to 3SBio within [******] after the Calendar Quarter in which the achievement of the corresponding milestone event with respect to the first Product occurs. Separate milestone payments, as set forth in the table below, are due if Selecta chooses to Develop both Licensed Products and Selecta Products. Each milestone, however, is payable one time only no matter how many times any of the milestone events are achieved.</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13</w:t>
      </w:r>
    </w:p>
    <w:p>
      <w:pPr>
        <w:spacing w:after="0" w:line="113" w:lineRule="exact"/>
        <w:rPr>
          <w:sz w:val="20"/>
          <w:szCs w:val="20"/>
          <w:color w:val="auto"/>
        </w:rPr>
      </w:pPr>
    </w:p>
    <w:p>
      <w:pPr>
        <w:jc w:val="center"/>
        <w:ind w:left="4540" w:right="120" w:hanging="4382"/>
        <w:spacing w:after="0" w:line="281" w:lineRule="auto"/>
        <w:tabs>
          <w:tab w:leader="none" w:pos="546" w:val="left"/>
        </w:tabs>
        <w:numPr>
          <w:ilvl w:val="0"/>
          <w:numId w:val="80"/>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576" w:right="2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89"/>
        </w:trPr>
        <w:tc>
          <w:tcPr>
            <w:tcW w:w="6420" w:type="dxa"/>
            <w:vAlign w:val="bottom"/>
            <w:tcBorders>
              <w:top w:val="single" w:sz="8" w:color="auto"/>
              <w:left w:val="single" w:sz="8" w:color="auto"/>
              <w:bottom w:val="single" w:sz="8" w:color="ACACAC"/>
              <w:right w:val="single" w:sz="8" w:color="auto"/>
            </w:tcBorders>
            <w:shd w:val="clear" w:color="auto" w:fill="ACACAC"/>
          </w:tcPr>
          <w:p>
            <w:pPr>
              <w:jc w:val="center"/>
              <w:ind w:right="499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2060" w:type="dxa"/>
            <w:vAlign w:val="bottom"/>
            <w:tcBorders>
              <w:top w:val="single" w:sz="8" w:color="auto"/>
              <w:bottom w:val="single" w:sz="8" w:color="ACACAC"/>
            </w:tcBorders>
            <w:shd w:val="clear" w:color="auto" w:fill="ACACAC"/>
          </w:tcPr>
          <w:p>
            <w:pPr>
              <w:ind w:left="40"/>
              <w:spacing w:after="0"/>
              <w:rPr>
                <w:sz w:val="20"/>
                <w:szCs w:val="20"/>
                <w:color w:val="auto"/>
              </w:rPr>
            </w:pPr>
            <w:r>
              <w:rPr>
                <w:rFonts w:ascii="Times New Roman" w:cs="Times New Roman" w:eastAsia="Times New Roman" w:hAnsi="Times New Roman"/>
                <w:sz w:val="18"/>
                <w:szCs w:val="18"/>
                <w:b w:val="1"/>
                <w:bCs w:val="1"/>
                <w:color w:val="auto"/>
              </w:rPr>
              <w:t>Milestone Payment</w:t>
            </w:r>
          </w:p>
        </w:tc>
        <w:tc>
          <w:tcPr>
            <w:tcW w:w="480" w:type="dxa"/>
            <w:vAlign w:val="bottom"/>
            <w:tcBorders>
              <w:top w:val="single" w:sz="8" w:color="auto"/>
              <w:bottom w:val="single" w:sz="8" w:color="ACACAC"/>
              <w:right w:val="single" w:sz="8" w:color="ACACAC"/>
            </w:tcBorders>
            <w:shd w:val="clear" w:color="auto" w:fill="ACACAC"/>
          </w:tcPr>
          <w:p>
            <w:pPr>
              <w:spacing w:after="0"/>
              <w:rPr>
                <w:sz w:val="24"/>
                <w:szCs w:val="24"/>
                <w:color w:val="auto"/>
              </w:rPr>
            </w:pPr>
          </w:p>
        </w:tc>
        <w:tc>
          <w:tcPr>
            <w:tcW w:w="2480" w:type="dxa"/>
            <w:vAlign w:val="bottom"/>
            <w:tcBorders>
              <w:top w:val="single" w:sz="8" w:color="auto"/>
              <w:bottom w:val="single" w:sz="8" w:color="ACACAC"/>
              <w:right w:val="single" w:sz="8" w:color="auto"/>
            </w:tcBorders>
            <w:shd w:val="clear" w:color="auto" w:fill="ACACAC"/>
          </w:tcPr>
          <w:p>
            <w:pPr>
              <w:spacing w:after="0"/>
              <w:rPr>
                <w:sz w:val="24"/>
                <w:szCs w:val="24"/>
                <w:color w:val="auto"/>
              </w:rPr>
            </w:pPr>
          </w:p>
        </w:tc>
      </w:tr>
      <w:tr>
        <w:trPr>
          <w:trHeight w:val="218"/>
        </w:trPr>
        <w:tc>
          <w:tcPr>
            <w:tcW w:w="6420" w:type="dxa"/>
            <w:vAlign w:val="bottom"/>
            <w:tcBorders>
              <w:top w:val="single" w:sz="8" w:color="auto"/>
              <w:left w:val="single" w:sz="8" w:color="auto"/>
              <w:right w:val="single" w:sz="8" w:color="auto"/>
            </w:tcBorders>
          </w:tcPr>
          <w:p>
            <w:pPr>
              <w:spacing w:after="0"/>
              <w:rPr>
                <w:sz w:val="18"/>
                <w:szCs w:val="18"/>
                <w:color w:val="auto"/>
              </w:rPr>
            </w:pPr>
          </w:p>
        </w:tc>
        <w:tc>
          <w:tcPr>
            <w:tcW w:w="2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If Selecta elects to Develop</w:t>
            </w:r>
          </w:p>
        </w:tc>
        <w:tc>
          <w:tcPr>
            <w:tcW w:w="48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Selecta elects to Develop</w:t>
            </w:r>
          </w:p>
        </w:tc>
      </w:tr>
      <w:tr>
        <w:trPr>
          <w:trHeight w:val="216"/>
        </w:trPr>
        <w:tc>
          <w:tcPr>
            <w:tcW w:w="642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Licensed Products under Section</w:t>
            </w: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Selecta Products under Section</w:t>
            </w:r>
          </w:p>
        </w:tc>
      </w:tr>
      <w:tr>
        <w:trPr>
          <w:trHeight w:val="234"/>
        </w:trPr>
        <w:tc>
          <w:tcPr>
            <w:tcW w:w="6420" w:type="dxa"/>
            <w:vAlign w:val="bottom"/>
            <w:tcBorders>
              <w:left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5.1(d)</w:t>
            </w:r>
          </w:p>
        </w:tc>
        <w:tc>
          <w:tcPr>
            <w:tcW w:w="4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5.1(d)</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56"/>
        </w:trPr>
        <w:tc>
          <w:tcPr>
            <w:tcW w:w="6420" w:type="dxa"/>
            <w:vAlign w:val="bottom"/>
            <w:tcBorders>
              <w:left w:val="single" w:sz="8" w:color="auto"/>
              <w:right w:val="single" w:sz="8" w:color="auto"/>
            </w:tcBorders>
          </w:tcPr>
          <w:p>
            <w:pPr>
              <w:jc w:val="center"/>
              <w:ind w:right="5010"/>
              <w:spacing w:after="0"/>
              <w:rPr>
                <w:sz w:val="20"/>
                <w:szCs w:val="20"/>
                <w:color w:val="auto"/>
              </w:rPr>
            </w:pPr>
            <w:r>
              <w:rPr>
                <w:rFonts w:ascii="Times New Roman" w:cs="Times New Roman" w:eastAsia="Times New Roman" w:hAnsi="Times New Roman"/>
                <w:sz w:val="18"/>
                <w:szCs w:val="18"/>
                <w:color w:val="auto"/>
                <w:w w:val="98"/>
              </w:rPr>
              <w:t>1. [***]</w:t>
            </w:r>
          </w:p>
        </w:tc>
        <w:tc>
          <w:tcPr>
            <w:tcW w:w="2060" w:type="dxa"/>
            <w:vAlign w:val="bottom"/>
          </w:tcPr>
          <w:p>
            <w:pPr>
              <w:spacing w:after="0"/>
              <w:rPr>
                <w:sz w:val="22"/>
                <w:szCs w:val="22"/>
                <w:color w:val="auto"/>
              </w:rPr>
            </w:pPr>
          </w:p>
        </w:tc>
        <w:tc>
          <w:tcPr>
            <w:tcW w:w="2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37"/>
        </w:trPr>
        <w:tc>
          <w:tcPr>
            <w:tcW w:w="642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r>
      <w:tr>
        <w:trPr>
          <w:trHeight w:val="237"/>
        </w:trPr>
        <w:tc>
          <w:tcPr>
            <w:tcW w:w="6420" w:type="dxa"/>
            <w:vAlign w:val="bottom"/>
            <w:tcBorders>
              <w:left w:val="single" w:sz="8" w:color="auto"/>
              <w:right w:val="single" w:sz="8" w:color="auto"/>
            </w:tcBorders>
          </w:tcPr>
          <w:p>
            <w:pPr>
              <w:jc w:val="center"/>
              <w:ind w:right="5010"/>
              <w:spacing w:after="0"/>
              <w:rPr>
                <w:sz w:val="20"/>
                <w:szCs w:val="20"/>
                <w:color w:val="auto"/>
              </w:rPr>
            </w:pPr>
            <w:r>
              <w:rPr>
                <w:rFonts w:ascii="Times New Roman" w:cs="Times New Roman" w:eastAsia="Times New Roman" w:hAnsi="Times New Roman"/>
                <w:sz w:val="18"/>
                <w:szCs w:val="18"/>
                <w:color w:val="auto"/>
                <w:w w:val="98"/>
              </w:rPr>
              <w:t>2.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jc w:val="center"/>
              <w:ind w:right="5010"/>
              <w:spacing w:after="0"/>
              <w:rPr>
                <w:sz w:val="20"/>
                <w:szCs w:val="20"/>
                <w:color w:val="auto"/>
              </w:rPr>
            </w:pPr>
            <w:r>
              <w:rPr>
                <w:rFonts w:ascii="Times New Roman" w:cs="Times New Roman" w:eastAsia="Times New Roman" w:hAnsi="Times New Roman"/>
                <w:sz w:val="18"/>
                <w:szCs w:val="18"/>
                <w:color w:val="auto"/>
                <w:w w:val="98"/>
              </w:rPr>
              <w:t>3.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jc w:val="center"/>
              <w:ind w:right="5010"/>
              <w:spacing w:after="0"/>
              <w:rPr>
                <w:sz w:val="20"/>
                <w:szCs w:val="20"/>
                <w:color w:val="auto"/>
              </w:rPr>
            </w:pPr>
            <w:r>
              <w:rPr>
                <w:rFonts w:ascii="Times New Roman" w:cs="Times New Roman" w:eastAsia="Times New Roman" w:hAnsi="Times New Roman"/>
                <w:sz w:val="18"/>
                <w:szCs w:val="18"/>
                <w:color w:val="auto"/>
                <w:w w:val="98"/>
              </w:rPr>
              <w:t>4.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jc w:val="center"/>
              <w:ind w:right="5010"/>
              <w:spacing w:after="0"/>
              <w:rPr>
                <w:sz w:val="20"/>
                <w:szCs w:val="20"/>
                <w:color w:val="auto"/>
              </w:rPr>
            </w:pPr>
            <w:r>
              <w:rPr>
                <w:rFonts w:ascii="Times New Roman" w:cs="Times New Roman" w:eastAsia="Times New Roman" w:hAnsi="Times New Roman"/>
                <w:sz w:val="18"/>
                <w:szCs w:val="18"/>
                <w:color w:val="auto"/>
                <w:w w:val="98"/>
              </w:rPr>
              <w:t>5.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Royalties</w:t>
      </w:r>
      <w:r>
        <w:rPr>
          <w:rFonts w:ascii="Times New Roman" w:cs="Times New Roman" w:eastAsia="Times New Roman" w:hAnsi="Times New Roman"/>
          <w:sz w:val="19"/>
          <w:szCs w:val="19"/>
          <w:color w:val="auto"/>
        </w:rPr>
        <w:t>.</w:t>
      </w:r>
    </w:p>
    <w:p>
      <w:pPr>
        <w:spacing w:after="0" w:line="333" w:lineRule="exact"/>
        <w:rPr>
          <w:sz w:val="20"/>
          <w:szCs w:val="20"/>
          <w:color w:val="auto"/>
        </w:rPr>
      </w:pPr>
    </w:p>
    <w:p>
      <w:pPr>
        <w:ind w:right="160" w:firstLine="1305"/>
        <w:spacing w:after="0" w:line="301" w:lineRule="auto"/>
        <w:tabs>
          <w:tab w:leader="none" w:pos="216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Royalties</w:t>
      </w:r>
      <w:r>
        <w:rPr>
          <w:rFonts w:ascii="Times New Roman" w:cs="Times New Roman" w:eastAsia="Times New Roman" w:hAnsi="Times New Roman"/>
          <w:sz w:val="20"/>
          <w:szCs w:val="20"/>
          <w:color w:val="auto"/>
        </w:rPr>
        <w:t>. Selecta will pay to 3SBio, or a designated Affiliate, royalties based on annual worldwide Net Sales, on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country-by-country and Product-by-Product basis, at the royalty rate specified in the following table.</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420" w:type="dxa"/>
            <w:vAlign w:val="bottom"/>
            <w:tcBorders>
              <w:top w:val="single" w:sz="8" w:color="auto"/>
              <w:left w:val="single" w:sz="8" w:color="auto"/>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8"/>
                <w:szCs w:val="18"/>
                <w:b w:val="1"/>
                <w:bCs w:val="1"/>
                <w:color w:val="auto"/>
              </w:rPr>
              <w:t>Annual Worldwide Net Sales</w:t>
            </w:r>
          </w:p>
        </w:tc>
        <w:tc>
          <w:tcPr>
            <w:tcW w:w="2520" w:type="dxa"/>
            <w:vAlign w:val="bottom"/>
            <w:tcBorders>
              <w:top w:val="single" w:sz="8" w:color="auto"/>
              <w:right w:val="single" w:sz="8" w:color="ACACAC"/>
            </w:tcBorders>
            <w:shd w:val="clear" w:color="auto" w:fill="ACACAC"/>
          </w:tcPr>
          <w:p>
            <w:pPr>
              <w:ind w:left="40"/>
              <w:spacing w:after="0"/>
              <w:rPr>
                <w:sz w:val="20"/>
                <w:szCs w:val="20"/>
                <w:color w:val="auto"/>
              </w:rPr>
            </w:pPr>
            <w:r>
              <w:rPr>
                <w:rFonts w:ascii="Times New Roman" w:cs="Times New Roman" w:eastAsia="Times New Roman" w:hAnsi="Times New Roman"/>
                <w:sz w:val="18"/>
                <w:szCs w:val="18"/>
                <w:b w:val="1"/>
                <w:bCs w:val="1"/>
                <w:color w:val="auto"/>
              </w:rPr>
              <w:t>Royalty Rate</w:t>
            </w:r>
          </w:p>
        </w:tc>
        <w:tc>
          <w:tcPr>
            <w:tcW w:w="2500" w:type="dxa"/>
            <w:vAlign w:val="bottom"/>
            <w:tcBorders>
              <w:top w:val="single" w:sz="8" w:color="auto"/>
              <w:right w:val="single" w:sz="8" w:color="auto"/>
            </w:tcBorders>
            <w:shd w:val="clear" w:color="auto" w:fill="ACACAC"/>
          </w:tcPr>
          <w:p>
            <w:pPr>
              <w:spacing w:after="0"/>
              <w:rPr>
                <w:sz w:val="20"/>
                <w:szCs w:val="20"/>
                <w:color w:val="auto"/>
              </w:rPr>
            </w:pPr>
          </w:p>
        </w:tc>
      </w:tr>
      <w:tr>
        <w:trPr>
          <w:trHeight w:val="270"/>
        </w:trPr>
        <w:tc>
          <w:tcPr>
            <w:tcW w:w="6420" w:type="dxa"/>
            <w:vAlign w:val="bottom"/>
            <w:tcBorders>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8"/>
                <w:szCs w:val="18"/>
                <w:b w:val="1"/>
                <w:bCs w:val="1"/>
                <w:color w:val="auto"/>
              </w:rPr>
              <w:t>of All Products in a Calendar Year</w:t>
            </w:r>
          </w:p>
        </w:tc>
        <w:tc>
          <w:tcPr>
            <w:tcW w:w="2520" w:type="dxa"/>
            <w:vAlign w:val="bottom"/>
            <w:tcBorders>
              <w:bottom w:val="single" w:sz="8" w:color="ACACAC"/>
              <w:right w:val="single" w:sz="8" w:color="ACACAC"/>
            </w:tcBorders>
            <w:shd w:val="clear" w:color="auto" w:fill="ACACAC"/>
          </w:tcPr>
          <w:p>
            <w:pPr>
              <w:spacing w:after="0"/>
              <w:rPr>
                <w:sz w:val="23"/>
                <w:szCs w:val="23"/>
                <w:color w:val="auto"/>
              </w:rPr>
            </w:pPr>
          </w:p>
        </w:tc>
        <w:tc>
          <w:tcPr>
            <w:tcW w:w="2500" w:type="dxa"/>
            <w:vAlign w:val="bottom"/>
            <w:tcBorders>
              <w:bottom w:val="single" w:sz="8" w:color="ACACAC"/>
              <w:right w:val="single" w:sz="8" w:color="auto"/>
            </w:tcBorders>
            <w:shd w:val="clear" w:color="auto" w:fill="ACACAC"/>
          </w:tcPr>
          <w:p>
            <w:pPr>
              <w:spacing w:after="0"/>
              <w:rPr>
                <w:sz w:val="23"/>
                <w:szCs w:val="23"/>
                <w:color w:val="auto"/>
              </w:rPr>
            </w:pPr>
          </w:p>
        </w:tc>
      </w:tr>
      <w:tr>
        <w:trPr>
          <w:trHeight w:val="218"/>
        </w:trPr>
        <w:tc>
          <w:tcPr>
            <w:tcW w:w="6420" w:type="dxa"/>
            <w:vAlign w:val="bottom"/>
            <w:tcBorders>
              <w:top w:val="single" w:sz="8" w:color="auto"/>
              <w:left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if Selecta elects to Develop</w:t>
            </w:r>
          </w:p>
        </w:tc>
        <w:tc>
          <w:tcPr>
            <w:tcW w:w="2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if Selecta elects to Develop</w:t>
            </w:r>
          </w:p>
        </w:tc>
      </w:tr>
      <w:tr>
        <w:trPr>
          <w:trHeight w:val="216"/>
        </w:trPr>
        <w:tc>
          <w:tcPr>
            <w:tcW w:w="64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Licensed Products under Section</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Products under Section</w:t>
            </w:r>
          </w:p>
        </w:tc>
      </w:tr>
      <w:tr>
        <w:trPr>
          <w:trHeight w:val="234"/>
        </w:trPr>
        <w:tc>
          <w:tcPr>
            <w:tcW w:w="64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5.1(d)</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5.1(d)</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 such Net Sales up to US$[***]</w:t>
            </w: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 such Net Sales above US$[***] and up to US$[***]</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right w:val="single" w:sz="8" w:color="auto"/>
            </w:tcBorders>
          </w:tcPr>
          <w:p>
            <w:pPr>
              <w:spacing w:after="0"/>
              <w:rPr>
                <w:sz w:val="20"/>
                <w:szCs w:val="20"/>
                <w:color w:val="auto"/>
              </w:rPr>
            </w:pP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 such Net Sales above US$[***] and up to US$[***]</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right w:val="single" w:sz="8" w:color="auto"/>
            </w:tcBorders>
          </w:tcPr>
          <w:p>
            <w:pPr>
              <w:spacing w:after="0"/>
              <w:rPr>
                <w:sz w:val="20"/>
                <w:szCs w:val="20"/>
                <w:color w:val="auto"/>
              </w:rPr>
            </w:pP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6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 such Net Sales above US$[***]</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right w:val="single" w:sz="8" w:color="auto"/>
            </w:tcBorders>
          </w:tcPr>
          <w:p>
            <w:pPr>
              <w:spacing w:after="0"/>
              <w:rPr>
                <w:sz w:val="20"/>
                <w:szCs w:val="20"/>
                <w:color w:val="auto"/>
              </w:rPr>
            </w:pPr>
          </w:p>
        </w:tc>
      </w:tr>
      <w:tr>
        <w:trPr>
          <w:trHeight w:val="27"/>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bl>
    <w:p>
      <w:pPr>
        <w:spacing w:after="0" w:line="311" w:lineRule="exact"/>
        <w:rPr>
          <w:sz w:val="20"/>
          <w:szCs w:val="20"/>
          <w:color w:val="auto"/>
        </w:rPr>
      </w:pPr>
    </w:p>
    <w:p>
      <w:pPr>
        <w:ind w:right="40" w:firstLine="1305"/>
        <w:spacing w:after="0" w:line="301" w:lineRule="auto"/>
        <w:tabs>
          <w:tab w:leader="none" w:pos="217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Royalty Term</w:t>
      </w:r>
      <w:r>
        <w:rPr>
          <w:rFonts w:ascii="Times New Roman" w:cs="Times New Roman" w:eastAsia="Times New Roman" w:hAnsi="Times New Roman"/>
          <w:sz w:val="20"/>
          <w:szCs w:val="20"/>
          <w:color w:val="auto"/>
        </w:rPr>
        <w:t>. Selecta’s obligation to pay royalties under Section 8.3(a) will be in effect during the “Royalty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begins on [***] and will expire on a Product-by-Product and country-by-country basis upon the later of:</w:t>
      </w:r>
    </w:p>
    <w:p>
      <w:pPr>
        <w:spacing w:after="0" w:line="264" w:lineRule="exact"/>
        <w:rPr>
          <w:rFonts w:ascii="Times New Roman" w:cs="Times New Roman" w:eastAsia="Times New Roman" w:hAnsi="Times New Roman"/>
          <w:sz w:val="20"/>
          <w:szCs w:val="20"/>
          <w:color w:val="auto"/>
        </w:rPr>
      </w:pPr>
    </w:p>
    <w:p>
      <w:pPr>
        <w:ind w:right="480" w:firstLine="1953"/>
        <w:spacing w:after="0" w:line="297" w:lineRule="auto"/>
        <w:tabs>
          <w:tab w:leader="none" w:pos="278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the last-to-expire of any 3SBio Patent Right in such country having a Valid Claim that covers such Product and that would be infringed by the sale of such Product in such country; or</w:t>
      </w:r>
    </w:p>
    <w:p>
      <w:pPr>
        <w:spacing w:after="0" w:line="268" w:lineRule="exact"/>
        <w:rPr>
          <w:rFonts w:ascii="Times New Roman" w:cs="Times New Roman" w:eastAsia="Times New Roman" w:hAnsi="Times New Roman"/>
          <w:sz w:val="20"/>
          <w:szCs w:val="20"/>
          <w:color w:val="auto"/>
        </w:rPr>
      </w:pPr>
    </w:p>
    <w:p>
      <w:pPr>
        <w:ind w:left="2840" w:hanging="887"/>
        <w:spacing w:after="0"/>
        <w:tabs>
          <w:tab w:leader="none" w:pos="2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after the First Commercial Sale of such Product in such country;</w:t>
      </w:r>
    </w:p>
    <w:p>
      <w:pPr>
        <w:spacing w:after="0" w:line="12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provided that, with respect to Net Sales of a Product in a given country, for the period of time (if any) that the Royalty Period for such Product in such country is based on clause (ii) above and not on clause (i) above, then the royalty rates set forth in the table above will be reduced by</w:t>
      </w:r>
    </w:p>
    <w:p>
      <w:pPr>
        <w:spacing w:after="0" w:line="1" w:lineRule="exact"/>
        <w:rPr>
          <w:sz w:val="20"/>
          <w:szCs w:val="20"/>
          <w:color w:val="auto"/>
        </w:rPr>
      </w:pPr>
    </w:p>
    <w:p>
      <w:pPr>
        <w:ind w:left="480" w:hanging="472"/>
        <w:spacing w:after="0"/>
        <w:tabs>
          <w:tab w:leader="none" w:pos="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 from the rates set forth in the above table.</w:t>
      </w:r>
    </w:p>
    <w:p>
      <w:pPr>
        <w:spacing w:after="0" w:line="311" w:lineRule="exact"/>
        <w:rPr>
          <w:rFonts w:ascii="Times New Roman" w:cs="Times New Roman" w:eastAsia="Times New Roman" w:hAnsi="Times New Roman"/>
          <w:sz w:val="20"/>
          <w:szCs w:val="20"/>
          <w:color w:val="auto"/>
        </w:rPr>
      </w:pPr>
    </w:p>
    <w:p>
      <w:pPr>
        <w:jc w:val="both"/>
        <w:ind w:right="20" w:firstLine="1305"/>
        <w:spacing w:after="0" w:line="284" w:lineRule="auto"/>
        <w:tabs>
          <w:tab w:leader="none" w:pos="216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Only One Royalty</w:t>
      </w:r>
      <w:r>
        <w:rPr>
          <w:rFonts w:ascii="Times New Roman" w:cs="Times New Roman" w:eastAsia="Times New Roman" w:hAnsi="Times New Roman"/>
          <w:sz w:val="20"/>
          <w:szCs w:val="20"/>
          <w:color w:val="auto"/>
        </w:rPr>
        <w:t>. Only one royalty will be due with respect to the sale of the same unit of Product. Only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royalty will be due hereunder on the sale of a Product even if the manufacture, use, sale, offer for sale or importation of such Product infringes more than one claim of the 3SBio Patent Rights.</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CACAC"/>
        </w:rPr>
        <w:t>14</w:t>
      </w:r>
    </w:p>
    <w:p>
      <w:pPr>
        <w:spacing w:after="0" w:line="113" w:lineRule="exact"/>
        <w:rPr>
          <w:sz w:val="20"/>
          <w:szCs w:val="20"/>
          <w:color w:val="auto"/>
        </w:rPr>
      </w:pPr>
    </w:p>
    <w:p>
      <w:pPr>
        <w:jc w:val="center"/>
        <w:ind w:left="4540" w:right="160" w:hanging="4382"/>
        <w:spacing w:after="0" w:line="281" w:lineRule="auto"/>
        <w:tabs>
          <w:tab w:leader="none" w:pos="546" w:val="left"/>
        </w:tabs>
        <w:numPr>
          <w:ilvl w:val="0"/>
          <w:numId w:val="84"/>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714" w:right="219" w:bottom="1440" w:gutter="0" w:footer="0" w:header="0"/>
        </w:sectPr>
      </w:pPr>
    </w:p>
    <w:bookmarkStart w:id="107" w:name="page108"/>
    <w:bookmarkEnd w:id="107"/>
    <w:p>
      <w:pPr>
        <w:ind w:firstLine="1305"/>
        <w:spacing w:after="0" w:line="279" w:lineRule="auto"/>
        <w:tabs>
          <w:tab w:leader="none" w:pos="217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Compulsory Licenses</w:t>
      </w:r>
      <w:r>
        <w:rPr>
          <w:rFonts w:ascii="Times New Roman" w:cs="Times New Roman" w:eastAsia="Times New Roman" w:hAnsi="Times New Roman"/>
          <w:sz w:val="20"/>
          <w:szCs w:val="20"/>
          <w:color w:val="auto"/>
        </w:rPr>
        <w:t>. If a compulsory license is granted to a Third Party with respect to a Product in any country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region in the Territory with a royalty rate that is lower than the royalty rate payable to 3SBio under Section 8.3, then the royalty rate to be paid by Selecta on Net Sales of Product in that country pursuant to Section 8.3 will be reduced to the royalty rate paid to Selecta by the compulsory licensee.</w:t>
      </w:r>
    </w:p>
    <w:p>
      <w:pPr>
        <w:spacing w:after="0" w:line="27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Royalty Stacking</w:t>
      </w:r>
      <w:r>
        <w:rPr>
          <w:rFonts w:ascii="Times New Roman" w:cs="Times New Roman" w:eastAsia="Times New Roman" w:hAnsi="Times New Roman"/>
          <w:sz w:val="19"/>
          <w:szCs w:val="19"/>
          <w:color w:val="auto"/>
        </w:rPr>
        <w:t>. Selecta will be entitled to deduct, from the royalties otherwise due in respect of Net Sales of Products, all Related Third Party Payments (as defined below) paid or payable by Selecta or any of its Affiliates or Sublicensees in respect of such Products; provided, however, in no event will a deduction under this Section 8.4 reduce any royalty payments to be made by Selecta by more than [***] percent ([***]%) for any Calendar Quarter; and provided, further, any reduction hereunder, or portion thereof, that is rendered not usable pursuant to the immediately preceding proviso may be carried forward for use in a future Calendar Quarter. For purposes of this Agreement, “Related Third Party Payments” mean any and all payments to a Third Party to license, sublicense, acquire or otherwise access Patent, Know-How or other intellectual property rights if, in the absence of such license, sublicense, acquisition or access, the making, using, selling, offering for sale, importation, researching, Developing, distribution, Commercializing or exploitation of a Licensed Compound or Product would or is likely to, in the reasonable judgment of Selecta, infringe or misappropriate such Patent Rights, Know-How or other intellectual property rights.</w:t>
      </w:r>
    </w:p>
    <w:p>
      <w:pPr>
        <w:spacing w:after="0" w:line="285" w:lineRule="exact"/>
        <w:rPr>
          <w:sz w:val="20"/>
          <w:szCs w:val="20"/>
          <w:color w:val="auto"/>
        </w:rPr>
      </w:pPr>
    </w:p>
    <w:p>
      <w:pPr>
        <w:ind w:right="5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Royalty Reductions</w:t>
      </w:r>
      <w:r>
        <w:rPr>
          <w:rFonts w:ascii="Times New Roman" w:cs="Times New Roman" w:eastAsia="Times New Roman" w:hAnsi="Times New Roman"/>
          <w:sz w:val="20"/>
          <w:szCs w:val="20"/>
          <w:color w:val="auto"/>
        </w:rPr>
        <w:t>. Notwithstanding the application of royalty offsets or reductions that are permitted pursuant to this Agreement, in no event will the royalties paid by Selecta to 3SBio for any Calendar Quarter during the Royalty Period be less than [***] percent ([***]%) of annual worldwide Net Sales, on a country-by-country and Product-by-Product basis.</w:t>
      </w:r>
    </w:p>
    <w:p>
      <w:pPr>
        <w:spacing w:after="0" w:line="2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Payment Terms</w:t>
      </w:r>
      <w:r>
        <w:rPr>
          <w:rFonts w:ascii="Times New Roman" w:cs="Times New Roman" w:eastAsia="Times New Roman" w:hAnsi="Times New Roman"/>
          <w:sz w:val="19"/>
          <w:szCs w:val="19"/>
          <w:color w:val="auto"/>
        </w:rPr>
        <w:t>.</w:t>
      </w:r>
    </w:p>
    <w:p>
      <w:pPr>
        <w:spacing w:after="0" w:line="320" w:lineRule="exact"/>
        <w:rPr>
          <w:sz w:val="20"/>
          <w:szCs w:val="20"/>
          <w:color w:val="auto"/>
        </w:rPr>
      </w:pPr>
    </w:p>
    <w:p>
      <w:pPr>
        <w:ind w:right="120" w:firstLine="1305"/>
        <w:spacing w:after="0" w:line="273" w:lineRule="auto"/>
        <w:tabs>
          <w:tab w:leader="none" w:pos="171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Manner of Payment</w:t>
      </w:r>
      <w:r>
        <w:rPr>
          <w:rFonts w:ascii="Times New Roman" w:cs="Times New Roman" w:eastAsia="Times New Roman" w:hAnsi="Times New Roman"/>
          <w:sz w:val="20"/>
          <w:szCs w:val="20"/>
          <w:color w:val="auto"/>
        </w:rPr>
        <w:t>. All payments to be made by Selecta hereunder will be made in U.S. dollars by wire transfer to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 account as 3SBio may designate.</w:t>
      </w:r>
    </w:p>
    <w:p>
      <w:pPr>
        <w:spacing w:after="0" w:line="260" w:lineRule="exact"/>
        <w:rPr>
          <w:rFonts w:ascii="Times New Roman" w:cs="Times New Roman" w:eastAsia="Times New Roman" w:hAnsi="Times New Roman"/>
          <w:sz w:val="20"/>
          <w:szCs w:val="20"/>
          <w:color w:val="auto"/>
        </w:rPr>
      </w:pPr>
    </w:p>
    <w:p>
      <w:pPr>
        <w:ind w:right="80" w:firstLine="1305"/>
        <w:spacing w:after="0" w:line="245" w:lineRule="auto"/>
        <w:tabs>
          <w:tab w:leader="none" w:pos="172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Reports and Royalty Payments</w:t>
      </w:r>
      <w:r>
        <w:rPr>
          <w:rFonts w:ascii="Times New Roman" w:cs="Times New Roman" w:eastAsia="Times New Roman" w:hAnsi="Times New Roman"/>
          <w:sz w:val="20"/>
          <w:szCs w:val="20"/>
          <w:color w:val="auto"/>
        </w:rPr>
        <w:t>. For as long as royalties are due under Section 8.3(a), Selecta will furnish to 3SBio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written report, within [***] after the end of each Calendar Quarter, showing the amount of Net Sales of Products and royalty due for such Calendar Quarter. Royalty payments for each Calendar Quarter will be due at the same time as such written report for the Calendar Quarter. The report will include, at a minimum, the following information for the applicable Calendar Quarter, each listed by product and by country of sale: (i) the number of units of Products sold by Selecta and its Affiliates and Sublicensees on which royalties are owed 3SBio hereunder;</w:t>
      </w:r>
    </w:p>
    <w:p>
      <w:pPr>
        <w:ind w:right="20" w:firstLine="8"/>
        <w:spacing w:after="0"/>
        <w:tabs>
          <w:tab w:leader="none" w:pos="29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amount received for such sales; (iii) deductions taken from Net Sales as specified in the definition thereof; (iv) Net Sales; (v) the amounts of any credits or reductions permitted by Section 8.4 or elsewhere hereunder; (vi) the royalties and Milestone Payments owed to 3SBio, listed by category; and (vii) the computations for any applicable currency conversions pursuant to Section 8.6(d). Selecta will use commercially reasonable efforts to obtain permission from each Sublicensee to share with 3SBio the information listed in the foregoing clauses (other than clause (iv)) as it relates to Net Sales made by such Sublicensee, and to the extent successful, will include such Sublicensee information in such report. All such reports will be treated as Confidential Information of Selecta.</w:t>
      </w:r>
    </w:p>
    <w:p>
      <w:pPr>
        <w:spacing w:after="0" w:line="295" w:lineRule="exact"/>
        <w:rPr>
          <w:rFonts w:ascii="Times New Roman" w:cs="Times New Roman" w:eastAsia="Times New Roman" w:hAnsi="Times New Roman"/>
          <w:sz w:val="20"/>
          <w:szCs w:val="20"/>
          <w:color w:val="auto"/>
        </w:rPr>
      </w:pPr>
    </w:p>
    <w:p>
      <w:pPr>
        <w:ind w:right="200" w:firstLine="1305"/>
        <w:spacing w:after="0" w:line="256" w:lineRule="auto"/>
        <w:tabs>
          <w:tab w:leader="none" w:pos="171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Records and Audits</w:t>
      </w:r>
      <w:r>
        <w:rPr>
          <w:rFonts w:ascii="Times New Roman" w:cs="Times New Roman" w:eastAsia="Times New Roman" w:hAnsi="Times New Roman"/>
          <w:sz w:val="20"/>
          <w:szCs w:val="20"/>
          <w:color w:val="auto"/>
        </w:rPr>
        <w:t>. Selecta will keep, and will cause each of its Affiliates and Sublicensees, as applicable, to keep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adequate books and records of accounting for the purpose of calculating all royalties payable to 3SBio hereunder. For the [***] following the end of the Calendar</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15</w:t>
      </w:r>
    </w:p>
    <w:p>
      <w:pPr>
        <w:spacing w:after="0" w:line="113" w:lineRule="exact"/>
        <w:rPr>
          <w:sz w:val="20"/>
          <w:szCs w:val="20"/>
          <w:color w:val="auto"/>
        </w:rPr>
      </w:pPr>
    </w:p>
    <w:p>
      <w:pPr>
        <w:jc w:val="center"/>
        <w:ind w:left="4540" w:right="100" w:hanging="4382"/>
        <w:spacing w:after="0" w:line="281" w:lineRule="auto"/>
        <w:tabs>
          <w:tab w:leader="none" w:pos="546" w:val="left"/>
        </w:tabs>
        <w:numPr>
          <w:ilvl w:val="0"/>
          <w:numId w:val="88"/>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585" w:right="279" w:bottom="1440" w:gutter="0" w:footer="0" w:header="0"/>
        </w:sectPr>
      </w:pPr>
    </w:p>
    <w:bookmarkStart w:id="108" w:name="page109"/>
    <w:bookmarkEnd w:id="108"/>
    <w:p>
      <w:pPr>
        <w:ind w:right="40"/>
        <w:spacing w:after="0" w:line="242" w:lineRule="auto"/>
        <w:rPr>
          <w:sz w:val="20"/>
          <w:szCs w:val="20"/>
          <w:color w:val="auto"/>
        </w:rPr>
      </w:pPr>
      <w:r>
        <w:rPr>
          <w:rFonts w:ascii="Times New Roman" w:cs="Times New Roman" w:eastAsia="Times New Roman" w:hAnsi="Times New Roman"/>
          <w:sz w:val="20"/>
          <w:szCs w:val="20"/>
          <w:color w:val="auto"/>
        </w:rPr>
        <w:t>Year to which each will pertain, such books and records of accounting (including those of Selecta’s Affiliates or Sublicensees, as applicable) will be kept at each of their principal place of business and will be open for inspection at reasonable times and upon reasonable notice by an independent certified accountant selected by 3SBio, and which is reasonably acceptable to Selecta, for the sole purpose of inspecting the royalties due to 3SBio under this Agreement. In no event will such inspections be conducted hereunder more frequently than once every [***] months. Such accountant must have executed and delivered to Selecta and its Affiliates or Sublicensees, as applicable, a confidentiality agreement as reasonably requested by Selecta, which will include provisions limiting such accountant’s disclosure to 3SBio to only the results and basis for such results of such inspection. The results of such inspection, if any, will be binding on both Parties. Any underpayments will be paid by Selecta within [***] days of notification of the results of such inspection. Any overpayments will be fully creditable against amounts payable in subsequent payment periods. 3SBio will pay for such inspections, except that in the event there is any upward adjustment in aggregate royalties payable for any Calendar Year shown by such inspection of more than [***] percent ([***]%) of the amount paid, Selecta will reimburse 3SBio for any reasonable out-of-pocket costs of such accountant. Any underpayments or overpayments under this Section 8.6(c) will be subject to the currency exchange provisions set forth in Section 8.6(d) as applied to the Calendar Quarter during which the royalty obligations giving rise to such underpayment or overpayment were incurred by Selecta.</w:t>
      </w:r>
    </w:p>
    <w:p>
      <w:pPr>
        <w:spacing w:after="0" w:line="290" w:lineRule="exact"/>
        <w:rPr>
          <w:sz w:val="20"/>
          <w:szCs w:val="20"/>
          <w:color w:val="auto"/>
        </w:rPr>
      </w:pPr>
    </w:p>
    <w:p>
      <w:pPr>
        <w:ind w:right="60" w:firstLine="1305"/>
        <w:spacing w:after="0" w:line="248" w:lineRule="auto"/>
        <w:tabs>
          <w:tab w:leader="none" w:pos="172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Currency Exchange</w:t>
      </w:r>
      <w:r>
        <w:rPr>
          <w:rFonts w:ascii="Times New Roman" w:cs="Times New Roman" w:eastAsia="Times New Roman" w:hAnsi="Times New Roman"/>
          <w:sz w:val="20"/>
          <w:szCs w:val="20"/>
          <w:color w:val="auto"/>
        </w:rPr>
        <w:t>. With respect to Net Sales invoiced in U.S. dollars, the Net Sales and the amounts due to 3SBio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hereunder will be expressed in U.S. dollars. With respect to Net Sales invoiced by Selecta, its Affiliates and assignees in a currency other than U.S. dollars, the Net Sales will be expressed in the domestic currency of the entity making the sale, together with the U.S. dollar equivalent, calculated using the official rate of exchange of such domestic currency as quoted by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or other equivalent publication for the last day of the Calendar Quarter in which such sales occurred.</w:t>
      </w:r>
    </w:p>
    <w:p>
      <w:pPr>
        <w:spacing w:after="0" w:line="297"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 Withholding</w:t>
      </w:r>
      <w:r>
        <w:rPr>
          <w:rFonts w:ascii="Times New Roman" w:cs="Times New Roman" w:eastAsia="Times New Roman" w:hAnsi="Times New Roman"/>
          <w:sz w:val="20"/>
          <w:szCs w:val="20"/>
          <w:color w:val="auto"/>
        </w:rPr>
        <w:t>.</w:t>
      </w:r>
    </w:p>
    <w:p>
      <w:pPr>
        <w:spacing w:after="0" w:line="354" w:lineRule="exact"/>
        <w:rPr>
          <w:rFonts w:ascii="Times New Roman" w:cs="Times New Roman" w:eastAsia="Times New Roman" w:hAnsi="Times New Roman"/>
          <w:sz w:val="20"/>
          <w:szCs w:val="20"/>
          <w:color w:val="auto"/>
        </w:rPr>
      </w:pPr>
    </w:p>
    <w:p>
      <w:pPr>
        <w:ind w:right="40" w:firstLine="1953"/>
        <w:spacing w:after="0" w:line="272" w:lineRule="auto"/>
        <w:tabs>
          <w:tab w:leader="none" w:pos="278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pay all taxes and levies that by applicable Laws (including existing treaties for bilateral taxation) Selecta is required to pay on payments accruing under this Agreement and will withhold from sums payable to 3SBio only such taxes and levies as required by Law under penalty. Selecta will forward to 3SBio documentation evidencing such payments whenever possible. To the extent that Selecta withholds any taxes or levies on payments to 3SBio, 3SBio agrees that Selecta will not be obligated to gross-up any such amounts and 3SBio waives any right to payment from Selecta with respect to the withheld amounts. However, if Selecta receives a refund of any taxes or levies withheld from amounts payment to 3SBio under this Agreement, Selecta will pay to 3SBio an amount equal to such refund net of all out-of-pocket expenses and without interest (other than any interest paid by the relevant Governmental Authority with respect to such refund).</w:t>
      </w:r>
    </w:p>
    <w:p>
      <w:pPr>
        <w:spacing w:after="0" w:line="291" w:lineRule="exact"/>
        <w:rPr>
          <w:rFonts w:ascii="Times New Roman" w:cs="Times New Roman" w:eastAsia="Times New Roman" w:hAnsi="Times New Roman"/>
          <w:sz w:val="20"/>
          <w:szCs w:val="20"/>
          <w:color w:val="auto"/>
        </w:rPr>
      </w:pPr>
    </w:p>
    <w:p>
      <w:pPr>
        <w:jc w:val="both"/>
        <w:ind w:firstLine="1953"/>
        <w:spacing w:after="0" w:line="273" w:lineRule="auto"/>
        <w:tabs>
          <w:tab w:leader="none" w:pos="283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cooperate with respect to tax matters relating to this Agreement including by providing an IRS Form W-9 or IRS Form W-8BEN (or other such form demonstrating an exemption from applicable taxes or levies as may be reasonably requested by the other Party), provided that such Party is legally entitled to do so. If any IRS Form expires or becomes obsolete or inaccurate in any respect, the Party that provided such form will promptly (and in any event within thirty (30) days after such expiration, obsolescence, or inaccuracy) notify the other Party in writing of such expiration, obsolescence, or inaccuracy and update the IRS Form if it is legally eligible to do so.</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16</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90"/>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09" w:name="page110"/>
    <w:bookmarkEnd w:id="109"/>
    <w:p>
      <w:pPr>
        <w:jc w:val="both"/>
        <w:ind w:firstLine="1953"/>
        <w:spacing w:after="0" w:line="272" w:lineRule="auto"/>
        <w:tabs>
          <w:tab w:leader="none" w:pos="289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taxes or levies are assessed against Selecta with respect to payments made to 3SBio under this Agreement, such taxes or levies (plus any penalties interest, or other charges imposed by the relevant Governmental Authority not related to any delinquency by Selecta) will be paid by 3SBio. Should Selecta have to pay such taxes or levies 3SBio will promptly reimburse Selecta in full for any taxes or levies (plus any penalties, interest, or other charges imposed by the relevant Governmental Authority not related to any delinquency by Selecta) so paid by Selecta upon receipt of a copy of the assessment. Alternatively, Selecta may reduce the amount of future payments to 3SBio under this Agreement so as to recover in full any such taxes or levies (plus any penalties, interest, or other charges imposed by the relevant Governmental Authority not related to any delinquency by Selecta) so paid by Selecta.</w:t>
      </w:r>
    </w:p>
    <w:p>
      <w:pPr>
        <w:spacing w:after="0" w:line="291" w:lineRule="exact"/>
        <w:rPr>
          <w:rFonts w:ascii="Times New Roman" w:cs="Times New Roman" w:eastAsia="Times New Roman" w:hAnsi="Times New Roman"/>
          <w:sz w:val="20"/>
          <w:szCs w:val="20"/>
          <w:color w:val="auto"/>
        </w:rPr>
      </w:pPr>
    </w:p>
    <w:p>
      <w:pPr>
        <w:ind w:right="180" w:firstLine="1305"/>
        <w:spacing w:after="0" w:line="284" w:lineRule="auto"/>
        <w:tabs>
          <w:tab w:leader="none" w:pos="214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Taxes</w:t>
      </w:r>
      <w:r>
        <w:rPr>
          <w:rFonts w:ascii="Times New Roman" w:cs="Times New Roman" w:eastAsia="Times New Roman" w:hAnsi="Times New Roman"/>
          <w:sz w:val="20"/>
          <w:szCs w:val="20"/>
          <w:color w:val="auto"/>
        </w:rPr>
        <w:t>. For clarity, 3SBio will pay, when due, any sales tax, transfer tax, stamp tax and other taxes payable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this Agreement and required by Law and under penalty to be paid by 3SBio. It is understood and agreed between the Parties than any payments made pursuant to this Agreement are inclusive of any value added tax imposed upon such payments.</w:t>
      </w:r>
    </w:p>
    <w:p>
      <w:pPr>
        <w:spacing w:after="0" w:line="277" w:lineRule="exact"/>
        <w:rPr>
          <w:rFonts w:ascii="Times New Roman" w:cs="Times New Roman" w:eastAsia="Times New Roman" w:hAnsi="Times New Roman"/>
          <w:sz w:val="20"/>
          <w:szCs w:val="20"/>
          <w:color w:val="auto"/>
        </w:rPr>
      </w:pPr>
    </w:p>
    <w:p>
      <w:pPr>
        <w:ind w:right="360" w:firstLine="1305"/>
        <w:spacing w:after="0" w:line="301" w:lineRule="auto"/>
        <w:tabs>
          <w:tab w:leader="none" w:pos="217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Set-Off</w:t>
      </w:r>
      <w:r>
        <w:rPr>
          <w:rFonts w:ascii="Times New Roman" w:cs="Times New Roman" w:eastAsia="Times New Roman" w:hAnsi="Times New Roman"/>
          <w:sz w:val="20"/>
          <w:szCs w:val="20"/>
          <w:color w:val="auto"/>
        </w:rPr>
        <w:t>. A Party will be permitted to set off any payments due hereunder against any amounts owed by the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to such Party hereunder to the extent permitted by applicable Laws.</w:t>
      </w:r>
    </w:p>
    <w:p>
      <w:pPr>
        <w:spacing w:after="0" w:line="260" w:lineRule="exact"/>
        <w:rPr>
          <w:rFonts w:ascii="Times New Roman" w:cs="Times New Roman" w:eastAsia="Times New Roman" w:hAnsi="Times New Roman"/>
          <w:sz w:val="20"/>
          <w:szCs w:val="20"/>
          <w:color w:val="auto"/>
        </w:rPr>
      </w:pPr>
    </w:p>
    <w:p>
      <w:pPr>
        <w:jc w:val="both"/>
        <w:ind w:right="100" w:firstLine="1305"/>
        <w:spacing w:after="0" w:line="284" w:lineRule="auto"/>
        <w:tabs>
          <w:tab w:leader="none" w:pos="217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Interest Due</w:t>
      </w:r>
      <w:r>
        <w:rPr>
          <w:rFonts w:ascii="Times New Roman" w:cs="Times New Roman" w:eastAsia="Times New Roman" w:hAnsi="Times New Roman"/>
          <w:sz w:val="20"/>
          <w:szCs w:val="20"/>
          <w:color w:val="auto"/>
        </w:rPr>
        <w:t>. Selecta will pay 3SBio interest on any payments that are not paid on or before the date such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due under this Agreement at a rate of [***] percent ([***]%) per [***] or the maximum applicable legal rate, if less, calculated on the total number of days payment is delinquent.</w:t>
      </w:r>
    </w:p>
    <w:p>
      <w:pPr>
        <w:spacing w:after="0" w:line="28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Patent Prosecution, Infringement and Extensions</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3SBio Patent Rights</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firstLine="1305"/>
        <w:spacing w:after="0" w:line="269" w:lineRule="auto"/>
        <w:tabs>
          <w:tab w:leader="none" w:pos="216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consult with one another regarding the preparation, prosecution (including any interferences, reissue proceedings and reexaminations) and maintenance of 3SBio Patent Rights. Selecta will control and will make all final decisions regarding the filing, prosecution, and maintenance of the 3SBio Patent Rights, worldwide except for Greater China, subject to 3SBio’s consultation right specified above. 3SBio will take all steps required to transfer such control to Selecta, including making such filings as are appropriate with the applicable government patent authority (e.g., in the United States, the U.S. Patent &amp; Trademark Office). Selecta will be responsible for all reasonable out-of-pocket costs and expenses incurred for the preparation, prosecution and maintenance of the 3SBio Patent Rights worldwide, except for Greater China, and 3SBio will be responsible for all reasonable out-of-pocket costs and expenses incurred for the preparation, prosecution and maintenance of the 3SBio Patent Rights in Greater China. Each Party will provide to the other copies of any papers relating to the filing, prosecution or maintenance of 3SBio Patent Rights, with respect to papers received by such Party and with respect to papers to be filed, reasonably sufficiently far enough in advance of filing to allow the other Party to review and comment thereon. Upon request by 3SBio, Selecta will provide 3SBio with an update of the filing, prosecution and maintenance status for each 3SBio Patent Right. Each Party will reasonably cooperate with the other Party in the preparation, prosecution and maintenance of the 3SBio Patent Rights. Such cooperation includes promptly executing all documents, or requiring inventors, subcontractors, employees, consultants and agents of 3SBio and of Selecta and its Affiliates, and Sublicensees, all as described herein to execute all documents, as reasonable and appropriate so as to enable the preparation, prosecution and maintenance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17</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94"/>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89" w:right="239" w:bottom="1440" w:gutter="0" w:footer="0" w:header="0"/>
        </w:sectPr>
      </w:pPr>
    </w:p>
    <w:bookmarkStart w:id="110" w:name="page111"/>
    <w:bookmarkEnd w:id="110"/>
    <w:p>
      <w:pPr>
        <w:ind w:right="300"/>
        <w:spacing w:after="0" w:line="277" w:lineRule="auto"/>
        <w:rPr>
          <w:sz w:val="20"/>
          <w:szCs w:val="20"/>
          <w:color w:val="auto"/>
        </w:rPr>
      </w:pPr>
      <w:r>
        <w:rPr>
          <w:rFonts w:ascii="Times New Roman" w:cs="Times New Roman" w:eastAsia="Times New Roman" w:hAnsi="Times New Roman"/>
          <w:sz w:val="20"/>
          <w:szCs w:val="20"/>
          <w:color w:val="auto"/>
        </w:rPr>
        <w:t>of any such 3SBio Patent Rights in any country. Such cooperation includes promptly executing all documents, or requiring inventors, subcontractors, employees, consultants and agents of 3SBio and of Selecta and its Affiliates, and Sublicensees, all as described herein to execute all documents, as reasonable and appropriate so as to enable the preparation, prosecution and maintenance of any such 3SBio Patent Rights in any country.</w:t>
      </w:r>
    </w:p>
    <w:p>
      <w:pPr>
        <w:spacing w:after="0" w:line="289" w:lineRule="exact"/>
        <w:rPr>
          <w:sz w:val="20"/>
          <w:szCs w:val="20"/>
          <w:color w:val="auto"/>
        </w:rPr>
      </w:pPr>
    </w:p>
    <w:p>
      <w:pPr>
        <w:ind w:right="40" w:firstLine="1305"/>
        <w:spacing w:after="0" w:line="288" w:lineRule="auto"/>
        <w:tabs>
          <w:tab w:leader="none" w:pos="217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Selecta decides not to continue the prosecution or maintenance of a patent application or patent within 3SBio Patent Rights in any country, Selecta will provide 3SBio with notice of this decision at least [***] days prior to any pending lapse or abandonment thereof, and 3SBio will thereupon have the right, but not the obligation, to assume responsibility for the prosecution and maintenance of such Patents, on a patent-by-patent and country-by-country basis, at its own expense with counsel of its own choice. Promptly upon receipt from 3SBio of written notice of its election to assume such responsibility, Selecta will transfer or cause to be transferred to 3SBio the complete prosecution file for such patent(s), including all correspondence and filings with patent authorities with respect to such patent(s), or sufficient information to allow 3SBio to file such new patent application, whereupon such patent(s) will remain a “3SBio Patent Rights” hereunder, and 3SBio will be solely responsible for all costs and expenses for the filing, prosecution and maintenance of the same.</w:t>
      </w:r>
    </w:p>
    <w:p>
      <w:pPr>
        <w:spacing w:after="0" w:line="26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Enforcement and Defense</w:t>
      </w:r>
      <w:r>
        <w:rPr>
          <w:rFonts w:ascii="Times New Roman" w:cs="Times New Roman" w:eastAsia="Times New Roman" w:hAnsi="Times New Roman"/>
          <w:sz w:val="19"/>
          <w:szCs w:val="19"/>
          <w:color w:val="auto"/>
        </w:rPr>
        <w:t>.</w:t>
      </w:r>
    </w:p>
    <w:p>
      <w:pPr>
        <w:spacing w:after="0" w:line="320" w:lineRule="exact"/>
        <w:rPr>
          <w:sz w:val="20"/>
          <w:szCs w:val="20"/>
          <w:color w:val="auto"/>
        </w:rPr>
      </w:pPr>
    </w:p>
    <w:p>
      <w:pPr>
        <w:ind w:right="180" w:firstLine="1305"/>
        <w:spacing w:after="0" w:line="244" w:lineRule="auto"/>
        <w:tabs>
          <w:tab w:leader="none" w:pos="171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By Selecta</w:t>
      </w:r>
      <w:r>
        <w:rPr>
          <w:rFonts w:ascii="Times New Roman" w:cs="Times New Roman" w:eastAsia="Times New Roman" w:hAnsi="Times New Roman"/>
          <w:sz w:val="20"/>
          <w:szCs w:val="20"/>
          <w:color w:val="auto"/>
        </w:rPr>
        <w:t>. In the event that 3SBio or Selecta becomes aware of a suspected infringement of any 3SBio Patent Right,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such 3SBio Patent Right is challenged in any action or proceeding (other than any interferences, oppositions, reissue proceedings or reexaminations, which are addressed above), such Party will notify the other Party promptly, and following such notification, the Parties will confer. Selecta will have the right, but will not be obligated, to defend any such action or proceeding or bring an infringement action with respect to such infringement at its own expense, in its own name and entirely under its own direction and control, or settle any such action or proceeding by sublicense. 3SBio will reasonably assist Selecta in any action or proceeding being defended or prosecuted if so requested, and will be named in and/or join such action or proceeding as Selecta may require or if 3SBio so requests. If 3SBio elects to be represented by the same counsel as Selecta, Selecta will bear all related 3SBio reasonable legal fees.</w:t>
      </w:r>
    </w:p>
    <w:p>
      <w:pPr>
        <w:spacing w:after="0" w:line="290" w:lineRule="exact"/>
        <w:rPr>
          <w:rFonts w:ascii="Times New Roman" w:cs="Times New Roman" w:eastAsia="Times New Roman" w:hAnsi="Times New Roman"/>
          <w:sz w:val="20"/>
          <w:szCs w:val="20"/>
          <w:color w:val="auto"/>
        </w:rPr>
      </w:pPr>
    </w:p>
    <w:p>
      <w:pPr>
        <w:ind w:right="20" w:firstLine="1305"/>
        <w:spacing w:after="0" w:line="245" w:lineRule="auto"/>
        <w:tabs>
          <w:tab w:leader="none" w:pos="172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By 3SBio</w:t>
      </w:r>
      <w:r>
        <w:rPr>
          <w:rFonts w:ascii="Times New Roman" w:cs="Times New Roman" w:eastAsia="Times New Roman" w:hAnsi="Times New Roman"/>
          <w:sz w:val="20"/>
          <w:szCs w:val="20"/>
          <w:color w:val="auto"/>
        </w:rPr>
        <w:t>. If Selecta elects not to settle, defend or bring any action for infringement described in Section 9.2(a) and so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notifies 3SBio, then 3SBio may defend or bring such action at its own expense, in its own name and entirely under its own direction and control, subject to the following: Selecta will reasonably assist 3SBio in any action or proceeding being defended or prosecuted if so requested, and will join such action or proceeding if requested by 3SBio or required by applicable law. Selecta will have the right to participate in any such action or proceeding with its own counsel at its own expense and without reimbursement. No settlement of any such action or proceeding which restricts the scope, or adversely affects the enforceability, of a 3SBio Patent Right may be entered into by 3SBio without the prior written consent of Selecta.</w:t>
      </w:r>
    </w:p>
    <w:p>
      <w:pPr>
        <w:spacing w:after="0" w:line="301" w:lineRule="exact"/>
        <w:rPr>
          <w:rFonts w:ascii="Times New Roman" w:cs="Times New Roman" w:eastAsia="Times New Roman" w:hAnsi="Times New Roman"/>
          <w:sz w:val="20"/>
          <w:szCs w:val="20"/>
          <w:color w:val="auto"/>
        </w:rPr>
      </w:pPr>
    </w:p>
    <w:p>
      <w:pPr>
        <w:ind w:firstLine="1305"/>
        <w:spacing w:after="0" w:line="276" w:lineRule="auto"/>
        <w:tabs>
          <w:tab w:leader="none" w:pos="21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Damages</w:t>
      </w:r>
      <w:r>
        <w:rPr>
          <w:rFonts w:ascii="Times New Roman" w:cs="Times New Roman" w:eastAsia="Times New Roman" w:hAnsi="Times New Roman"/>
          <w:sz w:val="20"/>
          <w:szCs w:val="20"/>
          <w:color w:val="auto"/>
        </w:rPr>
        <w:t>. In the event that either Party exercises the rights conferred in this Section 9.1 and recovers any damages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other sums in such action or proceeding or in settlement thereof, such damages or other sums recovered will first be applied to all out-of-pocket costs and expenses incurred by the Parties in connection therewith (including attorney’s fees), unless not reimbursable hereunder. If such recovery is insufficient to cover all such costs and expenses of both Parties, the controlling Party’s costs will be paid in full first before any of the other Party’s costs. If</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18</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97"/>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89" w:right="239" w:bottom="1440" w:gutter="0" w:footer="0" w:header="0"/>
        </w:sectPr>
      </w:pPr>
    </w:p>
    <w:bookmarkStart w:id="111" w:name="page112"/>
    <w:bookmarkEnd w:id="111"/>
    <w:p>
      <w:pPr>
        <w:spacing w:after="0" w:line="271" w:lineRule="auto"/>
        <w:rPr>
          <w:sz w:val="20"/>
          <w:szCs w:val="20"/>
          <w:color w:val="auto"/>
        </w:rPr>
      </w:pPr>
      <w:r>
        <w:rPr>
          <w:rFonts w:ascii="Times New Roman" w:cs="Times New Roman" w:eastAsia="Times New Roman" w:hAnsi="Times New Roman"/>
          <w:sz w:val="20"/>
          <w:szCs w:val="20"/>
          <w:color w:val="auto"/>
        </w:rPr>
        <w:t>after such reimbursement any funds will remain from such damages or other sums recovered, such funds will be retained by the Party that controlled the action or proceeding under this Section 9.1; provided, however, that (i) if Selecta is the Party that controlled such action or proceeding, 3SBio will receive out of any such remaining recovery received by Selecta an amount equal to royalties payable hereunder by treating such remaining recovery as “Net Sales” hereunder and (ii) if 3SBio is the Party that controlled such action or proceeding, the remaining recovery received by 3SBio will be shared equally between Selecta and 3SBio. By way of illustration, if Selecta is the Party that controlled such action or proceeding and obtains a recovery as a result, then such recovery will be first be used to pay the costs and expenses incurred by the Parties in connection therewith, and the remainder will deemed to be Net Sales of Selecta and will be included in the calculation of the royalties payable under Section 8.3. If 3SBio is the Party that controlled such action or proceeding and obtains a recovery as a result, then such recovery will be first used to pay the costs and expenses incurred by the Parties in connection therewith, and the remainder will be shared [***] percent ([***]%) to 3SBio and [***] percent ([***]%) to Selecta.</w:t>
      </w:r>
    </w:p>
    <w:p>
      <w:pPr>
        <w:spacing w:after="0" w:line="28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Third Party IP Claims</w:t>
      </w:r>
      <w:r>
        <w:rPr>
          <w:rFonts w:ascii="Times New Roman" w:cs="Times New Roman" w:eastAsia="Times New Roman" w:hAnsi="Times New Roman"/>
          <w:sz w:val="19"/>
          <w:szCs w:val="19"/>
          <w:color w:val="auto"/>
        </w:rPr>
        <w:t>. In the event of (a) either (i) a holding in any action or proceeding enjoining Selecta or any of its Affiliates or Sublicensees from Manufacturing, using, selling, offering for sale, importing, Developing or Commercializing any Licensed Compounds or Products, or holding Selecta or any such other entities liable for damages for any such activities, in each case such holding unappealable or unappealed within the time allowed for appeal, or (ii) a settlement of any action or proceeding requiring payment of damages by Selecta or any such party, and (b) such action or proceeding relates to a breach of 3SBio’s representations, warranties or covenants under this Agreement or any Supply Agreement, Selecta will be entitled to reduce royalties payable to 3SBio hereunder by up to [***] percent ([***]%) in each subsequent Calendar Quarter until such time as Selecta recovers in full such [***] percent ([***]%) of all such damages and expenses.</w:t>
      </w:r>
    </w:p>
    <w:p>
      <w:pPr>
        <w:spacing w:after="0" w:line="2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Patent Extensions; Orange Book Listings; Patent Certifications</w:t>
      </w:r>
      <w:r>
        <w:rPr>
          <w:rFonts w:ascii="Times New Roman" w:cs="Times New Roman" w:eastAsia="Times New Roman" w:hAnsi="Times New Roman"/>
          <w:sz w:val="19"/>
          <w:szCs w:val="19"/>
          <w:color w:val="auto"/>
        </w:rPr>
        <w:t>.</w:t>
      </w:r>
    </w:p>
    <w:p>
      <w:pPr>
        <w:spacing w:after="0" w:line="320" w:lineRule="exact"/>
        <w:rPr>
          <w:sz w:val="20"/>
          <w:szCs w:val="20"/>
          <w:color w:val="auto"/>
        </w:rPr>
      </w:pPr>
    </w:p>
    <w:p>
      <w:pPr>
        <w:ind w:right="60" w:firstLine="1305"/>
        <w:spacing w:after="0" w:line="256" w:lineRule="auto"/>
        <w:tabs>
          <w:tab w:leader="none" w:pos="171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Patent Term Extension</w:t>
      </w:r>
      <w:r>
        <w:rPr>
          <w:rFonts w:ascii="Times New Roman" w:cs="Times New Roman" w:eastAsia="Times New Roman" w:hAnsi="Times New Roman"/>
          <w:sz w:val="20"/>
          <w:szCs w:val="20"/>
          <w:color w:val="auto"/>
        </w:rPr>
        <w:t>. If elections with respect to obtaining patent term extension or supplemental protection certificates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their equivalents in any country with respect to 3SBio Patent Rights or other Patents covering Products or their manufacture or use are available, Selecta will have the sole right to make any such elections.</w:t>
      </w:r>
    </w:p>
    <w:p>
      <w:pPr>
        <w:spacing w:after="0" w:line="276" w:lineRule="exact"/>
        <w:rPr>
          <w:rFonts w:ascii="Times New Roman" w:cs="Times New Roman" w:eastAsia="Times New Roman" w:hAnsi="Times New Roman"/>
          <w:sz w:val="20"/>
          <w:szCs w:val="20"/>
          <w:color w:val="auto"/>
        </w:rPr>
      </w:pPr>
    </w:p>
    <w:p>
      <w:pPr>
        <w:ind w:right="40" w:firstLine="1305"/>
        <w:spacing w:after="0" w:line="264" w:lineRule="auto"/>
        <w:tabs>
          <w:tab w:leader="none" w:pos="1725"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Data Exclusivity and Orange Book Listings</w:t>
      </w:r>
      <w:r>
        <w:rPr>
          <w:rFonts w:ascii="Times New Roman" w:cs="Times New Roman" w:eastAsia="Times New Roman" w:hAnsi="Times New Roman"/>
          <w:sz w:val="19"/>
          <w:szCs w:val="19"/>
          <w:color w:val="auto"/>
        </w:rPr>
        <w:t>. With respect to data exclusivity periods (such as those periods listed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Orange Book (including any available pediatric extensions) or periods under national implementations of Article 10.1(a)(iii) of Directive 2001/EC/83, and all equivalents in any country), Selecta will have the sole right to seek and maintain all such data exclusivity periods available for the Products. Selecta has the sole right to control which 3SBio Patent Rights, if any, will be listed in the U.S. FDA Orange Book or any similar patent listing in any other country with respect to Products. 3SBio will cooperate with Selecta’s efforts taken under this Section 9.4(b).</w:t>
      </w:r>
    </w:p>
    <w:p>
      <w:pPr>
        <w:spacing w:after="0" w:line="270" w:lineRule="exact"/>
        <w:rPr>
          <w:rFonts w:ascii="Times New Roman" w:cs="Times New Roman" w:eastAsia="Times New Roman" w:hAnsi="Times New Roman"/>
          <w:sz w:val="19"/>
          <w:szCs w:val="19"/>
          <w:color w:val="auto"/>
        </w:rPr>
      </w:pPr>
    </w:p>
    <w:p>
      <w:pPr>
        <w:ind w:right="60" w:firstLine="1305"/>
        <w:spacing w:after="0" w:line="248" w:lineRule="auto"/>
        <w:tabs>
          <w:tab w:leader="none" w:pos="171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Notification of Patent Certification</w:t>
      </w:r>
      <w:r>
        <w:rPr>
          <w:rFonts w:ascii="Times New Roman" w:cs="Times New Roman" w:eastAsia="Times New Roman" w:hAnsi="Times New Roman"/>
          <w:sz w:val="20"/>
          <w:szCs w:val="20"/>
          <w:color w:val="auto"/>
        </w:rPr>
        <w:t>. 3SBio will notify and provide Selecta with copies of any allegations of alleged patent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invalidity, unenforceability or non-infringement of a 3SBio Patent Right pursuant to a Paragraph IV Patent Certification by a Third Party filing an Abbreviated New Drug Application or an application under §505(b)(2) of the United States Food, Drug, and Cosmetic Act (as amended or any replacement thereof), or any other U.S. application filed with the FDA for Regulatory Approval of a Generic Product, or any foreign equivalent thereof. Such notification and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19</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99"/>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89" w:right="239" w:bottom="1440" w:gutter="0" w:footer="0" w:header="0"/>
        </w:sectPr>
      </w:pPr>
    </w:p>
    <w:bookmarkStart w:id="112" w:name="page113"/>
    <w:bookmarkEnd w:id="112"/>
    <w:p>
      <w:pPr>
        <w:ind w:right="680"/>
        <w:spacing w:after="0" w:line="269" w:lineRule="auto"/>
        <w:rPr>
          <w:sz w:val="20"/>
          <w:szCs w:val="20"/>
          <w:color w:val="auto"/>
        </w:rPr>
      </w:pPr>
      <w:r>
        <w:rPr>
          <w:rFonts w:ascii="Times New Roman" w:cs="Times New Roman" w:eastAsia="Times New Roman" w:hAnsi="Times New Roman"/>
          <w:sz w:val="20"/>
          <w:szCs w:val="20"/>
          <w:color w:val="auto"/>
        </w:rPr>
        <w:t>copies will be provided to Selecta within two (2) days after 3SBio receives such certification, and will be sent to the address set forth in Section 13.5.</w:t>
      </w:r>
    </w:p>
    <w:p>
      <w:pPr>
        <w:spacing w:after="0" w:line="277" w:lineRule="exact"/>
        <w:rPr>
          <w:sz w:val="20"/>
          <w:szCs w:val="20"/>
          <w:color w:val="auto"/>
        </w:rPr>
      </w:pPr>
    </w:p>
    <w:p>
      <w:pPr>
        <w:ind w:firstLine="1305"/>
        <w:spacing w:after="0" w:line="284" w:lineRule="auto"/>
        <w:tabs>
          <w:tab w:leader="none" w:pos="217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3SBio Cooperation</w:t>
      </w:r>
      <w:r>
        <w:rPr>
          <w:rFonts w:ascii="Times New Roman" w:cs="Times New Roman" w:eastAsia="Times New Roman" w:hAnsi="Times New Roman"/>
          <w:sz w:val="20"/>
          <w:szCs w:val="20"/>
          <w:color w:val="auto"/>
        </w:rPr>
        <w:t>. With respect to all of the rights and activities identified in this Section 9.4, 3SBio will cooperate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Selecta in the exercise of its authority granted herein, and will execute such documents and take such additional action as Selecta may request in connection therewith.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u w:val="single" w:color="auto"/>
          <w:color w:val="auto"/>
        </w:rPr>
        <w:t>Confidential Information and Publicity</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333" w:lineRule="exact"/>
        <w:rPr>
          <w:sz w:val="20"/>
          <w:szCs w:val="20"/>
          <w:color w:val="auto"/>
        </w:rPr>
      </w:pPr>
    </w:p>
    <w:p>
      <w:pPr>
        <w:ind w:right="60" w:firstLine="1305"/>
        <w:spacing w:after="0" w:line="272" w:lineRule="auto"/>
        <w:tabs>
          <w:tab w:leader="none" w:pos="216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Except as expressly provided herein, each of the Parties agrees that, for itself and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 and for as long as this Agreement is in effect and for a period of [***] years thereafter (provided, that with respect to each disclosure of Confidential Information that is a trade secret, the obligations created herein will survive until such time that it can be demonstrated that the trade secret has become publicly available in the public domain), a Party and its Affiliates (the “Receiving Party”) receiving Confidential Information of the other Party or its Affiliates (the “Disclosing Party”) will (i) not disclose such Confidential Information to any Third Party without the prior written consent of the Disclosing Party, except for disclosures expressly permitted below, and (ii) not use such Confidential Information for any purpose except those licensed or otherwise authorized or permitted by this Agreement. For clarity, all Confidential Information of Selecta and its Affiliates received by or disclosed to 3SBio hereunder will be used by 3SBio only for ensuring that Selecta and its Affiliates comply with their obligations hereunder and for no other purposes.</w:t>
      </w:r>
    </w:p>
    <w:p>
      <w:pPr>
        <w:spacing w:after="0" w:line="287" w:lineRule="exact"/>
        <w:rPr>
          <w:rFonts w:ascii="Times New Roman" w:cs="Times New Roman" w:eastAsia="Times New Roman" w:hAnsi="Times New Roman"/>
          <w:sz w:val="20"/>
          <w:szCs w:val="20"/>
          <w:color w:val="auto"/>
        </w:rPr>
      </w:pPr>
    </w:p>
    <w:p>
      <w:pPr>
        <w:ind w:right="700" w:firstLine="1305"/>
        <w:spacing w:after="0" w:line="301" w:lineRule="auto"/>
        <w:tabs>
          <w:tab w:leader="none" w:pos="217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Exceptions</w:t>
      </w:r>
      <w:r>
        <w:rPr>
          <w:rFonts w:ascii="Times New Roman" w:cs="Times New Roman" w:eastAsia="Times New Roman" w:hAnsi="Times New Roman"/>
          <w:sz w:val="20"/>
          <w:szCs w:val="20"/>
          <w:color w:val="auto"/>
        </w:rPr>
        <w:t>. The obligations in Section 10.1(a) will not apply with respect to any portion of the Confidential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that the Receiving Party can show by competent proof:</w:t>
      </w:r>
    </w:p>
    <w:p>
      <w:pPr>
        <w:spacing w:after="0" w:line="264" w:lineRule="exact"/>
        <w:rPr>
          <w:rFonts w:ascii="Times New Roman" w:cs="Times New Roman" w:eastAsia="Times New Roman" w:hAnsi="Times New Roman"/>
          <w:sz w:val="20"/>
          <w:szCs w:val="20"/>
          <w:color w:val="auto"/>
        </w:rPr>
      </w:pPr>
    </w:p>
    <w:p>
      <w:pPr>
        <w:ind w:left="2780" w:hanging="827"/>
        <w:spacing w:after="0"/>
        <w:tabs>
          <w:tab w:leader="none" w:pos="278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publicly disclosed by the Disclosing Party, either before or after it is disclosed to the Receiving Party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348" w:lineRule="exact"/>
        <w:rPr>
          <w:rFonts w:ascii="Times New Roman" w:cs="Times New Roman" w:eastAsia="Times New Roman" w:hAnsi="Times New Roman"/>
          <w:sz w:val="20"/>
          <w:szCs w:val="20"/>
          <w:color w:val="auto"/>
        </w:rPr>
      </w:pPr>
    </w:p>
    <w:p>
      <w:pPr>
        <w:ind w:right="180" w:firstLine="1953"/>
        <w:spacing w:after="0" w:line="297" w:lineRule="auto"/>
        <w:tabs>
          <w:tab w:leader="none" w:pos="283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known to the Receiving Party or any of its Affiliates, without any obligation to keep it confidential or any restriction on its use, prior to disclosure by the Disclosing Party;</w:t>
      </w:r>
    </w:p>
    <w:p>
      <w:pPr>
        <w:spacing w:after="0" w:line="268" w:lineRule="exact"/>
        <w:rPr>
          <w:rFonts w:ascii="Times New Roman" w:cs="Times New Roman" w:eastAsia="Times New Roman" w:hAnsi="Times New Roman"/>
          <w:sz w:val="20"/>
          <w:szCs w:val="20"/>
          <w:color w:val="auto"/>
        </w:rPr>
      </w:pPr>
    </w:p>
    <w:p>
      <w:pPr>
        <w:ind w:right="660" w:firstLine="1953"/>
        <w:spacing w:after="0" w:line="297" w:lineRule="auto"/>
        <w:tabs>
          <w:tab w:leader="none" w:pos="289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disclosed to the Receiving Party or any of its Affiliates by a Third Party lawfully in possession thereof and without any obligation to keep it confidential or any restriction on its use;</w:t>
      </w:r>
    </w:p>
    <w:p>
      <w:pPr>
        <w:spacing w:after="0" w:line="268" w:lineRule="exact"/>
        <w:rPr>
          <w:rFonts w:ascii="Times New Roman" w:cs="Times New Roman" w:eastAsia="Times New Roman" w:hAnsi="Times New Roman"/>
          <w:sz w:val="20"/>
          <w:szCs w:val="20"/>
          <w:color w:val="auto"/>
        </w:rPr>
      </w:pPr>
    </w:p>
    <w:p>
      <w:pPr>
        <w:ind w:right="240" w:firstLine="1953"/>
        <w:spacing w:after="0" w:line="297" w:lineRule="auto"/>
        <w:tabs>
          <w:tab w:leader="none" w:pos="287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published by a Third Party or otherwise becomes publicly available or enters the public domain, either before or after it is disclosed to the Receiving Party; or</w:t>
      </w:r>
    </w:p>
    <w:p>
      <w:pPr>
        <w:spacing w:after="0" w:line="268" w:lineRule="exact"/>
        <w:rPr>
          <w:rFonts w:ascii="Times New Roman" w:cs="Times New Roman" w:eastAsia="Times New Roman" w:hAnsi="Times New Roman"/>
          <w:sz w:val="20"/>
          <w:szCs w:val="20"/>
          <w:color w:val="auto"/>
        </w:rPr>
      </w:pPr>
    </w:p>
    <w:p>
      <w:pPr>
        <w:ind w:right="180" w:firstLine="1953"/>
        <w:spacing w:after="0" w:line="297" w:lineRule="auto"/>
        <w:tabs>
          <w:tab w:leader="none" w:pos="282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independently Developed by employees, consultants or contractors of the Receiving Party or any of its Affiliates without the aid, application or use of Confidential Information of the Disclosing Party.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20</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02"/>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13" w:name="page114"/>
    <w:bookmarkEnd w:id="113"/>
    <w:p>
      <w:pPr>
        <w:ind w:right="340" w:firstLine="1305"/>
        <w:spacing w:after="0" w:line="301" w:lineRule="auto"/>
        <w:tabs>
          <w:tab w:leader="none" w:pos="216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Authorized Disclosures</w:t>
      </w:r>
      <w:r>
        <w:rPr>
          <w:rFonts w:ascii="Times New Roman" w:cs="Times New Roman" w:eastAsia="Times New Roman" w:hAnsi="Times New Roman"/>
          <w:sz w:val="20"/>
          <w:szCs w:val="20"/>
          <w:color w:val="auto"/>
        </w:rPr>
        <w:t>. The Receiving Party may disclose Confidential Information belonging to the Disclosing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to the extent (and only to the extent) such disclosure is reasonably necessary in the following instances:</w:t>
      </w:r>
    </w:p>
    <w:p>
      <w:pPr>
        <w:spacing w:after="0" w:line="264" w:lineRule="exact"/>
        <w:rPr>
          <w:rFonts w:ascii="Times New Roman" w:cs="Times New Roman" w:eastAsia="Times New Roman" w:hAnsi="Times New Roman"/>
          <w:sz w:val="20"/>
          <w:szCs w:val="20"/>
          <w:color w:val="auto"/>
        </w:rPr>
      </w:pPr>
    </w:p>
    <w:p>
      <w:pPr>
        <w:ind w:right="200" w:firstLine="1953"/>
        <w:spacing w:after="0" w:line="282" w:lineRule="auto"/>
        <w:tabs>
          <w:tab w:leader="none" w:pos="278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10.2, by either Party in order to comply with applicable Laws (including any securities law or regulation or the rules of a securities exchange, including, without limitation, the U.S. Securities and Exchange Commission) or with a legal or administrative proceeding;</w:t>
      </w:r>
    </w:p>
    <w:p>
      <w:pPr>
        <w:spacing w:after="0" w:line="283" w:lineRule="exact"/>
        <w:rPr>
          <w:rFonts w:ascii="Times New Roman" w:cs="Times New Roman" w:eastAsia="Times New Roman" w:hAnsi="Times New Roman"/>
          <w:sz w:val="20"/>
          <w:szCs w:val="20"/>
          <w:color w:val="auto"/>
        </w:rPr>
      </w:pPr>
    </w:p>
    <w:p>
      <w:pPr>
        <w:ind w:right="40" w:firstLine="1953"/>
        <w:spacing w:after="0" w:line="297" w:lineRule="auto"/>
        <w:tabs>
          <w:tab w:leader="none" w:pos="2835"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Party, in connection with prosecuting or defending litigation, making regulatory filings, and filing, prosecuting and enforcing patent applications and patents (including 3SBio Patent Rights in accordance with Section 9);</w:t>
      </w:r>
    </w:p>
    <w:p>
      <w:pPr>
        <w:spacing w:after="0" w:line="268" w:lineRule="exact"/>
        <w:rPr>
          <w:rFonts w:ascii="Times New Roman" w:cs="Times New Roman" w:eastAsia="Times New Roman" w:hAnsi="Times New Roman"/>
          <w:sz w:val="20"/>
          <w:szCs w:val="20"/>
          <w:color w:val="auto"/>
        </w:rPr>
      </w:pPr>
    </w:p>
    <w:p>
      <w:pPr>
        <w:ind w:right="320" w:firstLine="1953"/>
        <w:spacing w:after="0" w:line="282" w:lineRule="auto"/>
        <w:tabs>
          <w:tab w:leader="none" w:pos="289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Selecta or its Affiliates, to its Affiliates; potential and future collaborators (including Sublicensees), research collaborators, subcontractors, investment bankers, investors, lenders, permitted acquirers or assignees under Section 13.1; and their and each of Selecta and its Affiliates’ respective directors, employees, contractors and agents; and</w:t>
      </w:r>
    </w:p>
    <w:p>
      <w:pPr>
        <w:spacing w:after="0" w:line="283" w:lineRule="exact"/>
        <w:rPr>
          <w:rFonts w:ascii="Times New Roman" w:cs="Times New Roman" w:eastAsia="Times New Roman" w:hAnsi="Times New Roman"/>
          <w:sz w:val="20"/>
          <w:szCs w:val="20"/>
          <w:color w:val="auto"/>
        </w:rPr>
      </w:pPr>
    </w:p>
    <w:p>
      <w:pPr>
        <w:ind w:right="300" w:firstLine="1953"/>
        <w:spacing w:after="0" w:line="297" w:lineRule="auto"/>
        <w:tabs>
          <w:tab w:leader="none" w:pos="287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3SBio to its Affiliates, investment bankers, investors, lenders, permitted acquirers or assignees under Section 13.1, and their and 3SBio and its Affiliates’ respective directors, employees, contractors and agents;</w:t>
      </w:r>
    </w:p>
    <w:p>
      <w:pPr>
        <w:spacing w:after="0" w:line="3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provided that (A) with respect to Section 10.1(c)(i) or 10.1(c)(ii), where reasonably possible, the Receiving Party will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(B) with respect to Sections 10.1(c)(iii) and 10.1(c)(iv), each of those named people and entities must be bound prior to disclosure by confidentiality and non-use restrictions at least as restrictive as those contained in this Section 10 (other than investment bankers, investors and lenders, who must be bound prior to disclosure by commercially reasonable obligations of confidentiality). In addition to the foregoing, Selecta and its Affiliates and Sublicensees may make such disclosures of 3SBio Know-How specifically concerning any Licensed Compound or Product and its use as any of them may deem reasonably necessary for their respective businesses. Further, with respect to Section 10.1(c)(i), in the event either Party intends to make a disclosure pursuant thereto, the other Party will have a reasonable time period to review and comment on the proposed disclosure or filing that relates to this Agreement (including the right to request redaction of material terms to the extent permitted by any applicable Laws), and the Party intending to make such disclosure will consider in good faith any reasonable comments thereon provided by the other Party.</w:t>
      </w:r>
    </w:p>
    <w:p>
      <w:pPr>
        <w:spacing w:after="0" w:line="29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Terms of this Agreement; Publicity</w:t>
      </w:r>
      <w:r>
        <w:rPr>
          <w:rFonts w:ascii="Times New Roman" w:cs="Times New Roman" w:eastAsia="Times New Roman" w:hAnsi="Times New Roman"/>
          <w:sz w:val="19"/>
          <w:szCs w:val="19"/>
          <w:color w:val="auto"/>
        </w:rPr>
        <w:t>.</w:t>
      </w:r>
    </w:p>
    <w:p>
      <w:pPr>
        <w:spacing w:after="0" w:line="320" w:lineRule="exact"/>
        <w:rPr>
          <w:sz w:val="20"/>
          <w:szCs w:val="20"/>
          <w:color w:val="auto"/>
        </w:rPr>
      </w:pPr>
    </w:p>
    <w:p>
      <w:pPr>
        <w:ind w:right="60" w:firstLine="1305"/>
        <w:spacing w:after="0" w:line="273" w:lineRule="auto"/>
        <w:tabs>
          <w:tab w:leader="none" w:pos="171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Terms of this Agreement</w:t>
      </w:r>
      <w:r>
        <w:rPr>
          <w:rFonts w:ascii="Times New Roman" w:cs="Times New Roman" w:eastAsia="Times New Roman" w:hAnsi="Times New Roman"/>
          <w:sz w:val="20"/>
          <w:szCs w:val="20"/>
          <w:color w:val="auto"/>
        </w:rPr>
        <w:t>. The Parties agree that the terms of this Agreement will be treated as Confidential Information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both Parties, and thus may be disclosed only as permitted by this Section 10.</w:t>
      </w:r>
    </w:p>
    <w:p>
      <w:pPr>
        <w:spacing w:after="0" w:line="260" w:lineRule="exact"/>
        <w:rPr>
          <w:rFonts w:ascii="Times New Roman" w:cs="Times New Roman" w:eastAsia="Times New Roman" w:hAnsi="Times New Roman"/>
          <w:sz w:val="20"/>
          <w:szCs w:val="20"/>
          <w:color w:val="auto"/>
        </w:rPr>
      </w:pPr>
    </w:p>
    <w:p>
      <w:pPr>
        <w:ind w:firstLine="1305"/>
        <w:spacing w:after="0" w:line="250" w:lineRule="auto"/>
        <w:tabs>
          <w:tab w:leader="none" w:pos="172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Restrictions. </w:t>
      </w:r>
      <w:r>
        <w:rPr>
          <w:rFonts w:ascii="Times New Roman" w:cs="Times New Roman" w:eastAsia="Times New Roman" w:hAnsi="Times New Roman"/>
          <w:sz w:val="20"/>
          <w:szCs w:val="20"/>
          <w:color w:val="auto"/>
        </w:rPr>
        <w:t>No Party to this Agreement will originate any publicity, news release or other public announcement, written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oral, relating to this Agreement, the transactions contemplated hereby or the terms hereof, or the existence of any arrangement between the Parties, without the prior written consent of the other Party, whether named in such publicity, news release or other public announcement or not, except as required by applicable Laws.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21</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05"/>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85" w:right="239" w:bottom="1440" w:gutter="0" w:footer="0" w:header="0"/>
        </w:sectPr>
      </w:pPr>
    </w:p>
    <w:bookmarkStart w:id="114" w:name="page115"/>
    <w:bookmarkEnd w:id="114"/>
    <w:p>
      <w:pPr>
        <w:ind w:right="60" w:firstLine="1305"/>
        <w:spacing w:after="0" w:line="255" w:lineRule="auto"/>
        <w:tabs>
          <w:tab w:leader="none" w:pos="171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Review</w:t>
      </w:r>
      <w:r>
        <w:rPr>
          <w:rFonts w:ascii="Times New Roman" w:cs="Times New Roman" w:eastAsia="Times New Roman" w:hAnsi="Times New Roman"/>
          <w:sz w:val="19"/>
          <w:szCs w:val="19"/>
          <w:color w:val="auto"/>
        </w:rPr>
        <w:t>. In the event either Party (the “Issuing Party”) desires to issue any publicity, new release or other public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announcement relating to this Agreement or the transactions contemplated hereby or the terms hereof, the Issuing Party will provide the other Party (the “Reviewing Party”) with a copy of the proposed release, announcement or statement (the “Release”). The Issuing Party will specify with each such Release, taking into account the urgency of the matter being disclosed, a reasonable period of time within which the Reviewing Party may provide any comments on such Release and if the Receiving Party fails to provide any comments during the response period called for by the Issuing Party, the Reviewing Party will be deemed to have consented to the issuance of such Release; provided, however, that as it relates to the disclosure of the results of any clinical trial conducted by Selecta or any health or safety matter related to a Product, 3SBio acknowledges that announcements may need to be made on extremely short notice, and although Selecta will endeavor to provide 3SBio adequate time for such a review, Selecta will be free to make necessary public disclosures as promptly as it deems necessary and appropriate. If the Reviewing Party provides any comments, the Parties will consult on such Release and work in good faith to prepare a mutually acceptable Release. Either Party may subsequently publicly disclose any information previously contained in any Release so consented to. Notwithstanding the foregoing, nothing herein will limit or impair a Party’s ability to disclose any information required to be disclosed by the laws of the U.S. Securities and Exchange Commission or by the rules and regulations any applicable securities exchange or by any other Regulatory Authority; provided, however that the disclosing Party will use reasonable efforts to limit such disclosure to the extent permitted.</w:t>
      </w:r>
    </w:p>
    <w:p>
      <w:pPr>
        <w:spacing w:after="0" w:line="293"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Relationship to the Confidentiality Agreement</w:t>
      </w:r>
      <w:r>
        <w:rPr>
          <w:rFonts w:ascii="Times New Roman" w:cs="Times New Roman" w:eastAsia="Times New Roman" w:hAnsi="Times New Roman"/>
          <w:sz w:val="19"/>
          <w:szCs w:val="19"/>
          <w:color w:val="auto"/>
        </w:rPr>
        <w:t>. This Agreement supersedes the Confidentiality Agreement, provided that</w:t>
      </w:r>
    </w:p>
    <w:p>
      <w:pPr>
        <w:spacing w:after="0" w:line="2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all “Confidential Information” disclosed or received by the Parties thereunder will be deemed “Confidential Information” hereunder and will be subject to the terms and conditions of this Agreement.</w:t>
      </w:r>
    </w:p>
    <w:p>
      <w:pPr>
        <w:spacing w:after="0" w:line="2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Each Party will be entitled to seek, in addition to any other right or remedy it may have, at law or in equity, a temporary injunction, without the posting of any bond or other security, enjoining or restraining the other Party from any violation or threatened violation of this Section 10.</w:t>
      </w:r>
    </w:p>
    <w:p>
      <w:pPr>
        <w:spacing w:after="0" w:line="296"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Warranties; Limitations of Liability; Indemnification</w:t>
      </w:r>
    </w:p>
    <w:p>
      <w:pPr>
        <w:spacing w:after="0" w:line="337"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3SBio Representations and Warranties</w:t>
      </w:r>
      <w:r>
        <w:rPr>
          <w:rFonts w:ascii="Times New Roman" w:cs="Times New Roman" w:eastAsia="Times New Roman" w:hAnsi="Times New Roman"/>
          <w:sz w:val="19"/>
          <w:szCs w:val="19"/>
          <w:color w:val="auto"/>
        </w:rPr>
        <w:t>. 3SBio covenants, represents and warrants to Selecta that as of the Effective Date:</w:t>
      </w:r>
    </w:p>
    <w:p>
      <w:pPr>
        <w:spacing w:after="0" w:line="337" w:lineRule="exact"/>
        <w:rPr>
          <w:sz w:val="20"/>
          <w:szCs w:val="20"/>
          <w:color w:val="auto"/>
        </w:rPr>
      </w:pPr>
    </w:p>
    <w:p>
      <w:pPr>
        <w:ind w:right="100" w:firstLine="1305"/>
        <w:spacing w:after="0" w:line="282" w:lineRule="auto"/>
        <w:tabs>
          <w:tab w:leader="none" w:pos="216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3SBio is a corporation duly organized, validly existing and in good standing under the laws of jurisdiction in which it is incorporated, and it has full right and authority to enter into this Agreement and to grant the licenses and other rights to Selecta as herein described.</w:t>
      </w:r>
    </w:p>
    <w:p>
      <w:pPr>
        <w:spacing w:after="0" w:line="283" w:lineRule="exact"/>
        <w:rPr>
          <w:rFonts w:ascii="Times New Roman" w:cs="Times New Roman" w:eastAsia="Times New Roman" w:hAnsi="Times New Roman"/>
          <w:sz w:val="20"/>
          <w:szCs w:val="20"/>
          <w:color w:val="auto"/>
        </w:rPr>
      </w:pPr>
    </w:p>
    <w:p>
      <w:pPr>
        <w:ind w:right="160" w:firstLine="1305"/>
        <w:spacing w:after="0" w:line="277" w:lineRule="auto"/>
        <w:tabs>
          <w:tab w:leader="none" w:pos="217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by all requisite corporate action, and when executed and delivered will become a valid and binding contract of 3SBio enforceable against 3SBio in accordance with its terms, subject to applicable bankruptcy, insolvency, reorganization, moratorium and other law affecting creditors’ rights generally from time to time if effect, and to general principles of equity.</w:t>
      </w:r>
    </w:p>
    <w:p>
      <w:pPr>
        <w:spacing w:after="0" w:line="288" w:lineRule="exact"/>
        <w:rPr>
          <w:rFonts w:ascii="Times New Roman" w:cs="Times New Roman" w:eastAsia="Times New Roman" w:hAnsi="Times New Roman"/>
          <w:sz w:val="20"/>
          <w:szCs w:val="20"/>
          <w:color w:val="auto"/>
        </w:rPr>
      </w:pPr>
    </w:p>
    <w:p>
      <w:pPr>
        <w:ind w:right="120" w:firstLine="1305"/>
        <w:spacing w:after="0" w:line="325" w:lineRule="auto"/>
        <w:tabs>
          <w:tab w:leader="none" w:pos="2164"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Agreement do not conflict with any other agreement, contract, instrument or understanding, oral or written, to which 3SBio is a party, or by which it is bound, nor will it violate any law applicable to 3SBio.</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22</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08"/>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2" w:right="239" w:bottom="1440" w:gutter="0" w:footer="0" w:header="0"/>
        </w:sectPr>
      </w:pPr>
    </w:p>
    <w:bookmarkStart w:id="115" w:name="page116"/>
    <w:bookmarkEnd w:id="115"/>
    <w:p>
      <w:pPr>
        <w:ind w:left="-20" w:firstLine="1305"/>
        <w:spacing w:after="0" w:line="282" w:lineRule="auto"/>
        <w:tabs>
          <w:tab w:leader="none" w:pos="21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consents, approvals and authorizations of all regulatory and Governmental Authorities and other persons or entities required to be obtained by 3SBio in connection with the execution and delivery of this Agreement and the performance of its obligations hereunder have been obtained.</w:t>
      </w:r>
    </w:p>
    <w:p>
      <w:pPr>
        <w:spacing w:after="0" w:line="283" w:lineRule="exact"/>
        <w:rPr>
          <w:rFonts w:ascii="Times New Roman" w:cs="Times New Roman" w:eastAsia="Times New Roman" w:hAnsi="Times New Roman"/>
          <w:sz w:val="20"/>
          <w:szCs w:val="20"/>
          <w:color w:val="auto"/>
        </w:rPr>
      </w:pPr>
    </w:p>
    <w:p>
      <w:pPr>
        <w:ind w:left="-20" w:right="120" w:firstLine="1305"/>
        <w:spacing w:after="0" w:line="297" w:lineRule="auto"/>
        <w:tabs>
          <w:tab w:leader="none" w:pos="21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3SBio has disclosed to Selecta all material information as of the Effective Date relating to the 3SBio Patent Rights, the 3SBio Know-How, the Licensed Compounds and 3SBio’s Development efforts with respect to the Licensed Compounds.</w:t>
      </w:r>
    </w:p>
    <w:p>
      <w:pPr>
        <w:spacing w:after="0" w:line="268" w:lineRule="exact"/>
        <w:rPr>
          <w:rFonts w:ascii="Times New Roman" w:cs="Times New Roman" w:eastAsia="Times New Roman" w:hAnsi="Times New Roman"/>
          <w:sz w:val="20"/>
          <w:szCs w:val="20"/>
          <w:color w:val="auto"/>
        </w:rPr>
      </w:pPr>
    </w:p>
    <w:p>
      <w:pPr>
        <w:jc w:val="both"/>
        <w:ind w:left="-20" w:firstLine="1305"/>
        <w:spacing w:after="0" w:line="282" w:lineRule="auto"/>
        <w:tabs>
          <w:tab w:leader="none" w:pos="212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hereto as Exhibit A is a complete and accurate list of all patents and patent applications owned (in whole or in part) or in-licensed by 3SBio or any of its Affiliates as of the Effective Date that claim or cover any Licensed Compounds or Products (alone or as part of any Combination Product).</w:t>
      </w:r>
    </w:p>
    <w:p>
      <w:pPr>
        <w:spacing w:after="0" w:line="283" w:lineRule="exact"/>
        <w:rPr>
          <w:rFonts w:ascii="Times New Roman" w:cs="Times New Roman" w:eastAsia="Times New Roman" w:hAnsi="Times New Roman"/>
          <w:sz w:val="20"/>
          <w:szCs w:val="20"/>
          <w:color w:val="auto"/>
        </w:rPr>
      </w:pPr>
    </w:p>
    <w:p>
      <w:pPr>
        <w:ind w:left="-20" w:right="20" w:firstLine="1305"/>
        <w:spacing w:after="0" w:line="271" w:lineRule="auto"/>
        <w:tabs>
          <w:tab w:leader="none" w:pos="21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3SBio, the issued claims included in the 3SBio Patent Rights are valid and enforceable, and no written claim has been made (except by a patent examiner during prosecution of the patent application(s) that resulted in any such issued patent claims), and no action or proceeding has been commenced or threatened, alleging to the contrary. 3SBio is the sole and exclusive owner of all right, title and interest in and to the 3SBio Patent Rights. 3SBio has taken reasonable measures to protect the confidentiality of the 3SBio Know-How. None of the 3SBio Patent Rights or 3SBio Know-How is subject to any lien, security interest or other encumbrance. To the knowledge of 3SBio, the conception and reduction to practice of the 3SBio Patent Rights have not constituted or involved the misappropriation of trade secrets or other rights or property of any Third Party. There are no claims, judgments or settlements against or amounts with respect thereto owed by 3SBio or any of its Affiliates relating to the 3SBio Patent Rights. To the knowledge of 3SBio, there has been no infringement by any Third Party of any 3SBio Patent Rights. The use or practice of the license grant contained in Section 2.1 will not trigger any payment obligation by 3SBio or any of its Affiliates to any Third Party.</w:t>
      </w:r>
    </w:p>
    <w:p>
      <w:pPr>
        <w:spacing w:after="0" w:line="293" w:lineRule="exact"/>
        <w:rPr>
          <w:rFonts w:ascii="Times New Roman" w:cs="Times New Roman" w:eastAsia="Times New Roman" w:hAnsi="Times New Roman"/>
          <w:sz w:val="20"/>
          <w:szCs w:val="20"/>
          <w:color w:val="auto"/>
        </w:rPr>
      </w:pPr>
    </w:p>
    <w:p>
      <w:pPr>
        <w:ind w:left="-20" w:right="60" w:firstLine="1305"/>
        <w:spacing w:after="0" w:line="275" w:lineRule="auto"/>
        <w:tabs>
          <w:tab w:leader="none" w:pos="21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action or proceeding alleging, or, to the knowledge of 3SBio, any written communication alleging, that the manufacture, use, sale, offer for sale or importation of any Licensed Compounds (alone or as part of any Combination Product), the activities of 3SBio or any of its Affiliates or any of their licensees with respect to any such Licensed Compounds, or the practice or use of the 3SBio Patent Rights or 3SBio Know-How, has or will infringe or misappropriate any patent or other intellectual property rights of any Third Party.</w:t>
      </w:r>
    </w:p>
    <w:p>
      <w:pPr>
        <w:spacing w:after="0" w:line="289" w:lineRule="exact"/>
        <w:rPr>
          <w:rFonts w:ascii="Times New Roman" w:cs="Times New Roman" w:eastAsia="Times New Roman" w:hAnsi="Times New Roman"/>
          <w:sz w:val="20"/>
          <w:szCs w:val="20"/>
          <w:color w:val="auto"/>
        </w:rPr>
      </w:pPr>
    </w:p>
    <w:p>
      <w:pPr>
        <w:ind w:left="-20" w:right="440" w:firstLine="1305"/>
        <w:spacing w:after="0" w:line="297" w:lineRule="auto"/>
        <w:tabs>
          <w:tab w:leader="none" w:pos="211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3SBio has not granted any license, option or other right in or to the 3SBio Know-How, 3SBio Patents Rights or Licensed Compound prior to the Effective Date.</w:t>
      </w:r>
    </w:p>
    <w:p>
      <w:pPr>
        <w:spacing w:after="0" w:line="268" w:lineRule="exact"/>
        <w:rPr>
          <w:rFonts w:ascii="Times New Roman" w:cs="Times New Roman" w:eastAsia="Times New Roman" w:hAnsi="Times New Roman"/>
          <w:sz w:val="20"/>
          <w:szCs w:val="20"/>
          <w:color w:val="auto"/>
        </w:rPr>
      </w:pPr>
    </w:p>
    <w:p>
      <w:pPr>
        <w:ind w:left="-20" w:right="380" w:firstLine="1305"/>
        <w:spacing w:after="0" w:line="282" w:lineRule="auto"/>
        <w:tabs>
          <w:tab w:leader="none" w:pos="211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3SBio, there are no scientific or clinical facts or circumstances that would materially and adversely affect the safety, efficacy or market performance of any Licensed Compounds (alone or as part of any Combination Product) that have not been communicated to Selecta.</w:t>
      </w:r>
    </w:p>
    <w:p>
      <w:pPr>
        <w:spacing w:after="0" w:line="270"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Selecta Representations and Warranties</w:t>
      </w:r>
      <w:r>
        <w:rPr>
          <w:rFonts w:ascii="Times New Roman" w:cs="Times New Roman" w:eastAsia="Times New Roman" w:hAnsi="Times New Roman"/>
          <w:sz w:val="19"/>
          <w:szCs w:val="19"/>
          <w:color w:val="auto"/>
        </w:rPr>
        <w:t>. Selecta covenants, represents and warrants to 3SBio that as of the Effective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23</w:t>
      </w:r>
    </w:p>
    <w:p>
      <w:pPr>
        <w:spacing w:after="0" w:line="113" w:lineRule="exact"/>
        <w:rPr>
          <w:sz w:val="20"/>
          <w:szCs w:val="20"/>
          <w:color w:val="auto"/>
        </w:rPr>
      </w:pPr>
    </w:p>
    <w:p>
      <w:pPr>
        <w:jc w:val="center"/>
        <w:ind w:left="4520" w:right="120" w:hanging="4382"/>
        <w:spacing w:after="0" w:line="281" w:lineRule="auto"/>
        <w:tabs>
          <w:tab w:leader="none" w:pos="526" w:val="left"/>
        </w:tabs>
        <w:numPr>
          <w:ilvl w:val="0"/>
          <w:numId w:val="110"/>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60" w:top="589" w:right="259" w:bottom="1440" w:gutter="0" w:footer="0" w:header="0"/>
        </w:sectPr>
      </w:pPr>
    </w:p>
    <w:bookmarkStart w:id="116" w:name="page117"/>
    <w:bookmarkEnd w:id="116"/>
    <w:p>
      <w:pPr>
        <w:ind w:right="280" w:firstLine="1305"/>
        <w:spacing w:after="0" w:line="296" w:lineRule="auto"/>
        <w:tabs>
          <w:tab w:leader="none" w:pos="171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Selecta is a corporation duly organized, validly existing and in good standing under the laws of state in which it is incorporated, and it has full right and authority to enter into this Agreement and to accept the rights and licenses granted as herein described.</w:t>
      </w:r>
    </w:p>
    <w:p>
      <w:pPr>
        <w:spacing w:after="0" w:line="244" w:lineRule="exact"/>
        <w:rPr>
          <w:rFonts w:ascii="Times New Roman" w:cs="Times New Roman" w:eastAsia="Times New Roman" w:hAnsi="Times New Roman"/>
          <w:sz w:val="19"/>
          <w:szCs w:val="19"/>
          <w:color w:val="auto"/>
        </w:rPr>
      </w:pPr>
    </w:p>
    <w:p>
      <w:pPr>
        <w:ind w:right="80" w:firstLine="1305"/>
        <w:spacing w:after="0" w:line="274" w:lineRule="auto"/>
        <w:tabs>
          <w:tab w:leader="none" w:pos="172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has been duly authorized by all requisite corporate action, and when executed and delivered will become a valid and binding contract of Selecta enforceable against Selecta in accordance with its terms, subject to applicable bankruptcy, insolvency, reorganization, moratorium and other laws affecting creditors’ rights generally from time to time if effect, and to general principles of equity.</w:t>
      </w:r>
    </w:p>
    <w:p>
      <w:pPr>
        <w:spacing w:after="0" w:line="264" w:lineRule="exact"/>
        <w:rPr>
          <w:rFonts w:ascii="Times New Roman" w:cs="Times New Roman" w:eastAsia="Times New Roman" w:hAnsi="Times New Roman"/>
          <w:sz w:val="19"/>
          <w:szCs w:val="19"/>
          <w:color w:val="auto"/>
        </w:rPr>
      </w:pPr>
    </w:p>
    <w:p>
      <w:pPr>
        <w:ind w:right="20" w:firstLine="1305"/>
        <w:spacing w:after="0" w:line="296" w:lineRule="auto"/>
        <w:tabs>
          <w:tab w:leader="none" w:pos="171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Agreement do not conflict with any other agreement, contract, instrument or understanding, oral or written, to which Selecta is a party, or by which it is bound, nor will it violate any law applicable to Selecta.</w:t>
      </w:r>
    </w:p>
    <w:p>
      <w:pPr>
        <w:spacing w:after="0" w:line="244" w:lineRule="exact"/>
        <w:rPr>
          <w:rFonts w:ascii="Times New Roman" w:cs="Times New Roman" w:eastAsia="Times New Roman" w:hAnsi="Times New Roman"/>
          <w:sz w:val="19"/>
          <w:szCs w:val="19"/>
          <w:color w:val="auto"/>
        </w:rPr>
      </w:pPr>
    </w:p>
    <w:p>
      <w:pPr>
        <w:ind w:right="80" w:firstLine="1305"/>
        <w:spacing w:after="0" w:line="254" w:lineRule="auto"/>
        <w:tabs>
          <w:tab w:leader="none" w:pos="171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consents, approvals and authorizations of all regulatory and Governmental Authorities and other persons or entities required to be obtained by Selecta in connection with the execution and delivery of this Agreement and the performance of its obligations hereunder have been obtained.</w:t>
      </w:r>
    </w:p>
    <w:p>
      <w:pPr>
        <w:spacing w:after="0" w:line="2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Disclaimer</w:t>
      </w:r>
      <w:r>
        <w:rPr>
          <w:rFonts w:ascii="Times New Roman" w:cs="Times New Roman" w:eastAsia="Times New Roman" w:hAnsi="Times New Roman"/>
          <w:sz w:val="19"/>
          <w:szCs w:val="19"/>
          <w:color w:val="auto"/>
        </w:rPr>
        <w:t>. Without limiting the respective rights and obligations of the Parties expressly set forth herein, each Party specifically disclaims any guarantee that the Development or Commercialization of the Licensed Compounds or any Products will be successful, in whole or in part. EXCEPT AS OTHERWISE EXPRESSLY PROVIDED IN THIS AGREEMENT, THE PARTIES MAKE NO REPRESENTATIONS AND EXTEND NO WARRANTY OF ANY KIND (AND EACH PARTY HEREBY EXPRESSLY DISCLAIMS ANY AND ALL REPRESENTATIONS AND WARRANTIES NOT EXPRESSLY PROVIDED IN THIS AGREEMENT), EITHER EXPRESS OR IMPLIED, INCLUDING WITH RESPECT TO ANY LICENSED COMPOUNDS, PRODUCTS, PATENT RIGHTS OR KNOW-HOW, INCLUDING WARRANTIES OF VALIDITY OR ENFORCEABILITY OF ANY PATENT RIGHTS, TITLE, QUALITY, MERCHANTABILITY, FITNESS FOR A PARTICULAR USE OR PURPOSE, PERFORMANCE, AND NONINFRINGEMENT OF ANY THIRD PARTY PATENTS OR OTHER INTELLECTUAL PROPERTY RIGHTS. For clarity, this Section 11.3 will not apply to the Supply Agreements.</w:t>
      </w:r>
    </w:p>
    <w:p>
      <w:pPr>
        <w:spacing w:after="0" w:line="28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NOTWITHSTANDING ANYTHING IN THIS AGREEMENT OR OTHERWISE, NEITHER PARTY WILL BE LIABLE TO THE OTHER OR ANY THIRD PARTY WITH RESPECT TO ANY SUBJECT MATTER OF THIS AGREEMENT FOR ANY INDIRECT, SPECIAL OR CONSEQUENTIAL DAMAGES; PROVIDED, HOWEVER, THAT THIS SECTION 11.4 WILL NOT APPLY TO THE PARTIES’ INDEMNIFICATION RIGHTS AND OBLIGATIONS UNDER SECTIONS 11.6(a) AND 11.6(b) OR ANY BREACH BY A PARTY OF SECTION 2.3, Section 10 OR SECTION 11.1. For clarity, this Section 11.4 will not apply to the Supply Agreements.</w:t>
      </w:r>
    </w:p>
    <w:p>
      <w:pPr>
        <w:spacing w:after="0" w:line="293"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Performance by Affiliates</w:t>
      </w:r>
      <w:r>
        <w:rPr>
          <w:rFonts w:ascii="Times New Roman" w:cs="Times New Roman" w:eastAsia="Times New Roman" w:hAnsi="Times New Roman"/>
          <w:sz w:val="20"/>
          <w:szCs w:val="20"/>
          <w:color w:val="auto"/>
        </w:rPr>
        <w:t>. The Parties recognize that each Party may perform some or all of its obligations under this Agreement through Affiliates; provided, however, that each Party will remain responsible and liable for the performance by its Affiliates and will cause its Affiliates to comply with the provisions of this Agreement in connection therewith.</w:t>
      </w:r>
    </w:p>
    <w:p>
      <w:pPr>
        <w:spacing w:after="0" w:line="2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24</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12"/>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17" w:name="page118"/>
    <w:bookmarkEnd w:id="117"/>
    <w:p>
      <w:pPr>
        <w:ind w:left="-8" w:right="140" w:firstLine="1305"/>
        <w:spacing w:after="0" w:line="257" w:lineRule="auto"/>
        <w:tabs>
          <w:tab w:leader="none" w:pos="1706"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Selecta Indemnity</w:t>
      </w:r>
      <w:r>
        <w:rPr>
          <w:rFonts w:ascii="Times New Roman" w:cs="Times New Roman" w:eastAsia="Times New Roman" w:hAnsi="Times New Roman"/>
          <w:sz w:val="19"/>
          <w:szCs w:val="19"/>
          <w:color w:val="auto"/>
        </w:rPr>
        <w:t>. Selecta hereby agrees to indemnify and hold 3SBio and its Affiliates, and their respective employees,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agents and consultants, and their respective successors, heirs and assigns and representatives (“3SBio Indemnitees”) harmless from and against all claims, liability, threatened claims, damages, expenses (including reasonable attorneys’ fees), suits, proceedings, losses or judgments, whether for money or equitable relief, of any kind, including but not limited to death, personal injury, illness, product liability or property damage or the failure to comply with applicable law or regulation (collectively, “Losses”), arising from any Third Party claim due to</w:t>
      </w:r>
    </w:p>
    <w:p>
      <w:pPr>
        <w:spacing w:after="0" w:line="4" w:lineRule="exact"/>
        <w:rPr>
          <w:rFonts w:ascii="Times New Roman" w:cs="Times New Roman" w:eastAsia="Times New Roman" w:hAnsi="Times New Roman"/>
          <w:sz w:val="19"/>
          <w:szCs w:val="19"/>
          <w:color w:val="auto"/>
        </w:rPr>
      </w:pPr>
    </w:p>
    <w:p>
      <w:pPr>
        <w:ind w:left="-8" w:right="20" w:firstLine="8"/>
        <w:spacing w:after="0"/>
        <w:tabs>
          <w:tab w:leader="none" w:pos="2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research, Development, Commercialization (including promotion, advertising, offering for sale, sale or other disposition), transfer, importation or exportation, Manufacture, labeling, handling or storage, or use of, or exposure to, the Licensed Compounds or any Product by or for Selecta or any of its Affiliates, Sublicensees, agents and consultants or (ii) Selecta’s (or its Affiliates’ and Sublicensees’) use or practice of 3SBio Patent Rights and 3SBio Know-How or (iii) arising from any material breach of any obligation, representation or warranty of Selecta hereunder, except, in each case, to the extent that such Losses arise from (A) infringement or misappropriation of patent or other intellectual property rights or know-how by any 3SBio Indemnitees, (B) the gross negligence, recklessness or willful misconduct of any 3SBio Indemnitees, or (C) any material breach of any obligation, representation or warranty of 3SBio hereunder.</w:t>
      </w:r>
    </w:p>
    <w:p>
      <w:pPr>
        <w:spacing w:after="0" w:line="295" w:lineRule="exact"/>
        <w:rPr>
          <w:rFonts w:ascii="Times New Roman" w:cs="Times New Roman" w:eastAsia="Times New Roman" w:hAnsi="Times New Roman"/>
          <w:sz w:val="20"/>
          <w:szCs w:val="20"/>
          <w:color w:val="auto"/>
        </w:rPr>
      </w:pPr>
    </w:p>
    <w:p>
      <w:pPr>
        <w:ind w:left="-8" w:right="20" w:firstLine="1305"/>
        <w:spacing w:after="0" w:line="258" w:lineRule="auto"/>
        <w:tabs>
          <w:tab w:leader="none" w:pos="171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3SBio Indemnity</w:t>
      </w:r>
      <w:r>
        <w:rPr>
          <w:rFonts w:ascii="Times New Roman" w:cs="Times New Roman" w:eastAsia="Times New Roman" w:hAnsi="Times New Roman"/>
          <w:sz w:val="19"/>
          <w:szCs w:val="19"/>
          <w:color w:val="auto"/>
        </w:rPr>
        <w:t>. 3SBio hereby agrees to indemnify and hold Selecta, its Affiliates and Sublicensees, and their respective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employees, directors, agents and consultants, and their respective successors, heirs and assigns and representatives (“Selecta Indemnitees”) harmless from and against all Losses arising from any Third Party claim due to (i) the research, Development, transfer, importation or exportation, Manufacture, labeling, handling or storage, or use of, or exposure to, the Licensed Compounds or any Product by or for 3SBio or any of its Affiliates, sublicensees, agents and contractors or (ii) 3SBio’s (or its Affiliates’ and sublicensees’) use and practice otherwise of 3SBio Patent Rights and Selecta Confidential Information or (iii) arising from any material breach of any obligation, representation or warranty of Selecta hereunder, except, in each case, to the extent that such Losses arise from (A) infringement or misappropriation of patent or other intellectual property rights or know-how by any Selecta Indemnitees, (B) the gross negligence, recklessness or willful misconduct of any Selecta Indemnitees, or (C) any material breach of any obligation, representation or warranty of Selecta hereunder.</w:t>
      </w:r>
    </w:p>
    <w:p>
      <w:pPr>
        <w:spacing w:after="0" w:line="276" w:lineRule="exact"/>
        <w:rPr>
          <w:rFonts w:ascii="Times New Roman" w:cs="Times New Roman" w:eastAsia="Times New Roman" w:hAnsi="Times New Roman"/>
          <w:sz w:val="19"/>
          <w:szCs w:val="19"/>
          <w:color w:val="auto"/>
        </w:rPr>
      </w:pPr>
    </w:p>
    <w:p>
      <w:pPr>
        <w:ind w:left="-8" w:firstLine="1305"/>
        <w:spacing w:after="0" w:line="242" w:lineRule="auto"/>
        <w:tabs>
          <w:tab w:leader="none" w:pos="170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Procedure</w:t>
      </w:r>
      <w:r>
        <w:rPr>
          <w:rFonts w:ascii="Times New Roman" w:cs="Times New Roman" w:eastAsia="Times New Roman" w:hAnsi="Times New Roman"/>
          <w:sz w:val="20"/>
          <w:szCs w:val="20"/>
          <w:color w:val="auto"/>
        </w:rPr>
        <w:t>. A claim to which indemnification applies under Section 11.6(a) or Section 11.6(b) will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referred to herein as a “Claim”. If any person or entity (each, an “Indemnitee”) intends to claim indemnification under this Section 11.6, the Indemnitee will notify the other Party (the “Indemnitor”) in writing promptly upon becoming aware of any claim that may be a Claim (it being understood and agreed, however, that the failure by an Indemnitee to give such notice will not relieve the Indemnitor of its indemnification obligation under this Agreement except and only to the extent that the Indemnitor is actually prejudiced as a result of such failure to give notice). The Indemnitor will have the right to assume and control the defense of such Claim at its own expense with counsel selected by the Indemnitor and reasonably acceptable to the Indemnitee; provided, however, that an Indemnitee will have the right to retain its own counsel, with the fees and expenses to be paid by the Indemnitee, if representation of such Indemnitee by the counsel retained by the Indemnitor would be inappropriate due to actual or potential differing interests between such Indemnitee and any other party represented by such counsel in such proceedings. If the Indemnitor does not assume the defense of such Claim as aforesaid, the Indemnitee may defend such Claim but will have no obligation to do so. The Indemnitee will not settle or compromise any Claim without the prior written consent of the Indemnitor, and the Indemnitor will not settle or compromise any Claim in any manner which would have an adverse effect on the Indemnitee’s interests, without the prior written consent of the</w:t>
      </w:r>
    </w:p>
    <w:p>
      <w:pPr>
        <w:spacing w:after="0" w:line="33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CACAC"/>
        </w:rPr>
        <w:t>25</w:t>
      </w:r>
    </w:p>
    <w:p>
      <w:pPr>
        <w:spacing w:after="0" w:line="113" w:lineRule="exact"/>
        <w:rPr>
          <w:sz w:val="20"/>
          <w:szCs w:val="20"/>
          <w:color w:val="auto"/>
        </w:rPr>
      </w:pPr>
    </w:p>
    <w:p>
      <w:pPr>
        <w:jc w:val="center"/>
        <w:ind w:left="4532" w:right="120" w:hanging="4382"/>
        <w:spacing w:after="0" w:line="281" w:lineRule="auto"/>
        <w:tabs>
          <w:tab w:leader="none" w:pos="538" w:val="left"/>
        </w:tabs>
        <w:numPr>
          <w:ilvl w:val="0"/>
          <w:numId w:val="115"/>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92"/>
          </w:cols>
          <w:pgMar w:left="248" w:top="572" w:right="259" w:bottom="1440" w:gutter="0" w:footer="0" w:header="0"/>
        </w:sectPr>
      </w:pPr>
    </w:p>
    <w:bookmarkStart w:id="118" w:name="page119"/>
    <w:bookmarkEnd w:id="118"/>
    <w:p>
      <w:pPr>
        <w:ind w:right="180"/>
        <w:spacing w:after="0" w:line="254" w:lineRule="auto"/>
        <w:rPr>
          <w:sz w:val="20"/>
          <w:szCs w:val="20"/>
          <w:color w:val="auto"/>
        </w:rPr>
      </w:pPr>
      <w:r>
        <w:rPr>
          <w:rFonts w:ascii="Times New Roman" w:cs="Times New Roman" w:eastAsia="Times New Roman" w:hAnsi="Times New Roman"/>
          <w:sz w:val="20"/>
          <w:szCs w:val="20"/>
          <w:color w:val="auto"/>
        </w:rPr>
        <w:t>Indemnitee, which consent, in each case, will not be unreasonably withheld. The Indemnitee will reasonably cooperate with the Indemnitor at the Indemnitor’s expense and will make available to the Indemnitor all pertinent information under the control of the Indemnitee, which information will be subject to Section 10.</w:t>
      </w:r>
    </w:p>
    <w:p>
      <w:pPr>
        <w:spacing w:after="0" w:line="28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Party agrees to maintain during the term of this Agreement such insurance coverage as [***], taking into to consideration the activities and other circumstances of such Party.</w:t>
      </w:r>
    </w:p>
    <w:p>
      <w:pPr>
        <w:spacing w:after="0" w:line="281"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Term, Termination and Survival</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this Agreement, together with the term of the Original Agreement, commenced as of the Original Effective Date and, unless sooner terminated in accordance with the terms hereof, will continue in effect until the expiration of Selecta’s royalty obligations to 3SBio under Section 8.3 in all countries in the Territory (the “Term”). However, effective upon the expiration of Selecta’s royalty obligations to 3SBio with respect to a given Product in a given country in the Territory: (a) the licenses granted to Selecta in Section 2.1 under the 3SBio Patent Rights and 3SBio Know-How will become fully paid up, perpetual, irrevocable and royalty-free with respect to such Product in such country; and (b) Selecta and its Affiliates and Sublicensees will have the right to continue to Develop and Commercialize the relevant Product in such country without further obligation to 3SBio.</w:t>
      </w:r>
    </w:p>
    <w:p>
      <w:pPr>
        <w:spacing w:after="0" w:line="2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Termination for Material Default</w:t>
      </w:r>
      <w:r>
        <w:rPr>
          <w:rFonts w:ascii="Times New Roman" w:cs="Times New Roman" w:eastAsia="Times New Roman" w:hAnsi="Times New Roman"/>
          <w:sz w:val="20"/>
          <w:szCs w:val="20"/>
          <w:color w:val="auto"/>
        </w:rPr>
        <w:t>. Either Party will have the right to terminate this Agreement upon delivery of written notice to the other Party in the event of any default in the performance by such other Party of any of such other Party’s material obligations under this Agreement, provided that such default has not been cured within ninety (90) days, or, in the event such default results in a failure to make payment when due hereunder, thirty (30) days, after written notice thereof is given by the non-defaulting Party to the defaulting Party specifying the nature of the alleged default, provided the Parties will take all reasonable steps to resolve the matter pursuant to the process set forth in Section 13.6(a) during the applicable cure period and before any such termination becomes effective. Termination of this Agreement by 3SBio under this Section 12.2 will be on a country-by-country and product-by-product basis (and not for the Agreement as a whole) if the default giving rise to termination is reasonably specific to one or more countries or one or more products (e.g., a royalty dispute for one product in one or more countries) and does not have any material impact on the obligations of the Selecta under this Agreement. For clarity, the termination rights and related cure periods do not apply to the Supply Agreements.</w:t>
      </w:r>
    </w:p>
    <w:p>
      <w:pPr>
        <w:spacing w:after="0" w:line="301"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Termination for Convenience by Selecta</w:t>
      </w:r>
      <w:r>
        <w:rPr>
          <w:rFonts w:ascii="Times New Roman" w:cs="Times New Roman" w:eastAsia="Times New Roman" w:hAnsi="Times New Roman"/>
          <w:sz w:val="20"/>
          <w:szCs w:val="20"/>
          <w:color w:val="auto"/>
        </w:rPr>
        <w:t>. Selecta may terminate this Agreement in full for any reason effective upon sixty (60) days prior written notice to 3SBio; provided, however, that Selecta will have the right to terminate this Agreement with respect to a given Product with immediate effect upon written notice to 3SBio in the event that Selecta or any of its Affiliates or Sublicensees identifies a safety or efficacy concern with respect to such Product. Termination of this Agreement by Selecta under this Section 12.3 may be on a country-by-country or product-by-product basis.</w:t>
      </w:r>
    </w:p>
    <w:p>
      <w:pPr>
        <w:spacing w:after="0" w:line="2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Bankruptcy</w:t>
      </w:r>
      <w:r>
        <w:rPr>
          <w:rFonts w:ascii="Times New Roman" w:cs="Times New Roman" w:eastAsia="Times New Roman" w:hAnsi="Times New Roman"/>
          <w:sz w:val="19"/>
          <w:szCs w:val="19"/>
          <w:color w:val="auto"/>
        </w:rPr>
        <w:t>.</w:t>
      </w:r>
    </w:p>
    <w:p>
      <w:pPr>
        <w:spacing w:after="0" w:line="333" w:lineRule="exact"/>
        <w:rPr>
          <w:sz w:val="20"/>
          <w:szCs w:val="20"/>
          <w:color w:val="auto"/>
        </w:rPr>
      </w:pPr>
    </w:p>
    <w:p>
      <w:pPr>
        <w:ind w:right="300" w:firstLine="1305"/>
        <w:spacing w:after="0" w:line="284" w:lineRule="auto"/>
        <w:tabs>
          <w:tab w:leader="none" w:pos="216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Each Party will have the unilateral right to terminate this Agreement at any time during its Term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providing written notice with immediate effect in the event that: (i) the other Party files in any court or agency pursuant to any statute or regulation of any state,</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26</w:t>
      </w:r>
    </w:p>
    <w:p>
      <w:pPr>
        <w:spacing w:after="0" w:line="113" w:lineRule="exact"/>
        <w:rPr>
          <w:sz w:val="20"/>
          <w:szCs w:val="20"/>
          <w:color w:val="auto"/>
        </w:rPr>
      </w:pPr>
    </w:p>
    <w:p>
      <w:pPr>
        <w:jc w:val="center"/>
        <w:ind w:left="4540" w:right="120" w:hanging="4382"/>
        <w:spacing w:after="0" w:line="281" w:lineRule="auto"/>
        <w:tabs>
          <w:tab w:leader="none" w:pos="546" w:val="left"/>
        </w:tabs>
        <w:numPr>
          <w:ilvl w:val="0"/>
          <w:numId w:val="117"/>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576" w:right="259" w:bottom="1440" w:gutter="0" w:footer="0" w:header="0"/>
        </w:sectPr>
      </w:pPr>
    </w:p>
    <w:bookmarkStart w:id="119" w:name="page120"/>
    <w:bookmarkEnd w:id="119"/>
    <w:p>
      <w:pPr>
        <w:ind w:right="20"/>
        <w:spacing w:after="0" w:line="275" w:lineRule="auto"/>
        <w:rPr>
          <w:sz w:val="20"/>
          <w:szCs w:val="20"/>
          <w:color w:val="auto"/>
        </w:rPr>
      </w:pPr>
      <w:r>
        <w:rPr>
          <w:rFonts w:ascii="Times New Roman" w:cs="Times New Roman" w:eastAsia="Times New Roman" w:hAnsi="Times New Roman"/>
          <w:sz w:val="20"/>
          <w:szCs w:val="20"/>
          <w:color w:val="auto"/>
        </w:rPr>
        <w:t>country or jurisdiction, a petition in bankruptcy or insolvency or for reorganization or for a similar arrangement or for the appointment of a receiver or trustee of that Party or of its assets, or (ii) if the other Party proposes a written agreement of composition or extension of its debts generally, or (iii) if the other Party is served with an involuntary petition against it, filed in any insolvency proceeding, and such petition is not dismissed within sixty (60) days after the filing thereof, or (iv) if the other Party proposes or is a party to any dissolution or liquidation, or (v) if the other Party makes an assignment for the benefit of its creditors.</w:t>
      </w:r>
    </w:p>
    <w:p>
      <w:pPr>
        <w:spacing w:after="0" w:line="286" w:lineRule="exact"/>
        <w:rPr>
          <w:sz w:val="20"/>
          <w:szCs w:val="20"/>
          <w:color w:val="auto"/>
        </w:rPr>
      </w:pPr>
    </w:p>
    <w:p>
      <w:pPr>
        <w:ind w:firstLine="1305"/>
        <w:spacing w:after="0" w:line="274" w:lineRule="auto"/>
        <w:tabs>
          <w:tab w:leader="none" w:pos="217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Consequences of Bankruptcy</w:t>
      </w:r>
      <w:r>
        <w:rPr>
          <w:rFonts w:ascii="Times New Roman" w:cs="Times New Roman" w:eastAsia="Times New Roman" w:hAnsi="Times New Roman"/>
          <w:sz w:val="20"/>
          <w:szCs w:val="20"/>
          <w:color w:val="auto"/>
        </w:rPr>
        <w:t>. All rights and licenses granted under or pursuant to this Agreement by 3SBio or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 are, and will otherwise be deemed to be, for purposes of Section 365(n) of the U.S. Bankruptcy Code, licenses of right to “intellectual property” as defined under Section 101 of the U.S. Bankruptcy Code. The Parties agree that Selecta (and its Affiliates and Sublicensees) as licensees of such rights under this Agreement, will retain and may fully exercise all of its rights and elections under the U.S. Bankruptcy Code and any foreign counterparts thereto. For clarity, the provisions of this Section 12.4(b) will be without prejudice to any rights the terminating Party may have arising under any applicable insolvency statute or other applicable law.</w:t>
      </w:r>
    </w:p>
    <w:p>
      <w:pPr>
        <w:spacing w:after="0" w:line="2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u w:val="single" w:color="auto"/>
          <w:color w:val="auto"/>
        </w:rPr>
        <w:t>Effect of Certain Terminations</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right="40" w:firstLine="1305"/>
        <w:spacing w:after="0" w:line="244" w:lineRule="auto"/>
        <w:tabs>
          <w:tab w:leader="none" w:pos="171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by 3SBio pursuant to Section 12.2 or by Selecta pursuant to Section 12.3, or with respect to each applicable product and country as to which termination occurs pursuant to Section 12.2 (the rights and obligations of the Parties as to the remaining products and countries in which termination under Section 12.2 has not occurred, being unaffected by such termination), all rights and licenses granted to Selecta in Section 2.1 will terminate with respect to each such terminated product and country, and Section 2.2(a) will apply to all Sublicensees in each such terminated country for each such terminated product. In addition, upon the written request of 3SBio, Selecta will grant to 3SBio a right to access and reference all Regulatory Approvals and Regulatory Filings owned by Selecta or its Affiliates concerning each such terminated product in the terminated country.</w:t>
      </w:r>
    </w:p>
    <w:p>
      <w:pPr>
        <w:spacing w:after="0" w:line="294"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by Selecta under Section 12.2 (3SBio breach):</w:t>
      </w:r>
    </w:p>
    <w:p>
      <w:pPr>
        <w:spacing w:after="0" w:line="337" w:lineRule="exact"/>
        <w:rPr>
          <w:rFonts w:ascii="Times New Roman" w:cs="Times New Roman" w:eastAsia="Times New Roman" w:hAnsi="Times New Roman"/>
          <w:sz w:val="20"/>
          <w:szCs w:val="20"/>
          <w:color w:val="auto"/>
        </w:rPr>
      </w:pPr>
    </w:p>
    <w:p>
      <w:pPr>
        <w:ind w:right="80" w:firstLine="1953"/>
        <w:spacing w:after="0" w:line="277" w:lineRule="auto"/>
        <w:tabs>
          <w:tab w:leader="none" w:pos="278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of such termination, (A) the 3SBio Distribution Option will terminate, and (B) 3SBio will, within thirty (30) days after the effective date of such termination, return to Selecta all of Selecta’s Confidential Information that is in 3SBio’s (or its Affiliates’) possession or control, provided that 3SBio may keep one copy of Selecta’s Confidential Information in its confidential legal files for purposes of confirming compliance with this Agreement.</w:t>
      </w:r>
    </w:p>
    <w:p>
      <w:pPr>
        <w:spacing w:after="0" w:line="288" w:lineRule="exact"/>
        <w:rPr>
          <w:rFonts w:ascii="Times New Roman" w:cs="Times New Roman" w:eastAsia="Times New Roman" w:hAnsi="Times New Roman"/>
          <w:sz w:val="20"/>
          <w:szCs w:val="20"/>
          <w:color w:val="auto"/>
        </w:rPr>
      </w:pPr>
    </w:p>
    <w:p>
      <w:pPr>
        <w:ind w:left="2840" w:hanging="887"/>
        <w:spacing w:after="0"/>
        <w:tabs>
          <w:tab w:leader="none" w:pos="284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of such termination, the licenses granted to Selecta by 3SBio pursuant to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 will become perpetual, irrevocable licenses.</w:t>
      </w:r>
    </w:p>
    <w:p>
      <w:pPr>
        <w:spacing w:after="0" w:line="349" w:lineRule="exact"/>
        <w:rPr>
          <w:sz w:val="20"/>
          <w:szCs w:val="20"/>
          <w:color w:val="auto"/>
        </w:rPr>
      </w:pPr>
    </w:p>
    <w:p>
      <w:pPr>
        <w:jc w:val="both"/>
        <w:ind w:right="500" w:firstLine="1953"/>
        <w:spacing w:after="0" w:line="325" w:lineRule="auto"/>
        <w:tabs>
          <w:tab w:leader="none" w:pos="289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Selecta may exercise its co-exclusive rights under Section 2.1(b) and 3SBio will promptly assign any manufacturing or supply agreements relating to the Licensed Compounds or Licensed Products in the Territory to Selecta or its designee;</w:t>
      </w:r>
    </w:p>
    <w:p>
      <w:pPr>
        <w:spacing w:after="0" w:line="245" w:lineRule="exact"/>
        <w:rPr>
          <w:rFonts w:ascii="Times New Roman" w:cs="Times New Roman" w:eastAsia="Times New Roman" w:hAnsi="Times New Roman"/>
          <w:sz w:val="19"/>
          <w:szCs w:val="19"/>
          <w:color w:val="auto"/>
        </w:rPr>
      </w:pPr>
    </w:p>
    <w:p>
      <w:pPr>
        <w:ind w:right="160" w:firstLine="1953"/>
        <w:spacing w:after="0" w:line="282" w:lineRule="auto"/>
        <w:tabs>
          <w:tab w:leader="none" w:pos="287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will continue to be obligated to pay the milestone and royalty amounts under Sections 8.2 and 8.3 that would otherwise have been payable under the terms of this Agreement during its Term; provided, however, that such amounts will be reduced by [***] percent</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CACAC"/>
        </w:rPr>
        <w:t>27</w:t>
      </w:r>
    </w:p>
    <w:p>
      <w:pPr>
        <w:spacing w:after="0" w:line="113" w:lineRule="exact"/>
        <w:rPr>
          <w:sz w:val="20"/>
          <w:szCs w:val="20"/>
          <w:color w:val="auto"/>
        </w:rPr>
      </w:pPr>
    </w:p>
    <w:p>
      <w:pPr>
        <w:jc w:val="center"/>
        <w:ind w:left="4540" w:right="120" w:hanging="4382"/>
        <w:spacing w:after="0" w:line="281" w:lineRule="auto"/>
        <w:tabs>
          <w:tab w:leader="none" w:pos="546" w:val="left"/>
        </w:tabs>
        <w:numPr>
          <w:ilvl w:val="0"/>
          <w:numId w:val="121"/>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589" w:right="2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color w:val="auto"/>
        </w:rPr>
        <w:t>([***]%) of the amounts that would otherwise have been payable under the terms of this Agreement during its term.</w:t>
      </w:r>
    </w:p>
    <w:p>
      <w:pPr>
        <w:spacing w:after="0" w:line="33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Right to Sell-Off Inventory</w:t>
      </w:r>
      <w:r>
        <w:rPr>
          <w:rFonts w:ascii="Times New Roman" w:cs="Times New Roman" w:eastAsia="Times New Roman" w:hAnsi="Times New Roman"/>
          <w:sz w:val="20"/>
          <w:szCs w:val="20"/>
          <w:color w:val="auto"/>
        </w:rPr>
        <w:t>. Upon termination of this Agreement for any reason, should Selecta or any of its Affiliates or Sublicensees have any inventory of any Product, each of them will have [***] months thereafter in which to dispose of such inventory (subject to the payment to 3SBio of any royalties due hereunder thereon).</w:t>
      </w:r>
    </w:p>
    <w:p>
      <w:pPr>
        <w:spacing w:after="0" w:line="28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In addition to the termination consequences set forth in Section 12.5, the following provisions will survive expiration or termination of this Agreement for any reason, as well as any other provision which by its terms or by the context thereof, is intended to survive such termination: Sections 10.1, 10.3, 10.4, 11.3, 11.4, 12.6, 13.5-13.8, and 13.10.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subject to Section 13.6, with respect to any breach of this Agreement nor prejudice either Party’s right to obtain performance of any obligation.</w:t>
      </w:r>
    </w:p>
    <w:p>
      <w:pPr>
        <w:spacing w:after="0" w:line="307"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Party may assign this Agreement, delegate its obligations or otherwise transfer licenses or other rights created by this Agreement, except as otherwise expressly permitted hereunder or without the prior written consent of the other Party, which consent will not be unreasonably withheld, conditioned or delayed; provided, that each Party may assign this Agreement as a whole without such consent to an Affiliate or in connection with the acquisition of such Party, provided that such Party provides written notice to the other Party of such acquisition. For clarity, the meaning of “acquisition” includes, without limitation any disposal or transfer in any manner whatsoever effected whether for consideration or without a consideration including but not limited to any sale, contribution in kind, statutory merger or de-merger, donation, exchange, transfer or rent of the business as a going-concern, or other transfer whatsoever and whether in whole or in part. In addition, it will be reasonable for a Party to not to give its consent to the assigning Party under this Section 13.1 if, among other things, the assignee or delegate, does not have adequate financial or technical resources to comply with the assigning Party’s obligations hereunder, or would affect the continuity of supply of any Licensed Compound or Licensed Product under the Supply Agreements. Any assignment or transfer in violation of this Section 13.1 will be void. This Agreement will inure to the benefit of, and be binding upon, the legal representatives, successors and permitted assigns of the Parties. For clarity, any assignment under this Section 13.1 will be treated as a novation, and the counterparty will sign such documents as required to affect such novation. For this purpose, references to a Party’s rights under this Agreement include any similar rights to which another person becomes entitled as a result of a novation of this Agreement.</w:t>
      </w:r>
    </w:p>
    <w:p>
      <w:pPr>
        <w:spacing w:after="0" w:line="30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13.2 </w:t>
      </w: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 Neither Party will be held liable or responsible to the other Party nor be deemed to have defaulted under or breached this Agreement for failure or delay in fulfilling or performing any term of this Agreement if, but only to the extent that, such failure or delay results from causes beyond the reasonable control of the affected Party, potentially including fire, floods, embargoes, terrorism, war, acts of war (whether war be declared or not), insurrections, riots, civil commotions, strikes, lockouts or other labor disturbances, acts of God or acts, omissions or delays in acting by any Governmental Authority or any other Party; provided that the Party affected will promptly notify the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28</w:t>
      </w:r>
    </w:p>
    <w:p>
      <w:pPr>
        <w:spacing w:after="0" w:line="113" w:lineRule="exact"/>
        <w:rPr>
          <w:sz w:val="20"/>
          <w:szCs w:val="20"/>
          <w:color w:val="auto"/>
        </w:rPr>
      </w:pPr>
    </w:p>
    <w:p>
      <w:pPr>
        <w:jc w:val="center"/>
        <w:ind w:left="4540" w:right="120" w:hanging="4382"/>
        <w:spacing w:after="0" w:line="281" w:lineRule="auto"/>
        <w:tabs>
          <w:tab w:leader="none" w:pos="546" w:val="left"/>
        </w:tabs>
        <w:numPr>
          <w:ilvl w:val="0"/>
          <w:numId w:val="122"/>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589" w:right="259" w:bottom="1440" w:gutter="0" w:footer="0" w:header="0"/>
        </w:sectPr>
      </w:pPr>
    </w:p>
    <w:bookmarkStart w:id="121" w:name="page122"/>
    <w:bookmarkEnd w:id="121"/>
    <w:p>
      <w:pPr>
        <w:ind w:right="1020"/>
        <w:spacing w:after="0" w:line="269" w:lineRule="auto"/>
        <w:rPr>
          <w:sz w:val="20"/>
          <w:szCs w:val="20"/>
          <w:color w:val="auto"/>
        </w:rPr>
      </w:pPr>
      <w:r>
        <w:rPr>
          <w:rFonts w:ascii="Times New Roman" w:cs="Times New Roman" w:eastAsia="Times New Roman" w:hAnsi="Times New Roman"/>
          <w:sz w:val="20"/>
          <w:szCs w:val="20"/>
          <w:color w:val="auto"/>
        </w:rPr>
        <w:t>other of the force majeure condition and will exert reasonable efforts to eliminate, cure or overcome any such causes and to resume performance of its obligations as soon as possible.</w:t>
      </w:r>
    </w:p>
    <w:p>
      <w:pPr>
        <w:spacing w:after="0" w:line="26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one or more of the provisions contained in this Agreement is held for any reason to be invalid, illegal or unenforceable in any respect, the validity, legality and enforceability of the remaining provisions contained herein will not in any way be affected or impaired thereby, but this Agreement will be construed as if such invalid, illegal or unenforceable provision or provisions had never been contained herein unless the deletion of such provision or provisions would result in such a material change as to cause completion of the transactions contemplated herein to be impossible or significantly frustrated and provided that the performance required by this Agreement with such clause deleted remains substantially consistent with the intent of the Parties; provided that in the event that a Third Party reasonably asserts that patent misuse has occurred based on any aspect of this Agreement, the Parties will negotiate in good faith to make any necessary amendments to this Agreement to preserve the validity and enforceability of the applicable Patents and make as few revisions as possible to maintain the original intent of the Parties under this Agreement.</w:t>
      </w:r>
    </w:p>
    <w:p>
      <w:pPr>
        <w:spacing w:after="0" w:line="29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This Agreement may not be modified, amended or rescinded, in whole or part, except by a written instrument signed by the Parties; provided that any unilateral undertaking or waiver made by one Party in favor of the other will be enforceable if undertaken in a writing signed by the Party to be charged with the undertaking or waiver. No delay or omission by either Party hereto in exercising any right or power occurring upon any noncompliance or default by the other Party with respect to any of the terms of this Agreement will impair any such right or power or be construed to be a waiver thereof. A waiver by either of the Parties of any of the covenants, conditions or agreements to be performed by the other will not be construed to be a waiver of any succeeding breach thereof or of any other covenant, condition or agreement herein contained.</w:t>
      </w:r>
    </w:p>
    <w:p>
      <w:pPr>
        <w:spacing w:after="0" w:line="295"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provided herein, all notices under this Agreement will be sent by certified mail or by overnight courier service, postage prepaid, to the following addresses of the respective Parties:</w:t>
      </w:r>
    </w:p>
    <w:p>
      <w:pPr>
        <w:sectPr>
          <w:pgSz w:w="11900" w:h="16838" w:orient="portrait"/>
          <w:cols w:equalWidth="0" w:num="1">
            <w:col w:w="11420"/>
          </w:cols>
          <w:pgMar w:left="240" w:top="576" w:right="239" w:bottom="1440" w:gutter="0" w:footer="0" w:header="0"/>
        </w:sectPr>
      </w:pPr>
    </w:p>
    <w:p>
      <w:pPr>
        <w:spacing w:after="0" w:line="5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9"/>
          <w:szCs w:val="19"/>
          <w:color w:val="auto"/>
        </w:rPr>
        <w:t>If to Selecta, 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480 Arsenal Street</w:t>
      </w:r>
    </w:p>
    <w:p>
      <w:pPr>
        <w:ind w:left="720"/>
        <w:spacing w:after="0"/>
        <w:rPr>
          <w:sz w:val="20"/>
          <w:szCs w:val="20"/>
          <w:color w:val="auto"/>
        </w:rPr>
      </w:pPr>
      <w:r>
        <w:rPr>
          <w:rFonts w:ascii="Times New Roman" w:cs="Times New Roman" w:eastAsia="Times New Roman" w:hAnsi="Times New Roman"/>
          <w:sz w:val="20"/>
          <w:szCs w:val="20"/>
          <w:color w:val="auto"/>
        </w:rPr>
        <w:t>Building One</w:t>
      </w:r>
    </w:p>
    <w:p>
      <w:pPr>
        <w:ind w:left="720"/>
        <w:spacing w:after="0"/>
        <w:rPr>
          <w:sz w:val="20"/>
          <w:szCs w:val="20"/>
          <w:color w:val="auto"/>
        </w:rPr>
      </w:pPr>
      <w:r>
        <w:rPr>
          <w:rFonts w:ascii="Times New Roman" w:cs="Times New Roman" w:eastAsia="Times New Roman" w:hAnsi="Times New Roman"/>
          <w:sz w:val="20"/>
          <w:szCs w:val="20"/>
          <w:color w:val="auto"/>
        </w:rPr>
        <w:t>Watertown, MA 02472</w:t>
      </w:r>
    </w:p>
    <w:p>
      <w:pPr>
        <w:ind w:left="72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00" w:lineRule="exact"/>
        <w:rPr>
          <w:sz w:val="20"/>
          <w:szCs w:val="20"/>
          <w:color w:val="auto"/>
        </w:rPr>
      </w:pPr>
    </w:p>
    <w:p>
      <w:pPr>
        <w:sectPr>
          <w:pgSz w:w="11900" w:h="16838" w:orient="portrait"/>
          <w:cols w:equalWidth="0" w:num="2">
            <w:col w:w="1920" w:space="600"/>
            <w:col w:w="8900"/>
          </w:cols>
          <w:pgMar w:left="240" w:top="576" w:right="239" w:bottom="1440" w:gutter="0" w:footer="0" w:header="0"/>
          <w:type w:val="continuous"/>
        </w:sectPr>
      </w:pPr>
    </w:p>
    <w:p>
      <w:pPr>
        <w:spacing w:after="0" w:line="12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9"/>
          <w:szCs w:val="19"/>
          <w:color w:val="auto"/>
        </w:rPr>
        <w:t>If to 3SBio, to: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Shenyang Sunshine Pharmaceutical Co. Ltd.</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No. 3 A1 Road 10</w:t>
      </w:r>
    </w:p>
    <w:p>
      <w:pPr>
        <w:ind w:left="160"/>
        <w:spacing w:after="0"/>
        <w:rPr>
          <w:sz w:val="20"/>
          <w:szCs w:val="20"/>
          <w:color w:val="auto"/>
        </w:rPr>
      </w:pPr>
      <w:r>
        <w:rPr>
          <w:rFonts w:ascii="Times New Roman" w:cs="Times New Roman" w:eastAsia="Times New Roman" w:hAnsi="Times New Roman"/>
          <w:sz w:val="19"/>
          <w:szCs w:val="19"/>
          <w:color w:val="auto"/>
        </w:rPr>
        <w:t>Shenyang Economic and Technology Development Zone</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Shenyang, China 110027</w:t>
      </w:r>
    </w:p>
    <w:p>
      <w:pPr>
        <w:ind w:left="160"/>
        <w:spacing w:after="0"/>
        <w:rPr>
          <w:sz w:val="20"/>
          <w:szCs w:val="20"/>
          <w:color w:val="auto"/>
        </w:rPr>
      </w:pPr>
      <w:r>
        <w:rPr>
          <w:rFonts w:ascii="Times New Roman" w:cs="Times New Roman" w:eastAsia="Times New Roman" w:hAnsi="Times New Roman"/>
          <w:sz w:val="20"/>
          <w:szCs w:val="20"/>
          <w:color w:val="auto"/>
        </w:rPr>
        <w:t>Attention: CEO</w:t>
      </w:r>
    </w:p>
    <w:p>
      <w:pPr>
        <w:spacing w:after="0" w:line="200" w:lineRule="exact"/>
        <w:rPr>
          <w:sz w:val="20"/>
          <w:szCs w:val="20"/>
          <w:color w:val="auto"/>
        </w:rPr>
      </w:pPr>
    </w:p>
    <w:p>
      <w:pPr>
        <w:sectPr>
          <w:pgSz w:w="11900" w:h="16838" w:orient="portrait"/>
          <w:cols w:equalWidth="0" w:num="2">
            <w:col w:w="1840" w:space="600"/>
            <w:col w:w="8980"/>
          </w:cols>
          <w:pgMar w:left="240" w:top="576" w:right="239" w:bottom="1440" w:gutter="0" w:footer="0" w:header="0"/>
          <w:type w:val="continuous"/>
        </w:sectPr>
      </w:pPr>
    </w:p>
    <w:p>
      <w:pPr>
        <w:spacing w:after="0" w:line="11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or to such address as each Party may hereafter designate by notice to the other Party. A notice will be deemed to have been given on the date it is received by all required recipients for the noticed Party.</w:t>
      </w: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Disputes arising under or in connection with this Agreement will be resolved pursuant to this Section 13.6; provided, however, that in the event a dispute cannot be resolved without an adjudication of the rights or obligations of a Third Party (other than a 3SBio Indemnitee or</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29</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23"/>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type w:val="continuous"/>
        </w:sectPr>
      </w:pPr>
    </w:p>
    <w:bookmarkStart w:id="122" w:name="page123"/>
    <w:bookmarkEnd w:id="122"/>
    <w:p>
      <w:pPr>
        <w:spacing w:after="0" w:line="269" w:lineRule="auto"/>
        <w:rPr>
          <w:sz w:val="20"/>
          <w:szCs w:val="20"/>
          <w:color w:val="auto"/>
        </w:rPr>
      </w:pPr>
      <w:r>
        <w:rPr>
          <w:rFonts w:ascii="Times New Roman" w:cs="Times New Roman" w:eastAsia="Times New Roman" w:hAnsi="Times New Roman"/>
          <w:sz w:val="20"/>
          <w:szCs w:val="20"/>
          <w:color w:val="auto"/>
        </w:rPr>
        <w:t>Selecta Indemnitee identified in Sections 11.6(a) or 11.6(b)11.6(a), as applicable), the dispute procedures set forth in this Section 13.6 will be inapplicable as to such dispute.</w:t>
      </w:r>
    </w:p>
    <w:p>
      <w:pPr>
        <w:spacing w:after="0" w:line="281" w:lineRule="exact"/>
        <w:rPr>
          <w:sz w:val="20"/>
          <w:szCs w:val="20"/>
          <w:color w:val="auto"/>
        </w:rPr>
      </w:pPr>
    </w:p>
    <w:p>
      <w:pPr>
        <w:ind w:right="280" w:firstLine="1305"/>
        <w:spacing w:after="0" w:line="297" w:lineRule="auto"/>
        <w:tabs>
          <w:tab w:leader="none" w:pos="216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dispute between the Parties, the Parties will first attempt in good faith to resolve such dispute by negotiation and consultation between themselves.</w:t>
      </w:r>
    </w:p>
    <w:p>
      <w:pPr>
        <w:spacing w:after="0" w:line="268" w:lineRule="exact"/>
        <w:rPr>
          <w:rFonts w:ascii="Times New Roman" w:cs="Times New Roman" w:eastAsia="Times New Roman" w:hAnsi="Times New Roman"/>
          <w:sz w:val="20"/>
          <w:szCs w:val="20"/>
          <w:color w:val="auto"/>
        </w:rPr>
      </w:pPr>
    </w:p>
    <w:p>
      <w:pPr>
        <w:ind w:right="60" w:firstLine="1305"/>
        <w:spacing w:after="0" w:line="272" w:lineRule="auto"/>
        <w:tabs>
          <w:tab w:leader="none" w:pos="217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Parties are not able to resolve such dispute, either Party may at any time after such [***] day period submit such dispute to be finally settled by arbitration administered in accordance with the Arbitration Rules of the International Chamber of Commerce (“ICC”) in effect at the time of submission. The arbitration will be heard and determined by one (1) arbitrator. Selecta and 3SBio will agree on the arbitrator, or, failing agreement within [***] days following the date of receipt by the respondent of the claim, by the ICC. Such arbitration will take place in New York, New York. The arbitrator so appointed will decide in accordance with the rules of the ICC and will render the award within the term established by such rules, unless extended by the parties. The language of arbitration will be English. The arbitration award so given will be a final and binding determination of the dispute, will be fully enforceable in any court of competent jurisdiction, and will not include any damages expressly prohibited by Section 11.4.</w:t>
      </w:r>
    </w:p>
    <w:p>
      <w:pPr>
        <w:spacing w:after="0" w:line="291" w:lineRule="exact"/>
        <w:rPr>
          <w:rFonts w:ascii="Times New Roman" w:cs="Times New Roman" w:eastAsia="Times New Roman" w:hAnsi="Times New Roman"/>
          <w:sz w:val="20"/>
          <w:szCs w:val="20"/>
          <w:color w:val="auto"/>
        </w:rPr>
      </w:pPr>
    </w:p>
    <w:p>
      <w:pPr>
        <w:ind w:right="180" w:firstLine="1305"/>
        <w:spacing w:after="0" w:line="282" w:lineRule="auto"/>
        <w:tabs>
          <w:tab w:leader="none" w:pos="216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arbitration are to be divided as follows: the losing Party will pay [***] percent ([***]%) of the costs and fees of the winning Party. Except in a proceeding to enforce the results of the arbitration or as otherwise required by law, neither Party nor the arbitrator may disclose the existence, content or results of any arbitration hereunder without the prior written consent of both Parties.</w:t>
      </w:r>
    </w:p>
    <w:p>
      <w:pPr>
        <w:spacing w:after="0" w:line="283" w:lineRule="exact"/>
        <w:rPr>
          <w:rFonts w:ascii="Times New Roman" w:cs="Times New Roman" w:eastAsia="Times New Roman" w:hAnsi="Times New Roman"/>
          <w:sz w:val="20"/>
          <w:szCs w:val="20"/>
          <w:color w:val="auto"/>
        </w:rPr>
      </w:pPr>
    </w:p>
    <w:p>
      <w:pPr>
        <w:jc w:val="both"/>
        <w:ind w:right="760" w:firstLine="1305"/>
        <w:spacing w:after="0" w:line="282" w:lineRule="auto"/>
        <w:tabs>
          <w:tab w:leader="none" w:pos="217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dispute resolution procedures set forth in this Section 13.6, in the event of an actual or threatened breach hereunder, the aggrieved Party may seek equitable relief (including restraining orders, specific performance or other injunctive relief) in any court or other forum, without first submitting to any dispute resolution procedures hereunder.</w:t>
      </w:r>
    </w:p>
    <w:p>
      <w:pPr>
        <w:spacing w:after="0" w:line="283" w:lineRule="exact"/>
        <w:rPr>
          <w:rFonts w:ascii="Times New Roman" w:cs="Times New Roman" w:eastAsia="Times New Roman" w:hAnsi="Times New Roman"/>
          <w:sz w:val="20"/>
          <w:szCs w:val="20"/>
          <w:color w:val="auto"/>
        </w:rPr>
      </w:pPr>
    </w:p>
    <w:p>
      <w:pPr>
        <w:ind w:right="60" w:firstLine="1305"/>
        <w:spacing w:after="0" w:line="288" w:lineRule="auto"/>
        <w:tabs>
          <w:tab w:leader="none" w:pos="216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agree that all applicable statutes of limitation and time-based defenses (such as estoppel and laches) will be tolled while the dispute resolution procedures set forth in this Section 13.6 are pending, and the Parties will cooperate in taking all actions reasonably necessary to achieve such a result. In addition, during the pendency of any dispute under this Agreement initiated before the end of any applicable cure period under Section 12.2, (i) this Agreement will remain in full force and effect, (ii) the provisions of this Agreement relating to termination for material breach will not be effective, (iii) the time periods for cure under Section 12.2 as to any termination notice given prior to the initiation of the arbitration proceeding will be tolled, and (iv) neither Party will issue a notice of termination pursuant to this Agreement based on the subject matter of the arbitration proceeding (and no effect will be given to previously issued termination notices), until the court has confirmed the existence of the facts claimed by a Party to be the basis for the asserted material breach.</w:t>
      </w:r>
    </w:p>
    <w:p>
      <w:pPr>
        <w:spacing w:after="0" w:line="26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will be governed by and construed in accordance with the laws of the State of New York, without regard to its conflicts of law provisions; provided that any dispute relating to the scope, validity, enforceability or infringement of any patents or know-how will be governed by, and construed and enforced in accordance with, the substantive laws of the jurisdiction in which such patents or know-how apply.</w:t>
      </w:r>
    </w:p>
    <w:p>
      <w:pPr>
        <w:spacing w:after="0" w:line="288"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13.8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agrees to do and perform all such further acts and things and will execute and deliver such other agreements, certificates, instruments and documents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30</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25"/>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23" w:name="page124"/>
    <w:bookmarkEnd w:id="123"/>
    <w:p>
      <w:pPr>
        <w:ind w:right="420"/>
        <w:spacing w:after="0" w:line="269" w:lineRule="auto"/>
        <w:rPr>
          <w:sz w:val="20"/>
          <w:szCs w:val="20"/>
          <w:color w:val="auto"/>
        </w:rPr>
      </w:pPr>
      <w:r>
        <w:rPr>
          <w:rFonts w:ascii="Times New Roman" w:cs="Times New Roman" w:eastAsia="Times New Roman" w:hAnsi="Times New Roman"/>
          <w:sz w:val="20"/>
          <w:szCs w:val="20"/>
          <w:color w:val="auto"/>
        </w:rPr>
        <w:t>necessary or that the other Party may deem advisable in order to carry out the intent and accomplish the purposes of this Agreement and to evidence, perfect or otherwise confirm its rights hereunder.</w:t>
      </w:r>
    </w:p>
    <w:p>
      <w:pPr>
        <w:spacing w:after="0" w:line="26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Relationship of the Parties</w:t>
      </w:r>
      <w:r>
        <w:rPr>
          <w:rFonts w:ascii="Times New Roman" w:cs="Times New Roman" w:eastAsia="Times New Roman" w:hAnsi="Times New Roman"/>
          <w:sz w:val="20"/>
          <w:szCs w:val="20"/>
          <w:color w:val="auto"/>
        </w:rPr>
        <w:t>. Each Party is an independent contractor under this Agreement. Nothing contained herein is intended or is to be construed so as to constitute 3SBio and Selecta as partners, agents or joint venturers. Neither Party will have any express or implied right or authority to assume or create any obligations on behalf of or in the name of the other Party or to bind the other Party to any contract, agreement or undertaking with any Third Party. There are no express or implied third party beneficiaries hereunder (except for Selecta Indemnitees other than Selecta and 3SBio Indemnitees other than 3SBio for purposes of Section 11.6).</w:t>
      </w:r>
    </w:p>
    <w:p>
      <w:pPr>
        <w:spacing w:after="0" w:line="28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13.10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(along with the Exhibits) contains the entire understanding of the Parties with respect to the subject matter hereof and supersedes and replaces any and all previous arrangements and understandings, including the Original Agreement and the Confidentiality Agreement, whether oral or written, between the Parties with respect to the subject matter hereof. The foregoing shall not be interpreted as a waiver of any remedies available to either Party as a result of any breach prior to the Effective Date by the other Party of the Original Agreement.</w:t>
      </w:r>
    </w:p>
    <w:p>
      <w:pPr>
        <w:spacing w:after="0" w:line="28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captions to the several Sections hereof are not a part of this Agreement, but are merely guides or labels to assist in locating and reading the several Sections hereof.</w:t>
      </w:r>
    </w:p>
    <w:p>
      <w:pPr>
        <w:spacing w:after="0" w:line="268" w:lineRule="exact"/>
        <w:rPr>
          <w:sz w:val="20"/>
          <w:szCs w:val="20"/>
          <w:color w:val="auto"/>
        </w:rPr>
      </w:pPr>
    </w:p>
    <w:p>
      <w:pPr>
        <w:ind w:right="4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Waiver of Rule of Construction</w:t>
      </w:r>
      <w:r>
        <w:rPr>
          <w:rFonts w:ascii="Times New Roman" w:cs="Times New Roman" w:eastAsia="Times New Roman" w:hAnsi="Times New Roman"/>
          <w:sz w:val="20"/>
          <w:szCs w:val="20"/>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28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0"/>
          <w:szCs w:val="20"/>
          <w:color w:val="auto"/>
        </w:rPr>
        <w:t xml:space="preserve">13.13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will mean “and/or” hereunder. All definitions set forth herein will be deemed applicable whether the words defined are used herein in the singular or the plural. References to “months” hereunder refer to calendar months. Unless otherwise provided, all references to Sections, Schedules and Exhibits in this Agreement are to Sections, Schedules and Exhibits of this Agreement. References to any Sections include Sections and subsections that are part of the related Section (e.g., a section numbered “Section 2.1” would be part of “Section 2”, and references to “Section 2.1”or “Section 2” would also refer to material contained in the subsection described as “Section 2.1(a)”).</w:t>
      </w:r>
    </w:p>
    <w:p>
      <w:pPr>
        <w:spacing w:after="0" w:line="298"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 xml:space="preserve">13.14 </w:t>
      </w:r>
      <w:r>
        <w:rPr>
          <w:rFonts w:ascii="Times New Roman" w:cs="Times New Roman" w:eastAsia="Times New Roman" w:hAnsi="Times New Roman"/>
          <w:sz w:val="20"/>
          <w:szCs w:val="20"/>
          <w:u w:val="single" w:color="auto"/>
          <w:color w:val="auto"/>
        </w:rPr>
        <w:t>Counterparts; Facsimiles</w:t>
      </w:r>
      <w:r>
        <w:rPr>
          <w:rFonts w:ascii="Times New Roman" w:cs="Times New Roman" w:eastAsia="Times New Roman" w:hAnsi="Times New Roman"/>
          <w:sz w:val="20"/>
          <w:szCs w:val="20"/>
          <w:color w:val="auto"/>
        </w:rPr>
        <w:t>. This Agreement may be executed in one or more counterparts, each of which will be deemed an original and all of which together will constitute one and the same instrument. Facsimile or PDF execution and delivery of this Agreement by either Party followed by exchange of original signatures will constitute a legal, valid and binding execution and delivery of this Agreement by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CACAC"/>
        </w:rPr>
        <w:t>31</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26"/>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576" w:right="239" w:bottom="1440" w:gutter="0" w:footer="0" w:header="0"/>
        </w:sectPr>
      </w:pPr>
    </w:p>
    <w:bookmarkStart w:id="124" w:name="page125"/>
    <w:bookmarkEnd w:id="124"/>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Development and License Agreement to be executed by their respective duly authorized officers as of the Effective Date.</w:t>
      </w: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b w:val="1"/>
          <w:bCs w:val="1"/>
          <w:color w:val="auto"/>
        </w:rPr>
        <w:t>SHENYANG SUNSHINE PHARMACEUTICAL CO.,</w:t>
      </w:r>
    </w:p>
    <w:p>
      <w:pPr>
        <w:spacing w:after="0" w:line="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b w:val="1"/>
          <w:bCs w:val="1"/>
          <w:color w:val="auto"/>
        </w:rPr>
        <w:t>LTD.</w:t>
      </w:r>
    </w:p>
    <w:p>
      <w:pPr>
        <w:spacing w:after="0" w:line="360"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Jing Lou</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59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 Jing</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386"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Werner Cautreels</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59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Werner Cautreels</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CACAC"/>
        </w:rPr>
        <w:t>32</w:t>
      </w:r>
    </w:p>
    <w:p>
      <w:pPr>
        <w:spacing w:after="0" w:line="113" w:lineRule="exact"/>
        <w:rPr>
          <w:sz w:val="20"/>
          <w:szCs w:val="20"/>
          <w:color w:val="auto"/>
        </w:rPr>
      </w:pPr>
    </w:p>
    <w:p>
      <w:pPr>
        <w:jc w:val="center"/>
        <w:ind w:left="4540" w:right="140" w:hanging="4382"/>
        <w:spacing w:after="0" w:line="281" w:lineRule="auto"/>
        <w:tabs>
          <w:tab w:leader="none" w:pos="546" w:val="left"/>
        </w:tabs>
        <w:numPr>
          <w:ilvl w:val="0"/>
          <w:numId w:val="127"/>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97" w:right="239" w:bottom="1440" w:gutter="0" w:footer="0" w:header="0"/>
        </w:sectPr>
      </w:pPr>
    </w:p>
    <w:bookmarkStart w:id="125" w:name="page126"/>
    <w:bookmarkEnd w:id="125"/>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3SBIO PATENT RIGHTS</w:t>
      </w:r>
    </w:p>
    <w:p>
      <w:pPr>
        <w:spacing w:after="0" w:line="200" w:lineRule="exact"/>
        <w:rPr>
          <w:sz w:val="20"/>
          <w:szCs w:val="20"/>
          <w:color w:val="auto"/>
        </w:rPr>
      </w:pPr>
    </w:p>
    <w:p>
      <w:pPr>
        <w:spacing w:after="0" w:line="23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0"/>
          <w:szCs w:val="20"/>
          <w:color w:val="auto"/>
        </w:rPr>
        <w:t>US Patent No. [***] Issued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CACAC"/>
        </w:rPr>
        <w:t>33</w:t>
      </w:r>
    </w:p>
    <w:p>
      <w:pPr>
        <w:spacing w:after="0" w:line="113" w:lineRule="exact"/>
        <w:rPr>
          <w:sz w:val="20"/>
          <w:szCs w:val="20"/>
          <w:color w:val="auto"/>
        </w:rPr>
      </w:pPr>
    </w:p>
    <w:p>
      <w:pPr>
        <w:jc w:val="center"/>
        <w:ind w:left="4382" w:hanging="4382"/>
        <w:spacing w:after="0" w:line="281" w:lineRule="auto"/>
        <w:tabs>
          <w:tab w:leader="none" w:pos="388" w:val="left"/>
        </w:tabs>
        <w:numPr>
          <w:ilvl w:val="0"/>
          <w:numId w:val="128"/>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122"/>
          </w:cols>
          <w:pgMar w:left="398" w:top="1004" w:right="379" w:bottom="1440" w:gutter="0" w:footer="0" w:header="0"/>
        </w:sectPr>
      </w:pPr>
    </w:p>
    <w:bookmarkStart w:id="126" w:name="page127"/>
    <w:bookmarkEnd w:id="126"/>
    <w:p>
      <w:pPr>
        <w:ind w:left="10300"/>
        <w:spacing w:after="0"/>
        <w:rPr>
          <w:sz w:val="20"/>
          <w:szCs w:val="20"/>
          <w:color w:val="auto"/>
        </w:rPr>
      </w:pPr>
      <w:r>
        <w:rPr>
          <w:rFonts w:ascii="Times New Roman" w:cs="Times New Roman" w:eastAsia="Times New Roman" w:hAnsi="Times New Roman"/>
          <w:sz w:val="21"/>
          <w:szCs w:val="21"/>
          <w:b w:val="1"/>
          <w:bCs w:val="1"/>
          <w:color w:val="CECECE"/>
        </w:rPr>
        <w:t>Exhibit 10.7</w:t>
      </w:r>
    </w:p>
    <w:p>
      <w:pPr>
        <w:spacing w:after="0" w:line="37" w:lineRule="exact"/>
        <w:rPr>
          <w:sz w:val="20"/>
          <w:szCs w:val="20"/>
          <w:color w:val="auto"/>
        </w:rPr>
      </w:pPr>
    </w:p>
    <w:p>
      <w:pPr>
        <w:ind w:right="580"/>
        <w:spacing w:after="0" w:line="257" w:lineRule="auto"/>
        <w:rPr>
          <w:sz w:val="20"/>
          <w:szCs w:val="20"/>
          <w:color w:val="auto"/>
        </w:rPr>
      </w:pPr>
      <w:r>
        <w:rPr>
          <w:rFonts w:ascii="Times New Roman" w:cs="Times New Roman" w:eastAsia="Times New Roman" w:hAnsi="Times New Roman"/>
          <w:sz w:val="16"/>
          <w:szCs w:val="16"/>
          <w:color w:val="CECECE"/>
        </w:rPr>
        <w:t>CERTAIN MATERIAL (INDICATED BY ASTERISKS)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6, 2017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 Arsenal Street, Building 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No.: 617-924-3454</w:t>
      </w:r>
    </w:p>
    <w:p>
      <w:pPr>
        <w:spacing w:after="0" w:line="23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Letter Agreement Regarding Selecta/Spark License and Option Agreement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5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This letter agreement (the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confirms the understanding between Selecta Biosciences, Inc. (“</w:t>
      </w:r>
      <w:r>
        <w:rPr>
          <w:rFonts w:ascii="Times New Roman" w:cs="Times New Roman" w:eastAsia="Times New Roman" w:hAnsi="Times New Roman"/>
          <w:sz w:val="22"/>
          <w:szCs w:val="22"/>
          <w:b w:val="1"/>
          <w:bCs w:val="1"/>
          <w:color w:val="auto"/>
        </w:rPr>
        <w:t>Selecta</w:t>
      </w:r>
      <w:r>
        <w:rPr>
          <w:rFonts w:ascii="Times New Roman" w:cs="Times New Roman" w:eastAsia="Times New Roman" w:hAnsi="Times New Roman"/>
          <w:sz w:val="22"/>
          <w:szCs w:val="22"/>
          <w:color w:val="auto"/>
        </w:rPr>
        <w:t>”) and Spark Therapeutics, Inc. (“</w:t>
      </w:r>
      <w:r>
        <w:rPr>
          <w:rFonts w:ascii="Times New Roman" w:cs="Times New Roman" w:eastAsia="Times New Roman" w:hAnsi="Times New Roman"/>
          <w:sz w:val="22"/>
          <w:szCs w:val="22"/>
          <w:b w:val="1"/>
          <w:bCs w:val="1"/>
          <w:color w:val="auto"/>
        </w:rPr>
        <w:t>Spark</w:t>
      </w:r>
      <w:r>
        <w:rPr>
          <w:rFonts w:ascii="Times New Roman" w:cs="Times New Roman" w:eastAsia="Times New Roman" w:hAnsi="Times New Roman"/>
          <w:sz w:val="22"/>
          <w:szCs w:val="22"/>
          <w:color w:val="auto"/>
        </w:rPr>
        <w:t>” and, together with Selecta,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with respect to certain rights, remedies and obligations of the Parties pursuant to that certain License and Option Agreement between the Parties dated as of December 2, 2016, as such agreement may be amended pursuant to its terms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and that certain Stock Purchase Agreement between the Parties dated as of December 2, 2016, as such agreement may be amended pursuant to its terms (the “</w:t>
      </w:r>
      <w:r>
        <w:rPr>
          <w:rFonts w:ascii="Times New Roman" w:cs="Times New Roman" w:eastAsia="Times New Roman" w:hAnsi="Times New Roman"/>
          <w:sz w:val="22"/>
          <w:szCs w:val="22"/>
          <w:b w:val="1"/>
          <w:bCs w:val="1"/>
          <w:color w:val="auto"/>
        </w:rPr>
        <w:t>Stock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Any capitalized terms not defined in this Letter Agreement shall have the meanings ascribed to them in the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Stock Purchase Agreement, as applicable.</w:t>
      </w:r>
    </w:p>
    <w:p>
      <w:pPr>
        <w:spacing w:after="0" w:line="223" w:lineRule="exact"/>
        <w:rPr>
          <w:sz w:val="20"/>
          <w:szCs w:val="20"/>
          <w:color w:val="auto"/>
        </w:rPr>
      </w:pPr>
    </w:p>
    <w:p>
      <w:pPr>
        <w:ind w:left="820" w:hanging="812"/>
        <w:spacing w:after="0"/>
        <w:tabs>
          <w:tab w:leader="none" w:pos="8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First Acquisition Right Shares</w:t>
      </w:r>
      <w:r>
        <w:rPr>
          <w:rFonts w:ascii="Times New Roman" w:cs="Times New Roman" w:eastAsia="Times New Roman" w:hAnsi="Times New Roman"/>
          <w:sz w:val="22"/>
          <w:szCs w:val="22"/>
          <w:color w:val="auto"/>
        </w:rPr>
        <w:t>. The Parties hereby agree that Spark is hereby deemed</w:t>
      </w:r>
    </w:p>
    <w:p>
      <w:pPr>
        <w:spacing w:after="0" w:line="3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to have timely delivered the FAR Notice and that May 31, 2017 shall be considered the date on which Spark delivered such FAR Notice, each for purposes of Section 2.4 of the Stock Purchase Agreement. Selecta hereby waives any and all rights it that it may have to terminate the Stock Purchase Agreement pursuant to Section 8.2(a)(i) of the Stock Purchase Agreement. Subject to Spark’s purchase of the First Acquisition Right Shares by 5 P.M. Eastern Time on June 8, 2017 in accordance with the Stock Purchase Agreement, and Selecta hereby waives any and all rights that it may have to terminate the License Agreement pursuant to Section 9.2(f)(ii) and (iii) of the License Agreement with respect to the purchase of the First Acquisition Right Shares.</w:t>
      </w:r>
    </w:p>
    <w:p>
      <w:pPr>
        <w:spacing w:after="0" w:line="225" w:lineRule="exact"/>
        <w:rPr>
          <w:sz w:val="20"/>
          <w:szCs w:val="20"/>
          <w:color w:val="auto"/>
        </w:rPr>
      </w:pPr>
    </w:p>
    <w:p>
      <w:pPr>
        <w:ind w:firstLine="8"/>
        <w:spacing w:after="0" w:line="254" w:lineRule="auto"/>
        <w:tabs>
          <w:tab w:leader="none" w:pos="81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Second Scheduled Payment</w:t>
      </w:r>
      <w:r>
        <w:rPr>
          <w:rFonts w:ascii="Times New Roman" w:cs="Times New Roman" w:eastAsia="Times New Roman" w:hAnsi="Times New Roman"/>
          <w:sz w:val="22"/>
          <w:szCs w:val="22"/>
          <w:color w:val="auto"/>
        </w:rPr>
        <w:t>. The Parties hereby agree that Spark shall make the Scheduled Payment described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6.1(b) of the License Agreement no later than June 6, 2017. Subject to Spark’s timely payment of such Scheduled Payment pursuant to this Paragraph 2, Selecta hereby waives any and all rights that it may have pursuant to Sections 9.2(e) of the License Agreement with respect to such Scheduled Payment.</w:t>
      </w:r>
    </w:p>
    <w:p>
      <w:pPr>
        <w:spacing w:after="0" w:line="212" w:lineRule="exact"/>
        <w:rPr>
          <w:rFonts w:ascii="Times New Roman" w:cs="Times New Roman" w:eastAsia="Times New Roman" w:hAnsi="Times New Roman"/>
          <w:sz w:val="22"/>
          <w:szCs w:val="22"/>
          <w:b w:val="1"/>
          <w:bCs w:val="1"/>
          <w:color w:val="auto"/>
        </w:rPr>
      </w:pPr>
    </w:p>
    <w:p>
      <w:pPr>
        <w:jc w:val="both"/>
        <w:ind w:right="20" w:firstLine="8"/>
        <w:spacing w:after="0" w:line="254" w:lineRule="auto"/>
        <w:tabs>
          <w:tab w:leader="none" w:pos="81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Reimbursement</w:t>
      </w:r>
      <w:r>
        <w:rPr>
          <w:rFonts w:ascii="Times New Roman" w:cs="Times New Roman" w:eastAsia="Times New Roman" w:hAnsi="Times New Roman"/>
          <w:sz w:val="22"/>
          <w:szCs w:val="22"/>
          <w:color w:val="auto"/>
        </w:rPr>
        <w:t>. Selecta hereby agrees to reimburse Spark for all costs and expenses, including, without limitation,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 of materials provided by Selecta, actually incurred by Spark (without markup or administrative fees imposed by Spark) with respect to Spark’s pre-clinical research studies and/or Development of any Licensed Product pursuant to the License Agreement, up to an aggregate maximum of [***] and for up to [***] from the date of this Letter</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48" w:lineRule="exact"/>
        <w:rPr>
          <w:rFonts w:ascii="Times New Roman" w:cs="Times New Roman" w:eastAsia="Times New Roman" w:hAnsi="Times New Roman"/>
          <w:sz w:val="22"/>
          <w:szCs w:val="22"/>
          <w:b w:val="1"/>
          <w:bCs w:val="1"/>
          <w:color w:val="auto"/>
        </w:rPr>
      </w:pPr>
    </w:p>
    <w:p>
      <w:pPr>
        <w:jc w:val="center"/>
        <w:ind w:left="4540" w:right="140" w:hanging="4382"/>
        <w:spacing w:after="0" w:line="281" w:lineRule="auto"/>
        <w:tabs>
          <w:tab w:leader="none" w:pos="546" w:val="left"/>
        </w:tabs>
        <w:numPr>
          <w:ilvl w:val="1"/>
          <w:numId w:val="130"/>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8" w:right="239" w:bottom="1440" w:gutter="0" w:footer="0" w:header="0"/>
        </w:sectPr>
      </w:pPr>
    </w:p>
    <w:bookmarkStart w:id="127" w:name="page128"/>
    <w:bookmarkEnd w:id="127"/>
    <w:p>
      <w:pPr>
        <w:ind w:right="60"/>
        <w:spacing w:after="0" w:line="259" w:lineRule="auto"/>
        <w:rPr>
          <w:sz w:val="20"/>
          <w:szCs w:val="20"/>
          <w:color w:val="auto"/>
        </w:rPr>
      </w:pPr>
      <w:r>
        <w:rPr>
          <w:rFonts w:ascii="Times New Roman" w:cs="Times New Roman" w:eastAsia="Times New Roman" w:hAnsi="Times New Roman"/>
          <w:sz w:val="21"/>
          <w:szCs w:val="21"/>
          <w:color w:val="auto"/>
        </w:rPr>
        <w:t>Agreement. Spark’s FTE rate shall not exceed the Selecta FTE Rate in the License Agreement. Spark shall not seek reimbursement for aggregate employee time in excess of [***] for the preclinical work under this Letter Agreement. Spark shall invoice Selecta after the end of each calendar quarter for all such detailed costs and expenses for which Spark is seeking reimbursement and Selecta shall pay the invoiced amount within [***] after receipt thereof. Spark agrees to provide Selecta written reports on the results of any preclinical studies for which Spark seeks reimbursement from Selecta under this paragraph 3 (which reports shall exclude anything specific to [***] including the specific [***] used in such activities and excluding specific [***]). Spark shall endeavor to answer Selecta’s reasonable questions regarding such reports, provided that Spark shall not be required to answer questions regarding anything specific to [***] including the [***]. For clarity, such reimbursement for expenses shall be paid by Selecta for pre-clinical work conducted during the term of the License Agreement and such reimbursement obligation shall survive termination of the License Agreement even if such invoice is delivered to Selecta after termination of the License Agreement.</w:t>
      </w:r>
    </w:p>
    <w:p>
      <w:pPr>
        <w:spacing w:after="0" w:line="213" w:lineRule="exact"/>
        <w:rPr>
          <w:sz w:val="20"/>
          <w:szCs w:val="20"/>
          <w:color w:val="auto"/>
        </w:rPr>
      </w:pPr>
    </w:p>
    <w:p>
      <w:pPr>
        <w:ind w:right="60" w:firstLine="8"/>
        <w:spacing w:after="0" w:line="254" w:lineRule="auto"/>
        <w:tabs>
          <w:tab w:leader="none" w:pos="37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case any one or more of the provisions contained in this Letter Agreement will, for any reason be held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illegal, or unenforceable in any respect, such invalidity, illegality, or unenforceability, will not affect any other provision of this Letter Agreement, and the Parties will negotiate in good faith to modify this Letter Agreement to preserve (to the extent possible) their original intent.</w:t>
      </w:r>
    </w:p>
    <w:p>
      <w:pPr>
        <w:spacing w:after="0" w:line="212" w:lineRule="exact"/>
        <w:rPr>
          <w:rFonts w:ascii="Times New Roman" w:cs="Times New Roman" w:eastAsia="Times New Roman" w:hAnsi="Times New Roman"/>
          <w:sz w:val="22"/>
          <w:szCs w:val="22"/>
          <w:b w:val="1"/>
          <w:bCs w:val="1"/>
          <w:color w:val="auto"/>
        </w:rPr>
      </w:pPr>
    </w:p>
    <w:p>
      <w:pPr>
        <w:ind w:right="100" w:firstLine="8"/>
        <w:spacing w:after="0" w:line="254" w:lineRule="auto"/>
        <w:tabs>
          <w:tab w:leader="none" w:pos="37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Letter Agreement, or any part thereof requiring signing by the Parties, may be executed in separate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will be an original as against any Party whose signature appears thereon but all of which together will constitute one and the same instrument. A facsimile transmission of the signed Letter Agreement, and those parts thereof requiring signing by the Parties, will be legal and binding on the Parties.</w:t>
      </w:r>
    </w:p>
    <w:p>
      <w:pPr>
        <w:spacing w:after="0" w:line="212" w:lineRule="exact"/>
        <w:rPr>
          <w:rFonts w:ascii="Times New Roman" w:cs="Times New Roman" w:eastAsia="Times New Roman" w:hAnsi="Times New Roman"/>
          <w:sz w:val="22"/>
          <w:szCs w:val="22"/>
          <w:b w:val="1"/>
          <w:bCs w:val="1"/>
          <w:color w:val="auto"/>
        </w:rPr>
      </w:pPr>
    </w:p>
    <w:p>
      <w:pPr>
        <w:ind w:right="420" w:firstLine="8"/>
        <w:spacing w:after="0" w:line="275" w:lineRule="auto"/>
        <w:tabs>
          <w:tab w:leader="none" w:pos="366"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 No amendment or modification of or supplement to the terms of this Letter Agreement will be binding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unless reduced to writing and signed by all Parties.</w:t>
      </w:r>
    </w:p>
    <w:p>
      <w:pPr>
        <w:spacing w:after="0" w:line="190" w:lineRule="exact"/>
        <w:rPr>
          <w:rFonts w:ascii="Times New Roman" w:cs="Times New Roman" w:eastAsia="Times New Roman" w:hAnsi="Times New Roman"/>
          <w:sz w:val="22"/>
          <w:szCs w:val="22"/>
          <w:b w:val="1"/>
          <w:bCs w:val="1"/>
          <w:color w:val="auto"/>
        </w:rPr>
      </w:pPr>
    </w:p>
    <w:p>
      <w:pPr>
        <w:ind w:firstLine="8"/>
        <w:spacing w:after="0" w:line="247" w:lineRule="auto"/>
        <w:tabs>
          <w:tab w:leader="none" w:pos="37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Letter Agreement, the License Agreement and the Stock Purchase Agreement set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among the Parties as to the subject matter hereof and supersede all prior and contemporaneous agreements, understandings, negotiations and discussions, whether oral or written, between the Parties as to the subject matter hereof. The terms of this Letter Agreement shall control over any contrary terms of the License Agreement or Stock Purchase Agreement. This Letter Agreement and all disputes arising out of or related to this Letter Agreement, or the performance, enforcement, breach or termination hereof, and any remedies relating thereto, will be construed, governed, interpreted and applied in accordance with the laws of the State of New York, without regard to conflict of laws principles.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[END OF PAGE. SIGNATURE PAGE FOLLOWS]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CACAC"/>
        </w:rPr>
        <w:t>PAGE 2 OF 3</w:t>
      </w:r>
    </w:p>
    <w:p>
      <w:pPr>
        <w:spacing w:after="0" w:line="29" w:lineRule="exact"/>
        <w:rPr>
          <w:sz w:val="20"/>
          <w:szCs w:val="20"/>
          <w:color w:val="auto"/>
        </w:rPr>
      </w:pPr>
    </w:p>
    <w:p>
      <w:pPr>
        <w:jc w:val="center"/>
        <w:ind w:left="4540" w:right="120" w:hanging="4382"/>
        <w:spacing w:after="0" w:line="258" w:lineRule="auto"/>
        <w:tabs>
          <w:tab w:leader="none" w:pos="546" w:val="left"/>
        </w:tabs>
        <w:numPr>
          <w:ilvl w:val="0"/>
          <w:numId w:val="132"/>
        </w:numPr>
        <w:rPr>
          <w:rFonts w:ascii="Times New Roman" w:cs="Times New Roman" w:eastAsia="Times New Roman" w:hAnsi="Times New Roman"/>
          <w:sz w:val="16"/>
          <w:szCs w:val="16"/>
          <w:color w:val="ACACAC"/>
        </w:rPr>
      </w:pPr>
      <w:r>
        <w:rPr>
          <w:rFonts w:ascii="Times New Roman" w:cs="Times New Roman" w:eastAsia="Times New Roman" w:hAnsi="Times New Roman"/>
          <w:sz w:val="16"/>
          <w:szCs w:val="16"/>
          <w:color w:val="ACACAC"/>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369" w:right="259" w:bottom="1440" w:gutter="0" w:footer="0" w:header="0"/>
        </w:sectPr>
      </w:pPr>
    </w:p>
    <w:bookmarkStart w:id="128" w:name="page129"/>
    <w:bookmarkEnd w:id="128"/>
    <w:p>
      <w:pPr>
        <w:spacing w:after="0" w:line="271" w:lineRule="auto"/>
        <w:rPr>
          <w:sz w:val="20"/>
          <w:szCs w:val="20"/>
          <w:color w:val="auto"/>
        </w:rPr>
      </w:pPr>
      <w:r>
        <w:rPr>
          <w:rFonts w:ascii="Times New Roman" w:cs="Times New Roman" w:eastAsia="Times New Roman" w:hAnsi="Times New Roman"/>
          <w:sz w:val="22"/>
          <w:szCs w:val="22"/>
          <w:color w:val="auto"/>
        </w:rPr>
        <w:t>This Letter Agreement is signed below by authorized representatives of Selecta and Spark respectively indicating such Parties’ acceptance of the terms and conditions of this Letter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Spark Therapeutics, Inc.</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 Joseph W. La Barge</w:t>
            </w:r>
          </w:p>
        </w:tc>
      </w:tr>
      <w:tr>
        <w:trPr>
          <w:trHeight w:val="283"/>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Joseph W. LaBarge</w:t>
            </w: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 David Abraham</w:t>
            </w:r>
          </w:p>
        </w:tc>
      </w:tr>
      <w:tr>
        <w:trPr>
          <w:trHeight w:val="283"/>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David Abraham</w:t>
            </w: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General Counsel, CCO, Corp. Sec’y.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CACAC"/>
        </w:rPr>
        <w:t>PAGE 3 OF 3</w:t>
      </w:r>
    </w:p>
    <w:p>
      <w:pPr>
        <w:sectPr>
          <w:pgSz w:w="11900" w:h="16838" w:orient="portrait"/>
          <w:cols w:equalWidth="0" w:num="1">
            <w:col w:w="11400"/>
          </w:cols>
          <w:pgMar w:left="240" w:top="585" w:right="2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69" w:lineRule="auto"/>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19" w:lineRule="exact"/>
        <w:rPr>
          <w:sz w:val="20"/>
          <w:szCs w:val="20"/>
          <w:color w:val="auto"/>
        </w:rPr>
      </w:pPr>
    </w:p>
    <w:p>
      <w:pPr>
        <w:jc w:val="both"/>
        <w:ind w:left="1520" w:right="360" w:hanging="701"/>
        <w:spacing w:after="0" w:line="254" w:lineRule="auto"/>
        <w:rPr>
          <w:sz w:val="20"/>
          <w:szCs w:val="20"/>
          <w:color w:val="auto"/>
        </w:rPr>
      </w:pPr>
      <w:r>
        <w:rPr>
          <w:rFonts w:ascii="Times New Roman" w:cs="Times New Roman" w:eastAsia="Times New Roman" w:hAnsi="Times New Roman"/>
          <w:sz w:val="20"/>
          <w:szCs w:val="20"/>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b.)[omitted];</w:t>
      </w:r>
    </w:p>
    <w:p>
      <w:pPr>
        <w:spacing w:after="0" w:line="175" w:lineRule="exact"/>
        <w:rPr>
          <w:sz w:val="20"/>
          <w:szCs w:val="20"/>
          <w:color w:val="auto"/>
        </w:rPr>
      </w:pPr>
    </w:p>
    <w:p>
      <w:pPr>
        <w:ind w:left="1520" w:hanging="701"/>
        <w:spacing w:after="0" w:line="254" w:lineRule="auto"/>
        <w:rPr>
          <w:sz w:val="20"/>
          <w:szCs w:val="20"/>
          <w:color w:val="auto"/>
        </w:rPr>
      </w:pPr>
      <w:r>
        <w:rPr>
          <w:rFonts w:ascii="Times New Roman" w:cs="Times New Roman" w:eastAsia="Times New Roman" w:hAnsi="Times New Roman"/>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jc w:val="both"/>
        <w:ind w:left="1520" w:right="20" w:hanging="701"/>
        <w:spacing w:after="0" w:line="254" w:lineRule="auto"/>
        <w:rPr>
          <w:sz w:val="20"/>
          <w:szCs w:val="20"/>
          <w:color w:val="auto"/>
        </w:rPr>
      </w:pPr>
      <w:r>
        <w:rPr>
          <w:rFonts w:ascii="Times New Roman" w:cs="Times New Roman" w:eastAsia="Times New Roman" w:hAnsi="Times New Roman"/>
          <w:sz w:val="20"/>
          <w:szCs w:val="20"/>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sz w:val="20"/>
          <w:szCs w:val="20"/>
          <w:color w:val="auto"/>
        </w:rPr>
      </w:pPr>
    </w:p>
    <w:p>
      <w:pPr>
        <w:ind w:left="660" w:right="440" w:hanging="328"/>
        <w:spacing w:after="0" w:line="254" w:lineRule="auto"/>
        <w:tabs>
          <w:tab w:leader="none" w:pos="6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a.)All significant deficiencies and material weaknesses in the design or operation of internal control over financial reporting which</w:t>
      </w:r>
    </w:p>
    <w:p>
      <w:pPr>
        <w:spacing w:after="0" w:line="22" w:lineRule="exact"/>
        <w:rPr>
          <w:sz w:val="20"/>
          <w:szCs w:val="20"/>
          <w:color w:val="auto"/>
        </w:rPr>
      </w:pPr>
    </w:p>
    <w:p>
      <w:pPr>
        <w:ind w:left="1520" w:right="940"/>
        <w:spacing w:after="0" w:line="246" w:lineRule="auto"/>
        <w:rPr>
          <w:sz w:val="20"/>
          <w:szCs w:val="20"/>
          <w:color w:val="auto"/>
        </w:rPr>
      </w:pPr>
      <w:r>
        <w:rPr>
          <w:rFonts w:ascii="Times New Roman" w:cs="Times New Roman" w:eastAsia="Times New Roman" w:hAnsi="Times New Roman"/>
          <w:sz w:val="20"/>
          <w:szCs w:val="20"/>
          <w:color w:val="auto"/>
        </w:rPr>
        <w:t>are reasonably likely to adversely affect the registrant’s ability to record, process, summarize and report financial information; and</w:t>
      </w:r>
    </w:p>
    <w:p>
      <w:pPr>
        <w:spacing w:after="0" w:line="141" w:lineRule="exact"/>
        <w:rPr>
          <w:sz w:val="20"/>
          <w:szCs w:val="20"/>
          <w:color w:val="auto"/>
        </w:rPr>
      </w:pPr>
    </w:p>
    <w:p>
      <w:pPr>
        <w:ind w:left="1520" w:right="260" w:hanging="701"/>
        <w:spacing w:after="0" w:line="269" w:lineRule="auto"/>
        <w:rPr>
          <w:sz w:val="20"/>
          <w:szCs w:val="20"/>
          <w:color w:val="auto"/>
        </w:rPr>
      </w:pPr>
      <w:r>
        <w:rPr>
          <w:rFonts w:ascii="Times New Roman" w:cs="Times New Roman" w:eastAsia="Times New Roman" w:hAnsi="Times New Roman"/>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August 11, 2017</w:t>
      </w:r>
      <w:r>
        <w:rPr>
          <w:sz w:val="20"/>
          <w:szCs w:val="20"/>
          <w:color w:val="auto"/>
        </w:rPr>
        <w:tab/>
      </w:r>
      <w:r>
        <w:rPr>
          <w:rFonts w:ascii="Times New Roman" w:cs="Times New Roman" w:eastAsia="Times New Roman" w:hAnsi="Times New Roman"/>
          <w:sz w:val="19"/>
          <w:szCs w:val="19"/>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420"/>
          </w:cols>
          <w:pgMar w:left="240" w:top="572"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Siewers, certify that:</w:t>
      </w:r>
    </w:p>
    <w:p>
      <w:pPr>
        <w:spacing w:after="0" w:line="391"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69" w:lineRule="auto"/>
        <w:tabs>
          <w:tab w:leader="none" w:pos="6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19" w:lineRule="exact"/>
        <w:rPr>
          <w:sz w:val="20"/>
          <w:szCs w:val="20"/>
          <w:color w:val="auto"/>
        </w:rPr>
      </w:pPr>
    </w:p>
    <w:p>
      <w:pPr>
        <w:jc w:val="both"/>
        <w:ind w:left="1520" w:right="360" w:hanging="701"/>
        <w:spacing w:after="0" w:line="254" w:lineRule="auto"/>
        <w:rPr>
          <w:sz w:val="20"/>
          <w:szCs w:val="20"/>
          <w:color w:val="auto"/>
        </w:rPr>
      </w:pPr>
      <w:r>
        <w:rPr>
          <w:rFonts w:ascii="Times New Roman" w:cs="Times New Roman" w:eastAsia="Times New Roman" w:hAnsi="Times New Roman"/>
          <w:sz w:val="20"/>
          <w:szCs w:val="20"/>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b.)[omitted];</w:t>
      </w:r>
    </w:p>
    <w:p>
      <w:pPr>
        <w:spacing w:after="0" w:line="175" w:lineRule="exact"/>
        <w:rPr>
          <w:sz w:val="20"/>
          <w:szCs w:val="20"/>
          <w:color w:val="auto"/>
        </w:rPr>
      </w:pPr>
    </w:p>
    <w:p>
      <w:pPr>
        <w:ind w:left="1520" w:hanging="701"/>
        <w:spacing w:after="0" w:line="254" w:lineRule="auto"/>
        <w:rPr>
          <w:sz w:val="20"/>
          <w:szCs w:val="20"/>
          <w:color w:val="auto"/>
        </w:rPr>
      </w:pPr>
      <w:r>
        <w:rPr>
          <w:rFonts w:ascii="Times New Roman" w:cs="Times New Roman" w:eastAsia="Times New Roman" w:hAnsi="Times New Roman"/>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jc w:val="both"/>
        <w:ind w:left="1520" w:right="20" w:hanging="701"/>
        <w:spacing w:after="0" w:line="254" w:lineRule="auto"/>
        <w:rPr>
          <w:sz w:val="20"/>
          <w:szCs w:val="20"/>
          <w:color w:val="auto"/>
        </w:rPr>
      </w:pPr>
      <w:r>
        <w:rPr>
          <w:rFonts w:ascii="Times New Roman" w:cs="Times New Roman" w:eastAsia="Times New Roman" w:hAnsi="Times New Roman"/>
          <w:sz w:val="20"/>
          <w:szCs w:val="20"/>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sz w:val="20"/>
          <w:szCs w:val="20"/>
          <w:color w:val="auto"/>
        </w:rPr>
      </w:pPr>
    </w:p>
    <w:p>
      <w:pPr>
        <w:ind w:left="660" w:right="440" w:hanging="328"/>
        <w:spacing w:after="0" w:line="254" w:lineRule="auto"/>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a.)All significant deficiencies and material weaknesses in the design or operation of internal control over financial reporting which</w:t>
      </w:r>
    </w:p>
    <w:p>
      <w:pPr>
        <w:spacing w:after="0" w:line="22" w:lineRule="exact"/>
        <w:rPr>
          <w:sz w:val="20"/>
          <w:szCs w:val="20"/>
          <w:color w:val="auto"/>
        </w:rPr>
      </w:pPr>
    </w:p>
    <w:p>
      <w:pPr>
        <w:ind w:left="1520" w:right="940"/>
        <w:spacing w:after="0" w:line="246" w:lineRule="auto"/>
        <w:rPr>
          <w:sz w:val="20"/>
          <w:szCs w:val="20"/>
          <w:color w:val="auto"/>
        </w:rPr>
      </w:pPr>
      <w:r>
        <w:rPr>
          <w:rFonts w:ascii="Times New Roman" w:cs="Times New Roman" w:eastAsia="Times New Roman" w:hAnsi="Times New Roman"/>
          <w:sz w:val="20"/>
          <w:szCs w:val="20"/>
          <w:color w:val="auto"/>
        </w:rPr>
        <w:t>are reasonably likely to adversely affect the registrant’s ability to record, process, summarize and report financial information; and</w:t>
      </w:r>
    </w:p>
    <w:p>
      <w:pPr>
        <w:spacing w:after="0" w:line="141" w:lineRule="exact"/>
        <w:rPr>
          <w:sz w:val="20"/>
          <w:szCs w:val="20"/>
          <w:color w:val="auto"/>
        </w:rPr>
      </w:pPr>
    </w:p>
    <w:p>
      <w:pPr>
        <w:ind w:left="1520" w:right="260" w:hanging="701"/>
        <w:spacing w:after="0" w:line="269" w:lineRule="auto"/>
        <w:rPr>
          <w:sz w:val="20"/>
          <w:szCs w:val="20"/>
          <w:color w:val="auto"/>
        </w:rPr>
      </w:pPr>
      <w:r>
        <w:rPr>
          <w:rFonts w:ascii="Times New Roman" w:cs="Times New Roman" w:eastAsia="Times New Roman" w:hAnsi="Times New Roman"/>
          <w:sz w:val="20"/>
          <w:szCs w:val="20"/>
          <w:color w:val="auto"/>
        </w:rPr>
        <w:t>b.)Any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August 11, 2017</w:t>
      </w:r>
      <w:r>
        <w:rPr>
          <w:sz w:val="20"/>
          <w:szCs w:val="20"/>
          <w:color w:val="auto"/>
        </w:rPr>
        <w:tab/>
      </w:r>
      <w:r>
        <w:rPr>
          <w:rFonts w:ascii="Times New Roman" w:cs="Times New Roman" w:eastAsia="Times New Roman" w:hAnsi="Times New Roman"/>
          <w:sz w:val="19"/>
          <w:szCs w:val="19"/>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David Siewers</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1420"/>
          </w:cols>
          <w:pgMar w:left="240" w:top="572"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ind w:left="432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ind w:left="314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Werner Cautreels, President and Chief Executive Officer of Selecta Biosciences, Inc. (the “Company”), hereby certify, pursuant to 18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§1350, as adopted pursuant to §906 of the Sarbanes-Oxley Act of 2002, that, to the best of my knowledge:</w:t>
      </w:r>
    </w:p>
    <w:p>
      <w:pPr>
        <w:spacing w:after="0" w:line="369" w:lineRule="exact"/>
        <w:rPr>
          <w:sz w:val="20"/>
          <w:szCs w:val="20"/>
          <w:color w:val="auto"/>
        </w:rPr>
      </w:pPr>
    </w:p>
    <w:p>
      <w:pPr>
        <w:ind w:left="660" w:right="680" w:hanging="328"/>
        <w:spacing w:after="0" w:line="269"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June 30, 2017 (the “Report”) fully complies with the requirements of Section 13(a) or 15(d) of the Securities Exchange Act of 1934, as amended; and</w:t>
      </w:r>
    </w:p>
    <w:p>
      <w:pPr>
        <w:spacing w:after="0" w:line="119"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August 11, 2017</w:t>
      </w:r>
      <w:r>
        <w:rPr>
          <w:sz w:val="20"/>
          <w:szCs w:val="20"/>
          <w:color w:val="auto"/>
        </w:rPr>
        <w:tab/>
      </w:r>
      <w:r>
        <w:rPr>
          <w:rFonts w:ascii="Times New Roman" w:cs="Times New Roman" w:eastAsia="Times New Roman" w:hAnsi="Times New Roman"/>
          <w:sz w:val="19"/>
          <w:szCs w:val="19"/>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420"/>
          </w:cols>
          <w:pgMar w:left="240" w:top="572"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David Siewers, Chief Financial Officer of Selecta Biosciences, Inc. (the “Company”), hereby certify, pursuant to 18 U.S.C. §1350, as adopted pursuant to §906 of the Sarbanes-Oxley Act of 2002, that, to the best of my knowledge:</w:t>
      </w:r>
    </w:p>
    <w:p>
      <w:pPr>
        <w:spacing w:after="0" w:line="121" w:lineRule="exact"/>
        <w:rPr>
          <w:sz w:val="20"/>
          <w:szCs w:val="20"/>
          <w:color w:val="auto"/>
        </w:rPr>
      </w:pPr>
    </w:p>
    <w:p>
      <w:pPr>
        <w:ind w:left="660" w:right="420" w:hanging="328"/>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2017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August 11, 2017</w:t>
      </w:r>
      <w:r>
        <w:rPr>
          <w:sz w:val="20"/>
          <w:szCs w:val="20"/>
          <w:color w:val="auto"/>
        </w:rPr>
        <w:tab/>
      </w:r>
      <w:r>
        <w:rPr>
          <w:rFonts w:ascii="Times New Roman" w:cs="Times New Roman" w:eastAsia="Times New Roman" w:hAnsi="Times New Roman"/>
          <w:sz w:val="18"/>
          <w:szCs w:val="18"/>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Siewers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1."/>
      <w:numFmt w:val="decimal"/>
      <w:start w:val="2"/>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1."/>
      <w:numFmt w:val="decimal"/>
      <w:start w:val="8"/>
    </w:lvl>
  </w:abstractNum>
  <w:abstractNum w:abstractNumId="6">
    <w:nsid w:val="168E121F"/>
    <w:multiLevelType w:val="hybridMultilevel"/>
    <w:lvl w:ilvl="0">
      <w:lvlJc w:val="left"/>
      <w:lvlText w:val="%1."/>
      <w:numFmt w:val="decimal"/>
      <w:start w:val="9"/>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decimal"/>
      <w:start w:val="12"/>
    </w:lvl>
  </w:abstractNum>
  <w:abstractNum w:abstractNumId="9">
    <w:nsid w:val="5DC79EA8"/>
    <w:multiLevelType w:val="hybridMultilevel"/>
    <w:lvl w:ilvl="0">
      <w:lvlJc w:val="left"/>
      <w:lvlText w:val="%1."/>
      <w:numFmt w:val="decimal"/>
      <w:start w:val="13"/>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1."/>
      <w:numFmt w:val="decimal"/>
      <w:start w:val="15"/>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lvl w:ilvl="1">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1)"/>
      <w:numFmt w:val="lowerRoman"/>
      <w:start w:val="2"/>
    </w:lvl>
  </w:abstractNum>
  <w:abstractNum w:abstractNumId="58">
    <w:nsid w:val="6AA78F7F"/>
    <w:multiLevelType w:val="hybridMultilevel"/>
    <w:lvl w:ilvl="0">
      <w:lvlJc w:val="left"/>
      <w:lvlText w:val="(%1)"/>
      <w:numFmt w:val="lowerLetter"/>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1)"/>
      <w:numFmt w:val="lowerLetter"/>
      <w:start w:val="4"/>
    </w:lvl>
  </w:abstractNum>
  <w:abstractNum w:abstractNumId="61">
    <w:nsid w:val="6A5F7029"/>
    <w:multiLevelType w:val="hybridMultilevel"/>
    <w:lvl w:ilvl="0">
      <w:lvlJc w:val="left"/>
      <w:lvlText w:val="(%1)"/>
      <w:numFmt w:val="lowerLetter"/>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1)"/>
      <w:numFmt w:val="lowerLetter"/>
      <w:start w:val="1"/>
    </w:lvl>
  </w:abstractNum>
  <w:abstractNum w:abstractNumId="64">
    <w:nsid w:val="73A1821B"/>
    <w:multiLevelType w:val="hybridMultilevel"/>
    <w:lvl w:ilvl="0">
      <w:lvlJc w:val="left"/>
      <w:lvlText w:val="(%1)"/>
      <w:numFmt w:val="lowerLetter"/>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1)"/>
      <w:numFmt w:val="lowerLetter"/>
      <w:start w:val="2"/>
    </w:lvl>
  </w:abstractNum>
  <w:abstractNum w:abstractNumId="67">
    <w:nsid w:val="3FA62ACA"/>
    <w:multiLevelType w:val="hybridMultilevel"/>
    <w:lvl w:ilvl="0">
      <w:lvlJc w:val="left"/>
      <w:lvlText w:val="(%1)"/>
      <w:numFmt w:val="lowerLetter"/>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1)"/>
      <w:numFmt w:val="lowerLetter"/>
      <w:start w:val="1"/>
    </w:lvl>
  </w:abstractNum>
  <w:abstractNum w:abstractNumId="72">
    <w:nsid w:val="53299938"/>
    <w:multiLevelType w:val="hybridMultilevel"/>
    <w:lvl w:ilvl="0">
      <w:lvlJc w:val="left"/>
      <w:lvlText w:val="[***]"/>
      <w:numFmt w:val="bullet"/>
      <w:start w:val="1"/>
    </w:lvl>
  </w:abstractNum>
  <w:abstractNum w:abstractNumId="73">
    <w:nsid w:val="1FBFE8E0"/>
    <w:multiLevelType w:val="hybridMultilevel"/>
    <w:lvl w:ilvl="0">
      <w:lvlJc w:val="left"/>
      <w:lvlText w:val="(%1)"/>
      <w:numFmt w:val="lowerLetter"/>
      <w:start w:val="1"/>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Letter"/>
      <w:start w:val="2"/>
    </w:lvl>
    <w:lvl w:ilvl="1">
      <w:lvlJc w:val="left"/>
      <w:lvlText w:val="(%2)"/>
      <w:numFmt w:val="lowerRoman"/>
      <w:start w:val="1"/>
    </w:lvl>
  </w:abstractNum>
  <w:abstractNum w:abstractNumId="82">
    <w:nsid w:val="1CA0C5FA"/>
    <w:multiLevelType w:val="hybridMultilevel"/>
    <w:lvl w:ilvl="0">
      <w:lvlJc w:val="left"/>
      <w:lvlText w:val="[***]"/>
      <w:numFmt w:val="bullet"/>
      <w:start w:val="1"/>
    </w:lvl>
    <w:lvl w:ilvl="1">
      <w:lvlJc w:val="left"/>
      <w:lvlText w:val="(%2)"/>
      <w:numFmt w:val="lowerLetter"/>
      <w:start w:val="3"/>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1)"/>
      <w:numFmt w:val="lowerLetter"/>
      <w:start w:val="4"/>
    </w:lvl>
  </w:abstractNum>
  <w:abstractNum w:abstractNumId="85">
    <w:nsid w:val="7C58FD05"/>
    <w:multiLevelType w:val="hybridMultilevel"/>
    <w:lvl w:ilvl="0">
      <w:lvlJc w:val="left"/>
      <w:lvlText w:val="%1"/>
      <w:numFmt w:val="lowerLetter"/>
      <w:start w:val="1"/>
    </w:lvl>
    <w:lvl w:ilvl="1">
      <w:lvlJc w:val="left"/>
      <w:lvlText w:val="(%2)"/>
      <w:numFmt w:val="lowerLetter"/>
      <w:start w:val="1"/>
    </w:lvl>
  </w:abstractNum>
  <w:abstractNum w:abstractNumId="86">
    <w:nsid w:val="23D86AAC"/>
    <w:multiLevelType w:val="hybridMultilevel"/>
    <w:lvl w:ilvl="0">
      <w:lvlJc w:val="left"/>
      <w:lvlText w:val="(%1)"/>
      <w:numFmt w:val="lowerLetter"/>
      <w:start w:val="35"/>
    </w:lvl>
    <w:lvl w:ilvl="1">
      <w:lvlJc w:val="left"/>
      <w:lvlText w:val="(%2)"/>
      <w:numFmt w:val="lowerLetter"/>
      <w:start w:val="3"/>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1)"/>
      <w:numFmt w:val="lowerLetter"/>
      <w:start w:val="4"/>
    </w:lvl>
    <w:lvl w:ilvl="1">
      <w:lvlJc w:val="left"/>
      <w:lvlText w:val="(%2)"/>
      <w:numFmt w:val="lowerRoman"/>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1"/>
      <w:numFmt w:val="lowerLetter"/>
      <w:start w:val="1"/>
    </w:lvl>
    <w:lvl w:ilvl="1">
      <w:lvlJc w:val="left"/>
      <w:lvlText w:val="(%2)"/>
      <w:numFmt w:val="lowerLetter"/>
      <w:start w:val="61"/>
    </w:lvl>
  </w:abstractNum>
  <w:abstractNum w:abstractNumId="91">
    <w:nsid w:val="4BD8591A"/>
    <w:multiLevelType w:val="hybridMultilevel"/>
    <w:lvl w:ilvl="0">
      <w:lvlJc w:val="left"/>
      <w:lvlText w:val="(%1)"/>
      <w:numFmt w:val="lowerLetter"/>
      <w:start w:val="6"/>
    </w:lvl>
    <w:lvl w:ilvl="1">
      <w:lvlJc w:val="left"/>
      <w:lvlText w:val="%2"/>
      <w:numFmt w:val="lowerLetter"/>
      <w:start w:val="1"/>
    </w:lvl>
  </w:abstractNum>
  <w:abstractNum w:abstractNumId="92">
    <w:nsid w:val="78DF6A55"/>
    <w:multiLevelType w:val="hybridMultilevel"/>
    <w:lvl w:ilvl="0">
      <w:lvlJc w:val="left"/>
      <w:lvlText w:val="(%1)"/>
      <w:numFmt w:val="lowerLetter"/>
      <w:start w:val="1"/>
    </w:lvl>
  </w:abstractNum>
  <w:abstractNum w:abstractNumId="93">
    <w:nsid w:val="39B7AAA2"/>
    <w:multiLevelType w:val="hybridMultilevel"/>
    <w:lvl w:ilvl="0">
      <w:lvlJc w:val="left"/>
      <w:lvlText w:val="[***]"/>
      <w:numFmt w:val="bullet"/>
      <w:start w:val="1"/>
    </w:lvl>
  </w:abstractNum>
  <w:abstractNum w:abstractNumId="94">
    <w:nsid w:val="2B0D8DBE"/>
    <w:multiLevelType w:val="hybridMultilevel"/>
    <w:lvl w:ilvl="0">
      <w:lvlJc w:val="left"/>
      <w:lvlText w:val="(%1)"/>
      <w:numFmt w:val="lowerLetter"/>
      <w:start w:val="2"/>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1)"/>
      <w:numFmt w:val="lowerLetter"/>
      <w:start w:val="1"/>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lowerLetter"/>
      <w:start w:val="4"/>
    </w:lvl>
  </w:abstractNum>
  <w:abstractNum w:abstractNumId="100">
    <w:nsid w:val="6AA7B75C"/>
    <w:multiLevelType w:val="hybridMultilevel"/>
    <w:lvl w:ilvl="0">
      <w:lvlJc w:val="left"/>
      <w:lvlText w:val="(%1)"/>
      <w:numFmt w:val="lowerLetter"/>
      <w:start w:val="1"/>
    </w:lvl>
    <w:lvl w:ilvl="1">
      <w:lvlJc w:val="left"/>
      <w:lvlText w:val="(%2)"/>
      <w:numFmt w:val="lowerRoman"/>
      <w:start w:val="1"/>
    </w:lvl>
  </w:abstractNum>
  <w:abstractNum w:abstractNumId="101">
    <w:nsid w:val="1DF029D3"/>
    <w:multiLevelType w:val="hybridMultilevel"/>
    <w:lvl w:ilvl="0">
      <w:lvlJc w:val="left"/>
      <w:lvlText w:val="[***]"/>
      <w:numFmt w:val="bullet"/>
      <w:start w:val="1"/>
    </w:lvl>
  </w:abstractNum>
  <w:abstractNum w:abstractNumId="102">
    <w:nsid w:val="5675FF36"/>
    <w:multiLevelType w:val="hybridMultilevel"/>
    <w:lvl w:ilvl="0">
      <w:lvlJc w:val="left"/>
      <w:lvlText w:val="(%1)"/>
      <w:numFmt w:val="lowerLetter"/>
      <w:start w:val="3"/>
    </w:lvl>
    <w:lvl w:ilvl="1">
      <w:lvlJc w:val="left"/>
      <w:lvlText w:val="(%2)"/>
      <w:numFmt w:val="lowerRoman"/>
      <w:start w:val="1"/>
    </w:lvl>
  </w:abstractNum>
  <w:abstractNum w:abstractNumId="103">
    <w:nsid w:val="3DD15094"/>
    <w:multiLevelType w:val="hybridMultilevel"/>
    <w:lvl w:ilvl="0">
      <w:lvlJc w:val="left"/>
      <w:lvlText w:val="(%1)"/>
      <w:numFmt w:val="lowerLetter"/>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1)"/>
      <w:numFmt w:val="lowerLetter"/>
      <w:start w:val="3"/>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1)"/>
      <w:numFmt w:val="lowerLetter"/>
      <w:start w:val="4"/>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1"/>
      <w:numFmt w:val="lowerLetter"/>
      <w:start w:val="1"/>
    </w:lvl>
    <w:lvl w:ilvl="1">
      <w:lvlJc w:val="left"/>
      <w:lvlText w:val="(%2)"/>
      <w:numFmt w:val="lowerLetter"/>
      <w:start w:val="1"/>
    </w:lvl>
  </w:abstractNum>
  <w:abstractNum w:abstractNumId="113">
    <w:nsid w:val="519E3149"/>
    <w:multiLevelType w:val="hybridMultilevel"/>
    <w:lvl w:ilvl="0">
      <w:lvlJc w:val="left"/>
      <w:lvlText w:val="(%1)"/>
      <w:numFmt w:val="lowerLetter"/>
      <w:start w:val="9"/>
    </w:lvl>
    <w:lvl w:ilvl="1">
      <w:lvlJc w:val="left"/>
      <w:lvlText w:val="(%2)"/>
      <w:numFmt w:val="lowerLetter"/>
      <w:start w:val="2"/>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1)"/>
      <w:numFmt w:val="lowerLetter"/>
      <w:start w:val="2"/>
    </w:lvl>
  </w:abstractNum>
  <w:abstractNum w:abstractNumId="118">
    <w:nsid w:val="5D888A08"/>
    <w:multiLevelType w:val="hybridMultilevel"/>
    <w:lvl w:ilvl="0">
      <w:lvlJc w:val="left"/>
      <w:lvlText w:val="(%1)"/>
      <w:numFmt w:val="lowerLetter"/>
      <w:start w:val="1"/>
    </w:lvl>
    <w:lvl w:ilvl="1">
      <w:lvlJc w:val="left"/>
      <w:lvlText w:val="(%2)"/>
      <w:numFmt w:val="lowerRoman"/>
      <w:start w:val="1"/>
    </w:lvl>
  </w:abstractNum>
  <w:abstractNum w:abstractNumId="119">
    <w:nsid w:val="2A082C70"/>
    <w:multiLevelType w:val="hybridMultilevel"/>
    <w:lvl w:ilvl="0">
      <w:lvlJc w:val="left"/>
      <w:lvlText w:val="(%1)"/>
      <w:numFmt w:val="lowerRoman"/>
      <w:start w:val="3"/>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
      <w:numFmt w:val="bullet"/>
      <w:start w:val="1"/>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1)"/>
      <w:numFmt w:val="lowerLetter"/>
      <w:start w:val="1"/>
    </w:lvl>
  </w:abstractNum>
  <w:abstractNum w:abstractNumId="124">
    <w:nsid w:val="5399C654"/>
    <w:multiLevelType w:val="hybridMultilevel"/>
    <w:lvl w:ilvl="0">
      <w:lvlJc w:val="left"/>
      <w:lvlText w:val="[***]"/>
      <w:numFmt w:val="bullet"/>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
      <w:numFmt w:val="bullet"/>
      <w:start w:val="1"/>
    </w:lvl>
  </w:abstractNum>
  <w:abstractNum w:abstractNumId="127">
    <w:nsid w:val="B37E80A"/>
    <w:multiLevelType w:val="hybridMultilevel"/>
    <w:lvl w:ilvl="0">
      <w:lvlJc w:val="left"/>
      <w:lvlText w:val="[***]"/>
      <w:numFmt w:val="bullet"/>
      <w:start w:val="1"/>
    </w:lvl>
  </w:abstractNum>
  <w:abstractNum w:abstractNumId="128">
    <w:nsid w:val="2157F6BC"/>
    <w:multiLevelType w:val="hybridMultilevel"/>
    <w:lvl w:ilvl="0">
      <w:lvlJc w:val="left"/>
      <w:lvlText w:val="%1."/>
      <w:numFmt w:val="decimal"/>
      <w:start w:val="1"/>
    </w:lvl>
  </w:abstractNum>
  <w:abstractNum w:abstractNumId="129">
    <w:nsid w:val="704E1DD5"/>
    <w:multiLevelType w:val="hybridMultilevel"/>
    <w:lvl w:ilvl="0">
      <w:lvlJc w:val="left"/>
      <w:lvlText w:val="%1."/>
      <w:numFmt w:val="decimal"/>
      <w:start w:val="2"/>
    </w:lvl>
    <w:lvl w:ilvl="1">
      <w:lvlJc w:val="left"/>
      <w:lvlText w:val="[***]"/>
      <w:numFmt w:val="bullet"/>
      <w:start w:val="1"/>
    </w:lvl>
  </w:abstractNum>
  <w:abstractNum w:abstractNumId="130">
    <w:nsid w:val="57D2F10E"/>
    <w:multiLevelType w:val="hybridMultilevel"/>
    <w:lvl w:ilvl="0">
      <w:lvlJc w:val="left"/>
      <w:lvlText w:val="%1."/>
      <w:numFmt w:val="decimal"/>
      <w:start w:val="4"/>
    </w:lvl>
  </w:abstractNum>
  <w:abstractNum w:abstractNumId="131">
    <w:nsid w:val="BFFAE18"/>
    <w:multiLevelType w:val="hybridMultilevel"/>
    <w:lvl w:ilvl="0">
      <w:lvlJc w:val="left"/>
      <w:lvlText w:val="[***]"/>
      <w:numFmt w:val="bullet"/>
      <w:start w:val="1"/>
    </w:lvl>
  </w:abstractNum>
  <w:abstractNum w:abstractNumId="132">
    <w:nsid w:val="E3E47A8"/>
    <w:multiLevelType w:val="hybridMultilevel"/>
    <w:lvl w:ilvl="0">
      <w:lvlJc w:val="left"/>
      <w:lvlText w:val="%1."/>
      <w:numFmt w:val="decimal"/>
      <w:start w:val="1"/>
    </w:lvl>
  </w:abstractNum>
  <w:abstractNum w:abstractNumId="133">
    <w:nsid w:val="2E48F044"/>
    <w:multiLevelType w:val="hybridMultilevel"/>
    <w:lvl w:ilvl="0">
      <w:lvlJc w:val="left"/>
      <w:lvlText w:val="%1."/>
      <w:numFmt w:val="decimal"/>
      <w:start w:val="5"/>
    </w:lvl>
  </w:abstractNum>
  <w:abstractNum w:abstractNumId="134">
    <w:nsid w:val="49D0FEAC"/>
    <w:multiLevelType w:val="hybridMultilevel"/>
    <w:lvl w:ilvl="0">
      <w:lvlJc w:val="left"/>
      <w:lvlText w:val="%1."/>
      <w:numFmt w:val="decimal"/>
      <w:start w:val="1"/>
    </w:lvl>
  </w:abstractNum>
  <w:abstractNum w:abstractNumId="135">
    <w:nsid w:val="4BEE5A5B"/>
    <w:multiLevelType w:val="hybridMultilevel"/>
    <w:lvl w:ilvl="0">
      <w:lvlJc w:val="left"/>
      <w:lvlText w:val="%1."/>
      <w:numFmt w:val="decimal"/>
      <w:start w:val="5"/>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2019-12-29T05:18:21Z</dcterms:created>
  <dcterms:modified xsi:type="dcterms:W3CDTF">2019-12-29T05:18:21Z</dcterms:modified>
</cp:coreProperties>
</file>