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9920" w:firstLine="8"/>
        <w:spacing w:after="0" w:line="220"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30" w:lineRule="exact"/>
        <w:rPr>
          <w:sz w:val="24"/>
          <w:szCs w:val="24"/>
          <w:color w:val="auto"/>
        </w:rPr>
      </w:pPr>
    </w:p>
    <w:p>
      <w:pPr>
        <w:ind w:left="18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rFonts w:ascii="Arial" w:cs="Arial" w:eastAsia="Arial" w:hAnsi="Arial"/>
          <w:sz w:val="18"/>
          <w:szCs w:val="18"/>
          <w:color w:val="auto"/>
        </w:rPr>
      </w:pPr>
    </w:p>
    <w:p>
      <w:pPr>
        <w:ind w:left="180" w:right="4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3910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ind w:left="720" w:hanging="408"/>
        <w:spacing w:after="0" w:line="182" w:lineRule="auto"/>
        <w:tabs>
          <w:tab w:leader="none" w:pos="72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5"/>
          <w:szCs w:val="15"/>
          <w:color w:val="auto"/>
        </w:rPr>
        <w:t>NAMES OF REPORTING PERSONS</w:t>
      </w:r>
    </w:p>
    <w:p>
      <w:pPr>
        <w:spacing w:after="0" w:line="1" w:lineRule="exact"/>
        <w:rPr>
          <w:rFonts w:ascii="Arial" w:cs="Arial" w:eastAsia="Arial" w:hAnsi="Arial"/>
          <w:sz w:val="31"/>
          <w:szCs w:val="31"/>
          <w:b w:val="1"/>
          <w:bCs w:val="1"/>
          <w:color w:val="auto"/>
          <w:vertAlign w:val="subscript"/>
        </w:rPr>
      </w:pPr>
    </w:p>
    <w:p>
      <w:pPr>
        <w:ind w:left="860"/>
        <w:spacing w:after="0"/>
        <w:rPr>
          <w:rFonts w:ascii="Arial" w:cs="Arial" w:eastAsia="Arial" w:hAnsi="Arial"/>
          <w:sz w:val="31"/>
          <w:szCs w:val="31"/>
          <w:b w:val="1"/>
          <w:bCs w:val="1"/>
          <w:color w:val="auto"/>
          <w:vertAlign w:val="subscript"/>
        </w:rPr>
      </w:pPr>
      <w:r>
        <w:rPr>
          <w:rFonts w:ascii="Arial" w:cs="Arial" w:eastAsia="Arial" w:hAnsi="Arial"/>
          <w:sz w:val="18"/>
          <w:szCs w:val="18"/>
          <w:b w:val="1"/>
          <w:bCs w:val="1"/>
          <w:color w:val="auto"/>
        </w:rPr>
        <w:t>Vivo Capital IX, LLC</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THE APPROPRIATE BOX IF A MEMBER OF A GROUP (See Instructions)</w:t>
      </w:r>
    </w:p>
    <w:p>
      <w:pPr>
        <w:ind w:left="860" w:hanging="548"/>
        <w:spacing w:after="0" w:line="241" w:lineRule="exact"/>
        <w:tabs>
          <w:tab w:leader="none" w:pos="86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860"/>
        <w:spacing w:after="0" w:line="207" w:lineRule="exact"/>
        <w:rPr>
          <w:rFonts w:ascii="Arial" w:cs="Arial" w:eastAsia="Arial" w:hAnsi="Arial"/>
          <w:sz w:val="22"/>
          <w:szCs w:val="22"/>
          <w:b w:val="1"/>
          <w:bCs w:val="1"/>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720" w:hanging="408"/>
        <w:spacing w:after="0" w:line="180" w:lineRule="auto"/>
        <w:tabs>
          <w:tab w:leader="none" w:pos="720" w:val="left"/>
        </w:tabs>
        <w:numPr>
          <w:ilvl w:val="0"/>
          <w:numId w:val="5"/>
        </w:numPr>
        <w:rPr>
          <w:rFonts w:ascii="Arial" w:cs="Arial" w:eastAsia="Arial" w:hAnsi="Arial"/>
          <w:sz w:val="29"/>
          <w:szCs w:val="29"/>
          <w:b w:val="1"/>
          <w:bCs w:val="1"/>
          <w:color w:val="auto"/>
          <w:vertAlign w:val="subscript"/>
        </w:rPr>
      </w:pPr>
      <w:r>
        <w:rPr>
          <w:rFonts w:ascii="Arial" w:cs="Arial" w:eastAsia="Arial" w:hAnsi="Arial"/>
          <w:sz w:val="15"/>
          <w:szCs w:val="15"/>
          <w:color w:val="auto"/>
        </w:rPr>
        <w:t>SEC USE ONLY</w:t>
      </w:r>
    </w:p>
    <w:p>
      <w:pPr>
        <w:ind w:left="720" w:hanging="408"/>
        <w:spacing w:after="0" w:line="223" w:lineRule="auto"/>
        <w:tabs>
          <w:tab w:leader="none" w:pos="720" w:val="left"/>
        </w:tabs>
        <w:numPr>
          <w:ilvl w:val="0"/>
          <w:numId w:val="6"/>
        </w:numPr>
        <w:rPr>
          <w:rFonts w:ascii="Arial" w:cs="Arial" w:eastAsia="Arial" w:hAnsi="Arial"/>
          <w:sz w:val="43"/>
          <w:szCs w:val="43"/>
          <w:b w:val="1"/>
          <w:bCs w:val="1"/>
          <w:color w:val="auto"/>
          <w:vertAlign w:val="subscript"/>
        </w:rPr>
      </w:pPr>
      <w:r>
        <w:rPr>
          <w:rFonts w:ascii="Arial" w:cs="Arial" w:eastAsia="Arial" w:hAnsi="Arial"/>
          <w:sz w:val="18"/>
          <w:szCs w:val="18"/>
          <w:color w:val="auto"/>
        </w:rPr>
        <w:t>CITIZENSHIP OR PLACE OF ORGANIZATION</w:t>
      </w:r>
    </w:p>
    <w:p>
      <w:pPr>
        <w:spacing w:after="0" w:line="1" w:lineRule="exact"/>
        <w:rPr>
          <w:rFonts w:ascii="Arial" w:cs="Arial" w:eastAsia="Arial" w:hAnsi="Arial"/>
          <w:sz w:val="43"/>
          <w:szCs w:val="43"/>
          <w:b w:val="1"/>
          <w:bCs w:val="1"/>
          <w:color w:val="auto"/>
          <w:vertAlign w:val="subscript"/>
        </w:rPr>
      </w:pPr>
    </w:p>
    <w:p>
      <w:pPr>
        <w:ind w:left="860"/>
        <w:spacing w:after="0"/>
        <w:rPr>
          <w:rFonts w:ascii="Arial" w:cs="Arial" w:eastAsia="Arial" w:hAnsi="Arial"/>
          <w:sz w:val="43"/>
          <w:szCs w:val="43"/>
          <w:b w:val="1"/>
          <w:bCs w:val="1"/>
          <w:color w:val="auto"/>
          <w:vertAlign w:val="subscript"/>
        </w:rPr>
      </w:pPr>
      <w:r>
        <w:rPr>
          <w:rFonts w:ascii="Arial" w:cs="Arial" w:eastAsia="Arial" w:hAnsi="Arial"/>
          <w:sz w:val="18"/>
          <w:szCs w:val="18"/>
          <w:b w:val="1"/>
          <w:bCs w:val="1"/>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4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00" w:type="dxa"/>
            <w:vAlign w:val="bottom"/>
            <w:tcBorders>
              <w:top w:val="single" w:sz="8" w:color="auto"/>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5</w:t>
            </w:r>
          </w:p>
        </w:tc>
        <w:tc>
          <w:tcPr>
            <w:tcW w:w="9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0"/>
        </w:trPr>
        <w:tc>
          <w:tcPr>
            <w:tcW w:w="1640" w:type="dxa"/>
            <w:vAlign w:val="bottom"/>
            <w:tcBorders>
              <w:right w:val="single" w:sz="8" w:color="auto"/>
            </w:tcBorders>
            <w:gridSpan w:val="2"/>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1,444,246</w:t>
            </w:r>
          </w:p>
        </w:tc>
        <w:tc>
          <w:tcPr>
            <w:tcW w:w="8200" w:type="dxa"/>
            <w:vAlign w:val="bottom"/>
            <w:vMerge w:val="restart"/>
          </w:tcPr>
          <w:p>
            <w:pPr>
              <w:jc w:val="right"/>
              <w:ind w:right="792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gridSpan w:val="2"/>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80" w:type="dxa"/>
            <w:vAlign w:val="bottom"/>
            <w:vMerge w:val="continue"/>
          </w:tcPr>
          <w:p>
            <w:pPr>
              <w:spacing w:after="0"/>
              <w:rPr>
                <w:sz w:val="5"/>
                <w:szCs w:val="5"/>
                <w:color w:val="auto"/>
              </w:rPr>
            </w:pPr>
          </w:p>
        </w:tc>
        <w:tc>
          <w:tcPr>
            <w:tcW w:w="8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180" w:type="dxa"/>
            <w:vAlign w:val="bottom"/>
            <w:tcBorders>
              <w:right w:val="single" w:sz="8" w:color="auto"/>
            </w:tcBorders>
            <w:vMerge w:val="restart"/>
          </w:tcPr>
          <w:p>
            <w:pPr>
              <w:jc w:val="center"/>
              <w:ind w:right="350"/>
              <w:spacing w:after="0" w:line="189" w:lineRule="exact"/>
              <w:rPr>
                <w:sz w:val="20"/>
                <w:szCs w:val="20"/>
                <w:color w:val="auto"/>
              </w:rPr>
            </w:pPr>
            <w:r>
              <w:rPr>
                <w:rFonts w:ascii="Arial" w:cs="Arial" w:eastAsia="Arial" w:hAnsi="Arial"/>
                <w:sz w:val="18"/>
                <w:szCs w:val="18"/>
                <w:color w:val="auto"/>
                <w:w w:val="94"/>
              </w:rPr>
              <w:t>SHARES</w:t>
            </w:r>
          </w:p>
        </w:tc>
        <w:tc>
          <w:tcPr>
            <w:tcW w:w="7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6</w:t>
            </w:r>
          </w:p>
        </w:tc>
        <w:tc>
          <w:tcPr>
            <w:tcW w:w="9080" w:type="dxa"/>
            <w:vAlign w:val="bottom"/>
            <w:gridSpan w:val="2"/>
            <w:vMerge w:val="restart"/>
          </w:tcPr>
          <w:p>
            <w:pPr>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1"/>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700" w:type="dxa"/>
            <w:vAlign w:val="bottom"/>
            <w:tcBorders>
              <w:right w:val="single" w:sz="8" w:color="auto"/>
            </w:tcBorders>
            <w:vMerge w:val="continue"/>
          </w:tcPr>
          <w:p>
            <w:pPr>
              <w:spacing w:after="0"/>
              <w:rPr>
                <w:sz w:val="7"/>
                <w:szCs w:val="7"/>
                <w:color w:val="auto"/>
              </w:rPr>
            </w:pPr>
          </w:p>
        </w:tc>
        <w:tc>
          <w:tcPr>
            <w:tcW w:w="9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8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4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0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vMerge w:val="restart"/>
          </w:tcPr>
          <w:p>
            <w:pPr>
              <w:jc w:val="right"/>
              <w:ind w:right="219"/>
              <w:spacing w:after="0" w:line="217" w:lineRule="exact"/>
              <w:rPr>
                <w:sz w:val="20"/>
                <w:szCs w:val="20"/>
                <w:color w:val="auto"/>
              </w:rPr>
            </w:pPr>
            <w:r>
              <w:rPr>
                <w:rFonts w:ascii="Arial" w:cs="Arial" w:eastAsia="Arial" w:hAnsi="Arial"/>
                <w:sz w:val="22"/>
                <w:szCs w:val="22"/>
                <w:b w:val="1"/>
                <w:bCs w:val="1"/>
                <w:color w:val="auto"/>
              </w:rPr>
              <w:t>7</w:t>
            </w:r>
          </w:p>
        </w:tc>
        <w:tc>
          <w:tcPr>
            <w:tcW w:w="9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tcBorders>
              <w:right w:val="single" w:sz="8" w:color="auto"/>
            </w:tcBorders>
            <w:gridSpan w:val="2"/>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1,444,246</w:t>
            </w:r>
          </w:p>
        </w:tc>
        <w:tc>
          <w:tcPr>
            <w:tcW w:w="8200" w:type="dxa"/>
            <w:vAlign w:val="bottom"/>
            <w:vMerge w:val="restart"/>
          </w:tcPr>
          <w:p>
            <w:pPr>
              <w:jc w:val="right"/>
              <w:ind w:right="792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1180" w:type="dxa"/>
            <w:vAlign w:val="bottom"/>
            <w:tcBorders>
              <w:right w:val="single" w:sz="8" w:color="auto"/>
            </w:tcBorders>
          </w:tcPr>
          <w:p>
            <w:pPr>
              <w:jc w:val="center"/>
              <w:ind w:right="350"/>
              <w:spacing w:after="0" w:line="183" w:lineRule="exact"/>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1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700" w:type="dxa"/>
            <w:vAlign w:val="bottom"/>
            <w:tcBorders>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8</w:t>
            </w:r>
          </w:p>
        </w:tc>
        <w:tc>
          <w:tcPr>
            <w:tcW w:w="9080" w:type="dxa"/>
            <w:vAlign w:val="bottom"/>
            <w:gridSpan w:val="2"/>
          </w:tcPr>
          <w:p>
            <w:pPr>
              <w:spacing w:after="0" w:line="198"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8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9</w:t>
            </w:r>
          </w:p>
        </w:tc>
        <w:tc>
          <w:tcPr>
            <w:tcW w:w="10960" w:type="dxa"/>
            <w:vAlign w:val="bottom"/>
            <w:gridSpan w:val="4"/>
          </w:tcPr>
          <w:p>
            <w:pPr>
              <w:jc w:val="right"/>
              <w:ind w:right="4065"/>
              <w:spacing w:after="0" w:line="201" w:lineRule="exact"/>
              <w:rPr>
                <w:sz w:val="20"/>
                <w:szCs w:val="20"/>
                <w:color w:val="auto"/>
              </w:rPr>
            </w:pPr>
            <w:r>
              <w:rPr>
                <w:rFonts w:ascii="Arial" w:cs="Arial" w:eastAsia="Arial" w:hAnsi="Arial"/>
                <w:sz w:val="18"/>
                <w:szCs w:val="18"/>
                <w:color w:val="auto"/>
                <w:w w:val="99"/>
              </w:rPr>
              <w:t>AGGREGATE AMOUNT BENEFICIALLY OWNED BY EACH REPORTING PERSON</w:t>
            </w:r>
          </w:p>
        </w:tc>
        <w:tc>
          <w:tcPr>
            <w:tcW w:w="0" w:type="dxa"/>
            <w:vAlign w:val="bottom"/>
          </w:tcPr>
          <w:p>
            <w:pPr>
              <w:spacing w:after="0"/>
              <w:rPr>
                <w:sz w:val="1"/>
                <w:szCs w:val="1"/>
                <w:color w:val="auto"/>
              </w:rPr>
            </w:pPr>
          </w:p>
        </w:tc>
      </w:tr>
      <w:tr>
        <w:trPr>
          <w:trHeight w:val="160"/>
        </w:trPr>
        <w:tc>
          <w:tcPr>
            <w:tcW w:w="460" w:type="dxa"/>
            <w:vAlign w:val="bottom"/>
            <w:vMerge w:val="continue"/>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1,444,246</w:t>
            </w:r>
          </w:p>
        </w:tc>
        <w:tc>
          <w:tcPr>
            <w:tcW w:w="700" w:type="dxa"/>
            <w:vAlign w:val="bottom"/>
            <w:vMerge w:val="restart"/>
          </w:tcPr>
          <w:p>
            <w:pPr>
              <w:jc w:val="right"/>
              <w:ind w:right="439"/>
              <w:spacing w:after="0"/>
              <w:rPr>
                <w:sz w:val="20"/>
                <w:szCs w:val="20"/>
                <w:color w:val="auto"/>
              </w:rPr>
            </w:pPr>
            <w:r>
              <w:rPr>
                <w:rFonts w:ascii="Arial" w:cs="Arial" w:eastAsia="Arial" w:hAnsi="Arial"/>
                <w:sz w:val="15"/>
                <w:szCs w:val="15"/>
                <w:b w:val="1"/>
                <w:bCs w:val="1"/>
                <w:color w:val="auto"/>
                <w:w w:val="76"/>
              </w:rPr>
              <w:t>(1)</w:t>
            </w:r>
          </w:p>
        </w:tc>
        <w:tc>
          <w:tcPr>
            <w:tcW w:w="8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20" w:hanging="462"/>
        <w:spacing w:after="0" w:line="184" w:lineRule="auto"/>
        <w:tabs>
          <w:tab w:leader="none" w:pos="720" w:val="left"/>
        </w:tabs>
        <w:numPr>
          <w:ilvl w:val="0"/>
          <w:numId w:val="7"/>
        </w:numPr>
        <w:rPr>
          <w:rFonts w:ascii="Arial" w:cs="Arial" w:eastAsia="Arial" w:hAnsi="Arial"/>
          <w:sz w:val="27"/>
          <w:szCs w:val="27"/>
          <w:b w:val="1"/>
          <w:bCs w:val="1"/>
          <w:color w:val="auto"/>
          <w:vertAlign w:val="subscript"/>
        </w:rPr>
      </w:pPr>
      <w:r>
        <w:rPr>
          <w:rFonts w:ascii="Arial" w:cs="Arial" w:eastAsia="Arial" w:hAnsi="Arial"/>
          <w:sz w:val="14"/>
          <w:szCs w:val="14"/>
          <w:color w:val="auto"/>
        </w:rPr>
        <w:t>CHECK BOX IF THE AGGREGATE AMOUNT IN ROW (9) EXCLUDES CERTAIN SHARES (See Instructions)</w:t>
      </w:r>
    </w:p>
    <w:p>
      <w:pPr>
        <w:ind w:left="860"/>
        <w:spacing w:after="0" w:line="181" w:lineRule="exact"/>
        <w:rPr>
          <w:rFonts w:ascii="Arial" w:cs="Arial" w:eastAsia="Arial" w:hAnsi="Arial"/>
          <w:sz w:val="27"/>
          <w:szCs w:val="27"/>
          <w:b w:val="1"/>
          <w:bCs w:val="1"/>
          <w:color w:val="auto"/>
          <w:vertAlign w:val="subscript"/>
        </w:rPr>
      </w:pPr>
      <w:r>
        <w:rPr>
          <w:rFonts w:ascii="MS PGothic" w:cs="MS PGothic" w:eastAsia="MS PGothic" w:hAnsi="MS PGothic"/>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9"/>
              </w:rPr>
              <w:t>11</w:t>
            </w:r>
          </w:p>
        </w:tc>
        <w:tc>
          <w:tcPr>
            <w:tcW w:w="10940" w:type="dxa"/>
            <w:vAlign w:val="bottom"/>
            <w:gridSpan w:val="2"/>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7"/>
              </w:rPr>
              <w:t>1.67%</w:t>
            </w:r>
          </w:p>
        </w:tc>
        <w:tc>
          <w:tcPr>
            <w:tcW w:w="10040" w:type="dxa"/>
            <w:vAlign w:val="bottom"/>
            <w:vMerge w:val="restart"/>
          </w:tcPr>
          <w:p>
            <w:pPr>
              <w:jc w:val="right"/>
              <w:ind w:right="9748"/>
              <w:spacing w:after="0"/>
              <w:rPr>
                <w:sz w:val="20"/>
                <w:szCs w:val="20"/>
                <w:color w:val="auto"/>
              </w:rPr>
            </w:pPr>
            <w:r>
              <w:rPr>
                <w:rFonts w:ascii="Arial" w:cs="Arial" w:eastAsia="Arial" w:hAnsi="Arial"/>
                <w:sz w:val="15"/>
                <w:szCs w:val="15"/>
                <w:b w:val="1"/>
                <w:bCs w:val="1"/>
                <w:color w:val="auto"/>
                <w:w w:val="97"/>
              </w:rPr>
              <w:t>(2)</w:t>
            </w:r>
          </w:p>
        </w:tc>
        <w:tc>
          <w:tcPr>
            <w:tcW w:w="0" w:type="dxa"/>
            <w:vAlign w:val="bottom"/>
          </w:tcPr>
          <w:p>
            <w:pPr>
              <w:spacing w:after="0"/>
              <w:rPr>
                <w:sz w:val="1"/>
                <w:szCs w:val="1"/>
                <w:color w:val="auto"/>
              </w:rPr>
            </w:pPr>
          </w:p>
        </w:tc>
      </w:tr>
      <w:tr>
        <w:trPr>
          <w:trHeight w:val="119"/>
        </w:trPr>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12</w:t>
            </w:r>
          </w:p>
        </w:tc>
        <w:tc>
          <w:tcPr>
            <w:tcW w:w="10940" w:type="dxa"/>
            <w:vAlign w:val="bottom"/>
            <w:gridSpan w:val="2"/>
          </w:tcPr>
          <w:p>
            <w:pPr>
              <w:ind w:left="240"/>
              <w:spacing w:after="0" w:line="198"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OO</w:t>
            </w:r>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6"/>
              </w:rPr>
              <w:t>The number includes 1,444,246 shares of common stock, par value $0.0001 per share (the “Common Stock”) of Selecta Biosciences, Inc.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“Issuer”). The number excludes: (i) 1,491,425 shares of Common Stock issuable upon the exercise of 1,491,425 pre-funded warrants, at an exercise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1"/>
              </w:rPr>
              <w:t>price of $0.0001 per share (the “Pre-Funded Warrants”), and (ii) 1,467,835 shares of Common Stock issuable upon the exercise of 1,467,835 common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1"/>
              </w:rPr>
              <w:t>warrants, at an exercise price of $1.46 per share (the “Common Warrants”). The exercise of each warrant is subject to a beneficial ownership limitation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0"/>
              </w:rPr>
              <w:t>of 9.99% of the Issuer’s outstanding shares of Common Stock. The shares of Common Stock, the Pre-Funded Warrants and the Common Warrants are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held of record by Vivo Capital Fund IX, L.P. Vivo Capital IX, LLC is the general partner of Vivo Capital Fund IX, L.P.</w:t>
            </w:r>
          </w:p>
        </w:tc>
        <w:tc>
          <w:tcPr>
            <w:tcW w:w="0" w:type="dxa"/>
            <w:vAlign w:val="bottom"/>
          </w:tcPr>
          <w:p>
            <w:pPr>
              <w:spacing w:after="0"/>
              <w:rPr>
                <w:sz w:val="1"/>
                <w:szCs w:val="1"/>
                <w:color w:val="auto"/>
              </w:rPr>
            </w:pPr>
          </w:p>
        </w:tc>
      </w:tr>
      <w:tr>
        <w:trPr>
          <w:trHeight w:val="459"/>
        </w:trPr>
        <w:tc>
          <w:tcPr>
            <w:tcW w:w="22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Based on 86,325,547 shares of Common Stock of the Issuer outstanding as of the Reporting Date.</w:t>
            </w:r>
          </w:p>
        </w:tc>
        <w:tc>
          <w:tcPr>
            <w:tcW w:w="0" w:type="dxa"/>
            <w:vAlign w:val="bottom"/>
          </w:tcPr>
          <w:p>
            <w:pPr>
              <w:spacing w:after="0"/>
              <w:rPr>
                <w:sz w:val="1"/>
                <w:szCs w:val="1"/>
                <w:color w:val="auto"/>
              </w:rPr>
            </w:pPr>
          </w:p>
        </w:tc>
      </w:tr>
      <w:tr>
        <w:trPr>
          <w:trHeight w:val="682"/>
        </w:trPr>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jc w:val="right"/>
              <w:ind w:right="5568"/>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391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ind w:left="720" w:hanging="408"/>
        <w:spacing w:after="0" w:line="182" w:lineRule="auto"/>
        <w:tabs>
          <w:tab w:leader="none" w:pos="720" w:val="left"/>
        </w:tabs>
        <w:numPr>
          <w:ilvl w:val="0"/>
          <w:numId w:val="8"/>
        </w:numPr>
        <w:rPr>
          <w:rFonts w:ascii="Arial" w:cs="Arial" w:eastAsia="Arial" w:hAnsi="Arial"/>
          <w:sz w:val="31"/>
          <w:szCs w:val="31"/>
          <w:b w:val="1"/>
          <w:bCs w:val="1"/>
          <w:color w:val="auto"/>
          <w:vertAlign w:val="subscript"/>
        </w:rPr>
      </w:pPr>
      <w:r>
        <w:rPr>
          <w:rFonts w:ascii="Arial" w:cs="Arial" w:eastAsia="Arial" w:hAnsi="Arial"/>
          <w:sz w:val="15"/>
          <w:szCs w:val="15"/>
          <w:color w:val="auto"/>
        </w:rPr>
        <w:t>NAMES OF REPORTING PERSONS</w:t>
      </w:r>
    </w:p>
    <w:p>
      <w:pPr>
        <w:spacing w:after="0" w:line="1" w:lineRule="exact"/>
        <w:rPr>
          <w:rFonts w:ascii="Arial" w:cs="Arial" w:eastAsia="Arial" w:hAnsi="Arial"/>
          <w:sz w:val="31"/>
          <w:szCs w:val="31"/>
          <w:b w:val="1"/>
          <w:bCs w:val="1"/>
          <w:color w:val="auto"/>
          <w:vertAlign w:val="subscript"/>
        </w:rPr>
      </w:pPr>
    </w:p>
    <w:p>
      <w:pPr>
        <w:ind w:left="860"/>
        <w:spacing w:after="0"/>
        <w:rPr>
          <w:rFonts w:ascii="Arial" w:cs="Arial" w:eastAsia="Arial" w:hAnsi="Arial"/>
          <w:sz w:val="31"/>
          <w:szCs w:val="31"/>
          <w:b w:val="1"/>
          <w:bCs w:val="1"/>
          <w:color w:val="auto"/>
          <w:vertAlign w:val="subscript"/>
        </w:rPr>
      </w:pPr>
      <w:r>
        <w:rPr>
          <w:rFonts w:ascii="Arial" w:cs="Arial" w:eastAsia="Arial" w:hAnsi="Arial"/>
          <w:sz w:val="18"/>
          <w:szCs w:val="18"/>
          <w:b w:val="1"/>
          <w:bCs w:val="1"/>
          <w:color w:val="auto"/>
        </w:rPr>
        <w:t>Vivo Opportunity, LLC</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THE APPROPRIATE BOX IF A MEMBER OF A GROUP (See Instructions)</w:t>
      </w:r>
    </w:p>
    <w:p>
      <w:pPr>
        <w:ind w:left="860" w:hanging="548"/>
        <w:spacing w:after="0" w:line="241" w:lineRule="exact"/>
        <w:tabs>
          <w:tab w:leader="none" w:pos="86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860"/>
        <w:spacing w:after="0" w:line="207" w:lineRule="exact"/>
        <w:rPr>
          <w:rFonts w:ascii="Arial" w:cs="Arial" w:eastAsia="Arial" w:hAnsi="Arial"/>
          <w:sz w:val="22"/>
          <w:szCs w:val="22"/>
          <w:b w:val="1"/>
          <w:bCs w:val="1"/>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720" w:hanging="408"/>
        <w:spacing w:after="0" w:line="180" w:lineRule="auto"/>
        <w:tabs>
          <w:tab w:leader="none" w:pos="720" w:val="left"/>
        </w:tabs>
        <w:numPr>
          <w:ilvl w:val="0"/>
          <w:numId w:val="10"/>
        </w:numPr>
        <w:rPr>
          <w:rFonts w:ascii="Arial" w:cs="Arial" w:eastAsia="Arial" w:hAnsi="Arial"/>
          <w:sz w:val="29"/>
          <w:szCs w:val="29"/>
          <w:b w:val="1"/>
          <w:bCs w:val="1"/>
          <w:color w:val="auto"/>
          <w:vertAlign w:val="subscript"/>
        </w:rPr>
      </w:pPr>
      <w:r>
        <w:rPr>
          <w:rFonts w:ascii="Arial" w:cs="Arial" w:eastAsia="Arial" w:hAnsi="Arial"/>
          <w:sz w:val="15"/>
          <w:szCs w:val="15"/>
          <w:color w:val="auto"/>
        </w:rPr>
        <w:t>SEC USE ONLY</w:t>
      </w:r>
    </w:p>
    <w:p>
      <w:pPr>
        <w:ind w:left="720" w:hanging="408"/>
        <w:spacing w:after="0" w:line="223" w:lineRule="auto"/>
        <w:tabs>
          <w:tab w:leader="none" w:pos="720" w:val="left"/>
        </w:tabs>
        <w:numPr>
          <w:ilvl w:val="0"/>
          <w:numId w:val="11"/>
        </w:numPr>
        <w:rPr>
          <w:rFonts w:ascii="Arial" w:cs="Arial" w:eastAsia="Arial" w:hAnsi="Arial"/>
          <w:sz w:val="43"/>
          <w:szCs w:val="43"/>
          <w:b w:val="1"/>
          <w:bCs w:val="1"/>
          <w:color w:val="auto"/>
          <w:vertAlign w:val="subscript"/>
        </w:rPr>
      </w:pPr>
      <w:r>
        <w:rPr>
          <w:rFonts w:ascii="Arial" w:cs="Arial" w:eastAsia="Arial" w:hAnsi="Arial"/>
          <w:sz w:val="18"/>
          <w:szCs w:val="18"/>
          <w:color w:val="auto"/>
        </w:rPr>
        <w:t>CITIZENSHIP OR PLACE OF ORGANIZATION</w:t>
      </w:r>
    </w:p>
    <w:p>
      <w:pPr>
        <w:spacing w:after="0" w:line="1" w:lineRule="exact"/>
        <w:rPr>
          <w:rFonts w:ascii="Arial" w:cs="Arial" w:eastAsia="Arial" w:hAnsi="Arial"/>
          <w:sz w:val="43"/>
          <w:szCs w:val="43"/>
          <w:b w:val="1"/>
          <w:bCs w:val="1"/>
          <w:color w:val="auto"/>
          <w:vertAlign w:val="subscript"/>
        </w:rPr>
      </w:pPr>
    </w:p>
    <w:p>
      <w:pPr>
        <w:ind w:left="860"/>
        <w:spacing w:after="0"/>
        <w:rPr>
          <w:rFonts w:ascii="Arial" w:cs="Arial" w:eastAsia="Arial" w:hAnsi="Arial"/>
          <w:sz w:val="43"/>
          <w:szCs w:val="43"/>
          <w:b w:val="1"/>
          <w:bCs w:val="1"/>
          <w:color w:val="auto"/>
          <w:vertAlign w:val="subscript"/>
        </w:rPr>
      </w:pPr>
      <w:r>
        <w:rPr>
          <w:rFonts w:ascii="Arial" w:cs="Arial" w:eastAsia="Arial" w:hAnsi="Arial"/>
          <w:sz w:val="18"/>
          <w:szCs w:val="18"/>
          <w:b w:val="1"/>
          <w:bCs w:val="1"/>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4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00" w:type="dxa"/>
            <w:vAlign w:val="bottom"/>
            <w:tcBorders>
              <w:top w:val="single" w:sz="8" w:color="auto"/>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5</w:t>
            </w:r>
          </w:p>
        </w:tc>
        <w:tc>
          <w:tcPr>
            <w:tcW w:w="9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0"/>
        </w:trPr>
        <w:tc>
          <w:tcPr>
            <w:tcW w:w="1640" w:type="dxa"/>
            <w:vAlign w:val="bottom"/>
            <w:tcBorders>
              <w:right w:val="single" w:sz="8" w:color="auto"/>
            </w:tcBorders>
            <w:gridSpan w:val="2"/>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6,472,423</w:t>
            </w:r>
          </w:p>
        </w:tc>
        <w:tc>
          <w:tcPr>
            <w:tcW w:w="8200" w:type="dxa"/>
            <w:vAlign w:val="bottom"/>
            <w:vMerge w:val="restart"/>
          </w:tcPr>
          <w:p>
            <w:pPr>
              <w:jc w:val="right"/>
              <w:ind w:right="792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gridSpan w:val="2"/>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80" w:type="dxa"/>
            <w:vAlign w:val="bottom"/>
            <w:vMerge w:val="continue"/>
          </w:tcPr>
          <w:p>
            <w:pPr>
              <w:spacing w:after="0"/>
              <w:rPr>
                <w:sz w:val="5"/>
                <w:szCs w:val="5"/>
                <w:color w:val="auto"/>
              </w:rPr>
            </w:pPr>
          </w:p>
        </w:tc>
        <w:tc>
          <w:tcPr>
            <w:tcW w:w="8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180" w:type="dxa"/>
            <w:vAlign w:val="bottom"/>
            <w:tcBorders>
              <w:right w:val="single" w:sz="8" w:color="auto"/>
            </w:tcBorders>
            <w:vMerge w:val="restart"/>
          </w:tcPr>
          <w:p>
            <w:pPr>
              <w:jc w:val="center"/>
              <w:ind w:right="350"/>
              <w:spacing w:after="0" w:line="189" w:lineRule="exact"/>
              <w:rPr>
                <w:sz w:val="20"/>
                <w:szCs w:val="20"/>
                <w:color w:val="auto"/>
              </w:rPr>
            </w:pPr>
            <w:r>
              <w:rPr>
                <w:rFonts w:ascii="Arial" w:cs="Arial" w:eastAsia="Arial" w:hAnsi="Arial"/>
                <w:sz w:val="18"/>
                <w:szCs w:val="18"/>
                <w:color w:val="auto"/>
                <w:w w:val="94"/>
              </w:rPr>
              <w:t>SHARES</w:t>
            </w:r>
          </w:p>
        </w:tc>
        <w:tc>
          <w:tcPr>
            <w:tcW w:w="7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6</w:t>
            </w:r>
          </w:p>
        </w:tc>
        <w:tc>
          <w:tcPr>
            <w:tcW w:w="9080" w:type="dxa"/>
            <w:vAlign w:val="bottom"/>
            <w:gridSpan w:val="2"/>
            <w:vMerge w:val="restart"/>
          </w:tcPr>
          <w:p>
            <w:pPr>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1"/>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700" w:type="dxa"/>
            <w:vAlign w:val="bottom"/>
            <w:tcBorders>
              <w:right w:val="single" w:sz="8" w:color="auto"/>
            </w:tcBorders>
            <w:vMerge w:val="continue"/>
          </w:tcPr>
          <w:p>
            <w:pPr>
              <w:spacing w:after="0"/>
              <w:rPr>
                <w:sz w:val="7"/>
                <w:szCs w:val="7"/>
                <w:color w:val="auto"/>
              </w:rPr>
            </w:pPr>
          </w:p>
        </w:tc>
        <w:tc>
          <w:tcPr>
            <w:tcW w:w="9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8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4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0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vMerge w:val="restart"/>
          </w:tcPr>
          <w:p>
            <w:pPr>
              <w:jc w:val="right"/>
              <w:ind w:right="219"/>
              <w:spacing w:after="0" w:line="217" w:lineRule="exact"/>
              <w:rPr>
                <w:sz w:val="20"/>
                <w:szCs w:val="20"/>
                <w:color w:val="auto"/>
              </w:rPr>
            </w:pPr>
            <w:r>
              <w:rPr>
                <w:rFonts w:ascii="Arial" w:cs="Arial" w:eastAsia="Arial" w:hAnsi="Arial"/>
                <w:sz w:val="22"/>
                <w:szCs w:val="22"/>
                <w:b w:val="1"/>
                <w:bCs w:val="1"/>
                <w:color w:val="auto"/>
              </w:rPr>
              <w:t>7</w:t>
            </w:r>
          </w:p>
        </w:tc>
        <w:tc>
          <w:tcPr>
            <w:tcW w:w="9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tcBorders>
              <w:right w:val="single" w:sz="8" w:color="auto"/>
            </w:tcBorders>
            <w:gridSpan w:val="2"/>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6,472,423</w:t>
            </w:r>
          </w:p>
        </w:tc>
        <w:tc>
          <w:tcPr>
            <w:tcW w:w="8200" w:type="dxa"/>
            <w:vAlign w:val="bottom"/>
            <w:vMerge w:val="restart"/>
          </w:tcPr>
          <w:p>
            <w:pPr>
              <w:jc w:val="right"/>
              <w:ind w:right="792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1180" w:type="dxa"/>
            <w:vAlign w:val="bottom"/>
            <w:tcBorders>
              <w:right w:val="single" w:sz="8" w:color="auto"/>
            </w:tcBorders>
          </w:tcPr>
          <w:p>
            <w:pPr>
              <w:jc w:val="center"/>
              <w:ind w:right="350"/>
              <w:spacing w:after="0" w:line="157" w:lineRule="exact"/>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18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700" w:type="dxa"/>
            <w:vAlign w:val="bottom"/>
            <w:tcBorders>
              <w:right w:val="single" w:sz="8" w:color="auto"/>
            </w:tcBorders>
            <w:vMerge w:val="restart"/>
          </w:tcPr>
          <w:p>
            <w:pPr>
              <w:jc w:val="right"/>
              <w:ind w:right="219"/>
              <w:spacing w:after="0"/>
              <w:rPr>
                <w:sz w:val="20"/>
                <w:szCs w:val="20"/>
                <w:color w:val="auto"/>
              </w:rPr>
            </w:pPr>
            <w:r>
              <w:rPr>
                <w:rFonts w:ascii="Arial" w:cs="Arial" w:eastAsia="Arial" w:hAnsi="Arial"/>
                <w:sz w:val="22"/>
                <w:szCs w:val="22"/>
                <w:b w:val="1"/>
                <w:bCs w:val="1"/>
                <w:color w:val="auto"/>
              </w:rPr>
              <w:t>8</w:t>
            </w:r>
          </w:p>
        </w:tc>
        <w:tc>
          <w:tcPr>
            <w:tcW w:w="9080" w:type="dxa"/>
            <w:vAlign w:val="bottom"/>
            <w:gridSpan w:val="2"/>
          </w:tcPr>
          <w:p>
            <w:pPr>
              <w:spacing w:after="0" w:line="198"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8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8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9</w:t>
            </w:r>
          </w:p>
        </w:tc>
        <w:tc>
          <w:tcPr>
            <w:tcW w:w="10960" w:type="dxa"/>
            <w:vAlign w:val="bottom"/>
            <w:gridSpan w:val="4"/>
          </w:tcPr>
          <w:p>
            <w:pPr>
              <w:jc w:val="right"/>
              <w:ind w:right="4065"/>
              <w:spacing w:after="0" w:line="201" w:lineRule="exact"/>
              <w:rPr>
                <w:sz w:val="20"/>
                <w:szCs w:val="20"/>
                <w:color w:val="auto"/>
              </w:rPr>
            </w:pPr>
            <w:r>
              <w:rPr>
                <w:rFonts w:ascii="Arial" w:cs="Arial" w:eastAsia="Arial" w:hAnsi="Arial"/>
                <w:sz w:val="18"/>
                <w:szCs w:val="18"/>
                <w:color w:val="auto"/>
                <w:w w:val="99"/>
              </w:rPr>
              <w:t>AGGREGATE AMOUNT BENEFICIALLY OWNED BY EACH REPORTING PERSON</w:t>
            </w:r>
          </w:p>
        </w:tc>
        <w:tc>
          <w:tcPr>
            <w:tcW w:w="0" w:type="dxa"/>
            <w:vAlign w:val="bottom"/>
          </w:tcPr>
          <w:p>
            <w:pPr>
              <w:spacing w:after="0"/>
              <w:rPr>
                <w:sz w:val="1"/>
                <w:szCs w:val="1"/>
                <w:color w:val="auto"/>
              </w:rPr>
            </w:pPr>
          </w:p>
        </w:tc>
      </w:tr>
      <w:tr>
        <w:trPr>
          <w:trHeight w:val="160"/>
        </w:trPr>
        <w:tc>
          <w:tcPr>
            <w:tcW w:w="460" w:type="dxa"/>
            <w:vAlign w:val="bottom"/>
            <w:vMerge w:val="continue"/>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6,472,423</w:t>
            </w:r>
          </w:p>
        </w:tc>
        <w:tc>
          <w:tcPr>
            <w:tcW w:w="700" w:type="dxa"/>
            <w:vAlign w:val="bottom"/>
            <w:vMerge w:val="restart"/>
          </w:tcPr>
          <w:p>
            <w:pPr>
              <w:jc w:val="right"/>
              <w:ind w:right="439"/>
              <w:spacing w:after="0"/>
              <w:rPr>
                <w:sz w:val="20"/>
                <w:szCs w:val="20"/>
                <w:color w:val="auto"/>
              </w:rPr>
            </w:pPr>
            <w:r>
              <w:rPr>
                <w:rFonts w:ascii="Arial" w:cs="Arial" w:eastAsia="Arial" w:hAnsi="Arial"/>
                <w:sz w:val="15"/>
                <w:szCs w:val="15"/>
                <w:b w:val="1"/>
                <w:bCs w:val="1"/>
                <w:color w:val="auto"/>
                <w:w w:val="76"/>
              </w:rPr>
              <w:t>(1)</w:t>
            </w:r>
          </w:p>
        </w:tc>
        <w:tc>
          <w:tcPr>
            <w:tcW w:w="8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20" w:hanging="462"/>
        <w:spacing w:after="0" w:line="184" w:lineRule="auto"/>
        <w:tabs>
          <w:tab w:leader="none" w:pos="720" w:val="left"/>
        </w:tabs>
        <w:numPr>
          <w:ilvl w:val="0"/>
          <w:numId w:val="12"/>
        </w:numPr>
        <w:rPr>
          <w:rFonts w:ascii="Arial" w:cs="Arial" w:eastAsia="Arial" w:hAnsi="Arial"/>
          <w:sz w:val="27"/>
          <w:szCs w:val="27"/>
          <w:b w:val="1"/>
          <w:bCs w:val="1"/>
          <w:color w:val="auto"/>
          <w:vertAlign w:val="subscript"/>
        </w:rPr>
      </w:pPr>
      <w:r>
        <w:rPr>
          <w:rFonts w:ascii="Arial" w:cs="Arial" w:eastAsia="Arial" w:hAnsi="Arial"/>
          <w:sz w:val="14"/>
          <w:szCs w:val="14"/>
          <w:color w:val="auto"/>
        </w:rPr>
        <w:t>CHECK BOX IF THE AGGREGATE AMOUNT IN ROW (9) EXCLUDES CERTAIN SHARES (See Instructions)</w:t>
      </w:r>
    </w:p>
    <w:p>
      <w:pPr>
        <w:ind w:left="860"/>
        <w:spacing w:after="0" w:line="181" w:lineRule="exact"/>
        <w:rPr>
          <w:rFonts w:ascii="Arial" w:cs="Arial" w:eastAsia="Arial" w:hAnsi="Arial"/>
          <w:sz w:val="27"/>
          <w:szCs w:val="27"/>
          <w:b w:val="1"/>
          <w:bCs w:val="1"/>
          <w:color w:val="auto"/>
          <w:vertAlign w:val="subscript"/>
        </w:rPr>
      </w:pPr>
      <w:r>
        <w:rPr>
          <w:rFonts w:ascii="MS PGothic" w:cs="MS PGothic" w:eastAsia="MS PGothic" w:hAnsi="MS PGothic"/>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9"/>
              </w:rPr>
              <w:t>11</w:t>
            </w:r>
          </w:p>
        </w:tc>
        <w:tc>
          <w:tcPr>
            <w:tcW w:w="10940" w:type="dxa"/>
            <w:vAlign w:val="bottom"/>
            <w:gridSpan w:val="2"/>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7"/>
              </w:rPr>
              <w:t>7.50%</w:t>
            </w:r>
          </w:p>
        </w:tc>
        <w:tc>
          <w:tcPr>
            <w:tcW w:w="10040" w:type="dxa"/>
            <w:vAlign w:val="bottom"/>
            <w:vMerge w:val="restart"/>
          </w:tcPr>
          <w:p>
            <w:pPr>
              <w:jc w:val="right"/>
              <w:ind w:right="9748"/>
              <w:spacing w:after="0"/>
              <w:rPr>
                <w:sz w:val="20"/>
                <w:szCs w:val="20"/>
                <w:color w:val="auto"/>
              </w:rPr>
            </w:pPr>
            <w:r>
              <w:rPr>
                <w:rFonts w:ascii="Arial" w:cs="Arial" w:eastAsia="Arial" w:hAnsi="Arial"/>
                <w:sz w:val="15"/>
                <w:szCs w:val="15"/>
                <w:b w:val="1"/>
                <w:bCs w:val="1"/>
                <w:color w:val="auto"/>
                <w:w w:val="97"/>
              </w:rPr>
              <w:t>(2)</w:t>
            </w:r>
          </w:p>
        </w:tc>
        <w:tc>
          <w:tcPr>
            <w:tcW w:w="0" w:type="dxa"/>
            <w:vAlign w:val="bottom"/>
          </w:tcPr>
          <w:p>
            <w:pPr>
              <w:spacing w:after="0"/>
              <w:rPr>
                <w:sz w:val="1"/>
                <w:szCs w:val="1"/>
                <w:color w:val="auto"/>
              </w:rPr>
            </w:pPr>
          </w:p>
        </w:tc>
      </w:tr>
      <w:tr>
        <w:trPr>
          <w:trHeight w:val="119"/>
        </w:trPr>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12</w:t>
            </w:r>
          </w:p>
        </w:tc>
        <w:tc>
          <w:tcPr>
            <w:tcW w:w="10940" w:type="dxa"/>
            <w:vAlign w:val="bottom"/>
            <w:gridSpan w:val="2"/>
          </w:tcPr>
          <w:p>
            <w:pPr>
              <w:ind w:left="240"/>
              <w:spacing w:after="0" w:line="198"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OO</w:t>
            </w:r>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89"/>
              </w:rPr>
              <w:t>The number includes 6,472,423 shares of Common Stock of the Issuer. The number excludes: (i) 6,683,860 shares of Common Stock issuable upon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1"/>
              </w:rPr>
              <w:t>exercise of 6,683,860 Pre-Funded Warrants, and (ii) 6,578,142 shares of Common Stock issuable upon the exercise of 6,578,142 Common Warrants.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1"/>
              </w:rPr>
              <w:t>The exercise of each warrant is subject to a beneficial ownership limitation of 9.99% of the Issuer’s outstanding shares of Common Stock. The shares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of Common Stock, the Pre-Funded Warrants and Common Warrants are held of record by Vivo Opportunity Fund, L.P. Vivo Opportunity, LLC is the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general partner of Vivo Opportunity Fund, L.P.</w:t>
            </w:r>
          </w:p>
        </w:tc>
        <w:tc>
          <w:tcPr>
            <w:tcW w:w="0" w:type="dxa"/>
            <w:vAlign w:val="bottom"/>
          </w:tcPr>
          <w:p>
            <w:pPr>
              <w:spacing w:after="0"/>
              <w:rPr>
                <w:sz w:val="1"/>
                <w:szCs w:val="1"/>
                <w:color w:val="auto"/>
              </w:rPr>
            </w:pPr>
          </w:p>
        </w:tc>
      </w:tr>
      <w:tr>
        <w:trPr>
          <w:trHeight w:val="459"/>
        </w:trPr>
        <w:tc>
          <w:tcPr>
            <w:tcW w:w="22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Based on 86,325,547 shares of Common Stock of the Issuer outstanding as of the Reporting Date.</w:t>
            </w:r>
          </w:p>
        </w:tc>
        <w:tc>
          <w:tcPr>
            <w:tcW w:w="0" w:type="dxa"/>
            <w:vAlign w:val="bottom"/>
          </w:tcPr>
          <w:p>
            <w:pPr>
              <w:spacing w:after="0"/>
              <w:rPr>
                <w:sz w:val="1"/>
                <w:szCs w:val="1"/>
                <w:color w:val="auto"/>
              </w:rPr>
            </w:pPr>
          </w:p>
        </w:tc>
      </w:tr>
      <w:tr>
        <w:trPr>
          <w:trHeight w:val="682"/>
        </w:trPr>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jc w:val="right"/>
              <w:ind w:right="5568"/>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391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ind w:left="720" w:hanging="408"/>
        <w:spacing w:after="0" w:line="182" w:lineRule="auto"/>
        <w:tabs>
          <w:tab w:leader="none" w:pos="720" w:val="left"/>
        </w:tabs>
        <w:numPr>
          <w:ilvl w:val="0"/>
          <w:numId w:val="13"/>
        </w:numPr>
        <w:rPr>
          <w:rFonts w:ascii="Arial" w:cs="Arial" w:eastAsia="Arial" w:hAnsi="Arial"/>
          <w:sz w:val="31"/>
          <w:szCs w:val="31"/>
          <w:b w:val="1"/>
          <w:bCs w:val="1"/>
          <w:color w:val="auto"/>
          <w:vertAlign w:val="subscript"/>
        </w:rPr>
      </w:pPr>
      <w:r>
        <w:rPr>
          <w:rFonts w:ascii="Arial" w:cs="Arial" w:eastAsia="Arial" w:hAnsi="Arial"/>
          <w:sz w:val="15"/>
          <w:szCs w:val="15"/>
          <w:color w:val="auto"/>
        </w:rPr>
        <w:t>NAMES OF REPORTING PERSONS</w:t>
      </w:r>
    </w:p>
    <w:p>
      <w:pPr>
        <w:spacing w:after="0" w:line="1" w:lineRule="exact"/>
        <w:rPr>
          <w:rFonts w:ascii="Arial" w:cs="Arial" w:eastAsia="Arial" w:hAnsi="Arial"/>
          <w:sz w:val="31"/>
          <w:szCs w:val="31"/>
          <w:b w:val="1"/>
          <w:bCs w:val="1"/>
          <w:color w:val="auto"/>
          <w:vertAlign w:val="subscript"/>
        </w:rPr>
      </w:pPr>
    </w:p>
    <w:p>
      <w:pPr>
        <w:ind w:left="860"/>
        <w:spacing w:after="0"/>
        <w:rPr>
          <w:rFonts w:ascii="Arial" w:cs="Arial" w:eastAsia="Arial" w:hAnsi="Arial"/>
          <w:sz w:val="31"/>
          <w:szCs w:val="31"/>
          <w:b w:val="1"/>
          <w:bCs w:val="1"/>
          <w:color w:val="auto"/>
          <w:vertAlign w:val="subscript"/>
        </w:rPr>
      </w:pPr>
      <w:r>
        <w:rPr>
          <w:rFonts w:ascii="Arial" w:cs="Arial" w:eastAsia="Arial" w:hAnsi="Arial"/>
          <w:sz w:val="18"/>
          <w:szCs w:val="18"/>
          <w:b w:val="1"/>
          <w:bCs w:val="1"/>
          <w:color w:val="auto"/>
        </w:rPr>
        <w:t>Vivo Capital VIII, LLC</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CHECK THE APPROPRIATE BOX IF A MEMBER OF A GROUP (See Instructions)</w:t>
      </w:r>
    </w:p>
    <w:p>
      <w:pPr>
        <w:ind w:left="860" w:hanging="548"/>
        <w:spacing w:after="0" w:line="241" w:lineRule="exact"/>
        <w:tabs>
          <w:tab w:leader="none" w:pos="860" w:val="left"/>
        </w:tabs>
        <w:numPr>
          <w:ilvl w:val="0"/>
          <w:numId w:val="14"/>
        </w:numPr>
        <w:rPr>
          <w:rFonts w:ascii="Arial" w:cs="Arial" w:eastAsia="Arial" w:hAnsi="Arial"/>
          <w:sz w:val="22"/>
          <w:szCs w:val="2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860"/>
        <w:spacing w:after="0" w:line="207" w:lineRule="exact"/>
        <w:rPr>
          <w:rFonts w:ascii="Arial" w:cs="Arial" w:eastAsia="Arial" w:hAnsi="Arial"/>
          <w:sz w:val="22"/>
          <w:szCs w:val="22"/>
          <w:b w:val="1"/>
          <w:bCs w:val="1"/>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720" w:hanging="408"/>
        <w:spacing w:after="0" w:line="180" w:lineRule="auto"/>
        <w:tabs>
          <w:tab w:leader="none" w:pos="720" w:val="left"/>
        </w:tabs>
        <w:numPr>
          <w:ilvl w:val="0"/>
          <w:numId w:val="15"/>
        </w:numPr>
        <w:rPr>
          <w:rFonts w:ascii="Arial" w:cs="Arial" w:eastAsia="Arial" w:hAnsi="Arial"/>
          <w:sz w:val="29"/>
          <w:szCs w:val="29"/>
          <w:b w:val="1"/>
          <w:bCs w:val="1"/>
          <w:color w:val="auto"/>
          <w:vertAlign w:val="subscript"/>
        </w:rPr>
      </w:pPr>
      <w:r>
        <w:rPr>
          <w:rFonts w:ascii="Arial" w:cs="Arial" w:eastAsia="Arial" w:hAnsi="Arial"/>
          <w:sz w:val="15"/>
          <w:szCs w:val="15"/>
          <w:color w:val="auto"/>
        </w:rPr>
        <w:t>SEC USE ONLY</w:t>
      </w:r>
    </w:p>
    <w:p>
      <w:pPr>
        <w:ind w:left="720" w:hanging="408"/>
        <w:spacing w:after="0" w:line="223" w:lineRule="auto"/>
        <w:tabs>
          <w:tab w:leader="none" w:pos="720" w:val="left"/>
        </w:tabs>
        <w:numPr>
          <w:ilvl w:val="0"/>
          <w:numId w:val="16"/>
        </w:numPr>
        <w:rPr>
          <w:rFonts w:ascii="Arial" w:cs="Arial" w:eastAsia="Arial" w:hAnsi="Arial"/>
          <w:sz w:val="43"/>
          <w:szCs w:val="43"/>
          <w:b w:val="1"/>
          <w:bCs w:val="1"/>
          <w:color w:val="auto"/>
          <w:vertAlign w:val="subscript"/>
        </w:rPr>
      </w:pPr>
      <w:r>
        <w:rPr>
          <w:rFonts w:ascii="Arial" w:cs="Arial" w:eastAsia="Arial" w:hAnsi="Arial"/>
          <w:sz w:val="18"/>
          <w:szCs w:val="18"/>
          <w:color w:val="auto"/>
        </w:rPr>
        <w:t>CITIZENSHIP OR PLACE OF ORGANIZATION</w:t>
      </w:r>
    </w:p>
    <w:p>
      <w:pPr>
        <w:spacing w:after="0" w:line="1" w:lineRule="exact"/>
        <w:rPr>
          <w:rFonts w:ascii="Arial" w:cs="Arial" w:eastAsia="Arial" w:hAnsi="Arial"/>
          <w:sz w:val="43"/>
          <w:szCs w:val="43"/>
          <w:b w:val="1"/>
          <w:bCs w:val="1"/>
          <w:color w:val="auto"/>
          <w:vertAlign w:val="subscript"/>
        </w:rPr>
      </w:pPr>
    </w:p>
    <w:p>
      <w:pPr>
        <w:ind w:left="860"/>
        <w:spacing w:after="0"/>
        <w:rPr>
          <w:rFonts w:ascii="Arial" w:cs="Arial" w:eastAsia="Arial" w:hAnsi="Arial"/>
          <w:sz w:val="43"/>
          <w:szCs w:val="43"/>
          <w:b w:val="1"/>
          <w:bCs w:val="1"/>
          <w:color w:val="auto"/>
          <w:vertAlign w:val="subscript"/>
        </w:rPr>
      </w:pPr>
      <w:r>
        <w:rPr>
          <w:rFonts w:ascii="Arial" w:cs="Arial" w:eastAsia="Arial" w:hAnsi="Arial"/>
          <w:sz w:val="18"/>
          <w:szCs w:val="18"/>
          <w:b w:val="1"/>
          <w:bCs w:val="1"/>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80" w:type="dxa"/>
            <w:vAlign w:val="bottom"/>
            <w:tcBorders>
              <w:top w:val="single" w:sz="8" w:color="auto"/>
            </w:tcBorders>
            <w:gridSpan w:val="2"/>
            <w:vMerge w:val="restart"/>
          </w:tcPr>
          <w:p>
            <w:pPr>
              <w:jc w:val="center"/>
              <w:ind w:left="66"/>
              <w:spacing w:after="0"/>
              <w:rPr>
                <w:sz w:val="20"/>
                <w:szCs w:val="20"/>
                <w:color w:val="auto"/>
              </w:rPr>
            </w:pPr>
            <w:r>
              <w:rPr>
                <w:rFonts w:ascii="Arial" w:cs="Arial" w:eastAsia="Arial" w:hAnsi="Arial"/>
                <w:sz w:val="18"/>
                <w:szCs w:val="18"/>
                <w:color w:val="auto"/>
                <w:w w:val="96"/>
              </w:rPr>
              <w:t>NUMBER OF</w:t>
            </w:r>
          </w:p>
        </w:tc>
        <w:tc>
          <w:tcPr>
            <w:tcW w:w="16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right w:val="single" w:sz="8" w:color="auto"/>
            </w:tcBorders>
            <w:vMerge w:val="restart"/>
          </w:tcPr>
          <w:p>
            <w:pPr>
              <w:jc w:val="right"/>
              <w:ind w:right="212"/>
              <w:spacing w:after="0"/>
              <w:rPr>
                <w:sz w:val="20"/>
                <w:szCs w:val="20"/>
                <w:color w:val="auto"/>
              </w:rPr>
            </w:pPr>
            <w:r>
              <w:rPr>
                <w:rFonts w:ascii="Arial" w:cs="Arial" w:eastAsia="Arial" w:hAnsi="Arial"/>
                <w:sz w:val="22"/>
                <w:szCs w:val="22"/>
                <w:b w:val="1"/>
                <w:bCs w:val="1"/>
                <w:color w:val="auto"/>
              </w:rPr>
              <w:t>5</w:t>
            </w:r>
          </w:p>
        </w:tc>
        <w:tc>
          <w:tcPr>
            <w:tcW w:w="9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0"/>
        </w:trPr>
        <w:tc>
          <w:tcPr>
            <w:tcW w:w="1480" w:type="dxa"/>
            <w:vAlign w:val="bottom"/>
            <w:gridSpan w:val="2"/>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7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707,618</w:t>
            </w:r>
          </w:p>
        </w:tc>
        <w:tc>
          <w:tcPr>
            <w:tcW w:w="8340" w:type="dxa"/>
            <w:vAlign w:val="bottom"/>
            <w:vMerge w:val="restart"/>
          </w:tcPr>
          <w:p>
            <w:pPr>
              <w:jc w:val="right"/>
              <w:ind w:right="80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58"/>
        </w:trPr>
        <w:tc>
          <w:tcPr>
            <w:tcW w:w="148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740" w:type="dxa"/>
            <w:vAlign w:val="bottom"/>
            <w:vMerge w:val="continue"/>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020" w:type="dxa"/>
            <w:vAlign w:val="bottom"/>
            <w:vMerge w:val="restart"/>
          </w:tcPr>
          <w:p>
            <w:pPr>
              <w:jc w:val="center"/>
              <w:ind w:right="190"/>
              <w:spacing w:after="0" w:line="189" w:lineRule="exact"/>
              <w:rPr>
                <w:sz w:val="20"/>
                <w:szCs w:val="20"/>
                <w:color w:val="auto"/>
              </w:rPr>
            </w:pPr>
            <w:r>
              <w:rPr>
                <w:rFonts w:ascii="Arial" w:cs="Arial" w:eastAsia="Arial" w:hAnsi="Arial"/>
                <w:sz w:val="18"/>
                <w:szCs w:val="18"/>
                <w:color w:val="auto"/>
                <w:w w:val="94"/>
              </w:rPr>
              <w:t>SHARES</w:t>
            </w:r>
          </w:p>
        </w:tc>
        <w:tc>
          <w:tcPr>
            <w:tcW w:w="1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b w:val="1"/>
                <w:bCs w:val="1"/>
                <w:color w:val="auto"/>
              </w:rPr>
              <w:t>6</w:t>
            </w:r>
          </w:p>
        </w:tc>
        <w:tc>
          <w:tcPr>
            <w:tcW w:w="9080" w:type="dxa"/>
            <w:vAlign w:val="bottom"/>
            <w:gridSpan w:val="2"/>
            <w:vMerge w:val="restart"/>
          </w:tcPr>
          <w:p>
            <w:pPr>
              <w:spacing w:after="0" w:line="19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1"/>
        </w:trPr>
        <w:tc>
          <w:tcPr>
            <w:tcW w:w="1480" w:type="dxa"/>
            <w:vAlign w:val="bottom"/>
            <w:gridSpan w:val="2"/>
            <w:vMerge w:val="restart"/>
          </w:tcPr>
          <w:p>
            <w:pPr>
              <w:jc w:val="center"/>
              <w:ind w:left="66"/>
              <w:spacing w:after="0"/>
              <w:rPr>
                <w:sz w:val="20"/>
                <w:szCs w:val="20"/>
                <w:color w:val="auto"/>
              </w:rPr>
            </w:pPr>
            <w:r>
              <w:rPr>
                <w:rFonts w:ascii="Arial" w:cs="Arial" w:eastAsia="Arial" w:hAnsi="Arial"/>
                <w:sz w:val="18"/>
                <w:szCs w:val="18"/>
                <w:color w:val="auto"/>
              </w:rPr>
              <w:t>BENEFICIALLY</w:t>
            </w:r>
          </w:p>
        </w:tc>
        <w:tc>
          <w:tcPr>
            <w:tcW w:w="1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9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80" w:type="dxa"/>
            <w:vAlign w:val="bottom"/>
            <w:gridSpan w:val="2"/>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8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4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908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480" w:type="dxa"/>
            <w:vAlign w:val="bottom"/>
            <w:gridSpan w:val="2"/>
            <w:vMerge w:val="restart"/>
          </w:tcPr>
          <w:p>
            <w:pPr>
              <w:jc w:val="center"/>
              <w:ind w:left="66"/>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212"/>
              <w:spacing w:after="0" w:line="217" w:lineRule="exact"/>
              <w:rPr>
                <w:sz w:val="20"/>
                <w:szCs w:val="20"/>
                <w:color w:val="auto"/>
              </w:rPr>
            </w:pPr>
            <w:r>
              <w:rPr>
                <w:rFonts w:ascii="Arial" w:cs="Arial" w:eastAsia="Arial" w:hAnsi="Arial"/>
                <w:sz w:val="22"/>
                <w:szCs w:val="22"/>
                <w:b w:val="1"/>
                <w:bCs w:val="1"/>
                <w:color w:val="auto"/>
              </w:rPr>
              <w:t>7</w:t>
            </w:r>
          </w:p>
        </w:tc>
        <w:tc>
          <w:tcPr>
            <w:tcW w:w="9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80" w:type="dxa"/>
            <w:vAlign w:val="bottom"/>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7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89"/>
              </w:rPr>
              <w:t>707,618</w:t>
            </w:r>
          </w:p>
        </w:tc>
        <w:tc>
          <w:tcPr>
            <w:tcW w:w="8340" w:type="dxa"/>
            <w:vAlign w:val="bottom"/>
            <w:vMerge w:val="restart"/>
          </w:tcPr>
          <w:p>
            <w:pPr>
              <w:jc w:val="right"/>
              <w:ind w:right="80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1020" w:type="dxa"/>
            <w:vAlign w:val="bottom"/>
          </w:tcPr>
          <w:p>
            <w:pPr>
              <w:jc w:val="center"/>
              <w:ind w:right="190"/>
              <w:spacing w:after="0" w:line="183" w:lineRule="exact"/>
              <w:rPr>
                <w:sz w:val="20"/>
                <w:szCs w:val="20"/>
                <w:color w:val="auto"/>
              </w:rPr>
            </w:pPr>
            <w:r>
              <w:rPr>
                <w:rFonts w:ascii="Arial" w:cs="Arial" w:eastAsia="Arial" w:hAnsi="Arial"/>
                <w:sz w:val="18"/>
                <w:szCs w:val="18"/>
                <w:color w:val="auto"/>
                <w:w w:val="92"/>
              </w:rPr>
              <w:t>PERSON</w:t>
            </w:r>
          </w:p>
        </w:tc>
        <w:tc>
          <w:tcPr>
            <w:tcW w:w="16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2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WITH</w:t>
            </w:r>
          </w:p>
        </w:tc>
        <w:tc>
          <w:tcPr>
            <w:tcW w:w="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22"/>
                <w:szCs w:val="22"/>
                <w:b w:val="1"/>
                <w:bCs w:val="1"/>
                <w:color w:val="auto"/>
              </w:rPr>
              <w:t>8</w:t>
            </w:r>
          </w:p>
        </w:tc>
        <w:tc>
          <w:tcPr>
            <w:tcW w:w="908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4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gridSpan w:val="2"/>
          </w:tcPr>
          <w:p>
            <w:pPr>
              <w:spacing w:after="0"/>
              <w:rPr>
                <w:sz w:val="7"/>
                <w:szCs w:val="7"/>
                <w:color w:val="auto"/>
              </w:rPr>
            </w:pPr>
          </w:p>
        </w:tc>
        <w:tc>
          <w:tcPr>
            <w:tcW w:w="700" w:type="dxa"/>
            <w:vAlign w:val="bottom"/>
            <w:tcBorders>
              <w:bottom w:val="single" w:sz="8" w:color="auto"/>
              <w:right w:val="single" w:sz="8" w:color="auto"/>
            </w:tcBorders>
            <w:gridSpan w:val="2"/>
          </w:tcPr>
          <w:p>
            <w:pPr>
              <w:spacing w:after="0"/>
              <w:rPr>
                <w:sz w:val="7"/>
                <w:szCs w:val="7"/>
                <w:color w:val="auto"/>
              </w:rPr>
            </w:pPr>
          </w:p>
        </w:tc>
        <w:tc>
          <w:tcPr>
            <w:tcW w:w="90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9</w:t>
            </w:r>
          </w:p>
        </w:tc>
        <w:tc>
          <w:tcPr>
            <w:tcW w:w="10960" w:type="dxa"/>
            <w:vAlign w:val="bottom"/>
            <w:gridSpan w:val="6"/>
          </w:tcPr>
          <w:p>
            <w:pPr>
              <w:jc w:val="right"/>
              <w:ind w:right="4065"/>
              <w:spacing w:after="0" w:line="201" w:lineRule="exact"/>
              <w:rPr>
                <w:sz w:val="20"/>
                <w:szCs w:val="20"/>
                <w:color w:val="auto"/>
              </w:rPr>
            </w:pPr>
            <w:r>
              <w:rPr>
                <w:rFonts w:ascii="Arial" w:cs="Arial" w:eastAsia="Arial" w:hAnsi="Arial"/>
                <w:sz w:val="18"/>
                <w:szCs w:val="18"/>
                <w:color w:val="auto"/>
                <w:w w:val="99"/>
              </w:rPr>
              <w:t>AGGREGATE AMOUNT BENEFICIALLY OWNED BY EACH REPORTING PERSON</w:t>
            </w:r>
          </w:p>
        </w:tc>
        <w:tc>
          <w:tcPr>
            <w:tcW w:w="0" w:type="dxa"/>
            <w:vAlign w:val="bottom"/>
          </w:tcPr>
          <w:p>
            <w:pPr>
              <w:spacing w:after="0"/>
              <w:rPr>
                <w:sz w:val="1"/>
                <w:szCs w:val="1"/>
                <w:color w:val="auto"/>
              </w:rPr>
            </w:pPr>
          </w:p>
        </w:tc>
      </w:tr>
      <w:tr>
        <w:trPr>
          <w:trHeight w:val="160"/>
        </w:trPr>
        <w:tc>
          <w:tcPr>
            <w:tcW w:w="460" w:type="dxa"/>
            <w:vAlign w:val="bottom"/>
            <w:vMerge w:val="continue"/>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707,618</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w w:val="97"/>
              </w:rPr>
              <w:t>(1)</w:t>
            </w: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20" w:hanging="462"/>
        <w:spacing w:after="0" w:line="184" w:lineRule="auto"/>
        <w:tabs>
          <w:tab w:leader="none" w:pos="720" w:val="left"/>
        </w:tabs>
        <w:numPr>
          <w:ilvl w:val="0"/>
          <w:numId w:val="17"/>
        </w:numPr>
        <w:rPr>
          <w:rFonts w:ascii="Arial" w:cs="Arial" w:eastAsia="Arial" w:hAnsi="Arial"/>
          <w:sz w:val="27"/>
          <w:szCs w:val="27"/>
          <w:b w:val="1"/>
          <w:bCs w:val="1"/>
          <w:color w:val="auto"/>
          <w:vertAlign w:val="subscript"/>
        </w:rPr>
      </w:pPr>
      <w:r>
        <w:rPr>
          <w:rFonts w:ascii="Arial" w:cs="Arial" w:eastAsia="Arial" w:hAnsi="Arial"/>
          <w:sz w:val="14"/>
          <w:szCs w:val="14"/>
          <w:color w:val="auto"/>
        </w:rPr>
        <w:t>CHECK BOX IF THE AGGREGATE AMOUNT IN ROW (9) EXCLUDES CERTAIN SHARES (See Instructions)</w:t>
      </w:r>
    </w:p>
    <w:p>
      <w:pPr>
        <w:ind w:left="860"/>
        <w:spacing w:after="0" w:line="181" w:lineRule="exact"/>
        <w:rPr>
          <w:rFonts w:ascii="Arial" w:cs="Arial" w:eastAsia="Arial" w:hAnsi="Arial"/>
          <w:sz w:val="27"/>
          <w:szCs w:val="27"/>
          <w:b w:val="1"/>
          <w:bCs w:val="1"/>
          <w:color w:val="auto"/>
          <w:vertAlign w:val="subscript"/>
        </w:rPr>
      </w:pPr>
      <w:r>
        <w:rPr>
          <w:rFonts w:ascii="MS PGothic" w:cs="MS PGothic" w:eastAsia="MS PGothic" w:hAnsi="MS PGothic"/>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9"/>
              </w:rPr>
              <w:t>11</w:t>
            </w:r>
          </w:p>
        </w:tc>
        <w:tc>
          <w:tcPr>
            <w:tcW w:w="10940" w:type="dxa"/>
            <w:vAlign w:val="bottom"/>
            <w:gridSpan w:val="2"/>
          </w:tcPr>
          <w:p>
            <w:pPr>
              <w:ind w:left="2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7"/>
              </w:rPr>
              <w:t>0.82%</w:t>
            </w:r>
          </w:p>
        </w:tc>
        <w:tc>
          <w:tcPr>
            <w:tcW w:w="10040" w:type="dxa"/>
            <w:vAlign w:val="bottom"/>
            <w:vMerge w:val="restart"/>
          </w:tcPr>
          <w:p>
            <w:pPr>
              <w:jc w:val="right"/>
              <w:ind w:right="9748"/>
              <w:spacing w:after="0"/>
              <w:rPr>
                <w:sz w:val="20"/>
                <w:szCs w:val="20"/>
                <w:color w:val="auto"/>
              </w:rPr>
            </w:pPr>
            <w:r>
              <w:rPr>
                <w:rFonts w:ascii="Arial" w:cs="Arial" w:eastAsia="Arial" w:hAnsi="Arial"/>
                <w:sz w:val="15"/>
                <w:szCs w:val="15"/>
                <w:b w:val="1"/>
                <w:bCs w:val="1"/>
                <w:color w:val="auto"/>
                <w:w w:val="97"/>
              </w:rPr>
              <w:t>(2)</w:t>
            </w:r>
          </w:p>
        </w:tc>
        <w:tc>
          <w:tcPr>
            <w:tcW w:w="0" w:type="dxa"/>
            <w:vAlign w:val="bottom"/>
          </w:tcPr>
          <w:p>
            <w:pPr>
              <w:spacing w:after="0"/>
              <w:rPr>
                <w:sz w:val="1"/>
                <w:szCs w:val="1"/>
                <w:color w:val="auto"/>
              </w:rPr>
            </w:pPr>
          </w:p>
        </w:tc>
      </w:tr>
      <w:tr>
        <w:trPr>
          <w:trHeight w:val="119"/>
        </w:trPr>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12</w:t>
            </w:r>
          </w:p>
        </w:tc>
        <w:tc>
          <w:tcPr>
            <w:tcW w:w="10940" w:type="dxa"/>
            <w:vAlign w:val="bottom"/>
            <w:gridSpan w:val="2"/>
          </w:tcPr>
          <w:p>
            <w:pPr>
              <w:ind w:left="240"/>
              <w:spacing w:after="0" w:line="198"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OO</w:t>
            </w:r>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The number includes 707,618 shares of Common Stock of the Issuer. The number excludes: (i) 166,843 shares of Common Stock issuable upon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exercise of 166,843 Pre-Funded Warrants, and (ii) 164,203 shares of Common Stock issuable upon the exercise of 164,203 Common Warrants.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exercise of each warrant is subject to a beneficial ownership limitation of 9.99% of the Issuer’s outstanding shares of Common Stock. The shares of</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w w:val="92"/>
              </w:rPr>
              <w:t>Common Stock, Pre-Funded Warrants and Common Warrants are held of record by Vivo Capital Fund VIII, L.P. and Vivo Capital Surplus Fund VIII,</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L.P. Vivo Capital VIII, LLC is the general partner of Vivo Capital Fund VIII, L.P. and Vivo Capital Surplus Fund VIII, L.P.</w:t>
            </w:r>
          </w:p>
        </w:tc>
        <w:tc>
          <w:tcPr>
            <w:tcW w:w="0" w:type="dxa"/>
            <w:vAlign w:val="bottom"/>
          </w:tcPr>
          <w:p>
            <w:pPr>
              <w:spacing w:after="0"/>
              <w:rPr>
                <w:sz w:val="1"/>
                <w:szCs w:val="1"/>
                <w:color w:val="auto"/>
              </w:rPr>
            </w:pPr>
          </w:p>
        </w:tc>
      </w:tr>
      <w:tr>
        <w:trPr>
          <w:trHeight w:val="459"/>
        </w:trPr>
        <w:tc>
          <w:tcPr>
            <w:tcW w:w="22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260" w:type="dxa"/>
            <w:vAlign w:val="bottom"/>
          </w:tcPr>
          <w:p>
            <w:pPr>
              <w:spacing w:after="0"/>
              <w:rPr>
                <w:sz w:val="24"/>
                <w:szCs w:val="24"/>
                <w:color w:val="auto"/>
              </w:rPr>
            </w:pPr>
          </w:p>
        </w:tc>
        <w:tc>
          <w:tcPr>
            <w:tcW w:w="10940" w:type="dxa"/>
            <w:vAlign w:val="bottom"/>
            <w:gridSpan w:val="2"/>
          </w:tcPr>
          <w:p>
            <w:pPr>
              <w:ind w:left="20"/>
              <w:spacing w:after="0"/>
              <w:rPr>
                <w:sz w:val="20"/>
                <w:szCs w:val="20"/>
                <w:color w:val="auto"/>
              </w:rPr>
            </w:pPr>
            <w:r>
              <w:rPr>
                <w:rFonts w:ascii="Arial" w:cs="Arial" w:eastAsia="Arial" w:hAnsi="Arial"/>
                <w:sz w:val="18"/>
                <w:szCs w:val="18"/>
                <w:color w:val="auto"/>
              </w:rPr>
              <w:t>Based on 86,325,547 shares of Common Stock of the Issuer outstanding as of the Reporting Date.</w:t>
            </w:r>
          </w:p>
        </w:tc>
        <w:tc>
          <w:tcPr>
            <w:tcW w:w="0" w:type="dxa"/>
            <w:vAlign w:val="bottom"/>
          </w:tcPr>
          <w:p>
            <w:pPr>
              <w:spacing w:after="0"/>
              <w:rPr>
                <w:sz w:val="1"/>
                <w:szCs w:val="1"/>
                <w:color w:val="auto"/>
              </w:rPr>
            </w:pPr>
          </w:p>
        </w:tc>
      </w:tr>
      <w:tr>
        <w:trPr>
          <w:trHeight w:val="682"/>
        </w:trPr>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jc w:val="right"/>
              <w:ind w:right="5568"/>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Selecta Biosciences, Inc.</w:t>
      </w:r>
    </w:p>
    <w:p>
      <w:pPr>
        <w:spacing w:after="0" w:line="221"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480 Arsenal Way, Watertown, MA 02472</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56" w:lineRule="exact"/>
        <w:rPr>
          <w:sz w:val="20"/>
          <w:szCs w:val="20"/>
          <w:color w:val="auto"/>
        </w:rPr>
      </w:pPr>
    </w:p>
    <w:p>
      <w:pPr>
        <w:ind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Schedule 13G is filed jointly by Vivo Capital IX, LLC, Vivo Opportunity, LLC and Vivo Capital VIII, LLC. Vivo Capital IX, LLC, Vivo Opportunity, LLC and Vivo Capital VIII, LLC have entered into a Joint Filing Agreement, a copy of which is filed with this Schedule 13G as </w:t>
      </w:r>
      <w:hyperlink w:anchor="page9">
        <w:r>
          <w:rPr>
            <w:rFonts w:ascii="Arial" w:cs="Arial" w:eastAsia="Arial" w:hAnsi="Arial"/>
            <w:sz w:val="18"/>
            <w:szCs w:val="18"/>
            <w:u w:val="single" w:color="auto"/>
            <w:color w:val="0000EE"/>
          </w:rPr>
          <w:t>Exhibit 99.1</w:t>
        </w:r>
      </w:hyperlink>
      <w:r>
        <w:rPr>
          <w:rFonts w:ascii="Arial" w:cs="Arial" w:eastAsia="Arial" w:hAnsi="Arial"/>
          <w:sz w:val="18"/>
          <w:szCs w:val="18"/>
          <w:color w:val="auto"/>
        </w:rPr>
        <w:t>, pursuant to which they have agreed to file this Schedule 13G jointly in accordance with the provisions of Rule 13d-1(k) of the Securities Exchange Act of 1934, as amended.</w:t>
      </w:r>
    </w:p>
    <w:p>
      <w:pPr>
        <w:spacing w:after="0" w:line="183"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48" w:lineRule="exact"/>
        <w:rPr>
          <w:sz w:val="20"/>
          <w:szCs w:val="20"/>
          <w:color w:val="auto"/>
        </w:rPr>
      </w:pPr>
    </w:p>
    <w:p>
      <w:pPr>
        <w:ind w:left="1140" w:hanging="484"/>
        <w:spacing w:after="0"/>
        <w:tabs>
          <w:tab w:leader="none" w:pos="11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Each of Vivo Capital IX, LLC, Vivo Opportunity, LLC and Vivo Capital VIII,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$0.0001 per share</w:t>
      </w:r>
    </w:p>
    <w:p>
      <w:pPr>
        <w:spacing w:after="0" w:line="248" w:lineRule="exact"/>
        <w:rPr>
          <w:sz w:val="20"/>
          <w:szCs w:val="20"/>
          <w:color w:val="auto"/>
        </w:rPr>
      </w:pPr>
    </w:p>
    <w:p>
      <w:pPr>
        <w:ind w:left="1140" w:hanging="484"/>
        <w:spacing w:after="0"/>
        <w:tabs>
          <w:tab w:leader="none" w:pos="11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816212104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7" w:lineRule="exact"/>
        <w:rPr>
          <w:sz w:val="20"/>
          <w:szCs w:val="20"/>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260" w:hanging="604"/>
        <w:spacing w:after="0" w:line="184" w:lineRule="exact"/>
        <w:tabs>
          <w:tab w:leader="none" w:pos="1260" w:val="left"/>
        </w:tabs>
        <w:numPr>
          <w:ilvl w:val="0"/>
          <w:numId w:val="2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260" w:hanging="604"/>
        <w:spacing w:after="0" w:line="207" w:lineRule="exact"/>
        <w:tabs>
          <w:tab w:leader="none" w:pos="1260"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140" w:hanging="484"/>
        <w:spacing w:after="0"/>
        <w:tabs>
          <w:tab w:leader="none" w:pos="114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1,444,246 shares of Common Stock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6,472,423 shares of Common Stock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(3) Vivo Capital VIII, LLC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707,618 shares of Common Stock are held of record by Vivo Capital Fund VIII, L.P. and Vivo Capital Surplus Fund VIII, L.P. The voting members of Vivo Capital VIII, LLC are Frank Kung, Edgar Engleman, Albert Cha, Shan Fu and Chen Yu, none of whom has individual voting or investment power with respect to these shares and each of whom disclaims beneficial ownership of such shares.</w:t>
      </w:r>
    </w:p>
    <w:p>
      <w:pPr>
        <w:spacing w:after="0" w:line="177"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1.67%</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 7.50%</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VIII, LLC: 0.82%</w:t>
      </w:r>
    </w:p>
    <w:p>
      <w:pPr>
        <w:spacing w:after="0" w:line="207"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ind w:left="1620" w:hanging="383"/>
        <w:spacing w:after="0"/>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IX, LLC: 1,444,246 shares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Opportunity, LLC: 6,472,423 shares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VIII, LLC: 707,618 shares</w:t>
      </w:r>
    </w:p>
    <w:p>
      <w:pPr>
        <w:spacing w:after="0" w:line="210" w:lineRule="exact"/>
        <w:rPr>
          <w:rFonts w:ascii="Arial" w:cs="Arial" w:eastAsia="Arial" w:hAnsi="Arial"/>
          <w:sz w:val="18"/>
          <w:szCs w:val="18"/>
          <w:color w:val="auto"/>
        </w:rPr>
      </w:pPr>
    </w:p>
    <w:p>
      <w:pPr>
        <w:ind w:left="1620" w:hanging="383"/>
        <w:spacing w:after="0"/>
        <w:tabs>
          <w:tab w:leader="none" w:pos="1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IX, LLC: 1,444,246 shares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Opportunity, LLC: 6,472,423 shares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Capital VIII, LLC: 707,618 shares</w:t>
      </w:r>
    </w:p>
    <w:p>
      <w:pPr>
        <w:spacing w:after="0" w:line="210" w:lineRule="exact"/>
        <w:rPr>
          <w:rFonts w:ascii="Arial" w:cs="Arial" w:eastAsia="Arial" w:hAnsi="Arial"/>
          <w:sz w:val="18"/>
          <w:szCs w:val="18"/>
          <w:color w:val="auto"/>
        </w:rPr>
      </w:pPr>
    </w:p>
    <w:p>
      <w:pPr>
        <w:ind w:left="1620" w:hanging="396"/>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 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Capital VIII,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$0.0001 par value, of Selecta Biosciences, Inc., and further agree that this Joint Filing Agreement be included as an Exhibit to such joint filing.</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Vivo Capital VIII,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bullet"/>
      <w:start w:val="1"/>
    </w:lvl>
  </w:abstractNum>
  <w:abstractNum w:abstractNumId="3">
    <w:nsid w:val="41A7C4C9"/>
    <w:multiLevelType w:val="hybridMultilevel"/>
    <w:lvl w:ilvl="0">
      <w:lvlJc w:val="left"/>
      <w:lvlText w:val="2"/>
      <w:numFmt w:val="bullet"/>
      <w:start w:val="1"/>
    </w:lvl>
  </w:abstractNum>
  <w:abstractNum w:abstractNumId="4">
    <w:nsid w:val="6B68079A"/>
    <w:multiLevelType w:val="hybridMultilevel"/>
    <w:lvl w:ilvl="0">
      <w:lvlJc w:val="left"/>
      <w:lvlText w:val="3"/>
      <w:numFmt w:val="bullet"/>
      <w:start w:val="1"/>
    </w:lvl>
  </w:abstractNum>
  <w:abstractNum w:abstractNumId="5">
    <w:nsid w:val="4E6AFB66"/>
    <w:multiLevelType w:val="hybridMultilevel"/>
    <w:lvl w:ilvl="0">
      <w:lvlJc w:val="left"/>
      <w:lvlText w:val="4"/>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1"/>
      <w:numFmt w:val="decimal"/>
      <w:start w:val="10"/>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1)"/>
      <w:numFmt w:val="lowerLetter"/>
      <w:start w:val="4"/>
    </w:lvl>
  </w:abstractNum>
  <w:abstractNum w:abstractNumId="21">
    <w:nsid w:val="8EDBDAB"/>
    <w:multiLevelType w:val="hybridMultilevel"/>
    <w:lvl w:ilvl="0">
      <w:lvlJc w:val="left"/>
      <w:lvlText w:val="(%1)"/>
      <w:numFmt w:val="lowerLetter"/>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Letter"/>
      <w:start w:val="2"/>
    </w:lvl>
  </w:abstractNum>
  <w:abstractNum w:abstractNumId="26">
    <w:nsid w:val="54E49EB4"/>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2019-12-30T15:23:13Z</dcterms:created>
  <dcterms:modified xsi:type="dcterms:W3CDTF">2019-12-30T15:23:13Z</dcterms:modified>
</cp:coreProperties>
</file>